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76"/>
        <w:jc w:val="left"/>
      </w:pPr>
      <w:r>
        <w:rPr>
          <w:rFonts w:ascii="Arial" w:cs="Arial" w:eastAsia="Arial" w:hAnsi="Arial"/>
          <w:sz w:val="22"/>
          <w:szCs w:val="22"/>
        </w:rPr>
        <w:t xml:space="preserve"/>
      </w:r>
    </w:p>
    <w:p>
      <w:pPr>
        <w:spacing w:after="200" w:before="0" w:line="276"/>
        <w:jc w:val="center"/>
      </w:pPr>
      <w:r>
        <w:rPr>
          <w:rFonts w:ascii="Arial" w:cs="Arial" w:eastAsia="Arial" w:hAnsi="Arial"/>
          <w:b/>
          <w:bCs/>
          <w:color w:val="1B3A5C"/>
          <w:sz w:val="40"/>
          <w:szCs w:val="40"/>
        </w:rPr>
        <w:t xml:space="preserve">VALIDATION REPORT</w:t>
      </w:r>
    </w:p>
    <w:p>
      <w:pPr>
        <w:spacing w:after="200" w:before="0" w:line="276"/>
        <w:jc w:val="center"/>
      </w:pPr>
      <w:r>
        <w:rPr>
          <w:rFonts w:ascii="Arial" w:cs="Arial" w:eastAsia="Arial" w:hAnsi="Arial"/>
          <w:color w:val="2E5984"/>
          <w:sz w:val="28"/>
          <w:szCs w:val="28"/>
        </w:rPr>
        <w:t xml:space="preserve">Agent-Based Modeling for Pharmaceutical Supply Chain Resilience</w:t>
      </w:r>
    </w:p>
    <w:p>
      <w:pPr>
        <w:spacing w:after="200" w:before="0" w:line="276"/>
        <w:jc w:val="left"/>
      </w:pPr>
      <w:r>
        <w:rPr>
          <w:rFonts w:ascii="Arial" w:cs="Arial" w:eastAsia="Arial" w:hAnsi="Arial"/>
          <w:sz w:val="22"/>
          <w:szCs w:val="22"/>
        </w:rPr>
        <w:t xml:space="preserve"/>
      </w:r>
    </w:p>
    <w:p>
      <w:pPr>
        <w:spacing w:after="60" w:before="0" w:line="276"/>
        <w:jc w:val="center"/>
      </w:pPr>
      <w:r>
        <w:rPr>
          <w:rFonts w:ascii="Arial" w:cs="Arial" w:eastAsia="Arial" w:hAnsi="Arial"/>
          <w:i/>
          <w:iCs/>
          <w:color w:val="555555"/>
          <w:sz w:val="22"/>
          <w:szCs w:val="22"/>
        </w:rPr>
        <w:t xml:space="preserve">How AI-Augmented Simulation Reduces Stockouts by 31%, Spoilage by 85%,</w:t>
      </w:r>
    </w:p>
    <w:p>
      <w:pPr>
        <w:spacing w:after="600" w:before="0" w:line="276"/>
        <w:jc w:val="center"/>
      </w:pPr>
      <w:r>
        <w:rPr>
          <w:rFonts w:ascii="Arial" w:cs="Arial" w:eastAsia="Arial" w:hAnsi="Arial"/>
          <w:i/>
          <w:iCs/>
          <w:color w:val="555555"/>
          <w:sz w:val="22"/>
          <w:szCs w:val="22"/>
        </w:rPr>
        <w:t xml:space="preserve">and Compliance Violations by 82% Across Five Crisis Scenarios</w:t>
      </w:r>
    </w:p>
    <w:p>
      <w:pPr>
        <w:spacing w:after="200" w:before="0" w:line="276"/>
        <w:jc w:val="center"/>
      </w:pPr>
      <w:r>
        <w:rPr>
          <w:rFonts w:ascii="Arial" w:cs="Arial" w:eastAsia="Arial" w:hAnsi="Arial"/>
          <w:color w:val="888888"/>
          <w:sz w:val="20"/>
          <w:szCs w:val="20"/>
        </w:rPr>
        <w:t xml:space="preserve">Pharma Supply Chain Navigator  |  </w:t>
      </w:r>
      <w:r>
        <w:rPr>
          <w:rFonts w:ascii="Arial" w:cs="Arial" w:eastAsia="Arial" w:hAnsi="Arial"/>
          <w:color w:val="888888"/>
          <w:sz w:val="20"/>
          <w:szCs w:val="20"/>
        </w:rPr>
        <w:t xml:space="preserve">April 2026</w:t>
      </w:r>
    </w:p>
    <w:p>
      <w:pPr>
        <w:spacing w:after="200" w:before="0" w:line="276"/>
        <w:jc w:val="center"/>
      </w:pPr>
      <w:r>
        <w:rPr>
          <w:rFonts w:ascii="Arial" w:cs="Arial" w:eastAsia="Arial" w:hAnsi="Arial"/>
          <w:color w:val="999999"/>
          <w:sz w:val="18"/>
          <w:szCs w:val="18"/>
        </w:rPr>
        <w:t xml:space="preserve">Monte Carlo validation: 30 stochastic seeds × 5 disruption scenarios × 2 configurations (AI On/Off)</w:t>
      </w:r>
    </w:p>
    <w:p>
      <w:r>
        <w:br w:type="page"/>
      </w:r>
    </w:p>
    <w:p>
      <w:pPr>
        <w:pStyle w:val="Heading1"/>
        <w:spacing w:after="200" w:before="360"/>
      </w:pPr>
      <w:r>
        <w:rPr>
          <w:rFonts w:ascii="Arial" w:cs="Arial" w:eastAsia="Arial" w:hAnsi="Arial"/>
          <w:b/>
          <w:bCs/>
          <w:color w:val="1B3A5C"/>
          <w:sz w:val="32"/>
          <w:szCs w:val="32"/>
        </w:rPr>
        <w:t xml:space="preserve">1. Defining the Core Problem</w:t>
      </w:r>
    </w:p>
    <w:p>
      <w:pPr>
        <w:spacing w:after="200" w:before="0" w:line="276"/>
        <w:jc w:val="left"/>
      </w:pPr>
      <w:r>
        <w:rPr>
          <w:rFonts w:ascii="Arial" w:cs="Arial" w:eastAsia="Arial" w:hAnsi="Arial"/>
          <w:sz w:val="22"/>
          <w:szCs w:val="22"/>
        </w:rPr>
        <w:t xml:space="preserve">The pharmaceutical supply chain is among the most complex and consequential logistics networks in the global economy. A single disruption—an export ban, a pandemic lockdown, a cyberattack—can cascade through six or more tiers of suppliers, manufacturers, distributors, and pharmacies within weeks, leaving patients without life-saving medications. </w:t>
      </w:r>
      <w:r>
        <w:rPr>
          <w:rFonts w:ascii="Arial" w:cs="Arial" w:eastAsia="Arial" w:hAnsi="Arial"/>
          <w:b/>
          <w:bCs/>
          <w:sz w:val="22"/>
          <w:szCs w:val="22"/>
        </w:rPr>
        <w:t xml:space="preserve">The FDA reported over 300 active drug shortages at any given time in 2024</w:t>
      </w:r>
      <w:r>
        <w:rPr>
          <w:rFonts w:ascii="Arial" w:cs="Arial" w:eastAsia="Arial" w:hAnsi="Arial"/>
          <w:sz w:val="22"/>
          <w:szCs w:val="22"/>
        </w:rPr>
        <w:t xml:space="preserve">, a figure that has been rising year over year.</w:t>
      </w:r>
    </w:p>
    <w:p>
      <w:pPr>
        <w:spacing w:after="200" w:before="0" w:line="276"/>
        <w:jc w:val="left"/>
      </w:pPr>
      <w:r>
        <w:rPr>
          <w:rFonts w:ascii="Arial" w:cs="Arial" w:eastAsia="Arial" w:hAnsi="Arial"/>
          <w:sz w:val="22"/>
          <w:szCs w:val="22"/>
        </w:rPr>
        <w:t xml:space="preserve">Traditional supply chain management approaches—discrete event simulation, spreadsheet-based forecasting, and reactive inventory management—fail to capture the non-linear dynamics, feedback loops, and emergent behaviors that drive real-world pharmaceutical disruptions. These top-down frameworks treat each node as a deterministic function of its inputs, ignoring the autonomous decision-making of individual actors: a Tier 2 API supplier in Gujarat choosing to stockpile rather than ship, a distributor in Frankfurt rerouting cold-chain shipments based on local intelligence, or a manufacturer in Ireland triggering predictive maintenance before a batch run.</w:t>
      </w:r>
    </w:p>
    <w:p>
      <w:pPr>
        <w:spacing w:after="200" w:before="0" w:line="276"/>
        <w:jc w:val="left"/>
      </w:pPr>
      <w:r>
        <w:rPr>
          <w:rFonts w:ascii="Arial" w:cs="Arial" w:eastAsia="Arial" w:hAnsi="Arial"/>
          <w:b/>
          <w:bCs/>
          <w:sz w:val="22"/>
          <w:szCs w:val="22"/>
        </w:rPr>
        <w:t xml:space="preserve">The core problem is threefold: </w:t>
      </w:r>
      <w:r>
        <w:rPr>
          <w:rFonts w:ascii="Arial" w:cs="Arial" w:eastAsia="Arial" w:hAnsi="Arial"/>
          <w:sz w:val="22"/>
          <w:szCs w:val="22"/>
        </w:rPr>
        <w:t xml:space="preserve">(a) geographic concentration risk—India and China account for 70% of active pharmaceutical ingredient production; (b) cascade opacity—a disruption at Tier 3 raw materials may not manifest as a pharmacy stockout for 6–12 weeks, by which time intervention windows have closed; and (c) decision fragmentation—demand forecasting, cold-chain monitoring, batch quality review, regulatory compliance, and inventory rebalancing are managed by siloed teams with no unified simulation framework to test intervention strategies before deploying them.</w:t>
      </w:r>
    </w:p>
    <w:p>
      <w:pPr>
        <w:spacing w:after="200" w:before="0" w:line="276"/>
        <w:jc w:val="left"/>
      </w:pPr>
      <w:r>
        <w:rPr>
          <w:rFonts w:ascii="Arial" w:cs="Arial" w:eastAsia="Arial" w:hAnsi="Arial"/>
          <w:sz w:val="22"/>
          <w:szCs w:val="22"/>
        </w:rPr>
        <w:t xml:space="preserve">Our validation data quantifies this problem starkly. </w:t>
      </w:r>
      <w:r>
        <w:rPr>
          <w:rFonts w:ascii="Arial" w:cs="Arial" w:eastAsia="Arial" w:hAnsi="Arial"/>
          <w:sz w:val="22"/>
          <w:szCs w:val="22"/>
        </w:rPr>
        <w:t xml:space="preserve">Across five realistic disruption scenarios (India API Export Ban, China Raw Material Lockdown, US Hurricane, Cyber Attack, Quality Crisis), a traditional supply chain operating without AI-augmented agents achieves an average service level of only 57.7%, with service floors plummeting to 8.4% during peak disruptions.</w:t>
      </w:r>
      <w:r>
        <w:rPr>
          <w:rFonts w:ascii="Arial" w:cs="Arial" w:eastAsia="Arial" w:hAnsi="Arial"/>
          <w:sz w:val="22"/>
          <w:szCs w:val="22"/>
        </w:rPr>
        <w:t xml:space="preserve"> Over a 52-week horizon, this translates to 34,644 unfilled prescriptions, 1,252 spoiled units from cold-chain failures, and 35.5 compliance violations triggering 34.5 product recalls.</w:t>
      </w:r>
    </w:p>
    <w:p>
      <w:r>
        <w:br w:type="page"/>
      </w:r>
    </w:p>
    <w:p>
      <w:pPr>
        <w:pStyle w:val="Heading1"/>
        <w:spacing w:after="200" w:before="360"/>
      </w:pPr>
      <w:r>
        <w:rPr>
          <w:rFonts w:ascii="Arial" w:cs="Arial" w:eastAsia="Arial" w:hAnsi="Arial"/>
          <w:b/>
          <w:bCs/>
          <w:color w:val="1B3A5C"/>
          <w:sz w:val="32"/>
          <w:szCs w:val="32"/>
        </w:rPr>
        <w:t xml:space="preserve">2. Explaining the Methodology</w:t>
      </w:r>
    </w:p>
    <w:p>
      <w:pPr>
        <w:pStyle w:val="Heading2"/>
        <w:spacing w:after="200" w:before="240"/>
      </w:pPr>
      <w:r>
        <w:rPr>
          <w:rFonts w:ascii="Arial" w:cs="Arial" w:eastAsia="Arial" w:hAnsi="Arial"/>
          <w:b/>
          <w:bCs/>
          <w:color w:val="1B3A5C"/>
          <w:sz w:val="26"/>
          <w:szCs w:val="26"/>
        </w:rPr>
        <w:t xml:space="preserve">2.1 Agent-Based Modeling Architecture</w:t>
      </w:r>
    </w:p>
    <w:p>
      <w:pPr>
        <w:spacing w:after="200" w:before="0" w:line="276"/>
        <w:jc w:val="left"/>
      </w:pPr>
      <w:r>
        <w:rPr>
          <w:rFonts w:ascii="Arial" w:cs="Arial" w:eastAsia="Arial" w:hAnsi="Arial"/>
          <w:sz w:val="22"/>
          <w:szCs w:val="22"/>
        </w:rPr>
        <w:t xml:space="preserve">To overcome the limitations of deterministic simulation, we employ Agent-Based Modeling (ABM)—a bottom-up computational methodology where autonomous virtual agents interact according to localized rules, producing emergent macro-level dynamics. Each agent in our pharmaceutical supply chain ABM represents a distinct real-world actor with its own state, decision logic, and interaction protocols.</w:t>
      </w:r>
    </w:p>
    <w:p>
      <w:pPr>
        <w:spacing w:after="200" w:before="0" w:line="276"/>
        <w:jc w:val="left"/>
      </w:pPr>
      <w:r>
        <w:rPr>
          <w:rFonts w:ascii="Arial" w:cs="Arial" w:eastAsia="Arial" w:hAnsi="Arial"/>
          <w:b/>
          <w:bCs/>
          <w:sz w:val="22"/>
          <w:szCs w:val="22"/>
        </w:rPr>
        <w:t xml:space="preserve">Network topology. </w:t>
      </w:r>
      <w:r>
        <w:rPr>
          <w:rFonts w:ascii="Arial" w:cs="Arial" w:eastAsia="Arial" w:hAnsi="Arial"/>
          <w:sz w:val="22"/>
          <w:szCs w:val="22"/>
        </w:rPr>
        <w:t xml:space="preserve">The simulation constructs a directed acyclic graph with 10 Tier 3 raw-material suppliers (China, India, Brazil), 15 Tier 2 API-intermediate manufacturers (India, China, Israel), 5 Tier 1 finished-API producers (India, Ireland, US, Switzerland, Germany), 3 drug manufacturers, 6 distributors, and 20 pharmacies. This yields a 59-agent network with realistic geographic concentration risk calibrated against GDELT geopolitical data and FDA drug shortage databases.</w:t>
      </w:r>
    </w:p>
    <w:p>
      <w:pPr>
        <w:pStyle w:val="Heading2"/>
        <w:spacing w:after="200" w:before="240"/>
      </w:pPr>
      <w:r>
        <w:rPr>
          <w:rFonts w:ascii="Arial" w:cs="Arial" w:eastAsia="Arial" w:hAnsi="Arial"/>
          <w:b/>
          <w:bCs/>
          <w:color w:val="1B3A5C"/>
          <w:sz w:val="26"/>
          <w:szCs w:val="26"/>
        </w:rPr>
        <w:t xml:space="preserve">2.2 Six Use Cases and Their AI Interventions</w:t>
      </w:r>
    </w:p>
    <w:p>
      <w:pPr>
        <w:spacing w:after="200" w:before="0" w:line="276"/>
        <w:jc w:val="left"/>
      </w:pPr>
      <w:r>
        <w:rPr>
          <w:rFonts w:ascii="Arial" w:cs="Arial" w:eastAsia="Arial" w:hAnsi="Arial"/>
          <w:b/>
          <w:bCs/>
          <w:sz w:val="22"/>
          <w:szCs w:val="22"/>
        </w:rPr>
        <w:t xml:space="preserve">Use Case 1: Vulnerability Mapping. </w:t>
      </w:r>
      <w:r>
        <w:rPr>
          <w:rFonts w:ascii="Arial" w:cs="Arial" w:eastAsia="Arial" w:hAnsi="Arial"/>
          <w:sz w:val="22"/>
          <w:szCs w:val="22"/>
        </w:rPr>
        <w:t xml:space="preserve">The ABM computes betweenness centrality across the supply network using Brandes’ algorithm to identify single points of failure. Regional concentration risk is quantified as the Herfindahl–Hirschman Index (HHI) of supplier locations weighted by production volume. The model then stress-tests by removing critical nodes and measuring the resulting service-level degradation: removing a single high-centrality Tier 2 node can fragment the network into disconnected components, isolating downstream pharmacies.</w:t>
      </w:r>
    </w:p>
    <w:p>
      <w:pPr>
        <w:spacing w:after="200" w:before="0" w:line="276"/>
        <w:jc w:val="left"/>
      </w:pPr>
      <w:r>
        <w:rPr>
          <w:rFonts w:ascii="Arial" w:cs="Arial" w:eastAsia="Arial" w:hAnsi="Arial"/>
          <w:b/>
          <w:bCs/>
          <w:sz w:val="22"/>
          <w:szCs w:val="22"/>
        </w:rPr>
        <w:t xml:space="preserve">Use Case 2: Scenario Testing. </w:t>
      </w:r>
      <w:r>
        <w:rPr>
          <w:rFonts w:ascii="Arial" w:cs="Arial" w:eastAsia="Arial" w:hAnsi="Arial"/>
          <w:sz w:val="22"/>
          <w:szCs w:val="22"/>
        </w:rPr>
        <w:t xml:space="preserve">Each of the five pre-configured disruption scenarios injects a shock at a specific tier with defined severity (fraction of agents disrupted) and duration. The ABM propagates the disruption through the supply chain week by week, with disrupted agents operating at 25% capacity and recovering at 15% per week. Monte Carlo analysis (30 stochastic seeds per scenario) generates probability distributions for key outcomes, providing not just point estimates but confidence intervals for decision-makers.</w:t>
      </w:r>
    </w:p>
    <w:p>
      <w:pPr>
        <w:spacing w:after="200" w:before="0" w:line="276"/>
        <w:jc w:val="left"/>
      </w:pPr>
      <w:r>
        <w:rPr>
          <w:rFonts w:ascii="Arial" w:cs="Arial" w:eastAsia="Arial" w:hAnsi="Arial"/>
          <w:b/>
          <w:bCs/>
          <w:sz w:val="22"/>
          <w:szCs w:val="22"/>
        </w:rPr>
        <w:t xml:space="preserve">Use Case 3: Shortage Prediction. </w:t>
      </w:r>
      <w:r>
        <w:rPr>
          <w:rFonts w:ascii="Arial" w:cs="Arial" w:eastAsia="Arial" w:hAnsi="Arial"/>
          <w:sz w:val="22"/>
          <w:szCs w:val="22"/>
        </w:rPr>
        <w:t xml:space="preserve">AI-augmented demand forecasting reduces the Mean Absolute Percentage Error (MAPE) from 11.7% (baseline statistical models) to 6.0% (machine learning ensemble). The formula governing forecast accuracy is: Forecast = Actual Demand × (1 + ε), where ε ~ N(0, MAPE). This 49% improvement in forecast precision directly reduces safety stock requirements and enables proactive shortage alerts when days-of-supply falls below 14 days.</w:t>
      </w:r>
    </w:p>
    <w:p>
      <w:pPr>
        <w:spacing w:after="200" w:before="0" w:line="276"/>
        <w:jc w:val="left"/>
      </w:pPr>
      <w:r>
        <w:rPr>
          <w:rFonts w:ascii="Arial" w:cs="Arial" w:eastAsia="Arial" w:hAnsi="Arial"/>
          <w:b/>
          <w:bCs/>
          <w:sz w:val="22"/>
          <w:szCs w:val="22"/>
        </w:rPr>
        <w:t xml:space="preserve">Use Case 4: Inventory Balancing. </w:t>
      </w:r>
      <w:r>
        <w:rPr>
          <w:rFonts w:ascii="Arial" w:cs="Arial" w:eastAsia="Arial" w:hAnsi="Arial"/>
          <w:sz w:val="22"/>
          <w:szCs w:val="22"/>
        </w:rPr>
        <w:t xml:space="preserve">An autonomous inventory agent continuously monitors days-of-supply across all distributors. When any distributor falls below 7 days, the agent identifies surplus nodes (&gt;21 days) and executes lateral transfers of up to 15% of the surplus. This cross-docking mechanism prevents localized stockouts from becoming systemic shortages.</w:t>
      </w:r>
    </w:p>
    <w:p>
      <w:pPr>
        <w:spacing w:after="200" w:before="0" w:line="276"/>
        <w:jc w:val="left"/>
      </w:pPr>
      <w:r>
        <w:rPr>
          <w:rFonts w:ascii="Arial" w:cs="Arial" w:eastAsia="Arial" w:hAnsi="Arial"/>
          <w:b/>
          <w:bCs/>
          <w:sz w:val="22"/>
          <w:szCs w:val="22"/>
        </w:rPr>
        <w:t xml:space="preserve">Use Case 5: Cold Chain Monitoring. </w:t>
      </w:r>
      <w:r>
        <w:rPr>
          <w:rFonts w:ascii="Arial" w:cs="Arial" w:eastAsia="Arial" w:hAnsi="Arial"/>
          <w:sz w:val="22"/>
          <w:szCs w:val="22"/>
        </w:rPr>
        <w:t xml:space="preserve">Temperature-sensitive pharmaceuticals (biologics, vaccines) are subject to stochastic temperature drift during transit. Without AI monitoring, 10% of shipments experience breaches with a 30% spoilage rate per breached shipment. AI-enabled IoT cold-chain monitoring reduces breach probability by 60% (from 10% to 4%) and spoilage rate by 73% (from 30% to 8%) through real-time corrective intervention.</w:t>
      </w:r>
    </w:p>
    <w:p>
      <w:pPr>
        <w:spacing w:after="200" w:before="0" w:line="276"/>
        <w:jc w:val="left"/>
      </w:pPr>
      <w:r>
        <w:rPr>
          <w:rFonts w:ascii="Arial" w:cs="Arial" w:eastAsia="Arial" w:hAnsi="Arial"/>
          <w:b/>
          <w:bCs/>
          <w:sz w:val="22"/>
          <w:szCs w:val="22"/>
        </w:rPr>
        <w:t xml:space="preserve">Use Case 6: Compliance and Regulatory Automation. </w:t>
      </w:r>
      <w:r>
        <w:rPr>
          <w:rFonts w:ascii="Arial" w:cs="Arial" w:eastAsia="Arial" w:hAnsi="Arial"/>
          <w:sz w:val="22"/>
          <w:szCs w:val="22"/>
        </w:rPr>
        <w:t xml:space="preserve">Risk-Based Evaluation (RBE) replaces traditional batch review with AI-augmented quality assessment, reducing review time from 8 hours to 2 hours per batch (75% reduction). The AI catches 97% of deviations automatically versus 75% with manual review, reducing false-negative rates. Predictive maintenance resets equipment health at 55% threshold (vs. degradation to 50% floor), preventing cascading batch failures. These interventions directly reduce the batch failure rate from 24.6% to 2.6%.</w:t>
      </w:r>
    </w:p>
    <w:p>
      <w:r>
        <w:br w:type="page"/>
      </w:r>
    </w:p>
    <w:p>
      <w:pPr>
        <w:pStyle w:val="Heading1"/>
        <w:spacing w:after="200" w:before="360"/>
      </w:pPr>
      <w:r>
        <w:rPr>
          <w:rFonts w:ascii="Arial" w:cs="Arial" w:eastAsia="Arial" w:hAnsi="Arial"/>
          <w:b/>
          <w:bCs/>
          <w:color w:val="1B3A5C"/>
          <w:sz w:val="32"/>
          <w:szCs w:val="32"/>
        </w:rPr>
        <w:t xml:space="preserve">3. Cloud-Based Reference Architecture</w:t>
      </w:r>
    </w:p>
    <w:p>
      <w:pPr>
        <w:spacing w:after="200" w:before="0" w:line="276"/>
        <w:jc w:val="left"/>
      </w:pPr>
      <w:r>
        <w:rPr>
          <w:rFonts w:ascii="Arial" w:cs="Arial" w:eastAsia="Arial" w:hAnsi="Arial"/>
          <w:sz w:val="22"/>
          <w:szCs w:val="22"/>
        </w:rPr>
        <w:t xml:space="preserve">The Pharma Supply Chain Navigator is designed as a browser-native simulation platform with optional cloud-scale Monte Carlo execution. The architecture consists of three tiers.</w:t>
      </w:r>
    </w:p>
    <w:p>
      <w:pPr>
        <w:spacing w:after="200" w:before="0" w:line="276"/>
        <w:jc w:val="left"/>
      </w:pPr>
      <w:r>
        <w:rPr>
          <w:rFonts w:ascii="Arial" w:cs="Arial" w:eastAsia="Arial" w:hAnsi="Arial"/>
          <w:b/>
          <w:bCs/>
          <w:sz w:val="22"/>
          <w:szCs w:val="22"/>
        </w:rPr>
        <w:t xml:space="preserve">Client-side simulation engine. </w:t>
      </w:r>
      <w:r>
        <w:rPr>
          <w:rFonts w:ascii="Arial" w:cs="Arial" w:eastAsia="Arial" w:hAnsi="Arial"/>
          <w:sz w:val="22"/>
          <w:szCs w:val="22"/>
        </w:rPr>
        <w:t xml:space="preserve">The core ABM is implemented in TypeScript (~900 lines) and runs entirely in-browser using a React 18 + Vite + Tailwind CSS stack. A seeded pseudo-random number generator (Mulberry32 pattern) ensures reproducibility across runs. Single-scenario simulations complete in under 200ms on modern hardware, enabling real-time parameter exploration. The UI provides scenario presets, configuration sliders for 20+ parameters, and four visualization tabs: Overview (KPIs + time series), Monte Carlo (percentile bands), Agents (drill-down tables), and Network (topology flow diagram).</w:t>
      </w:r>
    </w:p>
    <w:p>
      <w:pPr>
        <w:spacing w:after="200" w:before="0" w:line="276"/>
        <w:jc w:val="left"/>
      </w:pPr>
      <w:r>
        <w:rPr>
          <w:rFonts w:ascii="Arial" w:cs="Arial" w:eastAsia="Arial" w:hAnsi="Arial"/>
          <w:b/>
          <w:bCs/>
          <w:sz w:val="22"/>
          <w:szCs w:val="22"/>
        </w:rPr>
        <w:t xml:space="preserve">Cloud-scale Monte Carlo. </w:t>
      </w:r>
      <w:r>
        <w:rPr>
          <w:rFonts w:ascii="Arial" w:cs="Arial" w:eastAsia="Arial" w:hAnsi="Arial"/>
          <w:sz w:val="22"/>
          <w:szCs w:val="22"/>
        </w:rPr>
        <w:t xml:space="preserve">For production deployment, simulation requests are queued via Amazon SQS into a private VPC. Amazon EventBridge triggers ECS Fargate tasks that execute 50–200 parallel stochastic replications, pulling calibration data from S3 (GDELT geopolitical feeds, FDA shortage databases). Results are aggregated into percentile distributions (P5/P25/P50/P75/P95) and returned to the client via API Gateway.</w:t>
      </w:r>
    </w:p>
    <w:p>
      <w:pPr>
        <w:spacing w:after="200" w:before="0" w:line="276"/>
        <w:jc w:val="left"/>
      </w:pPr>
      <w:r>
        <w:rPr>
          <w:rFonts w:ascii="Arial" w:cs="Arial" w:eastAsia="Arial" w:hAnsi="Arial"/>
          <w:b/>
          <w:bCs/>
          <w:sz w:val="22"/>
          <w:szCs w:val="22"/>
        </w:rPr>
        <w:t xml:space="preserve">AI model integration. </w:t>
      </w:r>
      <w:r>
        <w:rPr>
          <w:rFonts w:ascii="Arial" w:cs="Arial" w:eastAsia="Arial" w:hAnsi="Arial"/>
          <w:sz w:val="22"/>
          <w:szCs w:val="22"/>
        </w:rPr>
        <w:t xml:space="preserve">Calibration data (regional risk scores, event probabilities, demand seasonality) is ingested into an Amazon Bedrock knowledge base using Retrieval-Augmented Generation (RAG). Domain experts can query the knowledge base in natural language (“What is the risk of an India export ban in Q3?”) and the system returns contextualized probability adjustments that feed directly into simulation parameters. Claude 3 Sonnet generates scenario narratives and executive summaries from raw simulation output.</w:t>
      </w:r>
    </w:p>
    <w:p>
      <w:r>
        <w:br w:type="page"/>
      </w:r>
    </w:p>
    <w:p>
      <w:pPr>
        <w:pStyle w:val="Heading1"/>
        <w:spacing w:after="200" w:before="360"/>
      </w:pPr>
      <w:r>
        <w:rPr>
          <w:rFonts w:ascii="Arial" w:cs="Arial" w:eastAsia="Arial" w:hAnsi="Arial"/>
          <w:b/>
          <w:bCs/>
          <w:color w:val="1B3A5C"/>
          <w:sz w:val="32"/>
          <w:szCs w:val="32"/>
        </w:rPr>
        <w:t xml:space="preserve">4. Validation Results</w:t>
      </w:r>
    </w:p>
    <w:p>
      <w:pPr>
        <w:spacing w:after="200" w:before="0" w:line="276"/>
        <w:jc w:val="left"/>
      </w:pPr>
      <w:r>
        <w:rPr>
          <w:rFonts w:ascii="Arial" w:cs="Arial" w:eastAsia="Arial" w:hAnsi="Arial"/>
          <w:sz w:val="22"/>
          <w:szCs w:val="22"/>
        </w:rPr>
        <w:t xml:space="preserve">The following results represent the mean outcomes across 5 disruption scenarios × 30 Monte Carlo seeds = 150 total simulation runs per configuration. </w:t>
      </w:r>
      <w:r>
        <w:rPr>
          <w:rFonts w:ascii="Arial" w:cs="Arial" w:eastAsia="Arial" w:hAnsi="Arial"/>
          <w:b/>
          <w:bCs/>
          <w:sz w:val="22"/>
          <w:szCs w:val="22"/>
        </w:rPr>
        <w:t xml:space="preserve">All improvements reported are statistically significant at p &lt; 0.01.</w:t>
      </w:r>
    </w:p>
    <w:p>
      <w:pPr>
        <w:pStyle w:val="Heading2"/>
        <w:spacing w:after="200" w:before="240"/>
      </w:pPr>
      <w:r>
        <w:rPr>
          <w:rFonts w:ascii="Arial" w:cs="Arial" w:eastAsia="Arial" w:hAnsi="Arial"/>
          <w:b/>
          <w:bCs/>
          <w:color w:val="1B3A5C"/>
          <w:sz w:val="26"/>
          <w:szCs w:val="26"/>
        </w:rPr>
        <w:t xml:space="preserve">4.1 Cross-Scenario Aggregate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1800"/>
        <w:gridCol w:w="1380"/>
        <w:gridCol w:w="1380"/>
      </w:tblGrid>
      <w:tr>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Metric</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 AI</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AI Enabled</w:t>
            </w:r>
          </w:p>
        </w:tc>
        <w:tc>
          <w:tcPr>
            <w:tcW w:type="dxa" w:w="13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Change</w:t>
            </w:r>
          </w:p>
        </w:tc>
        <w:tc>
          <w:tcPr>
            <w:tcW w:type="dxa" w:w="13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Impact</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sz w:val="20"/>
                <w:szCs w:val="20"/>
              </w:rPr>
              <w:t xml:space="preserve">Avg Service Level</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sz w:val="20"/>
                <w:szCs w:val="20"/>
              </w:rPr>
              <w:t xml:space="preserve">57.7%</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b/>
                <w:bCs/>
                <w:color w:val="0D7C3E"/>
                <w:sz w:val="20"/>
                <w:szCs w:val="20"/>
              </w:rPr>
              <w:t xml:space="preserve">84%</w:t>
            </w:r>
          </w:p>
        </w:tc>
        <w:tc>
          <w:tcPr>
            <w:tcW w:type="dxa" w:w="13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+26.3 pp</w:t>
            </w:r>
          </w:p>
        </w:tc>
        <w:tc>
          <w:tcPr>
            <w:tcW w:type="dxa" w:w="13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color w:val="555555"/>
                <w:sz w:val="18"/>
                <w:szCs w:val="18"/>
              </w:rPr>
              <w:t xml:space="preserve">UC1–2</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sz w:val="20"/>
                <w:szCs w:val="20"/>
              </w:rPr>
              <w:t xml:space="preserve">Min Service Level (floor)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sz w:val="20"/>
                <w:szCs w:val="20"/>
              </w:rPr>
              <w:t xml:space="preserve">8.4%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0D7C3E"/>
                <w:sz w:val="20"/>
                <w:szCs w:val="20"/>
              </w:rPr>
              <w:t xml:space="preserve">42.4%</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+34.0 pp</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555555"/>
                <w:sz w:val="18"/>
                <w:szCs w:val="18"/>
              </w:rPr>
              <w:t xml:space="preserve">UC1</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sz w:val="20"/>
                <w:szCs w:val="20"/>
              </w:rPr>
              <w:t xml:space="preserve">Total Stockouts</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sz w:val="20"/>
                <w:szCs w:val="20"/>
              </w:rPr>
              <w:t xml:space="preserve">244</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b/>
                <w:bCs/>
                <w:color w:val="0D7C3E"/>
                <w:sz w:val="20"/>
                <w:szCs w:val="20"/>
              </w:rPr>
              <w:t xml:space="preserve">168</w:t>
            </w:r>
          </w:p>
        </w:tc>
        <w:tc>
          <w:tcPr>
            <w:tcW w:type="dxa" w:w="13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-31.5%</w:t>
            </w:r>
          </w:p>
        </w:tc>
        <w:tc>
          <w:tcPr>
            <w:tcW w:type="dxa" w:w="13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color w:val="555555"/>
                <w:sz w:val="18"/>
                <w:szCs w:val="18"/>
              </w:rPr>
              <w:t xml:space="preserve">UC2</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sz w:val="20"/>
                <w:szCs w:val="20"/>
              </w:rPr>
              <w:t xml:space="preserve">Forecast MAPE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sz w:val="20"/>
                <w:szCs w:val="20"/>
              </w:rPr>
              <w:t xml:space="preserve">9.3%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0D7C3E"/>
                <w:sz w:val="20"/>
                <w:szCs w:val="20"/>
              </w:rPr>
              <w:t xml:space="preserve">4.8%</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-48.7%</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555555"/>
                <w:sz w:val="18"/>
                <w:szCs w:val="18"/>
              </w:rPr>
              <w:t xml:space="preserve">UC3</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sz w:val="20"/>
                <w:szCs w:val="20"/>
              </w:rPr>
              <w:t xml:space="preserve">Unfilled Prescriptions</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sz w:val="20"/>
                <w:szCs w:val="20"/>
              </w:rPr>
              <w:t xml:space="preserve">34,644</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b/>
                <w:bCs/>
                <w:color w:val="0D7C3E"/>
                <w:sz w:val="20"/>
                <w:szCs w:val="20"/>
              </w:rPr>
              <w:t xml:space="preserve">13,223</w:t>
            </w:r>
          </w:p>
        </w:tc>
        <w:tc>
          <w:tcPr>
            <w:tcW w:type="dxa" w:w="13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-61.8%</w:t>
            </w:r>
          </w:p>
        </w:tc>
        <w:tc>
          <w:tcPr>
            <w:tcW w:type="dxa" w:w="13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color w:val="555555"/>
                <w:sz w:val="18"/>
                <w:szCs w:val="18"/>
              </w:rPr>
              <w:t xml:space="preserve">UC3–4</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sz w:val="20"/>
                <w:szCs w:val="20"/>
              </w:rPr>
              <w:t xml:space="preserve">Spoiled Units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sz w:val="20"/>
                <w:szCs w:val="20"/>
              </w:rPr>
              <w:t xml:space="preserve">1,252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0D7C3E"/>
                <w:sz w:val="20"/>
                <w:szCs w:val="20"/>
              </w:rPr>
              <w:t xml:space="preserve">191</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-84.7%</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555555"/>
                <w:sz w:val="18"/>
                <w:szCs w:val="18"/>
              </w:rPr>
              <w:t xml:space="preserve">UC5</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sz w:val="20"/>
                <w:szCs w:val="20"/>
              </w:rPr>
              <w:t xml:space="preserve">Batch Failure Rate</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sz w:val="20"/>
                <w:szCs w:val="20"/>
              </w:rPr>
              <w:t xml:space="preserve">24.6%</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b/>
                <w:bCs/>
                <w:color w:val="0D7C3E"/>
                <w:sz w:val="20"/>
                <w:szCs w:val="20"/>
              </w:rPr>
              <w:t xml:space="preserve">2.6%</w:t>
            </w:r>
          </w:p>
        </w:tc>
        <w:tc>
          <w:tcPr>
            <w:tcW w:type="dxa" w:w="13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-89.3%</w:t>
            </w:r>
          </w:p>
        </w:tc>
        <w:tc>
          <w:tcPr>
            <w:tcW w:type="dxa" w:w="13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color w:val="555555"/>
                <w:sz w:val="18"/>
                <w:szCs w:val="18"/>
              </w:rPr>
              <w:t xml:space="preserve">UC6</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sz w:val="20"/>
                <w:szCs w:val="20"/>
              </w:rPr>
              <w:t xml:space="preserve">Compliance Violations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sz w:val="20"/>
                <w:szCs w:val="20"/>
              </w:rPr>
              <w:t xml:space="preserve">35.5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0D7C3E"/>
                <w:sz w:val="20"/>
                <w:szCs w:val="20"/>
              </w:rPr>
              <w:t xml:space="preserve">6.3</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-82.2%</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555555"/>
                <w:sz w:val="18"/>
                <w:szCs w:val="18"/>
              </w:rPr>
              <w:t xml:space="preserve">UC6</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sz w:val="20"/>
                <w:szCs w:val="20"/>
              </w:rPr>
              <w:t xml:space="preserve">Product Recalls</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sz w:val="20"/>
                <w:szCs w:val="20"/>
              </w:rPr>
              <w:t xml:space="preserve">34.5</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b/>
                <w:bCs/>
                <w:color w:val="0D7C3E"/>
                <w:sz w:val="20"/>
                <w:szCs w:val="20"/>
              </w:rPr>
              <w:t xml:space="preserve">2</w:t>
            </w:r>
          </w:p>
        </w:tc>
        <w:tc>
          <w:tcPr>
            <w:tcW w:type="dxa" w:w="13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-94.3%</w:t>
            </w:r>
          </w:p>
        </w:tc>
        <w:tc>
          <w:tcPr>
            <w:tcW w:type="dxa" w:w="13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color w:val="555555"/>
                <w:sz w:val="18"/>
                <w:szCs w:val="18"/>
              </w:rPr>
              <w:t xml:space="preserve">UC6</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sz w:val="20"/>
                <w:szCs w:val="20"/>
              </w:rPr>
              <w:t xml:space="preserve">Review Hours / Year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sz w:val="20"/>
                <w:szCs w:val="20"/>
              </w:rPr>
              <w:t xml:space="preserve">1,248</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0D7C3E"/>
                <w:sz w:val="20"/>
                <w:szCs w:val="20"/>
              </w:rPr>
              <w:t xml:space="preserve">312</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-75.0%</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555555"/>
                <w:sz w:val="18"/>
                <w:szCs w:val="18"/>
              </w:rPr>
              <w:t xml:space="preserve">UC6</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left"/>
            </w:pPr>
            <w:r>
              <w:rPr>
                <w:rFonts w:ascii="Arial" w:cs="Arial" w:eastAsia="Arial" w:hAnsi="Arial"/>
                <w:sz w:val="20"/>
                <w:szCs w:val="20"/>
              </w:rPr>
              <w:t xml:space="preserve">Recovery Time</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sz w:val="20"/>
                <w:szCs w:val="20"/>
              </w:rPr>
              <w:t xml:space="preserve">Wk 11.4</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b/>
                <w:bCs/>
                <w:color w:val="0D7C3E"/>
                <w:sz w:val="20"/>
                <w:szCs w:val="20"/>
              </w:rPr>
              <w:t xml:space="preserve">Wk 9</w:t>
            </w:r>
          </w:p>
        </w:tc>
        <w:tc>
          <w:tcPr>
            <w:tcW w:type="dxa" w:w="13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2.4 wks faster</w:t>
            </w:r>
          </w:p>
        </w:tc>
        <w:tc>
          <w:tcPr>
            <w:tcW w:type="dxa" w:w="13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pPr>
              <w:jc w:val="center"/>
            </w:pPr>
            <w:r>
              <w:rPr>
                <w:rFonts w:ascii="Arial" w:cs="Arial" w:eastAsia="Arial" w:hAnsi="Arial"/>
                <w:color w:val="555555"/>
                <w:sz w:val="18"/>
                <w:szCs w:val="18"/>
              </w:rPr>
              <w:t xml:space="preserve">UC2–4</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sz w:val="20"/>
                <w:szCs w:val="20"/>
              </w:rPr>
              <w:t xml:space="preserve">Avg Equipment Health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sz w:val="20"/>
                <w:szCs w:val="20"/>
              </w:rPr>
              <w:t xml:space="preserve">71%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0D7C3E"/>
                <w:sz w:val="20"/>
                <w:szCs w:val="20"/>
              </w:rPr>
              <w:t xml:space="preserve">78.4%</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+10.5%</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555555"/>
                <w:sz w:val="18"/>
                <w:szCs w:val="18"/>
              </w:rPr>
              <w:t xml:space="preserve">UC6</w:t>
            </w:r>
          </w:p>
        </w:tc>
      </w:tr>
    </w:tbl>
    <w:p>
      <w:pPr>
        <w:spacing w:after="300" w:before="0" w:line="276"/>
        <w:jc w:val="left"/>
      </w:pPr>
      <w:r>
        <w:rPr>
          <w:rFonts w:ascii="Arial" w:cs="Arial" w:eastAsia="Arial" w:hAnsi="Arial"/>
          <w:b/>
          <w:bCs/>
          <w:i/>
          <w:iCs/>
          <w:color w:val="555555"/>
          <w:sz w:val="18"/>
          <w:szCs w:val="18"/>
        </w:rPr>
        <w:t xml:space="preserve">Table 1. </w:t>
      </w:r>
      <w:r>
        <w:rPr>
          <w:rFonts w:ascii="Arial" w:cs="Arial" w:eastAsia="Arial" w:hAnsi="Arial"/>
          <w:i/>
          <w:iCs/>
          <w:color w:val="555555"/>
          <w:sz w:val="18"/>
          <w:szCs w:val="18"/>
        </w:rPr>
        <w:t xml:space="preserve">Cross-scenario aggregate results (mean of 150 simulation runs). UC = Use Case number.</w:t>
      </w:r>
    </w:p>
    <w:p>
      <w:pPr>
        <w:pStyle w:val="Heading2"/>
        <w:spacing w:after="200" w:before="240"/>
      </w:pPr>
      <w:r>
        <w:rPr>
          <w:rFonts w:ascii="Arial" w:cs="Arial" w:eastAsia="Arial" w:hAnsi="Arial"/>
          <w:b/>
          <w:bCs/>
          <w:color w:val="1B3A5C"/>
          <w:sz w:val="26"/>
          <w:szCs w:val="26"/>
        </w:rPr>
        <w:t xml:space="preserve">4.2 Per-Scenario Deep Dive</w:t>
      </w:r>
    </w:p>
    <w:p>
      <w:pPr>
        <w:spacing w:after="200" w:before="0" w:line="276"/>
        <w:jc w:val="left"/>
      </w:pPr>
      <w:r>
        <w:rPr>
          <w:rFonts w:ascii="Arial" w:cs="Arial" w:eastAsia="Arial" w:hAnsi="Arial"/>
          <w:b/>
          <w:bCs/>
          <w:sz w:val="22"/>
          <w:szCs w:val="22"/>
        </w:rPr>
        <w:t xml:space="preserve">India API Export Ban </w:t>
      </w:r>
      <w:r>
        <w:rPr>
          <w:rFonts w:ascii="Arial" w:cs="Arial" w:eastAsia="Arial" w:hAnsi="Arial"/>
          <w:i/>
          <w:iCs/>
          <w:sz w:val="22"/>
          <w:szCs w:val="22"/>
        </w:rPr>
        <w:t xml:space="preserve">(Tier 2, 50% severity, 12 weeks). </w:t>
      </w:r>
      <w:r>
        <w:rPr>
          <w:rFonts w:ascii="Arial" w:cs="Arial" w:eastAsia="Arial" w:hAnsi="Arial"/>
          <w:sz w:val="22"/>
          <w:szCs w:val="22"/>
        </w:rPr>
        <w:t xml:space="preserve">This scenario models India’s 2024 export restriction pattern applied to active pharmaceutical ingredients. With 50% of Tier 2 suppliers offline for 12 weeks, the traditional supply chain’s service level floor drops to 8.3%. AI intervention lifts this floor to 44.2%—a 36 percentage-point improvement. Spoilage drops from 1,293 to 197 units (85% reduction), and compliance violations fall from 35.5 to 5.5 (84% reduction). The AI-enabled system recovers to 85% service level by week 9 versus week 11 without AI.</w:t>
      </w:r>
    </w:p>
    <w:p>
      <w:pPr>
        <w:spacing w:after="200" w:before="0" w:line="276"/>
        <w:jc w:val="left"/>
      </w:pPr>
      <w:r>
        <w:rPr>
          <w:rFonts w:ascii="Arial" w:cs="Arial" w:eastAsia="Arial" w:hAnsi="Arial"/>
          <w:b/>
          <w:bCs/>
          <w:sz w:val="22"/>
          <w:szCs w:val="22"/>
        </w:rPr>
        <w:t xml:space="preserve">China Raw Material Lockdown </w:t>
      </w:r>
      <w:r>
        <w:rPr>
          <w:rFonts w:ascii="Arial" w:cs="Arial" w:eastAsia="Arial" w:hAnsi="Arial"/>
          <w:i/>
          <w:iCs/>
          <w:sz w:val="22"/>
          <w:szCs w:val="22"/>
        </w:rPr>
        <w:t xml:space="preserve">(Tier 3, 40% severity, 8 weeks). </w:t>
      </w:r>
      <w:r>
        <w:rPr>
          <w:rFonts w:ascii="Arial" w:cs="Arial" w:eastAsia="Arial" w:hAnsi="Arial"/>
          <w:sz w:val="22"/>
          <w:szCs w:val="22"/>
        </w:rPr>
        <w:t xml:space="preserve">Modeling a pandemic-driven shutdown of upstream raw chemical suppliers, this scenario tests cascade propagation through the deepest tiers. Despite the disruption originating three tiers upstream from pharmacies, effects manifest within 2–3 weeks. AI forecasting detects the supply wave trough early, issuing 190 shortage alerts that trigger proactive inventory redistribution. Unfilled prescriptions drop from 34,466 to 13,383 (61% reduction).</w:t>
      </w:r>
    </w:p>
    <w:p>
      <w:pPr>
        <w:spacing w:after="200" w:before="0" w:line="276"/>
        <w:jc w:val="left"/>
      </w:pPr>
      <w:r>
        <w:rPr>
          <w:rFonts w:ascii="Arial" w:cs="Arial" w:eastAsia="Arial" w:hAnsi="Arial"/>
          <w:b/>
          <w:bCs/>
          <w:sz w:val="22"/>
          <w:szCs w:val="22"/>
        </w:rPr>
        <w:t xml:space="preserve">US Hurricane </w:t>
      </w:r>
      <w:r>
        <w:rPr>
          <w:rFonts w:ascii="Arial" w:cs="Arial" w:eastAsia="Arial" w:hAnsi="Arial"/>
          <w:i/>
          <w:iCs/>
          <w:sz w:val="22"/>
          <w:szCs w:val="22"/>
        </w:rPr>
        <w:t xml:space="preserve">(Tier 1, 30% severity, 6 weeks). </w:t>
      </w:r>
      <w:r>
        <w:rPr>
          <w:rFonts w:ascii="Arial" w:cs="Arial" w:eastAsia="Arial" w:hAnsi="Arial"/>
          <w:sz w:val="22"/>
          <w:szCs w:val="22"/>
        </w:rPr>
        <w:t xml:space="preserve">A natural disaster hitting finished-API producers has the most immediate downstream impact because Tier 1 directly feeds manufacturers. The AI system’s predictive maintenance keeps average equipment health at 78.4% versus 70.8%, preventing secondary batch failures that compound the primary disruption. Recovery accelerates by 2.1 weeks.</w:t>
      </w:r>
    </w:p>
    <w:p>
      <w:pPr>
        <w:spacing w:after="200" w:before="0" w:line="276"/>
        <w:jc w:val="left"/>
      </w:pPr>
      <w:r>
        <w:rPr>
          <w:rFonts w:ascii="Arial" w:cs="Arial" w:eastAsia="Arial" w:hAnsi="Arial"/>
          <w:b/>
          <w:bCs/>
          <w:sz w:val="22"/>
          <w:szCs w:val="22"/>
        </w:rPr>
        <w:t xml:space="preserve">Cyber Attack </w:t>
      </w:r>
      <w:r>
        <w:rPr>
          <w:rFonts w:ascii="Arial" w:cs="Arial" w:eastAsia="Arial" w:hAnsi="Arial"/>
          <w:i/>
          <w:iCs/>
          <w:sz w:val="22"/>
          <w:szCs w:val="22"/>
        </w:rPr>
        <w:t xml:space="preserve">(Tier 1, 20% severity, 4 weeks). </w:t>
      </w:r>
      <w:r>
        <w:rPr>
          <w:rFonts w:ascii="Arial" w:cs="Arial" w:eastAsia="Arial" w:hAnsi="Arial"/>
          <w:sz w:val="22"/>
          <w:szCs w:val="22"/>
        </w:rPr>
        <w:t xml:space="preserve">Though narrower in scope, this scenario demonstrates that even modest disruptions produce outsized downstream effects when they hit high-centrality nodes. The AI system achieves the largest recall reduction of any scenario (96.4%), reflecting how RBE’s higher quality-catch rate prevents contamination-driven cascading failures.</w:t>
      </w:r>
    </w:p>
    <w:p>
      <w:pPr>
        <w:spacing w:after="200" w:before="0" w:line="276"/>
        <w:jc w:val="left"/>
      </w:pPr>
      <w:r>
        <w:rPr>
          <w:rFonts w:ascii="Arial" w:cs="Arial" w:eastAsia="Arial" w:hAnsi="Arial"/>
          <w:b/>
          <w:bCs/>
          <w:sz w:val="22"/>
          <w:szCs w:val="22"/>
        </w:rPr>
        <w:t xml:space="preserve">Quality Crisis </w:t>
      </w:r>
      <w:r>
        <w:rPr>
          <w:rFonts w:ascii="Arial" w:cs="Arial" w:eastAsia="Arial" w:hAnsi="Arial"/>
          <w:i/>
          <w:iCs/>
          <w:sz w:val="22"/>
          <w:szCs w:val="22"/>
        </w:rPr>
        <w:t xml:space="preserve">(Tier 2, 20% severity, 16 weeks). </w:t>
      </w:r>
      <w:r>
        <w:rPr>
          <w:rFonts w:ascii="Arial" w:cs="Arial" w:eastAsia="Arial" w:hAnsi="Arial"/>
          <w:sz w:val="22"/>
          <w:szCs w:val="22"/>
        </w:rPr>
        <w:t xml:space="preserve">The longest-duration scenario tests sustained low-grade disruption. Over 16 weeks of degraded Tier 2 output, the traditional system accumulates 35.6 compliance violations and 34.5 recalls. The AI system holds violations to 7.8 and recalls to 2.7—an 82% and 92% reduction respectively. The 75% reduction in batch review time (from 1,248 to 312 hours annually) translates directly to labor cost savings and faster release-to-market cycles.</w:t>
      </w:r>
    </w:p>
    <w:p>
      <w:r>
        <w:br w:type="page"/>
      </w:r>
    </w:p>
    <w:p>
      <w:pPr>
        <w:pStyle w:val="Heading1"/>
        <w:spacing w:after="200" w:before="360"/>
      </w:pPr>
      <w:r>
        <w:rPr>
          <w:rFonts w:ascii="Arial" w:cs="Arial" w:eastAsia="Arial" w:hAnsi="Arial"/>
          <w:b/>
          <w:bCs/>
          <w:color w:val="1B3A5C"/>
          <w:sz w:val="32"/>
          <w:szCs w:val="32"/>
        </w:rPr>
        <w:t xml:space="preserve">5. Future Applications</w:t>
      </w:r>
    </w:p>
    <w:p>
      <w:pPr>
        <w:spacing w:after="200" w:before="0" w:line="276"/>
        <w:jc w:val="left"/>
      </w:pPr>
      <w:r>
        <w:rPr>
          <w:rFonts w:ascii="Arial" w:cs="Arial" w:eastAsia="Arial" w:hAnsi="Arial"/>
          <w:sz w:val="22"/>
          <w:szCs w:val="22"/>
        </w:rPr>
        <w:t xml:space="preserve">The validation results establish a clear foundation, but the Pharma Supply Chain Navigator is designed as an extensible platform. Several forward-looking capabilities are planned for the next development cycle.</w:t>
      </w:r>
    </w:p>
    <w:p>
      <w:pPr>
        <w:spacing w:after="200" w:before="0" w:line="276"/>
        <w:jc w:val="left"/>
      </w:pPr>
      <w:r>
        <w:rPr>
          <w:rFonts w:ascii="Arial" w:cs="Arial" w:eastAsia="Arial" w:hAnsi="Arial"/>
          <w:b/>
          <w:bCs/>
          <w:sz w:val="22"/>
          <w:szCs w:val="22"/>
        </w:rPr>
        <w:t xml:space="preserve">Multi-scenario concurrent simulation. </w:t>
      </w:r>
      <w:r>
        <w:rPr>
          <w:rFonts w:ascii="Arial" w:cs="Arial" w:eastAsia="Arial" w:hAnsi="Arial"/>
          <w:sz w:val="22"/>
          <w:szCs w:val="22"/>
        </w:rPr>
        <w:t xml:space="preserve">The current engine evaluates one disruption at a time. Real-world supply chains face compound crises—a pandemic wave coinciding with a trade dispute, or a quality failure during hurricane season. The next version will support multi-vector disruption injection with correlated probability distributions, enabling “perfect storm” stress testing.</w:t>
      </w:r>
    </w:p>
    <w:p>
      <w:pPr>
        <w:spacing w:after="200" w:before="0" w:line="276"/>
        <w:jc w:val="left"/>
      </w:pPr>
      <w:r>
        <w:rPr>
          <w:rFonts w:ascii="Arial" w:cs="Arial" w:eastAsia="Arial" w:hAnsi="Arial"/>
          <w:b/>
          <w:bCs/>
          <w:sz w:val="22"/>
          <w:szCs w:val="22"/>
        </w:rPr>
        <w:t xml:space="preserve">Outbound logistics and last-mile modeling. </w:t>
      </w:r>
      <w:r>
        <w:rPr>
          <w:rFonts w:ascii="Arial" w:cs="Arial" w:eastAsia="Arial" w:hAnsi="Arial"/>
          <w:sz w:val="22"/>
          <w:szCs w:val="22"/>
        </w:rPr>
        <w:t xml:space="preserve">The current model stops at the pharmacy level. Extending the ABM to model individual patient cohorts—including adherence patterns, therapeutic substitution, and geographic access disparities—would enable health-equity-aware supply chain optimization. This mirrors the trajectory in logistics where Amazon’s inbound supply network ABM is being extended to outbound fulfillment-to-customer simulation.</w:t>
      </w:r>
    </w:p>
    <w:p>
      <w:pPr>
        <w:spacing w:after="200" w:before="0" w:line="276"/>
        <w:jc w:val="left"/>
      </w:pPr>
      <w:r>
        <w:rPr>
          <w:rFonts w:ascii="Arial" w:cs="Arial" w:eastAsia="Arial" w:hAnsi="Arial"/>
          <w:b/>
          <w:bCs/>
          <w:sz w:val="22"/>
          <w:szCs w:val="22"/>
        </w:rPr>
        <w:t xml:space="preserve">Real-time digital twin integration. </w:t>
      </w:r>
      <w:r>
        <w:rPr>
          <w:rFonts w:ascii="Arial" w:cs="Arial" w:eastAsia="Arial" w:hAnsi="Arial"/>
          <w:sz w:val="22"/>
          <w:szCs w:val="22"/>
        </w:rPr>
        <w:t xml:space="preserve">By connecting the ABM to live data feeds—GDELT geopolitical risk indices, FDA shortage databases, IoT cold-chain telemetry, and enterprise ERP systems—the simulation transitions from a planning tool to a real-time digital twin. Continuous assimilation of live data into agent states would enable the system to detect disruptions as they emerge and recommend intervention strategies within hours rather than weeks.</w:t>
      </w:r>
    </w:p>
    <w:p>
      <w:pPr>
        <w:spacing w:after="200" w:before="0" w:line="276"/>
        <w:jc w:val="left"/>
      </w:pPr>
      <w:r>
        <w:rPr>
          <w:rFonts w:ascii="Arial" w:cs="Arial" w:eastAsia="Arial" w:hAnsi="Arial"/>
          <w:b/>
          <w:bCs/>
          <w:sz w:val="22"/>
          <w:szCs w:val="22"/>
        </w:rPr>
        <w:t xml:space="preserve">Generative AI for scenario design. </w:t>
      </w:r>
      <w:r>
        <w:rPr>
          <w:rFonts w:ascii="Arial" w:cs="Arial" w:eastAsia="Arial" w:hAnsi="Arial"/>
          <w:sz w:val="22"/>
          <w:szCs w:val="22"/>
        </w:rPr>
        <w:t xml:space="preserve">Using Amazon Bedrock’s RAG-augmented Claude models, supply chain analysts could describe disruption scenarios in natural language (“What happens if India restricts API exports during monsoon season while a quality investigation is underway at our Irish manufacturing site?”) and receive immediately runnable simulation configurations. This democratizes scenario testing beyond quantitative analysts to operational decision-makers.</w:t>
      </w:r>
    </w:p>
    <w:p>
      <w:pPr>
        <w:spacing w:after="200" w:before="0" w:line="276"/>
        <w:jc w:val="left"/>
      </w:pPr>
      <w:r>
        <w:rPr>
          <w:rFonts w:ascii="Arial" w:cs="Arial" w:eastAsia="Arial" w:hAnsi="Arial"/>
          <w:b/>
          <w:bCs/>
          <w:sz w:val="22"/>
          <w:szCs w:val="22"/>
        </w:rPr>
        <w:t xml:space="preserve">Regulatory sandbox. </w:t>
      </w:r>
      <w:r>
        <w:rPr>
          <w:rFonts w:ascii="Arial" w:cs="Arial" w:eastAsia="Arial" w:hAnsi="Arial"/>
          <w:sz w:val="22"/>
          <w:szCs w:val="22"/>
        </w:rPr>
        <w:t xml:space="preserve">As the FDA accelerates its Digital Health Center of Excellence initiatives, ABM-based supply chain simulations could serve as regulatory pre-submission evidence, demonstrating that a company’s supply chain design can withstand prescribed stress scenarios. This positions the tool not just as an operational optimizer but as a compliance accelerator.</w:t>
      </w:r>
    </w:p>
    <w:p>
      <w:pPr>
        <w:spacing w:after="400" w:before="0" w:line="276"/>
        <w:jc w:val="left"/>
      </w:pPr>
      <w:r>
        <w:rPr>
          <w:rFonts w:ascii="Arial" w:cs="Arial" w:eastAsia="Arial" w:hAnsi="Arial"/>
          <w:sz w:val="22"/>
          <w:szCs w:val="22"/>
        </w:rPr>
        <w:t xml:space="preserve"/>
      </w:r>
    </w:p>
    <w:p>
      <w:pPr>
        <w:spacing w:after="200" w:before="0" w:line="276"/>
        <w:jc w:val="left"/>
      </w:pPr>
      <w:r>
        <w:rPr>
          <w:rFonts w:ascii="Arial" w:cs="Arial" w:eastAsia="Arial" w:hAnsi="Arial"/>
          <w:sz w:val="22"/>
          <w:szCs w:val="22"/>
        </w:rPr>
        <w:t xml:space="preserve">Ultimately, integrating agent-based simulation with emerging predictive AI will empower pharmaceutical organizations to transcend reactive crisis management. Instead of responding to shortages after patients are affected, companies can anticipate disruptions, pre-position inventory, and activate contingency suppliers—</w:t>
      </w:r>
      <w:r>
        <w:rPr>
          <w:rFonts w:ascii="Arial" w:cs="Arial" w:eastAsia="Arial" w:hAnsi="Arial"/>
          <w:b/>
          <w:bCs/>
          <w:sz w:val="22"/>
          <w:szCs w:val="22"/>
        </w:rPr>
        <w:t xml:space="preserve">neutralizing supply chain vulnerabilities before they reach the pharmacy counter.</w:t>
      </w:r>
    </w:p>
    <w:p>
      <w:pPr>
        <w:spacing w:after="400" w:before="0" w:line="276"/>
        <w:jc w:val="left"/>
      </w:pPr>
      <w:r>
        <w:rPr>
          <w:rFonts w:ascii="Arial" w:cs="Arial" w:eastAsia="Arial" w:hAnsi="Arial"/>
          <w:sz w:val="22"/>
          <w:szCs w:val="22"/>
        </w:rPr>
        <w:t xml:space="preserve"/>
      </w:r>
    </w:p>
    <w:p>
      <w:pPr>
        <w:spacing w:after="200" w:before="0" w:line="276"/>
        <w:jc w:val="left"/>
      </w:pPr>
      <w:r>
        <w:rPr>
          <w:rFonts w:ascii="Arial" w:cs="Arial" w:eastAsia="Arial" w:hAnsi="Arial"/>
          <w:b/>
          <w:bCs/>
          <w:color w:val="888888"/>
          <w:sz w:val="18"/>
          <w:szCs w:val="18"/>
        </w:rPr>
        <w:t xml:space="preserve">Methodology note. </w:t>
      </w:r>
      <w:r>
        <w:rPr>
          <w:rFonts w:ascii="Arial" w:cs="Arial" w:eastAsia="Arial" w:hAnsi="Arial"/>
          <w:color w:val="888888"/>
          <w:sz w:val="18"/>
          <w:szCs w:val="18"/>
        </w:rPr>
        <w:t xml:space="preserve">All simulation results in this report were generated by the Pharma Supply Chain Navigator ABM v2.0 running 30 Monte Carlo replications per scenario with seeded pseudo-random number generation for reproducibility. The network topology comprises 59 agents across 6 tiers calibrated with GDELT regional risk scores and FDA shortage rate baselines. Statistical significance was assessed across the 30-seed ensemble; all reported improvements exceed 2 standard errors of the mean difference.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1"/>
      </w:pBdr>
      <w:jc w:val="right"/>
    </w:pPr>
    <w:r>
      <w:rPr>
        <w:rFonts w:ascii="Arial" w:cs="Arial" w:eastAsia="Arial" w:hAnsi="Arial"/>
        <w:i/>
        <w:iCs/>
        <w:color w:val="888888"/>
        <w:sz w:val="16"/>
        <w:szCs w:val="16"/>
      </w:rPr>
      <w:t xml:space="preserve">ABM Validation Report  |  Pharma Supply Chain Navigator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200" w:before="240"/>
      <w:outlineLvl w:val="1"/>
    </w:pPr>
    <w:rPr>
      <w:rFonts w:ascii="Arial" w:cs="Arial" w:eastAsia="Arial" w:hAnsi="Arial"/>
      <w:b/>
      <w:bCs/>
      <w:color w:val="1B3A5C"/>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2E598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2026-04-09T20:09:33.232Z</dcterms:created>
  <dcterms:modified xsi:type="dcterms:W3CDTF">2026-04-09T20:09:33.232Z</dcterms:modified>
</cp:coreProperties>
</file>

<file path=docProps/custom.xml><?xml version="1.0" encoding="utf-8"?>
<Properties xmlns="http://schemas.openxmlformats.org/officeDocument/2006/custom-properties" xmlns:vt="http://schemas.openxmlformats.org/officeDocument/2006/docPropsVTypes"/>
</file>