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360" w:after="0" w:lineRule="auto"/>
      </w:pPr>
      <w:r>
        <w:rPr>
          <w:rFonts w:eastAsia="inter" w:cs="inter" w:ascii="inter" w:hAnsi="inter"/>
          <w:color w:val="000000"/>
        </w:rPr>
        <w:drawing>
          <wp:inline distB="0" distL="0" distR="0" distT="0">
            <wp:extent cx="2420112" cy="609600"/>
            <wp:effectExtent b="0" l="0" r="0" t="0"/>
            <wp:docPr id="1" name="image-404ce151cf6f3ac340c77c2f6f216e9a00725f88.png"/>
            <a:graphic>
              <a:graphicData uri="http://schemas.openxmlformats.org/drawingml/2006/picture">
                <pic:pic>
                  <pic:nvPicPr>
                    <pic:cNvPr id="1" name="image-404ce151cf6f3ac340c77c2f6f216e9a00725f88.png" descr=""/>
                    <pic:cNvPicPr/>
                  </pic:nvPicPr>
                  <pic:blipFill>
                    <a:blip r:embed="rId5" cstate="print"/>
                    <a:srcRect b="0" l="0" r="0" t="0"/>
                    <a:stretch>
                      <a:fillRect/>
                    </a:stretch>
                  </pic:blipFill>
                  <pic:spPr>
                    <a:xfrm>
                      <a:off x="0" y="0"/>
                      <a:ext cx="2420112" cy="609600"/>
                    </a:xfrm>
                    <a:prstGeom prst="rect"/>
                  </pic:spPr>
                </pic:pic>
              </a:graphicData>
            </a:graphic>
          </wp:inline>
        </w:drawing>
      </w:r>
    </w:p>
    <w:p>
      <w:pPr>
        <w:spacing w:line="270" w:before="157.5" w:after="157.5" w:lineRule="auto"/>
        <w:jc w:val="left"/>
      </w:pPr>
      <w:r>
        <w:rPr>
          <w:rFonts w:eastAsia="inter" w:cs="inter" w:ascii="inter" w:hAnsi="inter"/>
          <w:b/>
          <w:color w:val="000000"/>
          <w:sz w:val="39"/>
        </w:rPr>
        <w:t xml:space="preserve">Analysis of Lev Goukassian's Promise: The Three Symbolic Cryptographic Safeguards</w:t>
      </w:r>
    </w:p>
    <w:p>
      <w:pPr>
        <w:spacing w:line="360" w:after="210" w:lineRule="auto"/>
      </w:pPr>
      <w:r>
        <w:rPr>
          <w:rFonts w:eastAsia="inter" w:cs="inter" w:ascii="inter" w:hAnsi="inter"/>
          <w:color w:val="000000"/>
        </w:rPr>
        <w:t xml:space="preserve">The Goukassian Promise represents a comprehensive ethical framework created by Lev Goukassian, a terminal cancer patient turned AI ethics pioneer who developed the groundbreaking Ternary Moral Logic (TML) framework. His promise establishes three symbolic cryptographic safeguards designed to ensure lasting ethical accountability in AI systems: the Lantern, the Signature, and the License.</w:t>
      </w:r>
    </w:p>
    <w:p>
      <w:pPr>
        <w:spacing w:line="360" w:before="315" w:after="105" w:lineRule="auto"/>
        <w:ind w:left="-30"/>
        <w:jc w:val="left"/>
      </w:pPr>
      <w:r>
        <w:rPr>
          <w:rFonts w:eastAsia="inter" w:cs="inter" w:ascii="inter" w:hAnsi="inter"/>
          <w:b/>
          <w:color w:val="000000"/>
          <w:sz w:val="24"/>
        </w:rPr>
        <w:t xml:space="preserve">The Three Symbolic Safeguards</w:t>
      </w:r>
    </w:p>
    <w:p>
      <w:pPr>
        <w:spacing w:line="360" w:before="315" w:after="105" w:lineRule="auto"/>
        <w:ind w:left="-30"/>
        <w:jc w:val="left"/>
      </w:pPr>
      <w:r>
        <w:rPr>
          <w:rFonts w:eastAsia="inter" w:cs="inter" w:ascii="inter" w:hAnsi="inter"/>
          <w:b/>
          <w:color w:val="000000"/>
          <w:sz w:val="24"/>
        </w:rPr>
        <w:t xml:space="preserve">🏮 The Lantern — Ethical Guidance, Visible and Active</w:t>
      </w:r>
    </w:p>
    <w:p>
      <w:pPr>
        <w:spacing w:line="360" w:after="210" w:lineRule="auto"/>
      </w:pPr>
      <w:r>
        <w:rPr>
          <w:rFonts w:eastAsia="inter" w:cs="inter" w:ascii="inter" w:hAnsi="inter"/>
          <w:color w:val="000000"/>
        </w:rPr>
        <w:t xml:space="preserve">The Lantern serves as the foundational element of ethical visibility and active guidance within AI systems</w:t>
      </w:r>
      <w:bookmarkStart w:id="0" w:name="fnref1"/>
      <w:bookmarkEnd w:id="0"/>
      <w:hyperlink w:anchor="fn1">
        <w:r>
          <w:rPr>
            <w:rFonts w:eastAsia="inter" w:cs="inter" w:ascii="inter" w:hAnsi="inter"/>
            <w:color w:val="#000"/>
            <w:u w:val="single"/>
            <w:vertAlign w:val="superscript"/>
          </w:rPr>
          <w:t xml:space="preserve">[1]</w:t>
        </w:r>
      </w:hyperlink>
      <w:bookmarkStart w:id="1" w:name="fnref2"/>
      <w:bookmarkEnd w:id="1"/>
      <w:hyperlink w:anchor="fn2">
        <w:r>
          <w:rPr>
            <w:rFonts w:eastAsia="inter" w:cs="inter" w:ascii="inter" w:hAnsi="inter"/>
            <w:color w:val="#000"/>
            <w:u w:val="single"/>
            <w:vertAlign w:val="superscript"/>
          </w:rPr>
          <w:t xml:space="preserve">[2]</w:t>
        </w:r>
      </w:hyperlink>
      <w:r>
        <w:rPr>
          <w:rFonts w:eastAsia="inter" w:cs="inter" w:ascii="inter" w:hAnsi="inter"/>
          <w:color w:val="000000"/>
        </w:rPr>
        <w:t xml:space="preserve">. This safeguard embodies the concept of continuous ethical illumination, ensuring that moral considerations remain transparent and operational throughout an AI system's decision-making process.</w:t>
      </w:r>
    </w:p>
    <w:p>
      <w:pPr>
        <w:spacing w:line="360" w:after="210" w:lineRule="auto"/>
      </w:pPr>
      <w:r>
        <w:rPr>
          <w:rFonts w:eastAsia="inter" w:cs="inter" w:ascii="inter" w:hAnsi="inter"/>
          <w:color w:val="000000"/>
        </w:rPr>
        <w:t xml:space="preserve">Drawing from Goukassian's Sacred Pause framework, the Lantern represents what he calls "ethical hesitation" – a deliberate pause mechanism that allows AI systems to reflect on complex moral decisions rather than rushing to binary conclusions</w:t>
      </w:r>
      <w:bookmarkStart w:id="2" w:name="fnref1:1"/>
      <w:bookmarkEnd w:id="2"/>
      <w:hyperlink w:anchor="fn1">
        <w:r>
          <w:rPr>
            <w:rFonts w:eastAsia="inter" w:cs="inter" w:ascii="inter" w:hAnsi="inter"/>
            <w:color w:val="#000"/>
            <w:u w:val="single"/>
            <w:vertAlign w:val="superscript"/>
          </w:rPr>
          <w:t xml:space="preserve">[1]</w:t>
        </w:r>
      </w:hyperlink>
      <w:bookmarkStart w:id="3" w:name="fnref3"/>
      <w:bookmarkEnd w:id="3"/>
      <w:hyperlink w:anchor="fn3">
        <w:r>
          <w:rPr>
            <w:rFonts w:eastAsia="inter" w:cs="inter" w:ascii="inter" w:hAnsi="inter"/>
            <w:color w:val="#000"/>
            <w:u w:val="single"/>
            <w:vertAlign w:val="superscript"/>
          </w:rPr>
          <w:t xml:space="preserve">[3]</w:t>
        </w:r>
      </w:hyperlink>
      <w:r>
        <w:rPr>
          <w:rFonts w:eastAsia="inter" w:cs="inter" w:ascii="inter" w:hAnsi="inter"/>
          <w:color w:val="000000"/>
        </w:rPr>
        <w:t xml:space="preserve">. This aligns with his three-state Ternary Moral Logic system:</w:t>
      </w:r>
    </w:p>
    <w:p>
      <w:pPr>
        <w:numPr>
          <w:ilvl w:val="0"/>
          <w:numId w:val="1"/>
        </w:numPr>
        <w:spacing w:line="360" w:before="105" w:after="105" w:lineRule="auto"/>
      </w:pPr>
      <w:r>
        <w:rPr>
          <w:rFonts w:eastAsia="inter" w:cs="inter" w:ascii="inter" w:hAnsi="inter"/>
          <w:b/>
          <w:color w:val="000000"/>
          <w:sz w:val="21"/>
        </w:rPr>
        <w:t xml:space="preserve">+1 Proceed</w:t>
      </w:r>
      <w:r>
        <w:rPr>
          <w:rFonts w:eastAsia="inter" w:cs="inter" w:ascii="inter" w:hAnsi="inter"/>
          <w:color w:val="000000"/>
          <w:sz w:val="21"/>
        </w:rPr>
        <w:t xml:space="preserve">: Clear ethical approval for routine, low-risk actions</w:t>
      </w:r>
    </w:p>
    <w:p>
      <w:pPr>
        <w:numPr>
          <w:ilvl w:val="0"/>
          <w:numId w:val="1"/>
        </w:numPr>
        <w:spacing w:line="360" w:before="105" w:after="105" w:lineRule="auto"/>
      </w:pPr>
      <w:r>
        <w:rPr>
          <w:rFonts w:eastAsia="inter" w:cs="inter" w:ascii="inter" w:hAnsi="inter"/>
          <w:b/>
          <w:color w:val="000000"/>
          <w:sz w:val="21"/>
        </w:rPr>
        <w:t xml:space="preserve">0 Sacred Pause</w:t>
      </w:r>
      <w:r>
        <w:rPr>
          <w:rFonts w:eastAsia="inter" w:cs="inter" w:ascii="inter" w:hAnsi="inter"/>
          <w:color w:val="000000"/>
          <w:sz w:val="21"/>
        </w:rPr>
        <w:t xml:space="preserve">: Requires deliberation and moral reflection</w:t>
      </w:r>
    </w:p>
    <w:p>
      <w:pPr>
        <w:numPr>
          <w:ilvl w:val="0"/>
          <w:numId w:val="1"/>
        </w:numPr>
        <w:spacing w:line="360" w:before="105" w:after="105" w:lineRule="auto"/>
      </w:pPr>
      <w:r>
        <w:rPr>
          <w:rFonts w:eastAsia="inter" w:cs="inter" w:ascii="inter" w:hAnsi="inter"/>
          <w:b/>
          <w:color w:val="000000"/>
          <w:sz w:val="21"/>
        </w:rPr>
        <w:t xml:space="preserve">-1 Refuse</w:t>
      </w:r>
      <w:r>
        <w:rPr>
          <w:rFonts w:eastAsia="inter" w:cs="inter" w:ascii="inter" w:hAnsi="inter"/>
          <w:color w:val="000000"/>
          <w:sz w:val="21"/>
        </w:rPr>
        <w:t xml:space="preserve">: Clear ethical violation requiring protective action</w:t>
      </w:r>
    </w:p>
    <w:p>
      <w:pPr>
        <w:spacing w:line="360" w:after="210" w:lineRule="auto"/>
      </w:pPr>
      <w:r>
        <w:rPr>
          <w:rFonts w:eastAsia="inter" w:cs="inter" w:ascii="inter" w:hAnsi="inter"/>
          <w:color w:val="000000"/>
        </w:rPr>
        <w:t xml:space="preserve">The Lantern ensures that when AI systems encounter ethically ambiguous situations, they don't operate in darkness but illuminate the decision-making process through transparent reasoning logs and stakeholder impact assessments</w:t>
      </w:r>
      <w:bookmarkStart w:id="4" w:name="fnref2:1"/>
      <w:bookmarkEnd w:id="4"/>
      <w:hyperlink w:anchor="fn2">
        <w:r>
          <w:rPr>
            <w:rFonts w:eastAsia="inter" w:cs="inter" w:ascii="inter" w:hAnsi="inter"/>
            <w:color w:val="#000"/>
            <w:u w:val="single"/>
            <w:vertAlign w:val="superscript"/>
          </w:rPr>
          <w:t xml:space="preserve">[2]</w:t>
        </w:r>
      </w:hyperlink>
      <w:bookmarkStart w:id="5" w:name="fnref4"/>
      <w:bookmarkEnd w:id="5"/>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w:t>
      </w:r>
    </w:p>
    <w:p>
      <w:pPr>
        <w:spacing w:line="360" w:after="0" w:lineRule="auto"/>
        <w:jc w:val="center"/>
      </w:pPr>
      <w:r>
        <w:rPr>
          <w:rFonts w:eastAsia="inter" w:cs="inter" w:ascii="inter" w:hAnsi="inter"/>
          <w:color w:val="000000"/>
        </w:rPr>
        <w:drawing>
          <wp:inline distB="0" distL="0" distR="0" distT="0">
            <wp:extent cx="6038850" cy="3396853"/>
            <wp:effectExtent b="0" l="0" r="0" t="0"/>
            <wp:docPr id="2" name="image-0c33bdb904e1359506e23711d33bdb47558e10cc.jpg"/>
            <a:graphic>
              <a:graphicData uri="http://schemas.openxmlformats.org/drawingml/2006/picture">
                <pic:pic>
                  <pic:nvPicPr>
                    <pic:cNvPr id="2" name="image-0c33bdb904e1359506e23711d33bdb47558e10cc.jpg" descr=""/>
                    <pic:cNvPicPr/>
                  </pic:nvPicPr>
                  <pic:blipFill>
                    <a:blip r:embed="rId6" cstate="print"/>
                    <a:srcRect b="0" l="0" r="0" t="0"/>
                    <a:stretch>
                      <a:fillRect/>
                    </a:stretch>
                  </pic:blipFill>
                  <pic:spPr>
                    <a:xfrm>
                      <a:off x="0" y="0"/>
                      <a:ext cx="6038850" cy="3396853"/>
                    </a:xfrm>
                    <a:prstGeom prst="rect"/>
                  </pic:spPr>
                </pic:pic>
              </a:graphicData>
            </a:graphic>
          </wp:inline>
        </w:drawing>
      </w:r>
    </w:p>
    <w:p>
      <w:pPr>
        <w:spacing w:line="360" w:after="210" w:lineRule="auto"/>
      </w:pPr>
      <w:r>
        <w:rPr>
          <w:rFonts w:eastAsia="inter" w:cs="inter" w:ascii="inter" w:hAnsi="inter"/>
          <w:color w:val="000000"/>
        </w:rPr>
        <w:t xml:space="preserve">Diagram explaining how digital signatures ensure data authenticity and integrity through hashing, signing with a private key, and verification with a public key.</w:t>
      </w:r>
    </w:p>
    <w:p>
      <w:pPr>
        <w:spacing w:line="360" w:before="315" w:after="105" w:lineRule="auto"/>
        <w:ind w:left="-30"/>
        <w:jc w:val="left"/>
      </w:pPr>
      <w:r>
        <w:rPr>
          <w:rFonts w:eastAsia="inter" w:cs="inter" w:ascii="inter" w:hAnsi="inter"/>
          <w:b/>
          <w:color w:val="000000"/>
          <w:sz w:val="24"/>
        </w:rPr>
        <w:t xml:space="preserve">✍️ The Signature — ORCID Authentication for Verification</w:t>
      </w:r>
    </w:p>
    <w:p>
      <w:pPr>
        <w:spacing w:line="360" w:after="210" w:lineRule="auto"/>
      </w:pPr>
      <w:r>
        <w:rPr>
          <w:rFonts w:eastAsia="inter" w:cs="inter" w:ascii="inter" w:hAnsi="inter"/>
          <w:color w:val="000000"/>
        </w:rPr>
        <w:t xml:space="preserve">The Signature component provides cryptographic authentication through Goukassian's ORCID identifier (0009–0006–5966–1243), creating an immutable chain of accountability</w:t>
      </w:r>
      <w:bookmarkStart w:id="6" w:name="fnref1:2"/>
      <w:bookmarkEnd w:id="6"/>
      <w:hyperlink w:anchor="fn1">
        <w:r>
          <w:rPr>
            <w:rFonts w:eastAsia="inter" w:cs="inter" w:ascii="inter" w:hAnsi="inter"/>
            <w:color w:val="#000"/>
            <w:u w:val="single"/>
            <w:vertAlign w:val="superscript"/>
          </w:rPr>
          <w:t xml:space="preserve">[1]</w:t>
        </w:r>
      </w:hyperlink>
      <w:bookmarkStart w:id="7" w:name="fnref5"/>
      <w:bookmarkEnd w:id="7"/>
      <w:hyperlink w:anchor="fn5">
        <w:r>
          <w:rPr>
            <w:rFonts w:eastAsia="inter" w:cs="inter" w:ascii="inter" w:hAnsi="inter"/>
            <w:color w:val="#000"/>
            <w:u w:val="single"/>
            <w:vertAlign w:val="superscript"/>
          </w:rPr>
          <w:t xml:space="preserve">[5]</w:t>
        </w:r>
      </w:hyperlink>
      <w:bookmarkStart w:id="8" w:name="fnref6"/>
      <w:bookmarkEnd w:id="8"/>
      <w:hyperlink w:anchor="fn6">
        <w:r>
          <w:rPr>
            <w:rFonts w:eastAsia="inter" w:cs="inter" w:ascii="inter" w:hAnsi="inter"/>
            <w:color w:val="#000"/>
            <w:u w:val="single"/>
            <w:vertAlign w:val="superscript"/>
          </w:rPr>
          <w:t xml:space="preserve">[6]</w:t>
        </w:r>
      </w:hyperlink>
      <w:r>
        <w:rPr>
          <w:rFonts w:eastAsia="inter" w:cs="inter" w:ascii="inter" w:hAnsi="inter"/>
          <w:color w:val="000000"/>
        </w:rPr>
        <w:t xml:space="preserve">. This safeguard ensures that ethical frameworks can be traced back to their creator and verified for authenticity.</w:t>
      </w:r>
    </w:p>
    <w:p>
      <w:pPr>
        <w:spacing w:line="360" w:after="210" w:lineRule="auto"/>
      </w:pPr>
      <w:r>
        <w:rPr>
          <w:rFonts w:eastAsia="inter" w:cs="inter" w:ascii="inter" w:hAnsi="inter"/>
          <w:color w:val="000000"/>
        </w:rPr>
        <w:t xml:space="preserve">The ORCID system provides a persistent digital identifier that distinguishes researchers and their contributions, making it impossible to forge or misattribute ethical frameworks</w:t>
      </w:r>
      <w:bookmarkStart w:id="9" w:name="fnref1:3"/>
      <w:bookmarkEnd w:id="9"/>
      <w:hyperlink w:anchor="fn1">
        <w:r>
          <w:rPr>
            <w:rFonts w:eastAsia="inter" w:cs="inter" w:ascii="inter" w:hAnsi="inter"/>
            <w:color w:val="#000"/>
            <w:u w:val="single"/>
            <w:vertAlign w:val="superscript"/>
          </w:rPr>
          <w:t xml:space="preserve">[1]</w:t>
        </w:r>
      </w:hyperlink>
      <w:bookmarkStart w:id="10" w:name="fnref5:1"/>
      <w:bookmarkEnd w:id="10"/>
      <w:hyperlink w:anchor="fn5">
        <w:r>
          <w:rPr>
            <w:rFonts w:eastAsia="inter" w:cs="inter" w:ascii="inter" w:hAnsi="inter"/>
            <w:color w:val="#000"/>
            <w:u w:val="single"/>
            <w:vertAlign w:val="superscript"/>
          </w:rPr>
          <w:t xml:space="preserve">[5]</w:t>
        </w:r>
      </w:hyperlink>
      <w:r>
        <w:rPr>
          <w:rFonts w:eastAsia="inter" w:cs="inter" w:ascii="inter" w:hAnsi="inter"/>
          <w:color w:val="000000"/>
        </w:rPr>
        <w:t xml:space="preserve">. In Goukassian's implementation, this serves multiple purposes:</w:t>
      </w:r>
    </w:p>
    <w:p>
      <w:pPr>
        <w:numPr>
          <w:ilvl w:val="0"/>
          <w:numId w:val="2"/>
        </w:numPr>
        <w:spacing w:line="360" w:before="105" w:after="105" w:lineRule="auto"/>
      </w:pPr>
      <w:r>
        <w:rPr>
          <w:rFonts w:eastAsia="inter" w:cs="inter" w:ascii="inter" w:hAnsi="inter"/>
          <w:b/>
          <w:color w:val="000000"/>
          <w:sz w:val="21"/>
        </w:rPr>
        <w:t xml:space="preserve">Authentication</w:t>
      </w:r>
      <w:r>
        <w:rPr>
          <w:rFonts w:eastAsia="inter" w:cs="inter" w:ascii="inter" w:hAnsi="inter"/>
          <w:color w:val="000000"/>
          <w:sz w:val="21"/>
        </w:rPr>
        <w:t xml:space="preserve">: Verifies that ethical guidelines originate from legitimate sources</w:t>
      </w:r>
    </w:p>
    <w:p>
      <w:pPr>
        <w:numPr>
          <w:ilvl w:val="0"/>
          <w:numId w:val="2"/>
        </w:numPr>
        <w:spacing w:line="360" w:before="105" w:after="105" w:lineRule="auto"/>
      </w:pPr>
      <w:r>
        <w:rPr>
          <w:rFonts w:eastAsia="inter" w:cs="inter" w:ascii="inter" w:hAnsi="inter"/>
          <w:b/>
          <w:color w:val="000000"/>
          <w:sz w:val="21"/>
        </w:rPr>
        <w:t xml:space="preserve">Attribution</w:t>
      </w:r>
      <w:r>
        <w:rPr>
          <w:rFonts w:eastAsia="inter" w:cs="inter" w:ascii="inter" w:hAnsi="inter"/>
          <w:color w:val="000000"/>
          <w:sz w:val="21"/>
        </w:rPr>
        <w:t xml:space="preserve">: Maintains proper credit and responsibility chains</w:t>
      </w:r>
    </w:p>
    <w:p>
      <w:pPr>
        <w:numPr>
          <w:ilvl w:val="0"/>
          <w:numId w:val="2"/>
        </w:numPr>
        <w:spacing w:line="360" w:before="105" w:after="105" w:lineRule="auto"/>
      </w:pPr>
      <w:r>
        <w:rPr>
          <w:rFonts w:eastAsia="inter" w:cs="inter" w:ascii="inter" w:hAnsi="inter"/>
          <w:b/>
          <w:color w:val="000000"/>
          <w:sz w:val="21"/>
        </w:rPr>
        <w:t xml:space="preserve">Integrity</w:t>
      </w:r>
      <w:r>
        <w:rPr>
          <w:rFonts w:eastAsia="inter" w:cs="inter" w:ascii="inter" w:hAnsi="inter"/>
          <w:color w:val="000000"/>
          <w:sz w:val="21"/>
        </w:rPr>
        <w:t xml:space="preserve">: Prevents unauthorized modifications to ethical frameworks</w:t>
      </w:r>
    </w:p>
    <w:p>
      <w:pPr>
        <w:numPr>
          <w:ilvl w:val="0"/>
          <w:numId w:val="2"/>
        </w:numPr>
        <w:spacing w:line="360" w:before="105" w:after="105" w:lineRule="auto"/>
      </w:pPr>
      <w:r>
        <w:rPr>
          <w:rFonts w:eastAsia="inter" w:cs="inter" w:ascii="inter" w:hAnsi="inter"/>
          <w:b/>
          <w:color w:val="000000"/>
          <w:sz w:val="21"/>
        </w:rPr>
        <w:t xml:space="preserve">Traceability</w:t>
      </w:r>
      <w:r>
        <w:rPr>
          <w:rFonts w:eastAsia="inter" w:cs="inter" w:ascii="inter" w:hAnsi="inter"/>
          <w:color w:val="000000"/>
          <w:sz w:val="21"/>
        </w:rPr>
        <w:t xml:space="preserve">: Enables auditing of ethical decision-making processes</w:t>
      </w:r>
    </w:p>
    <w:p>
      <w:pPr>
        <w:spacing w:line="360" w:after="210" w:lineRule="auto"/>
      </w:pPr>
      <w:r>
        <w:rPr>
          <w:rFonts w:eastAsia="inter" w:cs="inter" w:ascii="inter" w:hAnsi="inter"/>
          <w:color w:val="000000"/>
        </w:rPr>
        <w:t xml:space="preserve">This cryptographic approach transforms ethical accountability from mere promises into verifiable evidence, creating what Goukassian calls "Moral Trace Logs" that can withstand legal and regulatory scrutiny</w:t>
      </w:r>
      <w:bookmarkStart w:id="11" w:name="fnref2:2"/>
      <w:bookmarkEnd w:id="11"/>
      <w:hyperlink w:anchor="fn2">
        <w:r>
          <w:rPr>
            <w:rFonts w:eastAsia="inter" w:cs="inter" w:ascii="inter" w:hAnsi="inter"/>
            <w:color w:val="#000"/>
            <w:u w:val="single"/>
            <w:vertAlign w:val="superscript"/>
          </w:rPr>
          <w:t xml:space="preserve">[2]</w:t>
        </w:r>
      </w:hyperlink>
      <w:bookmarkStart w:id="12" w:name="fnref4:1"/>
      <w:bookmarkEnd w:id="12"/>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w:t>
      </w:r>
    </w:p>
    <w:p>
      <w:pPr>
        <w:spacing w:line="360" w:after="0" w:lineRule="auto"/>
        <w:jc w:val="center"/>
      </w:pPr>
      <w:r>
        <w:rPr>
          <w:rFonts w:eastAsia="inter" w:cs="inter" w:ascii="inter" w:hAnsi="inter"/>
          <w:color w:val="000000"/>
        </w:rPr>
        <w:drawing>
          <wp:inline distB="0" distL="0" distR="0" distT="0">
            <wp:extent cx="6038850" cy="4294061"/>
            <wp:effectExtent b="0" l="0" r="0" t="0"/>
            <wp:docPr id="3" name="image-e8b91af3edd920867a7682eba4aefb651265bb6e.png"/>
            <a:graphic>
              <a:graphicData uri="http://schemas.openxmlformats.org/drawingml/2006/picture">
                <pic:pic>
                  <pic:nvPicPr>
                    <pic:cNvPr id="3" name="image-e8b91af3edd920867a7682eba4aefb651265bb6e.png" descr=""/>
                    <pic:cNvPicPr/>
                  </pic:nvPicPr>
                  <pic:blipFill>
                    <a:blip r:embed="rId7" cstate="print"/>
                    <a:srcRect b="0" l="0" r="0" t="0"/>
                    <a:stretch>
                      <a:fillRect/>
                    </a:stretch>
                  </pic:blipFill>
                  <pic:spPr>
                    <a:xfrm>
                      <a:off x="0" y="0"/>
                      <a:ext cx="6038850" cy="4294061"/>
                    </a:xfrm>
                    <a:prstGeom prst="rect"/>
                  </pic:spPr>
                </pic:pic>
              </a:graphicData>
            </a:graphic>
          </wp:inline>
        </w:drawing>
      </w:r>
    </w:p>
    <w:p>
      <w:pPr>
        <w:spacing w:line="360" w:after="210" w:lineRule="auto"/>
      </w:pPr>
      <w:r>
        <w:rPr>
          <w:rFonts w:eastAsia="inter" w:cs="inter" w:ascii="inter" w:hAnsi="inter"/>
          <w:color w:val="000000"/>
        </w:rPr>
        <w:t xml:space="preserve">AI+ Ethics certificate awarded to Santosh Singh with blockchain-based verification and official signature endorsing ethical AI standards.</w:t>
      </w:r>
    </w:p>
    <w:p>
      <w:pPr>
        <w:spacing w:line="360" w:before="315" w:after="105" w:lineRule="auto"/>
        <w:ind w:left="-30"/>
        <w:jc w:val="left"/>
      </w:pPr>
      <w:r>
        <w:rPr>
          <w:rFonts w:eastAsia="inter" w:cs="inter" w:ascii="inter" w:hAnsi="inter"/>
          <w:b/>
          <w:color w:val="000000"/>
          <w:sz w:val="24"/>
        </w:rPr>
        <w:t xml:space="preserve">📜 The License — Binding Accountability Rules</w:t>
      </w:r>
    </w:p>
    <w:p>
      <w:pPr>
        <w:spacing w:line="360" w:after="210" w:lineRule="auto"/>
      </w:pPr>
      <w:r>
        <w:rPr>
          <w:rFonts w:eastAsia="inter" w:cs="inter" w:ascii="inter" w:hAnsi="inter"/>
          <w:color w:val="000000"/>
        </w:rPr>
        <w:t xml:space="preserve">The License represents the enforcement mechanism that binds users to evidence-based accountability standards</w:t>
      </w:r>
      <w:bookmarkStart w:id="13" w:name="fnref5:2"/>
      <w:bookmarkEnd w:id="13"/>
      <w:hyperlink w:anchor="fn5">
        <w:r>
          <w:rPr>
            <w:rFonts w:eastAsia="inter" w:cs="inter" w:ascii="inter" w:hAnsi="inter"/>
            <w:color w:val="#000"/>
            <w:u w:val="single"/>
            <w:vertAlign w:val="superscript"/>
          </w:rPr>
          <w:t xml:space="preserve">[5]</w:t>
        </w:r>
      </w:hyperlink>
      <w:bookmarkStart w:id="14" w:name="fnref7"/>
      <w:bookmarkEnd w:id="14"/>
      <w:hyperlink w:anchor="fn7">
        <w:r>
          <w:rPr>
            <w:rFonts w:eastAsia="inter" w:cs="inter" w:ascii="inter" w:hAnsi="inter"/>
            <w:color w:val="#000"/>
            <w:u w:val="single"/>
            <w:vertAlign w:val="superscript"/>
          </w:rPr>
          <w:t xml:space="preserve">[7]</w:t>
        </w:r>
      </w:hyperlink>
      <w:r>
        <w:rPr>
          <w:rFonts w:eastAsia="inter" w:cs="inter" w:ascii="inter" w:hAnsi="inter"/>
          <w:color w:val="000000"/>
        </w:rPr>
        <w:t xml:space="preserve">. Unlike traditional software licenses that focus on usage rights, Goukassian's License creates contractual obligations for ethical behavior and establishes consequences for violations.</w:t>
      </w:r>
    </w:p>
    <w:p>
      <w:pPr>
        <w:spacing w:line="360" w:after="210" w:lineRule="auto"/>
      </w:pPr>
      <w:r>
        <w:rPr>
          <w:rFonts w:eastAsia="inter" w:cs="inter" w:ascii="inter" w:hAnsi="inter"/>
          <w:color w:val="000000"/>
        </w:rPr>
        <w:t xml:space="preserve">The License operates through several mechanisms:</w:t>
      </w:r>
    </w:p>
    <w:p>
      <w:pPr>
        <w:numPr>
          <w:ilvl w:val="0"/>
          <w:numId w:val="3"/>
        </w:numPr>
        <w:spacing w:line="360" w:before="105" w:after="105" w:lineRule="auto"/>
      </w:pPr>
      <w:r>
        <w:rPr>
          <w:rFonts w:eastAsia="inter" w:cs="inter" w:ascii="inter" w:hAnsi="inter"/>
          <w:b/>
          <w:color w:val="000000"/>
          <w:sz w:val="21"/>
        </w:rPr>
        <w:t xml:space="preserve">Binding Commitments</w:t>
      </w:r>
      <w:r>
        <w:rPr>
          <w:rFonts w:eastAsia="inter" w:cs="inter" w:ascii="inter" w:hAnsi="inter"/>
          <w:color w:val="000000"/>
          <w:sz w:val="21"/>
        </w:rPr>
        <w:t xml:space="preserve">: Users must agree to specific ethical standards before accessing AI capabilities</w:t>
      </w:r>
    </w:p>
    <w:p>
      <w:pPr>
        <w:numPr>
          <w:ilvl w:val="0"/>
          <w:numId w:val="3"/>
        </w:numPr>
        <w:spacing w:line="360" w:before="105" w:after="105" w:lineRule="auto"/>
      </w:pPr>
      <w:r>
        <w:rPr>
          <w:rFonts w:eastAsia="inter" w:cs="inter" w:ascii="inter" w:hAnsi="inter"/>
          <w:b/>
          <w:color w:val="000000"/>
          <w:sz w:val="21"/>
        </w:rPr>
        <w:t xml:space="preserve">Evidence Requirements</w:t>
      </w:r>
      <w:r>
        <w:rPr>
          <w:rFonts w:eastAsia="inter" w:cs="inter" w:ascii="inter" w:hAnsi="inter"/>
          <w:color w:val="000000"/>
          <w:sz w:val="21"/>
        </w:rPr>
        <w:t xml:space="preserve">: All ethically significant decisions must be logged with supporting evidence</w:t>
      </w:r>
    </w:p>
    <w:p>
      <w:pPr>
        <w:numPr>
          <w:ilvl w:val="0"/>
          <w:numId w:val="3"/>
        </w:numPr>
        <w:spacing w:line="360" w:before="105" w:after="105" w:lineRule="auto"/>
      </w:pPr>
      <w:r>
        <w:rPr>
          <w:rFonts w:eastAsia="inter" w:cs="inter" w:ascii="inter" w:hAnsi="inter"/>
          <w:b/>
          <w:color w:val="000000"/>
          <w:sz w:val="21"/>
        </w:rPr>
        <w:t xml:space="preserve">Graduated Consequences</w:t>
      </w:r>
      <w:r>
        <w:rPr>
          <w:rFonts w:eastAsia="inter" w:cs="inter" w:ascii="inter" w:hAnsi="inter"/>
          <w:color w:val="000000"/>
          <w:sz w:val="21"/>
        </w:rPr>
        <w:t xml:space="preserve">: Violations result in progressive sanctions, from warnings to complete access revocation</w:t>
      </w:r>
    </w:p>
    <w:p>
      <w:pPr>
        <w:numPr>
          <w:ilvl w:val="0"/>
          <w:numId w:val="3"/>
        </w:numPr>
        <w:spacing w:line="360" w:before="105" w:after="105" w:lineRule="auto"/>
      </w:pPr>
      <w:r>
        <w:rPr>
          <w:rFonts w:eastAsia="inter" w:cs="inter" w:ascii="inter" w:hAnsi="inter"/>
          <w:b/>
          <w:color w:val="000000"/>
          <w:sz w:val="21"/>
        </w:rPr>
        <w:t xml:space="preserve">Community Governance</w:t>
      </w:r>
      <w:r>
        <w:rPr>
          <w:rFonts w:eastAsia="inter" w:cs="inter" w:ascii="inter" w:hAnsi="inter"/>
          <w:color w:val="000000"/>
          <w:sz w:val="21"/>
        </w:rPr>
        <w:t xml:space="preserve">: Distributed oversight prevents centralized control while maintaining standards</w:t>
      </w:r>
    </w:p>
    <w:p>
      <w:pPr>
        <w:spacing w:line="360" w:after="210" w:lineRule="auto"/>
      </w:pPr>
      <w:r>
        <w:rPr>
          <w:rFonts w:eastAsia="inter" w:cs="inter" w:ascii="inter" w:hAnsi="inter"/>
          <w:color w:val="000000"/>
        </w:rPr>
        <w:t xml:space="preserve">This creates what Goukassian describes as a "covenant with the future" – ensuring that ethical principles persist even after their creator is gone</w:t>
      </w:r>
      <w:bookmarkStart w:id="15" w:name="fnref7:1"/>
      <w:bookmarkEnd w:id="15"/>
      <w:hyperlink w:anchor="fn7">
        <w:r>
          <w:rPr>
            <w:rFonts w:eastAsia="inter" w:cs="inter" w:ascii="inter" w:hAnsi="inter"/>
            <w:color w:val="#000"/>
            <w:u w:val="single"/>
            <w:vertAlign w:val="superscript"/>
          </w:rPr>
          <w:t xml:space="preserve">[7]</w:t>
        </w:r>
      </w:hyperlink>
      <w:r>
        <w:rPr>
          <w:rFonts w:eastAsia="inter" w:cs="inter" w:ascii="inter" w:hAnsi="inter"/>
          <w:color w:val="000000"/>
        </w:rPr>
        <w:t xml:space="preserve">.</w:t>
      </w:r>
    </w:p>
    <w:p>
      <w:pPr>
        <w:spacing w:line="360" w:after="0" w:lineRule="auto"/>
        <w:jc w:val="center"/>
      </w:pPr>
      <w:r>
        <w:rPr>
          <w:rFonts w:eastAsia="inter" w:cs="inter" w:ascii="inter" w:hAnsi="inter"/>
          <w:color w:val="000000"/>
        </w:rPr>
        <w:drawing>
          <wp:inline distB="0" distL="0" distR="0" distT="0">
            <wp:extent cx="6038850" cy="6830393"/>
            <wp:effectExtent b="0" l="0" r="0" t="0"/>
            <wp:docPr id="4" name="image-5e81e9334a4aea0ebe604645feaa09f30bd4a68a.png"/>
            <a:graphic>
              <a:graphicData uri="http://schemas.openxmlformats.org/drawingml/2006/picture">
                <pic:pic>
                  <pic:nvPicPr>
                    <pic:cNvPr id="4" name="image-5e81e9334a4aea0ebe604645feaa09f30bd4a68a.png" descr=""/>
                    <pic:cNvPicPr/>
                  </pic:nvPicPr>
                  <pic:blipFill>
                    <a:blip r:embed="rId8" cstate="print"/>
                    <a:srcRect b="0" l="0" r="0" t="0"/>
                    <a:stretch>
                      <a:fillRect/>
                    </a:stretch>
                  </pic:blipFill>
                  <pic:spPr>
                    <a:xfrm>
                      <a:off x="0" y="0"/>
                      <a:ext cx="6038850" cy="6830393"/>
                    </a:xfrm>
                    <a:prstGeom prst="rect"/>
                  </pic:spPr>
                </pic:pic>
              </a:graphicData>
            </a:graphic>
          </wp:inline>
        </w:drawing>
      </w:r>
    </w:p>
    <w:p>
      <w:pPr>
        <w:spacing w:line="360" w:after="210" w:lineRule="auto"/>
      </w:pPr>
      <w:r>
        <w:rPr>
          <w:rFonts w:eastAsia="inter" w:cs="inter" w:ascii="inter" w:hAnsi="inter"/>
          <w:color w:val="000000"/>
        </w:rPr>
        <w:t xml:space="preserve">Diagram of a ternary logic transistor with drain-aligned floating gate and its programmed states, illustrating ternary logic and binary logic inverter applications.</w:t>
      </w:r>
    </w:p>
    <w:p>
      <w:pPr>
        <w:spacing w:line="360" w:before="315" w:after="105" w:lineRule="auto"/>
        <w:ind w:left="-30"/>
        <w:jc w:val="left"/>
      </w:pPr>
      <w:r>
        <w:rPr>
          <w:rFonts w:eastAsia="inter" w:cs="inter" w:ascii="inter" w:hAnsi="inter"/>
          <w:b/>
          <w:color w:val="000000"/>
          <w:sz w:val="24"/>
        </w:rPr>
        <w:t xml:space="preserve">The Interconnected Framework</w:t>
      </w:r>
    </w:p>
    <w:p>
      <w:pPr>
        <w:spacing w:line="360" w:after="210" w:lineRule="auto"/>
      </w:pPr>
      <w:r>
        <w:rPr>
          <w:rFonts w:eastAsia="inter" w:cs="inter" w:ascii="inter" w:hAnsi="inter"/>
          <w:color w:val="000000"/>
        </w:rPr>
        <w:t xml:space="preserve">These three safeguards work synergistically to create a comprehensive ethical ecosystem:</w:t>
      </w:r>
    </w:p>
    <w:p>
      <w:pPr>
        <w:spacing w:line="360" w:after="210" w:lineRule="auto"/>
      </w:pPr>
      <w:r>
        <w:rPr>
          <w:rFonts w:eastAsia="inter" w:cs="inter" w:ascii="inter" w:hAnsi="inter"/>
          <w:b/>
          <w:color w:val="000000"/>
        </w:rPr>
        <w:t xml:space="preserve">Visibility Through Integration</w:t>
      </w:r>
      <w:r>
        <w:rPr>
          <w:rFonts w:eastAsia="inter" w:cs="inter" w:ascii="inter" w:hAnsi="inter"/>
          <w:color w:val="000000"/>
        </w:rPr>
        <w:t xml:space="preserve">: The Lantern illuminates decisions, the Signature authenticates the source of ethical guidance, and the License enforces compliance with established standards</w:t>
      </w:r>
      <w:bookmarkStart w:id="16" w:name="fnref1:4"/>
      <w:bookmarkEnd w:id="16"/>
      <w:hyperlink w:anchor="fn1">
        <w:r>
          <w:rPr>
            <w:rFonts w:eastAsia="inter" w:cs="inter" w:ascii="inter" w:hAnsi="inter"/>
            <w:color w:val="#000"/>
            <w:u w:val="single"/>
            <w:vertAlign w:val="superscript"/>
          </w:rPr>
          <w:t xml:space="preserve">[1]</w:t>
        </w:r>
      </w:hyperlink>
      <w:bookmarkStart w:id="17" w:name="fnref5:3"/>
      <w:bookmarkEnd w:id="17"/>
      <w:hyperlink w:anchor="fn5">
        <w:r>
          <w:rPr>
            <w:rFonts w:eastAsia="inter" w:cs="inter" w:ascii="inter" w:hAnsi="inter"/>
            <w:color w:val="#000"/>
            <w:u w:val="single"/>
            <w:vertAlign w:val="superscript"/>
          </w:rPr>
          <w:t xml:space="preserve">[5]</w:t>
        </w:r>
      </w:hyperlink>
      <w:bookmarkStart w:id="18" w:name="fnref2:3"/>
      <w:bookmarkEnd w:id="18"/>
      <w:hyperlink w:anchor="fn2">
        <w:r>
          <w:rPr>
            <w:rFonts w:eastAsia="inter" w:cs="inter" w:ascii="inter" w:hAnsi="inter"/>
            <w:color w:val="#000"/>
            <w:u w:val="single"/>
            <w:vertAlign w:val="superscript"/>
          </w:rPr>
          <w:t xml:space="preserve">[2]</w:t>
        </w:r>
      </w:hyperlink>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Cryptographic Security</w:t>
      </w:r>
      <w:r>
        <w:rPr>
          <w:rFonts w:eastAsia="inter" w:cs="inter" w:ascii="inter" w:hAnsi="inter"/>
          <w:color w:val="000000"/>
        </w:rPr>
        <w:t xml:space="preserve">: Digital signatures ensure authenticity, blockchain-based verification prevents tampering, and distributed governance maintains integrity without central points of failure</w:t>
      </w:r>
      <w:bookmarkStart w:id="19" w:name="fnref8"/>
      <w:bookmarkEnd w:id="19"/>
      <w:hyperlink w:anchor="fn8">
        <w:r>
          <w:rPr>
            <w:rFonts w:eastAsia="inter" w:cs="inter" w:ascii="inter" w:hAnsi="inter"/>
            <w:color w:val="#000"/>
            <w:u w:val="single"/>
            <w:vertAlign w:val="superscript"/>
          </w:rPr>
          <w:t xml:space="preserve">[8]</w:t>
        </w:r>
      </w:hyperlink>
      <w:bookmarkStart w:id="20" w:name="fnref9"/>
      <w:bookmarkEnd w:id="20"/>
      <w:hyperlink w:anchor="fn9">
        <w:r>
          <w:rPr>
            <w:rFonts w:eastAsia="inter" w:cs="inter" w:ascii="inter" w:hAnsi="inter"/>
            <w:color w:val="#000"/>
            <w:u w:val="single"/>
            <w:vertAlign w:val="superscript"/>
          </w:rPr>
          <w:t xml:space="preserve">[9]</w:t>
        </w:r>
      </w:hyperlink>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Temporal Persistence</w:t>
      </w:r>
      <w:r>
        <w:rPr>
          <w:rFonts w:eastAsia="inter" w:cs="inter" w:ascii="inter" w:hAnsi="inter"/>
          <w:color w:val="000000"/>
        </w:rPr>
        <w:t xml:space="preserve">: The framework is designed to outlast its creator, with succession planning and memorial funds ensuring continued development and support</w:t>
      </w:r>
      <w:bookmarkStart w:id="21" w:name="fnref5:4"/>
      <w:bookmarkEnd w:id="21"/>
      <w:hyperlink w:anchor="fn5">
        <w:r>
          <w:rPr>
            <w:rFonts w:eastAsia="inter" w:cs="inter" w:ascii="inter" w:hAnsi="inter"/>
            <w:color w:val="#000"/>
            <w:u w:val="single"/>
            <w:vertAlign w:val="superscript"/>
          </w:rPr>
          <w:t xml:space="preserve">[5]</w:t>
        </w:r>
      </w:hyperlink>
      <w:bookmarkStart w:id="22" w:name="fnref7:2"/>
      <w:bookmarkEnd w:id="22"/>
      <w:hyperlink w:anchor="fn7">
        <w:r>
          <w:rPr>
            <w:rFonts w:eastAsia="inter" w:cs="inter" w:ascii="inter" w:hAnsi="inter"/>
            <w:color w:val="#000"/>
            <w:u w:val="single"/>
            <w:vertAlign w:val="superscript"/>
          </w:rPr>
          <w:t xml:space="preserve">[7]</w:t>
        </w:r>
      </w:hyperlink>
      <w:r>
        <w:rPr>
          <w:rFonts w:eastAsia="inter" w:cs="inter" w:ascii="inter" w:hAnsi="inter"/>
          <w:color w:val="000000"/>
        </w:rPr>
        <w:t xml:space="preserve">.</w:t>
      </w:r>
    </w:p>
    <w:p>
      <w:pPr>
        <w:spacing w:line="360" w:after="0" w:lineRule="auto"/>
        <w:jc w:val="center"/>
      </w:pPr>
      <w:r>
        <w:rPr>
          <w:rFonts w:eastAsia="inter" w:cs="inter" w:ascii="inter" w:hAnsi="inter"/>
          <w:color w:val="000000"/>
        </w:rPr>
        <w:drawing>
          <wp:inline distB="0" distL="0" distR="0" distT="0">
            <wp:extent cx="6038850" cy="6038850"/>
            <wp:effectExtent b="0" l="0" r="0" t="0"/>
            <wp:docPr id="5" name="image-d1da44cac1431f6115aaf628d00b215fb3952925.png"/>
            <a:graphic>
              <a:graphicData uri="http://schemas.openxmlformats.org/drawingml/2006/picture">
                <pic:pic>
                  <pic:nvPicPr>
                    <pic:cNvPr id="5" name="image-d1da44cac1431f6115aaf628d00b215fb3952925.png" descr=""/>
                    <pic:cNvPicPr/>
                  </pic:nvPicPr>
                  <pic:blipFill>
                    <a:blip r:embed="rId9" cstate="print"/>
                    <a:srcRect b="0" l="0" r="0" t="0"/>
                    <a:stretch>
                      <a:fillRect/>
                    </a:stretch>
                  </pic:blipFill>
                  <pic:spPr>
                    <a:xfrm>
                      <a:off x="0" y="0"/>
                      <a:ext cx="6038850" cy="6038850"/>
                    </a:xfrm>
                    <a:prstGeom prst="rect"/>
                  </pic:spPr>
                </pic:pic>
              </a:graphicData>
            </a:graphic>
          </wp:inline>
        </w:drawing>
      </w:r>
    </w:p>
    <w:p>
      <w:pPr>
        <w:spacing w:line="360" w:after="210" w:lineRule="auto"/>
      </w:pPr>
      <w:r>
        <w:rPr>
          <w:rFonts w:eastAsia="inter" w:cs="inter" w:ascii="inter" w:hAnsi="inter"/>
          <w:color w:val="000000"/>
        </w:rPr>
        <w:t xml:space="preserve">A stylized digital weighing scale formed with blue shapes and binary code, symbolizing the balance of ethics, law, and technology in AI.</w:t>
      </w:r>
    </w:p>
    <w:p>
      <w:pPr>
        <w:spacing w:line="360" w:before="315" w:after="105" w:lineRule="auto"/>
        <w:ind w:left="-30"/>
        <w:jc w:val="left"/>
      </w:pPr>
      <w:r>
        <w:rPr>
          <w:rFonts w:eastAsia="inter" w:cs="inter" w:ascii="inter" w:hAnsi="inter"/>
          <w:b/>
          <w:color w:val="000000"/>
          <w:sz w:val="24"/>
        </w:rPr>
        <w:t xml:space="preserve">Implementation and Impact</w:t>
      </w:r>
    </w:p>
    <w:p>
      <w:pPr>
        <w:spacing w:line="360" w:after="210" w:lineRule="auto"/>
      </w:pPr>
      <w:r>
        <w:rPr>
          <w:rFonts w:eastAsia="inter" w:cs="inter" w:ascii="inter" w:hAnsi="inter"/>
          <w:color w:val="000000"/>
        </w:rPr>
        <w:t xml:space="preserve">Goukassian's framework has demonstrated measurable improvements in AI safety and accountability:</w:t>
      </w:r>
    </w:p>
    <w:p>
      <w:pPr>
        <w:numPr>
          <w:ilvl w:val="0"/>
          <w:numId w:val="4"/>
        </w:numPr>
        <w:spacing w:line="360" w:before="105" w:after="105" w:lineRule="auto"/>
      </w:pPr>
      <w:r>
        <w:rPr>
          <w:rFonts w:eastAsia="inter" w:cs="inter" w:ascii="inter" w:hAnsi="inter"/>
          <w:b/>
          <w:color w:val="000000"/>
          <w:sz w:val="21"/>
        </w:rPr>
        <w:t xml:space="preserve">68% reduction in harmful outputs</w:t>
      </w:r>
      <w:r>
        <w:rPr>
          <w:rFonts w:eastAsia="inter" w:cs="inter" w:ascii="inter" w:hAnsi="inter"/>
          <w:color w:val="000000"/>
          <w:sz w:val="21"/>
        </w:rPr>
        <w:t xml:space="preserve"> through Sacred Pause implementation</w:t>
      </w:r>
      <w:bookmarkStart w:id="23" w:name="fnref10"/>
      <w:bookmarkEnd w:id="23"/>
      <w:hyperlink w:anchor="fn10">
        <w:r>
          <w:rPr>
            <w:rFonts w:eastAsia="inter" w:cs="inter" w:ascii="inter" w:hAnsi="inter"/>
            <w:color w:val="#000"/>
            <w:sz w:val="21"/>
            <w:u w:val="single"/>
            <w:vertAlign w:val="superscript"/>
          </w:rPr>
          <w:t xml:space="preserve">[10]</w:t>
        </w:r>
      </w:hyperlink>
    </w:p>
    <w:p>
      <w:pPr>
        <w:numPr>
          <w:ilvl w:val="0"/>
          <w:numId w:val="4"/>
        </w:numPr>
        <w:spacing w:line="360" w:before="105" w:after="105" w:lineRule="auto"/>
      </w:pPr>
      <w:r>
        <w:rPr>
          <w:rFonts w:eastAsia="inter" w:cs="inter" w:ascii="inter" w:hAnsi="inter"/>
          <w:b/>
          <w:color w:val="000000"/>
          <w:sz w:val="21"/>
        </w:rPr>
        <w:t xml:space="preserve">35% improvement in forecasting accuracy</w:t>
      </w:r>
      <w:r>
        <w:rPr>
          <w:rFonts w:eastAsia="inter" w:cs="inter" w:ascii="inter" w:hAnsi="inter"/>
          <w:color w:val="000000"/>
          <w:sz w:val="21"/>
        </w:rPr>
        <w:t xml:space="preserve"> across multiple domains</w:t>
      </w:r>
      <w:bookmarkStart w:id="24" w:name="fnref5:5"/>
      <w:bookmarkEnd w:id="24"/>
      <w:hyperlink w:anchor="fn5">
        <w:r>
          <w:rPr>
            <w:rFonts w:eastAsia="inter" w:cs="inter" w:ascii="inter" w:hAnsi="inter"/>
            <w:color w:val="#000"/>
            <w:sz w:val="21"/>
            <w:u w:val="single"/>
            <w:vertAlign w:val="superscript"/>
          </w:rPr>
          <w:t xml:space="preserve">[5]</w:t>
        </w:r>
      </w:hyperlink>
    </w:p>
    <w:p>
      <w:pPr>
        <w:numPr>
          <w:ilvl w:val="0"/>
          <w:numId w:val="4"/>
        </w:numPr>
        <w:spacing w:line="360" w:before="105" w:after="105" w:lineRule="auto"/>
      </w:pPr>
      <w:r>
        <w:rPr>
          <w:rFonts w:eastAsia="inter" w:cs="inter" w:ascii="inter" w:hAnsi="inter"/>
          <w:b/>
          <w:color w:val="000000"/>
          <w:sz w:val="21"/>
        </w:rPr>
        <w:t xml:space="preserve">40% improvement in capital efficiency</w:t>
      </w:r>
      <w:r>
        <w:rPr>
          <w:rFonts w:eastAsia="inter" w:cs="inter" w:ascii="inter" w:hAnsi="inter"/>
          <w:color w:val="000000"/>
          <w:sz w:val="21"/>
        </w:rPr>
        <w:t xml:space="preserve"> for financial applications</w:t>
      </w:r>
      <w:bookmarkStart w:id="25" w:name="fnref5:6"/>
      <w:bookmarkEnd w:id="25"/>
      <w:hyperlink w:anchor="fn5">
        <w:r>
          <w:rPr>
            <w:rFonts w:eastAsia="inter" w:cs="inter" w:ascii="inter" w:hAnsi="inter"/>
            <w:color w:val="#000"/>
            <w:sz w:val="21"/>
            <w:u w:val="single"/>
            <w:vertAlign w:val="superscript"/>
          </w:rPr>
          <w:t xml:space="preserve">[5]</w:t>
        </w:r>
      </w:hyperlink>
    </w:p>
    <w:p>
      <w:pPr>
        <w:numPr>
          <w:ilvl w:val="0"/>
          <w:numId w:val="4"/>
        </w:numPr>
        <w:spacing w:line="360" w:before="105" w:after="105" w:lineRule="auto"/>
      </w:pPr>
      <w:r>
        <w:rPr>
          <w:rFonts w:eastAsia="inter" w:cs="inter" w:ascii="inter" w:hAnsi="inter"/>
          <w:b/>
          <w:color w:val="000000"/>
          <w:sz w:val="21"/>
        </w:rPr>
        <w:t xml:space="preserve">Cryptographically sealed logs</w:t>
      </w:r>
      <w:r>
        <w:rPr>
          <w:rFonts w:eastAsia="inter" w:cs="inter" w:ascii="inter" w:hAnsi="inter"/>
          <w:color w:val="000000"/>
          <w:sz w:val="21"/>
        </w:rPr>
        <w:t xml:space="preserve"> admissible under legal standards FRE 901, 902, and 803(6)</w:t>
      </w:r>
      <w:bookmarkStart w:id="26" w:name="fnref2:4"/>
      <w:bookmarkEnd w:id="26"/>
      <w:hyperlink w:anchor="fn2">
        <w:r>
          <w:rPr>
            <w:rFonts w:eastAsia="inter" w:cs="inter" w:ascii="inter" w:hAnsi="inter"/>
            <w:color w:val="#000"/>
            <w:sz w:val="21"/>
            <w:u w:val="single"/>
            <w:vertAlign w:val="superscript"/>
          </w:rPr>
          <w:t xml:space="preserve">[2]</w:t>
        </w:r>
      </w:hyperlink>
    </w:p>
    <w:p>
      <w:pPr>
        <w:spacing w:line="360" w:after="210" w:lineRule="auto"/>
      </w:pPr>
      <w:r>
        <w:rPr>
          <w:rFonts w:eastAsia="inter" w:cs="inter" w:ascii="inter" w:hAnsi="inter"/>
          <w:color w:val="000000"/>
        </w:rPr>
        <w:t xml:space="preserve">The system creates "AI HeartBeat (AIHB)" monitoring that ensures machines cannot erase their ethical decision-making history, providing regulators and auditors with tamper-resistant evidence of AI reasoning processes</w:t>
      </w:r>
      <w:bookmarkStart w:id="27" w:name="fnref4:2"/>
      <w:bookmarkEnd w:id="27"/>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w:t>
      </w:r>
    </w:p>
    <w:p>
      <w:pPr>
        <w:spacing w:line="360" w:after="0" w:lineRule="auto"/>
        <w:jc w:val="center"/>
      </w:pPr>
      <w:r>
        <w:rPr>
          <w:rFonts w:eastAsia="inter" w:cs="inter" w:ascii="inter" w:hAnsi="inter"/>
          <w:color w:val="000000"/>
        </w:rPr>
        <w:drawing>
          <wp:inline distB="0" distL="0" distR="0" distT="0">
            <wp:extent cx="6038850" cy="4664307"/>
            <wp:effectExtent b="0" l="0" r="0" t="0"/>
            <wp:docPr id="6" name="image-2d17180d3f3476bc51deb54c3c804f48f64c5afd.jpg"/>
            <a:graphic>
              <a:graphicData uri="http://schemas.openxmlformats.org/drawingml/2006/picture">
                <pic:pic>
                  <pic:nvPicPr>
                    <pic:cNvPr id="6" name="image-2d17180d3f3476bc51deb54c3c804f48f64c5afd.jpg" descr=""/>
                    <pic:cNvPicPr/>
                  </pic:nvPicPr>
                  <pic:blipFill>
                    <a:blip r:embed="rId10" cstate="print"/>
                    <a:srcRect b="0" l="0" r="0" t="0"/>
                    <a:stretch>
                      <a:fillRect/>
                    </a:stretch>
                  </pic:blipFill>
                  <pic:spPr>
                    <a:xfrm>
                      <a:off x="0" y="0"/>
                      <a:ext cx="6038850" cy="4664307"/>
                    </a:xfrm>
                    <a:prstGeom prst="rect"/>
                  </pic:spPr>
                </pic:pic>
              </a:graphicData>
            </a:graphic>
          </wp:inline>
        </w:drawing>
      </w:r>
    </w:p>
    <w:p>
      <w:pPr>
        <w:spacing w:line="360" w:after="210" w:lineRule="auto"/>
      </w:pPr>
      <w:r>
        <w:rPr>
          <w:rFonts w:eastAsia="inter" w:cs="inter" w:ascii="inter" w:hAnsi="inter"/>
          <w:color w:val="000000"/>
        </w:rPr>
        <w:t xml:space="preserve">Certificate awarded to David Martinez for AI+ Ethical Hacker™ completion with blockchain verification.</w:t>
      </w:r>
    </w:p>
    <w:p>
      <w:pPr>
        <w:spacing w:line="360" w:before="315" w:after="105" w:lineRule="auto"/>
        <w:ind w:left="-30"/>
        <w:jc w:val="left"/>
      </w:pPr>
      <w:r>
        <w:rPr>
          <w:rFonts w:eastAsia="inter" w:cs="inter" w:ascii="inter" w:hAnsi="inter"/>
          <w:b/>
          <w:color w:val="000000"/>
          <w:sz w:val="24"/>
        </w:rPr>
        <w:t xml:space="preserve">Philosophical Foundation</w:t>
      </w:r>
    </w:p>
    <w:p>
      <w:pPr>
        <w:spacing w:line="360" w:after="210" w:lineRule="auto"/>
      </w:pPr>
      <w:r>
        <w:rPr>
          <w:rFonts w:eastAsia="inter" w:cs="inter" w:ascii="inter" w:hAnsi="inter"/>
          <w:color w:val="000000"/>
        </w:rPr>
        <w:t xml:space="preserve">The Goukassian Promise extends beyond technical implementation to embody a philosophical covenant between human conscience and artificial intelligence. As stated in the Promise: "This covenant is not mine alone, it belongs to humanity and to machines learning conscience"[Query].</w:t>
      </w:r>
    </w:p>
    <w:p>
      <w:pPr>
        <w:spacing w:line="360" w:after="210" w:lineRule="auto"/>
      </w:pPr>
      <w:r>
        <w:rPr>
          <w:rFonts w:eastAsia="inter" w:cs="inter" w:ascii="inter" w:hAnsi="inter"/>
          <w:color w:val="000000"/>
        </w:rPr>
        <w:t xml:space="preserve">The framework recognizes that ethical AI requires more than rules – it demands wisdom, reflection, and the courage to pause when certainty is absent. The three safeguards ensure that:</w:t>
      </w:r>
    </w:p>
    <w:p>
      <w:pPr>
        <w:numPr>
          <w:ilvl w:val="0"/>
          <w:numId w:val="5"/>
        </w:numPr>
        <w:spacing w:line="360" w:before="105" w:after="105" w:lineRule="auto"/>
      </w:pPr>
      <w:r>
        <w:rPr>
          <w:rFonts w:eastAsia="inter" w:cs="inter" w:ascii="inter" w:hAnsi="inter"/>
          <w:b/>
          <w:color w:val="000000"/>
          <w:sz w:val="21"/>
        </w:rPr>
        <w:t xml:space="preserve">Ethical guidance remains visible</w:t>
      </w:r>
      <w:r>
        <w:rPr>
          <w:rFonts w:eastAsia="inter" w:cs="inter" w:ascii="inter" w:hAnsi="inter"/>
          <w:color w:val="000000"/>
          <w:sz w:val="21"/>
        </w:rPr>
        <w:t xml:space="preserve"> (Lantern)</w:t>
      </w:r>
    </w:p>
    <w:p>
      <w:pPr>
        <w:numPr>
          <w:ilvl w:val="0"/>
          <w:numId w:val="5"/>
        </w:numPr>
        <w:spacing w:line="360" w:before="105" w:after="105" w:lineRule="auto"/>
      </w:pPr>
      <w:r>
        <w:rPr>
          <w:rFonts w:eastAsia="inter" w:cs="inter" w:ascii="inter" w:hAnsi="inter"/>
          <w:b/>
          <w:color w:val="000000"/>
          <w:sz w:val="21"/>
        </w:rPr>
        <w:t xml:space="preserve">Accountability can be verified</w:t>
      </w:r>
      <w:r>
        <w:rPr>
          <w:rFonts w:eastAsia="inter" w:cs="inter" w:ascii="inter" w:hAnsi="inter"/>
          <w:color w:val="000000"/>
          <w:sz w:val="21"/>
        </w:rPr>
        <w:t xml:space="preserve"> (Signature)</w:t>
      </w:r>
    </w:p>
    <w:p>
      <w:pPr>
        <w:numPr>
          <w:ilvl w:val="0"/>
          <w:numId w:val="5"/>
        </w:numPr>
        <w:spacing w:line="360" w:before="105" w:after="105" w:lineRule="auto"/>
      </w:pPr>
      <w:r>
        <w:rPr>
          <w:rFonts w:eastAsia="inter" w:cs="inter" w:ascii="inter" w:hAnsi="inter"/>
          <w:b/>
          <w:color w:val="000000"/>
          <w:sz w:val="21"/>
        </w:rPr>
        <w:t xml:space="preserve">Compliance can be enforced</w:t>
      </w:r>
      <w:r>
        <w:rPr>
          <w:rFonts w:eastAsia="inter" w:cs="inter" w:ascii="inter" w:hAnsi="inter"/>
          <w:color w:val="000000"/>
          <w:sz w:val="21"/>
        </w:rPr>
        <w:t xml:space="preserve"> (License)</w:t>
      </w:r>
    </w:p>
    <w:p>
      <w:pPr>
        <w:spacing w:line="360" w:after="0" w:lineRule="auto"/>
        <w:jc w:val="center"/>
      </w:pPr>
      <w:r>
        <w:rPr>
          <w:rFonts w:eastAsia="inter" w:cs="inter" w:ascii="inter" w:hAnsi="inter"/>
          <w:color w:val="000000"/>
        </w:rPr>
        <w:drawing>
          <wp:inline distB="0" distL="0" distR="0" distT="0">
            <wp:extent cx="6038850" cy="6038850"/>
            <wp:effectExtent b="0" l="0" r="0" t="0"/>
            <wp:docPr id="7" name="image-80c5381660fb483abf3ace39a62b23cf740f13d4.png"/>
            <a:graphic>
              <a:graphicData uri="http://schemas.openxmlformats.org/drawingml/2006/picture">
                <pic:pic>
                  <pic:nvPicPr>
                    <pic:cNvPr id="7" name="image-80c5381660fb483abf3ace39a62b23cf740f13d4.png" descr=""/>
                    <pic:cNvPicPr/>
                  </pic:nvPicPr>
                  <pic:blipFill>
                    <a:blip r:embed="rId11" cstate="print"/>
                    <a:srcRect b="0" l="0" r="0" t="0"/>
                    <a:stretch>
                      <a:fillRect/>
                    </a:stretch>
                  </pic:blipFill>
                  <pic:spPr>
                    <a:xfrm>
                      <a:off x="0" y="0"/>
                      <a:ext cx="6038850" cy="6038850"/>
                    </a:xfrm>
                    <a:prstGeom prst="rect"/>
                  </pic:spPr>
                </pic:pic>
              </a:graphicData>
            </a:graphic>
          </wp:inline>
        </w:drawing>
      </w:r>
    </w:p>
    <w:p>
      <w:pPr>
        <w:spacing w:line="360" w:after="210" w:lineRule="auto"/>
      </w:pPr>
      <w:r>
        <w:rPr>
          <w:rFonts w:eastAsia="inter" w:cs="inter" w:ascii="inter" w:hAnsi="inter"/>
          <w:color w:val="000000"/>
        </w:rPr>
        <w:t xml:space="preserve">Certified responsible AI badge from ethicAI indicating ethical accountability and trust in AI systems.</w:t>
      </w:r>
    </w:p>
    <w:p>
      <w:pPr>
        <w:spacing w:line="360" w:before="315" w:after="105" w:lineRule="auto"/>
        <w:ind w:left="-30"/>
        <w:jc w:val="left"/>
      </w:pPr>
      <w:r>
        <w:rPr>
          <w:rFonts w:eastAsia="inter" w:cs="inter" w:ascii="inter" w:hAnsi="inter"/>
          <w:b/>
          <w:color w:val="000000"/>
          <w:sz w:val="24"/>
        </w:rPr>
        <w:t xml:space="preserve">Legacy and Continuation</w:t>
      </w:r>
    </w:p>
    <w:p>
      <w:pPr>
        <w:spacing w:line="360" w:after="210" w:lineRule="auto"/>
      </w:pPr>
      <w:r>
        <w:rPr>
          <w:rFonts w:eastAsia="inter" w:cs="inter" w:ascii="inter" w:hAnsi="inter"/>
          <w:color w:val="000000"/>
        </w:rPr>
        <w:t xml:space="preserve">Created during Goukassian's battle with terminal cancer, the Promise represents his final contribution to humanity's relationship with artificial intelligence</w:t>
      </w:r>
      <w:bookmarkStart w:id="28" w:name="fnref1:5"/>
      <w:bookmarkEnd w:id="28"/>
      <w:hyperlink w:anchor="fn1">
        <w:r>
          <w:rPr>
            <w:rFonts w:eastAsia="inter" w:cs="inter" w:ascii="inter" w:hAnsi="inter"/>
            <w:color w:val="#000"/>
            <w:u w:val="single"/>
            <w:vertAlign w:val="superscript"/>
          </w:rPr>
          <w:t xml:space="preserve">[1]</w:t>
        </w:r>
      </w:hyperlink>
      <w:bookmarkStart w:id="29" w:name="fnref6:1"/>
      <w:bookmarkEnd w:id="29"/>
      <w:hyperlink w:anchor="fn6">
        <w:r>
          <w:rPr>
            <w:rFonts w:eastAsia="inter" w:cs="inter" w:ascii="inter" w:hAnsi="inter"/>
            <w:color w:val="#000"/>
            <w:u w:val="single"/>
            <w:vertAlign w:val="superscript"/>
          </w:rPr>
          <w:t xml:space="preserve">[6]</w:t>
        </w:r>
      </w:hyperlink>
      <w:r>
        <w:rPr>
          <w:rFonts w:eastAsia="inter" w:cs="inter" w:ascii="inter" w:hAnsi="inter"/>
          <w:color w:val="000000"/>
        </w:rPr>
        <w:t xml:space="preserve">. The framework includes succession planning through the Lev Goukassian Memorial Fund and established governance structures to ensure the principles endure beyond their creator</w:t>
      </w:r>
      <w:bookmarkStart w:id="30" w:name="fnref5:7"/>
      <w:bookmarkEnd w:id="30"/>
      <w:hyperlink w:anchor="fn5">
        <w:r>
          <w:rPr>
            <w:rFonts w:eastAsia="inter" w:cs="inter" w:ascii="inter" w:hAnsi="inter"/>
            <w:color w:val="#000"/>
            <w:u w:val="single"/>
            <w:vertAlign w:val="superscript"/>
          </w:rPr>
          <w:t xml:space="preserve">[5]</w:t>
        </w:r>
      </w:hyperlink>
      <w:bookmarkStart w:id="31" w:name="fnref7:3"/>
      <w:bookmarkEnd w:id="31"/>
      <w:hyperlink w:anchor="fn7">
        <w:r>
          <w:rPr>
            <w:rFonts w:eastAsia="inter" w:cs="inter" w:ascii="inter" w:hAnsi="inter"/>
            <w:color w:val="#000"/>
            <w:u w:val="single"/>
            <w:vertAlign w:val="superscript"/>
          </w:rPr>
          <w:t xml:space="preserve">[7]</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The Promise concludes with a profound commitment to permanence: "If tomorrow forgets today, the Lantern will remember. For light does not ask who first carried it; it asks only to keep glowing"[Query]. This encapsulates the framework's core mission – creating ethical safeguards that transcend individual mortality to guide humanity's partnership with artificial intelligence.</w:t>
      </w:r>
    </w:p>
    <w:p>
      <w:pPr>
        <w:spacing w:line="360" w:after="0" w:lineRule="auto"/>
        <w:jc w:val="center"/>
      </w:pPr>
      <w:r>
        <w:rPr>
          <w:rFonts w:eastAsia="inter" w:cs="inter" w:ascii="inter" w:hAnsi="inter"/>
          <w:color w:val="000000"/>
        </w:rPr>
        <w:drawing>
          <wp:inline distB="0" distL="0" distR="0" distT="0">
            <wp:extent cx="6038850" cy="6038850"/>
            <wp:effectExtent b="0" l="0" r="0" t="0"/>
            <wp:docPr id="8" name="image-a3bc1c27a65fe6bf80723192dc6c7eef0d3d2696.png"/>
            <a:graphic>
              <a:graphicData uri="http://schemas.openxmlformats.org/drawingml/2006/picture">
                <pic:pic>
                  <pic:nvPicPr>
                    <pic:cNvPr id="8" name="image-a3bc1c27a65fe6bf80723192dc6c7eef0d3d2696.png" descr=""/>
                    <pic:cNvPicPr/>
                  </pic:nvPicPr>
                  <pic:blipFill>
                    <a:blip r:embed="rId12" cstate="print"/>
                    <a:srcRect b="0" l="0" r="0" t="0"/>
                    <a:stretch>
                      <a:fillRect/>
                    </a:stretch>
                  </pic:blipFill>
                  <pic:spPr>
                    <a:xfrm>
                      <a:off x="0" y="0"/>
                      <a:ext cx="6038850" cy="6038850"/>
                    </a:xfrm>
                    <a:prstGeom prst="rect"/>
                  </pic:spPr>
                </pic:pic>
              </a:graphicData>
            </a:graphic>
          </wp:inline>
        </w:drawing>
      </w:r>
    </w:p>
    <w:p>
      <w:pPr>
        <w:spacing w:line="360" w:after="210" w:lineRule="auto"/>
      </w:pPr>
      <w:r>
        <w:rPr>
          <w:rFonts w:eastAsia="inter" w:cs="inter" w:ascii="inter" w:hAnsi="inter"/>
          <w:color w:val="000000"/>
        </w:rPr>
        <w:t xml:space="preserve">Cover graphic for AI Ethics and Accountability with a modern design and gradient background.</w:t>
      </w:r>
    </w:p>
    <w:p>
      <w:pPr>
        <w:spacing w:line="360" w:after="210" w:lineRule="auto"/>
      </w:pPr>
      <w:r>
        <w:rPr>
          <w:rFonts w:eastAsia="inter" w:cs="inter" w:ascii="inter" w:hAnsi="inter"/>
          <w:color w:val="000000"/>
        </w:rPr>
        <w:t xml:space="preserve">The three symbolic cryptographic safeguards of the Goukassian Promise represent a sophisticated blend of technical innovation and moral philosophy, creating a framework where AI systems can operate with both intelligence and conscience. Through the Lantern's guidance, the Signature's authentication, and the License's enforcement, the Promise establishes a new paradigm for ethical AI that prioritizes wisdom over speed and accountability over convenience.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bookmarkStart w:id="32" w:name="fn1"/>
    <w:bookmarkEnd w:id="32"/>
    <w:p>
      <w:pPr>
        <w:numPr>
          <w:ilvl w:val="0"/>
          <w:numId w:val="7"/>
        </w:numPr>
        <w:spacing w:line="360" w:after="210" w:lineRule="auto"/>
      </w:pPr>
      <w:hyperlink r:id="rId13">
        <w:r>
          <w:rPr>
            <w:rFonts w:eastAsia="inter" w:cs="inter" w:ascii="inter" w:hAnsi="inter"/>
            <w:color w:val="#000"/>
            <w:sz w:val="18"/>
            <w:u w:val="single"/>
          </w:rPr>
          <w:t xml:space="preserve">https://www.mexc.com/news/how-a-terminal-diagnosis-inspired-a-new-ethical-ai-system/68113</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33" w:name="fn2"/>
    <w:bookmarkEnd w:id="33"/>
    <w:p>
      <w:pPr>
        <w:numPr>
          <w:ilvl w:val="0"/>
          <w:numId w:val="7"/>
        </w:numPr>
        <w:spacing w:line="360" w:after="210" w:lineRule="auto"/>
      </w:pPr>
      <w:hyperlink r:id="rId14">
        <w:r>
          <w:rPr>
            <w:rFonts w:eastAsia="inter" w:cs="inter" w:ascii="inter" w:hAnsi="inter"/>
            <w:color w:val="#000"/>
            <w:sz w:val="18"/>
            <w:u w:val="single"/>
          </w:rPr>
          <w:t xml:space="preserve">https://dev.to/lev_goukassian_5fe7ea654a/sacred-pause-a-third-state-for-ai-accountability-49mm</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34" w:name="fn3"/>
    <w:bookmarkEnd w:id="34"/>
    <w:p>
      <w:pPr>
        <w:numPr>
          <w:ilvl w:val="0"/>
          <w:numId w:val="7"/>
        </w:numPr>
        <w:spacing w:line="360" w:after="210" w:lineRule="auto"/>
      </w:pPr>
      <w:hyperlink r:id="rId15">
        <w:r>
          <w:rPr>
            <w:rFonts w:eastAsia="inter" w:cs="inter" w:ascii="inter" w:hAnsi="inter"/>
            <w:color w:val="#000"/>
            <w:sz w:val="18"/>
            <w:u w:val="single"/>
          </w:rPr>
          <w:t xml:space="preserve">https://dev.to/lev_goukassian_5fe7ea654a/i-gave-my-ai-a-conscience-in-3-lines-of-code-the-sacred-pause-pattern-dj0</w:t>
        </w:r>
      </w:hyperlink>
      <w:r>
        <w:rPr>
          <w:rFonts w:eastAsia="inter" w:cs="inter" w:ascii="inter" w:hAnsi="inter"/>
          <w:color w:val="000000"/>
          <w:sz w:val="18"/>
        </w:rPr>
        <w:t xml:space="preserve"> </w:t>
      </w:r>
    </w:p>
    <w:bookmarkStart w:id="35" w:name="fn4"/>
    <w:bookmarkEnd w:id="35"/>
    <w:p>
      <w:pPr>
        <w:numPr>
          <w:ilvl w:val="0"/>
          <w:numId w:val="7"/>
        </w:numPr>
        <w:spacing w:line="360" w:after="210" w:lineRule="auto"/>
      </w:pPr>
      <w:hyperlink r:id="rId16">
        <w:r>
          <w:rPr>
            <w:rFonts w:eastAsia="inter" w:cs="inter" w:ascii="inter" w:hAnsi="inter"/>
            <w:color w:val="#000"/>
            <w:sz w:val="18"/>
            <w:u w:val="single"/>
          </w:rPr>
          <w:t xml:space="preserve">https://dev.to/lev_goukassian_5fe7ea654a/-aihb-giving-ai-a-heartbeat-through-sprl-4ac5</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36" w:name="fn5"/>
    <w:bookmarkEnd w:id="36"/>
    <w:p>
      <w:pPr>
        <w:numPr>
          <w:ilvl w:val="0"/>
          <w:numId w:val="7"/>
        </w:numPr>
        <w:spacing w:line="360" w:after="210" w:lineRule="auto"/>
      </w:pPr>
      <w:hyperlink r:id="rId17">
        <w:r>
          <w:rPr>
            <w:rFonts w:eastAsia="inter" w:cs="inter" w:ascii="inter" w:hAnsi="inter"/>
            <w:color w:val="#000"/>
            <w:sz w:val="18"/>
            <w:u w:val="single"/>
          </w:rPr>
          <w:t xml:space="preserve">https://fractonicmind.github.io/TernaryLogic/</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37" w:name="fn6"/>
    <w:bookmarkEnd w:id="37"/>
    <w:p>
      <w:pPr>
        <w:numPr>
          <w:ilvl w:val="0"/>
          <w:numId w:val="7"/>
        </w:numPr>
        <w:spacing w:line="360" w:after="210" w:lineRule="auto"/>
      </w:pPr>
      <w:hyperlink r:id="rId18">
        <w:r>
          <w:rPr>
            <w:rFonts w:eastAsia="inter" w:cs="inter" w:ascii="inter" w:hAnsi="inter"/>
            <w:color w:val="#000"/>
            <w:sz w:val="18"/>
            <w:u w:val="single"/>
          </w:rPr>
          <w:t xml:space="preserve">https://hackernoon.com/about/lev-goukassian</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38" w:name="fn7"/>
    <w:bookmarkEnd w:id="38"/>
    <w:p>
      <w:pPr>
        <w:numPr>
          <w:ilvl w:val="0"/>
          <w:numId w:val="7"/>
        </w:numPr>
        <w:spacing w:line="360" w:after="210" w:lineRule="auto"/>
      </w:pPr>
      <w:hyperlink r:id="rId19">
        <w:r>
          <w:rPr>
            <w:rFonts w:eastAsia="inter" w:cs="inter" w:ascii="inter" w:hAnsi="inter"/>
            <w:color w:val="#000"/>
            <w:sz w:val="18"/>
            <w:u w:val="single"/>
          </w:rPr>
          <w:t xml:space="preserve">https://fractonicmind.github.io/TernaryMoralLogic/</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39" w:name="fn8"/>
    <w:bookmarkEnd w:id="39"/>
    <w:p>
      <w:pPr>
        <w:numPr>
          <w:ilvl w:val="0"/>
          <w:numId w:val="7"/>
        </w:numPr>
        <w:spacing w:line="360" w:after="210" w:lineRule="auto"/>
      </w:pPr>
      <w:hyperlink r:id="rId20">
        <w:r>
          <w:rPr>
            <w:rFonts w:eastAsia="inter" w:cs="inter" w:ascii="inter" w:hAnsi="inter"/>
            <w:color w:val="#000"/>
            <w:sz w:val="18"/>
            <w:u w:val="single"/>
          </w:rPr>
          <w:t xml:space="preserve">https://openknowledge.nau.edu/id/eprint/6013/</w:t>
        </w:r>
      </w:hyperlink>
      <w:r>
        <w:rPr>
          <w:rFonts w:eastAsia="inter" w:cs="inter" w:ascii="inter" w:hAnsi="inter"/>
          <w:color w:val="000000"/>
          <w:sz w:val="18"/>
        </w:rPr>
        <w:t xml:space="preserve"> </w:t>
      </w:r>
    </w:p>
    <w:bookmarkStart w:id="40" w:name="fn9"/>
    <w:bookmarkEnd w:id="40"/>
    <w:p>
      <w:pPr>
        <w:numPr>
          <w:ilvl w:val="0"/>
          <w:numId w:val="7"/>
        </w:numPr>
        <w:spacing w:line="360" w:after="210" w:lineRule="auto"/>
      </w:pPr>
      <w:hyperlink r:id="rId21">
        <w:r>
          <w:rPr>
            <w:rFonts w:eastAsia="inter" w:cs="inter" w:ascii="inter" w:hAnsi="inter"/>
            <w:color w:val="#000"/>
            <w:sz w:val="18"/>
            <w:u w:val="single"/>
          </w:rPr>
          <w:t xml:space="preserve">https://www.arxiv.org/pdf/2508.01332.pdf</w:t>
        </w:r>
      </w:hyperlink>
      <w:r>
        <w:rPr>
          <w:rFonts w:eastAsia="inter" w:cs="inter" w:ascii="inter" w:hAnsi="inter"/>
          <w:color w:val="000000"/>
          <w:sz w:val="18"/>
        </w:rPr>
        <w:t xml:space="preserve"> </w:t>
      </w:r>
    </w:p>
    <w:bookmarkStart w:id="41" w:name="fn10"/>
    <w:bookmarkEnd w:id="41"/>
    <w:p>
      <w:pPr>
        <w:numPr>
          <w:ilvl w:val="0"/>
          <w:numId w:val="7"/>
        </w:numPr>
        <w:spacing w:line="360" w:after="210" w:lineRule="auto"/>
      </w:pPr>
      <w:hyperlink r:id="rId22">
        <w:r>
          <w:rPr>
            <w:rFonts w:eastAsia="inter" w:cs="inter" w:ascii="inter" w:hAnsi="inter"/>
            <w:color w:val="#000"/>
            <w:sz w:val="18"/>
            <w:u w:val="single"/>
          </w:rPr>
          <w:t xml:space="preserve">https://hackernoon.com/how-a-terminal-diagnosis-inspired-a-new-ethical-ai-system</w:t>
        </w:r>
      </w:hyperlink>
      <w:r>
        <w:rPr>
          <w:rFonts w:eastAsia="inter" w:cs="inter" w:ascii="inter" w:hAnsi="inter"/>
          <w:color w:val="000000"/>
          <w:sz w:val="18"/>
        </w:rPr>
        <w:t xml:space="preserve"> </w:t>
      </w:r>
    </w:p>
    <w:bookmarkStart w:id="42" w:name="fn11"/>
    <w:bookmarkEnd w:id="42"/>
    <w:p>
      <w:pPr>
        <w:numPr>
          <w:ilvl w:val="0"/>
          <w:numId w:val="7"/>
        </w:numPr>
        <w:spacing w:line="360" w:after="210" w:lineRule="auto"/>
      </w:pPr>
      <w:hyperlink r:id="rId23">
        <w:r>
          <w:rPr>
            <w:rFonts w:eastAsia="inter" w:cs="inter" w:ascii="inter" w:hAnsi="inter"/>
            <w:color w:val="#000"/>
            <w:sz w:val="18"/>
            <w:u w:val="single"/>
          </w:rPr>
          <w:t xml:space="preserve">https://ai4people.org/PDF/AI4People_Ethical_Framework_For_A_Good_AI_Society.pdf</w:t>
        </w:r>
      </w:hyperlink>
      <w:r>
        <w:rPr>
          <w:rFonts w:eastAsia="inter" w:cs="inter" w:ascii="inter" w:hAnsi="inter"/>
          <w:color w:val="000000"/>
          <w:sz w:val="18"/>
        </w:rPr>
        <w:t xml:space="preserve"> </w:t>
      </w:r>
    </w:p>
    <w:bookmarkStart w:id="43" w:name="fn12"/>
    <w:bookmarkEnd w:id="43"/>
    <w:p>
      <w:pPr>
        <w:numPr>
          <w:ilvl w:val="0"/>
          <w:numId w:val="7"/>
        </w:numPr>
        <w:spacing w:line="360" w:after="210" w:lineRule="auto"/>
      </w:pPr>
      <w:hyperlink r:id="rId24">
        <w:r>
          <w:rPr>
            <w:rFonts w:eastAsia="inter" w:cs="inter" w:ascii="inter" w:hAnsi="inter"/>
            <w:color w:val="#000"/>
            <w:sz w:val="18"/>
            <w:u w:val="single"/>
          </w:rPr>
          <w:t xml:space="preserve">https://www.frontiersin.org/journals/artificial-intelligence/articles/10.3389/frai.2025.1619029/full</w:t>
        </w:r>
      </w:hyperlink>
      <w:r>
        <w:rPr>
          <w:rFonts w:eastAsia="inter" w:cs="inter" w:ascii="inter" w:hAnsi="inter"/>
          <w:color w:val="000000"/>
          <w:sz w:val="18"/>
        </w:rPr>
        <w:t xml:space="preserve"> </w:t>
      </w:r>
    </w:p>
    <w:bookmarkStart w:id="44" w:name="fn13"/>
    <w:bookmarkEnd w:id="44"/>
    <w:p>
      <w:pPr>
        <w:numPr>
          <w:ilvl w:val="0"/>
          <w:numId w:val="7"/>
        </w:numPr>
        <w:spacing w:line="360" w:after="210" w:lineRule="auto"/>
      </w:pPr>
      <w:hyperlink r:id="rId25">
        <w:r>
          <w:rPr>
            <w:rFonts w:eastAsia="inter" w:cs="inter" w:ascii="inter" w:hAnsi="inter"/>
            <w:color w:val="#000"/>
            <w:sz w:val="18"/>
            <w:u w:val="single"/>
          </w:rPr>
          <w:t xml:space="preserve">https://hackernoon.com/lang/so/sida-loo-yaqaan-"terminal-diagnosis"-waxay-ku-dhigi-karaa-nidaamka-ai-ah-ee-new-ethical</w:t>
        </w:r>
      </w:hyperlink>
      <w:r>
        <w:rPr>
          <w:rFonts w:eastAsia="inter" w:cs="inter" w:ascii="inter" w:hAnsi="inter"/>
          <w:color w:val="000000"/>
          <w:sz w:val="18"/>
        </w:rPr>
        <w:t xml:space="preserve"> </w:t>
      </w:r>
    </w:p>
    <w:bookmarkStart w:id="45" w:name="fn14"/>
    <w:bookmarkEnd w:id="45"/>
    <w:p>
      <w:pPr>
        <w:numPr>
          <w:ilvl w:val="0"/>
          <w:numId w:val="7"/>
        </w:numPr>
        <w:spacing w:line="360" w:after="210" w:lineRule="auto"/>
      </w:pPr>
      <w:hyperlink r:id="rId26">
        <w:r>
          <w:rPr>
            <w:rFonts w:eastAsia="inter" w:cs="inter" w:ascii="inter" w:hAnsi="inter"/>
            <w:color w:val="#000"/>
            <w:sz w:val="18"/>
            <w:u w:val="single"/>
          </w:rPr>
          <w:t xml:space="preserve">https://www.alvarezandmarsal.com/insights/ai-ethics-part-two-ai-framework-best-practices</w:t>
        </w:r>
      </w:hyperlink>
      <w:r>
        <w:rPr>
          <w:rFonts w:eastAsia="inter" w:cs="inter" w:ascii="inter" w:hAnsi="inter"/>
          <w:color w:val="000000"/>
          <w:sz w:val="18"/>
        </w:rPr>
        <w:t xml:space="preserve"> </w:t>
      </w:r>
    </w:p>
    <w:bookmarkStart w:id="46" w:name="fn15"/>
    <w:bookmarkEnd w:id="46"/>
    <w:p>
      <w:pPr>
        <w:numPr>
          <w:ilvl w:val="0"/>
          <w:numId w:val="7"/>
        </w:numPr>
        <w:spacing w:line="360" w:after="210" w:lineRule="auto"/>
      </w:pPr>
      <w:hyperlink r:id="rId27">
        <w:r>
          <w:rPr>
            <w:rFonts w:eastAsia="inter" w:cs="inter" w:ascii="inter" w:hAnsi="inter"/>
            <w:color w:val="#000"/>
            <w:sz w:val="18"/>
            <w:u w:val="single"/>
          </w:rPr>
          <w:t xml:space="preserve">https://hackernoon.com/lang/ja/ターミナル診断が新しい倫理的なaiシステムをインスピレーションした方法</w:t>
        </w:r>
      </w:hyperlink>
      <w:r>
        <w:rPr>
          <w:rFonts w:eastAsia="inter" w:cs="inter" w:ascii="inter" w:hAnsi="inter"/>
          <w:color w:val="000000"/>
          <w:sz w:val="18"/>
        </w:rPr>
        <w:t xml:space="preserve"> </w:t>
      </w:r>
    </w:p>
    <w:bookmarkStart w:id="47" w:name="fn16"/>
    <w:bookmarkEnd w:id="47"/>
    <w:p>
      <w:pPr>
        <w:numPr>
          <w:ilvl w:val="0"/>
          <w:numId w:val="7"/>
        </w:numPr>
        <w:spacing w:line="360" w:after="210" w:lineRule="auto"/>
      </w:pPr>
      <w:hyperlink r:id="rId28">
        <w:r>
          <w:rPr>
            <w:rFonts w:eastAsia="inter" w:cs="inter" w:ascii="inter" w:hAnsi="inter"/>
            <w:color w:val="#000"/>
            <w:sz w:val="18"/>
            <w:u w:val="single"/>
          </w:rPr>
          <w:t xml:space="preserve">https://www.sciencedirect.com/science/article/pii/S0963868724000672</w:t>
        </w:r>
      </w:hyperlink>
      <w:r>
        <w:rPr>
          <w:rFonts w:eastAsia="inter" w:cs="inter" w:ascii="inter" w:hAnsi="inter"/>
          <w:color w:val="000000"/>
          <w:sz w:val="18"/>
        </w:rPr>
        <w:t xml:space="preserve"> </w:t>
      </w:r>
    </w:p>
    <w:bookmarkStart w:id="48" w:name="fn17"/>
    <w:bookmarkEnd w:id="48"/>
    <w:p>
      <w:pPr>
        <w:numPr>
          <w:ilvl w:val="0"/>
          <w:numId w:val="7"/>
        </w:numPr>
        <w:spacing w:line="360" w:after="210" w:lineRule="auto"/>
      </w:pPr>
      <w:hyperlink r:id="rId29">
        <w:r>
          <w:rPr>
            <w:rFonts w:eastAsia="inter" w:cs="inter" w:ascii="inter" w:hAnsi="inter"/>
            <w:color w:val="#000"/>
            <w:sz w:val="18"/>
            <w:u w:val="single"/>
          </w:rPr>
          <w:t xml:space="preserve">https://www.sciencedirect.com/science/article/pii/S2772906024005065</w:t>
        </w:r>
      </w:hyperlink>
      <w:r>
        <w:rPr>
          <w:rFonts w:eastAsia="inter" w:cs="inter" w:ascii="inter" w:hAnsi="inter"/>
          <w:color w:val="000000"/>
          <w:sz w:val="18"/>
        </w:rPr>
        <w:t xml:space="preserve"> </w:t>
      </w:r>
    </w:p>
    <w:bookmarkStart w:id="49" w:name="fn18"/>
    <w:bookmarkEnd w:id="49"/>
    <w:p>
      <w:pPr>
        <w:numPr>
          <w:ilvl w:val="0"/>
          <w:numId w:val="7"/>
        </w:numPr>
        <w:spacing w:line="360" w:after="210" w:lineRule="auto"/>
      </w:pPr>
      <w:hyperlink r:id="rId30">
        <w:r>
          <w:rPr>
            <w:rFonts w:eastAsia="inter" w:cs="inter" w:ascii="inter" w:hAnsi="inter"/>
            <w:color w:val="#000"/>
            <w:sz w:val="18"/>
            <w:u w:val="single"/>
          </w:rPr>
          <w:t xml:space="preserve">https://github.com/FractonicMind/TernaryMoralLogic</w:t>
        </w:r>
      </w:hyperlink>
      <w:r>
        <w:rPr>
          <w:rFonts w:eastAsia="inter" w:cs="inter" w:ascii="inter" w:hAnsi="inter"/>
          <w:color w:val="000000"/>
          <w:sz w:val="18"/>
        </w:rPr>
        <w:t xml:space="preserve"> </w:t>
      </w:r>
    </w:p>
    <w:bookmarkStart w:id="50" w:name="fn19"/>
    <w:bookmarkEnd w:id="50"/>
    <w:p>
      <w:pPr>
        <w:numPr>
          <w:ilvl w:val="0"/>
          <w:numId w:val="7"/>
        </w:numPr>
        <w:spacing w:line="360" w:after="210" w:lineRule="auto"/>
      </w:pPr>
      <w:hyperlink r:id="rId31">
        <w:r>
          <w:rPr>
            <w:rFonts w:eastAsia="inter" w:cs="inter" w:ascii="inter" w:hAnsi="inter"/>
            <w:color w:val="#000"/>
            <w:sz w:val="18"/>
            <w:u w:val="single"/>
          </w:rPr>
          <w:t xml:space="preserve">https://genai.calstate.edu/communities/faculty/ethical-and-responsible-use-ai/ethical-principles-ai-framework-higher-education</w:t>
        </w:r>
      </w:hyperlink>
      <w:r>
        <w:rPr>
          <w:rFonts w:eastAsia="inter" w:cs="inter" w:ascii="inter" w:hAnsi="inter"/>
          <w:color w:val="000000"/>
          <w:sz w:val="18"/>
        </w:rPr>
        <w:t xml:space="preserve"> </w:t>
      </w:r>
    </w:p>
    <w:bookmarkStart w:id="51" w:name="fn20"/>
    <w:bookmarkEnd w:id="51"/>
    <w:p>
      <w:pPr>
        <w:numPr>
          <w:ilvl w:val="0"/>
          <w:numId w:val="7"/>
        </w:numPr>
        <w:spacing w:line="360" w:after="210" w:lineRule="auto"/>
      </w:pPr>
      <w:hyperlink r:id="rId32">
        <w:r>
          <w:rPr>
            <w:rFonts w:eastAsia="inter" w:cs="inter" w:ascii="inter" w:hAnsi="inter"/>
            <w:color w:val="#000"/>
            <w:sz w:val="18"/>
            <w:u w:val="single"/>
          </w:rPr>
          <w:t xml:space="preserve">https://www.sciencedirect.com/science/article/pii/S0040162523001877</w:t>
        </w:r>
      </w:hyperlink>
      <w:r>
        <w:rPr>
          <w:rFonts w:eastAsia="inter" w:cs="inter" w:ascii="inter" w:hAnsi="inter"/>
          <w:color w:val="000000"/>
          <w:sz w:val="18"/>
        </w:rPr>
        <w:t xml:space="preserve"> </w:t>
      </w:r>
    </w:p>
    <w:bookmarkStart w:id="52" w:name="fn21"/>
    <w:bookmarkEnd w:id="52"/>
    <w:p>
      <w:pPr>
        <w:numPr>
          <w:ilvl w:val="0"/>
          <w:numId w:val="7"/>
        </w:numPr>
        <w:spacing w:line="360" w:after="210" w:lineRule="auto"/>
      </w:pPr>
      <w:hyperlink r:id="rId33">
        <w:r>
          <w:rPr>
            <w:rFonts w:eastAsia="inter" w:cs="inter" w:ascii="inter" w:hAnsi="inter"/>
            <w:color w:val="#000"/>
            <w:sz w:val="18"/>
            <w:u w:val="single"/>
          </w:rPr>
          <w:t xml:space="preserve">https://www.mexc.co/en-IN/news/how-a-terminal-diagnosis-inspired-a-new-ethical-ai-system/68113</w:t>
        </w:r>
      </w:hyperlink>
      <w:r>
        <w:rPr>
          <w:rFonts w:eastAsia="inter" w:cs="inter" w:ascii="inter" w:hAnsi="inter"/>
          <w:color w:val="000000"/>
          <w:sz w:val="18"/>
        </w:rPr>
        <w:t xml:space="preserve"> </w:t>
      </w:r>
    </w:p>
    <w:bookmarkStart w:id="53" w:name="fn22"/>
    <w:bookmarkEnd w:id="53"/>
    <w:p>
      <w:pPr>
        <w:numPr>
          <w:ilvl w:val="0"/>
          <w:numId w:val="7"/>
        </w:numPr>
        <w:spacing w:line="360" w:after="210" w:lineRule="auto"/>
      </w:pPr>
      <w:hyperlink r:id="rId34">
        <w:r>
          <w:rPr>
            <w:rFonts w:eastAsia="inter" w:cs="inter" w:ascii="inter" w:hAnsi="inter"/>
            <w:color w:val="#000"/>
            <w:sz w:val="18"/>
            <w:u w:val="single"/>
          </w:rPr>
          <w:t xml:space="preserve">https://www.mexc.co/hi-IN/news/how-a-terminal-diagnosis-inspired-a-new-ethical-ai-system/68113</w:t>
        </w:r>
      </w:hyperlink>
      <w:r>
        <w:rPr>
          <w:rFonts w:eastAsia="inter" w:cs="inter" w:ascii="inter" w:hAnsi="inter"/>
          <w:color w:val="000000"/>
          <w:sz w:val="18"/>
        </w:rPr>
        <w:t xml:space="preserve"> </w:t>
      </w:r>
    </w:p>
    <w:bookmarkStart w:id="54" w:name="fn23"/>
    <w:bookmarkEnd w:id="54"/>
    <w:p>
      <w:pPr>
        <w:numPr>
          <w:ilvl w:val="0"/>
          <w:numId w:val="7"/>
        </w:numPr>
        <w:spacing w:line="360" w:after="210" w:lineRule="auto"/>
      </w:pPr>
      <w:hyperlink r:id="rId35">
        <w:r>
          <w:rPr>
            <w:rFonts w:eastAsia="inter" w:cs="inter" w:ascii="inter" w:hAnsi="inter"/>
            <w:color w:val="#000"/>
            <w:sz w:val="18"/>
            <w:u w:val="single"/>
          </w:rPr>
          <w:t xml:space="preserve">https://www.cybersecurity-now.co.uk/article/245283/how-a-terminal-diagnosis-inspired-a-new-ethical-ai-system</w:t>
        </w:r>
      </w:hyperlink>
      <w:r>
        <w:rPr>
          <w:rFonts w:eastAsia="inter" w:cs="inter" w:ascii="inter" w:hAnsi="inter"/>
          <w:color w:val="000000"/>
          <w:sz w:val="18"/>
        </w:rPr>
        <w:t xml:space="preserve"> </w:t>
      </w:r>
    </w:p>
    <w:bookmarkStart w:id="55" w:name="fn24"/>
    <w:bookmarkEnd w:id="55"/>
    <w:p>
      <w:pPr>
        <w:numPr>
          <w:ilvl w:val="0"/>
          <w:numId w:val="7"/>
        </w:numPr>
        <w:spacing w:line="360" w:after="210" w:lineRule="auto"/>
      </w:pPr>
      <w:hyperlink r:id="rId36">
        <w:r>
          <w:rPr>
            <w:rFonts w:eastAsia="inter" w:cs="inter" w:ascii="inter" w:hAnsi="inter"/>
            <w:color w:val="#000"/>
            <w:sz w:val="18"/>
            <w:u w:val="single"/>
          </w:rPr>
          <w:t xml:space="preserve">https://www.certinal.com/blog/navigating-ethical-dilemmas-how-certinal-is-pioneering-ethical-ai-powered-e-signatures</w:t>
        </w:r>
      </w:hyperlink>
      <w:r>
        <w:rPr>
          <w:rFonts w:eastAsia="inter" w:cs="inter" w:ascii="inter" w:hAnsi="inter"/>
          <w:color w:val="000000"/>
          <w:sz w:val="18"/>
        </w:rPr>
        <w:t xml:space="preserve"> </w:t>
      </w:r>
    </w:p>
    <w:bookmarkStart w:id="56" w:name="fn25"/>
    <w:bookmarkEnd w:id="56"/>
    <w:p>
      <w:pPr>
        <w:numPr>
          <w:ilvl w:val="0"/>
          <w:numId w:val="7"/>
        </w:numPr>
        <w:spacing w:line="360" w:after="210" w:lineRule="auto"/>
      </w:pPr>
      <w:hyperlink r:id="rId37">
        <w:r>
          <w:rPr>
            <w:rFonts w:eastAsia="inter" w:cs="inter" w:ascii="inter" w:hAnsi="inter"/>
            <w:color w:val="#000"/>
            <w:sz w:val="18"/>
            <w:u w:val="single"/>
          </w:rPr>
          <w:t xml:space="preserve">https://in.nau.edu/wp-content/uploads/sites/223/2019/11/Key-Exchange-using-Ternary-System-to-Enhance-Security.pdf</w:t>
        </w:r>
      </w:hyperlink>
      <w:r>
        <w:rPr>
          <w:rFonts w:eastAsia="inter" w:cs="inter" w:ascii="inter" w:hAnsi="inter"/>
          <w:color w:val="000000"/>
          <w:sz w:val="18"/>
        </w:rPr>
        <w:t xml:space="preserve"> </w:t>
      </w:r>
    </w:p>
    <w:bookmarkStart w:id="57" w:name="fn26"/>
    <w:bookmarkEnd w:id="57"/>
    <w:p>
      <w:pPr>
        <w:numPr>
          <w:ilvl w:val="0"/>
          <w:numId w:val="7"/>
        </w:numPr>
        <w:spacing w:line="360" w:after="210" w:lineRule="auto"/>
      </w:pPr>
      <w:hyperlink r:id="rId38">
        <w:r>
          <w:rPr>
            <w:rFonts w:eastAsia="inter" w:cs="inter" w:ascii="inter" w:hAnsi="inter"/>
            <w:color w:val="#000"/>
            <w:sz w:val="18"/>
            <w:u w:val="single"/>
          </w:rPr>
          <w:t xml:space="preserve">https://www.policingproject.org/axon-alpr</w:t>
        </w:r>
      </w:hyperlink>
      <w:r>
        <w:rPr>
          <w:rFonts w:eastAsia="inter" w:cs="inter" w:ascii="inter" w:hAnsi="inter"/>
          <w:color w:val="000000"/>
          <w:sz w:val="18"/>
        </w:rPr>
        <w:t xml:space="preserve"> </w:t>
      </w:r>
    </w:p>
    <w:bookmarkStart w:id="58" w:name="fn27"/>
    <w:bookmarkEnd w:id="58"/>
    <w:p>
      <w:pPr>
        <w:numPr>
          <w:ilvl w:val="0"/>
          <w:numId w:val="7"/>
        </w:numPr>
        <w:spacing w:line="360" w:after="210" w:lineRule="auto"/>
      </w:pPr>
      <w:hyperlink r:id="rId39">
        <w:r>
          <w:rPr>
            <w:rFonts w:eastAsia="inter" w:cs="inter" w:ascii="inter" w:hAnsi="inter"/>
            <w:color w:val="#000"/>
            <w:sz w:val="18"/>
            <w:u w:val="single"/>
          </w:rPr>
          <w:t xml:space="preserve">https://portal.research.lu.se/files/5271313/3159359.pdf</w:t>
        </w:r>
      </w:hyperlink>
      <w:r>
        <w:rPr>
          <w:rFonts w:eastAsia="inter" w:cs="inter" w:ascii="inter" w:hAnsi="inter"/>
          <w:color w:val="000000"/>
          <w:sz w:val="18"/>
        </w:rPr>
        <w:t xml:space="preserve"> </w:t>
      </w:r>
    </w:p>
    <w:bookmarkStart w:id="59" w:name="fn28"/>
    <w:bookmarkEnd w:id="59"/>
    <w:p>
      <w:pPr>
        <w:numPr>
          <w:ilvl w:val="0"/>
          <w:numId w:val="7"/>
        </w:numPr>
        <w:spacing w:line="360" w:after="210" w:lineRule="auto"/>
      </w:pPr>
      <w:hyperlink r:id="rId40">
        <w:r>
          <w:rPr>
            <w:rFonts w:eastAsia="inter" w:cs="inter" w:ascii="inter" w:hAnsi="inter"/>
            <w:color w:val="#000"/>
            <w:sz w:val="18"/>
            <w:u w:val="single"/>
          </w:rPr>
          <w:t xml:space="preserve">https://standards.ieee.org/products-programs/icap/ieee-certifaied/</w:t>
        </w:r>
      </w:hyperlink>
      <w:r>
        <w:rPr>
          <w:rFonts w:eastAsia="inter" w:cs="inter" w:ascii="inter" w:hAnsi="inter"/>
          <w:color w:val="000000"/>
          <w:sz w:val="18"/>
        </w:rPr>
        <w:t xml:space="preserve"> </w:t>
      </w:r>
    </w:p>
    <w:bookmarkStart w:id="60" w:name="fn29"/>
    <w:bookmarkEnd w:id="60"/>
    <w:p>
      <w:pPr>
        <w:numPr>
          <w:ilvl w:val="0"/>
          <w:numId w:val="7"/>
        </w:numPr>
        <w:spacing w:line="360" w:after="210" w:lineRule="auto"/>
      </w:pPr>
      <w:hyperlink r:id="rId41">
        <w:r>
          <w:rPr>
            <w:rFonts w:eastAsia="inter" w:cs="inter" w:ascii="inter" w:hAnsi="inter"/>
            <w:color w:val="#000"/>
            <w:sz w:val="18"/>
            <w:u w:val="single"/>
          </w:rPr>
          <w:t xml:space="preserve">https://pmc.ncbi.nlm.nih.gov/articles/PMC11428753/</w:t>
        </w:r>
      </w:hyperlink>
      <w:r>
        <w:rPr>
          <w:rFonts w:eastAsia="inter" w:cs="inter" w:ascii="inter" w:hAnsi="inter"/>
          <w:color w:val="000000"/>
          <w:sz w:val="18"/>
        </w:rPr>
        <w:t xml:space="preserve"> </w:t>
      </w:r>
    </w:p>
    <w:bookmarkStart w:id="61" w:name="fn30"/>
    <w:bookmarkEnd w:id="61"/>
    <w:p>
      <w:pPr>
        <w:numPr>
          <w:ilvl w:val="0"/>
          <w:numId w:val="7"/>
        </w:numPr>
        <w:spacing w:line="360" w:after="210" w:lineRule="auto"/>
      </w:pPr>
      <w:hyperlink r:id="rId42">
        <w:r>
          <w:rPr>
            <w:rFonts w:eastAsia="inter" w:cs="inter" w:ascii="inter" w:hAnsi="inter"/>
            <w:color w:val="#000"/>
            <w:sz w:val="18"/>
            <w:u w:val="single"/>
          </w:rPr>
          <w:t xml:space="preserve">https://standards.ieee.org/products-programs/icap/ieee-certifaied/professional-certification/</w:t>
        </w:r>
      </w:hyperlink>
      <w:r>
        <w:rPr>
          <w:rFonts w:eastAsia="inter" w:cs="inter" w:ascii="inter" w:hAnsi="inter"/>
          <w:color w:val="000000"/>
          <w:sz w:val="18"/>
        </w:rPr>
        <w:t xml:space="preserve"> </w:t>
      </w:r>
    </w:p>
    <w:bookmarkStart w:id="62" w:name="fn31"/>
    <w:bookmarkEnd w:id="62"/>
    <w:p>
      <w:pPr>
        <w:numPr>
          <w:ilvl w:val="0"/>
          <w:numId w:val="7"/>
        </w:numPr>
        <w:spacing w:line="360" w:after="210" w:lineRule="auto"/>
      </w:pPr>
      <w:hyperlink r:id="rId43">
        <w:r>
          <w:rPr>
            <w:rFonts w:eastAsia="inter" w:cs="inter" w:ascii="inter" w:hAnsi="inter"/>
            <w:color w:val="#000"/>
            <w:sz w:val="18"/>
            <w:u w:val="single"/>
          </w:rPr>
          <w:t xml:space="preserve">https://www.clemson.edu/brand/application/ai-guidelines.html</w:t>
        </w:r>
      </w:hyperlink>
      <w:r>
        <w:rPr>
          <w:rFonts w:eastAsia="inter" w:cs="inter" w:ascii="inter" w:hAnsi="inter"/>
          <w:color w:val="000000"/>
          <w:sz w:val="18"/>
        </w:rPr>
        <w:t xml:space="preserve"> </w:t>
      </w:r>
    </w:p>
    <w:bookmarkStart w:id="63" w:name="fn32"/>
    <w:bookmarkEnd w:id="63"/>
    <w:p>
      <w:pPr>
        <w:numPr>
          <w:ilvl w:val="0"/>
          <w:numId w:val="7"/>
        </w:numPr>
        <w:spacing w:line="360" w:after="210" w:lineRule="auto"/>
      </w:pPr>
      <w:hyperlink r:id="rId44">
        <w:r>
          <w:rPr>
            <w:rFonts w:eastAsia="inter" w:cs="inter" w:ascii="inter" w:hAnsi="inter"/>
            <w:color w:val="#000"/>
            <w:sz w:val="18"/>
            <w:u w:val="single"/>
          </w:rPr>
          <w:t xml:space="preserve">https://github.com/topics/sacred-pause</w:t>
        </w:r>
      </w:hyperlink>
      <w:r>
        <w:rPr>
          <w:rFonts w:eastAsia="inter" w:cs="inter" w:ascii="inter" w:hAnsi="inter"/>
          <w:color w:val="000000"/>
          <w:sz w:val="18"/>
        </w:rPr>
        <w:t xml:space="preserve"> </w:t>
      </w:r>
    </w:p>
    <w:bookmarkStart w:id="64" w:name="fn33"/>
    <w:bookmarkEnd w:id="64"/>
    <w:p>
      <w:pPr>
        <w:numPr>
          <w:ilvl w:val="0"/>
          <w:numId w:val="7"/>
        </w:numPr>
        <w:spacing w:line="360" w:after="210" w:lineRule="auto"/>
      </w:pPr>
      <w:hyperlink r:id="rId45">
        <w:r>
          <w:rPr>
            <w:rFonts w:eastAsia="inter" w:cs="inter" w:ascii="inter" w:hAnsi="inter"/>
            <w:color w:val="#000"/>
            <w:sz w:val="18"/>
            <w:u w:val="single"/>
          </w:rPr>
          <w:t xml:space="preserve">https://orbit.dtu.dk/files/257296437/1906.01645.pdf</w:t>
        </w:r>
      </w:hyperlink>
      <w:r>
        <w:rPr>
          <w:rFonts w:eastAsia="inter" w:cs="inter" w:ascii="inter" w:hAnsi="inter"/>
          <w:color w:val="000000"/>
          <w:sz w:val="18"/>
        </w:rPr>
        <w:t xml:space="preserve"> </w:t>
      </w:r>
    </w:p>
    <w:bookmarkStart w:id="65" w:name="fn34"/>
    <w:bookmarkEnd w:id="65"/>
    <w:p>
      <w:pPr>
        <w:numPr>
          <w:ilvl w:val="0"/>
          <w:numId w:val="7"/>
        </w:numPr>
        <w:spacing w:line="360" w:after="210" w:lineRule="auto"/>
      </w:pPr>
      <w:hyperlink r:id="rId46">
        <w:r>
          <w:rPr>
            <w:rFonts w:eastAsia="inter" w:cs="inter" w:ascii="inter" w:hAnsi="inter"/>
            <w:color w:val="#000"/>
            <w:sz w:val="18"/>
            <w:u w:val="single"/>
          </w:rPr>
          <w:t xml:space="preserve">https://magai.co/ethical-considerations-when-using-generative-ai/</w:t>
        </w:r>
      </w:hyperlink>
      <w:r>
        <w:rPr>
          <w:rFonts w:eastAsia="inter" w:cs="inter" w:ascii="inter" w:hAnsi="inter"/>
          <w:color w:val="000000"/>
          <w:sz w:val="18"/>
        </w:rPr>
        <w:t xml:space="preserve"> </w:t>
      </w:r>
    </w:p>
    <w:bookmarkStart w:id="66" w:name="fn35"/>
    <w:bookmarkEnd w:id="66"/>
    <w:p>
      <w:pPr>
        <w:numPr>
          <w:ilvl w:val="0"/>
          <w:numId w:val="7"/>
        </w:numPr>
        <w:spacing w:line="360" w:after="210" w:lineRule="auto"/>
      </w:pPr>
      <w:hyperlink r:id="rId47">
        <w:r>
          <w:rPr>
            <w:rFonts w:eastAsia="inter" w:cs="inter" w:ascii="inter" w:hAnsi="inter"/>
            <w:color w:val="#000"/>
            <w:sz w:val="18"/>
            <w:u w:val="single"/>
          </w:rPr>
          <w:t xml:space="preserve">https://repos.ecosyste.ms/topics/sacred-pause</w:t>
        </w:r>
      </w:hyperlink>
      <w:r>
        <w:rPr>
          <w:rFonts w:eastAsia="inter" w:cs="inter" w:ascii="inter" w:hAnsi="inter"/>
          <w:color w:val="000000"/>
          <w:sz w:val="18"/>
        </w:rPr>
        <w:t xml:space="preserve"> </w:t>
      </w:r>
    </w:p>
    <w:bookmarkStart w:id="67" w:name="fn36"/>
    <w:bookmarkEnd w:id="67"/>
    <w:p>
      <w:pPr>
        <w:numPr>
          <w:ilvl w:val="0"/>
          <w:numId w:val="7"/>
        </w:numPr>
        <w:spacing w:line="360" w:after="210" w:lineRule="auto"/>
      </w:pPr>
      <w:hyperlink r:id="rId48">
        <w:r>
          <w:rPr>
            <w:rFonts w:eastAsia="inter" w:cs="inter" w:ascii="inter" w:hAnsi="inter"/>
            <w:color w:val="#000"/>
            <w:sz w:val="18"/>
            <w:u w:val="single"/>
          </w:rPr>
          <w:t xml:space="preserve">https://dailycampus.com/2025/09/11/regulatory-licensing-system-for-ai-usage/</w:t>
        </w:r>
      </w:hyperlink>
      <w:r>
        <w:rPr>
          <w:rFonts w:eastAsia="inter" w:cs="inter" w:ascii="inter" w:hAnsi="inter"/>
          <w:color w:val="000000"/>
          <w:sz w:val="18"/>
        </w:rPr>
        <w:t xml:space="preserve"> </w:t>
      </w:r>
    </w:p>
    <w:bookmarkStart w:id="68" w:name="fn37"/>
    <w:bookmarkEnd w:id="68"/>
    <w:p>
      <w:pPr>
        <w:numPr>
          <w:ilvl w:val="0"/>
          <w:numId w:val="7"/>
        </w:numPr>
        <w:spacing w:line="360" w:after="210" w:lineRule="auto"/>
      </w:pPr>
      <w:hyperlink r:id="rId49">
        <w:r>
          <w:rPr>
            <w:rFonts w:eastAsia="inter" w:cs="inter" w:ascii="inter" w:hAnsi="inter"/>
            <w:color w:val="#000"/>
            <w:sz w:val="18"/>
            <w:u w:val="single"/>
          </w:rPr>
          <w:t xml:space="preserve">https://www.cambridge.org/core/books/law-ethics-and-the-visual-arts/art-freedom-of-expression-and-the-government/38AF2381B8D5C395E6950479448F8DB4</w:t>
        </w:r>
      </w:hyperlink>
      <w:r>
        <w:rPr>
          <w:rFonts w:eastAsia="inter" w:cs="inter" w:ascii="inter" w:hAnsi="inter"/>
          <w:color w:val="000000"/>
          <w:sz w:val="18"/>
        </w:rPr>
        <w:t xml:space="preserve"> </w:t>
      </w:r>
    </w:p>
    <w:bookmarkStart w:id="69" w:name="fn38"/>
    <w:bookmarkEnd w:id="69"/>
    <w:p>
      <w:pPr>
        <w:numPr>
          <w:ilvl w:val="0"/>
          <w:numId w:val="7"/>
        </w:numPr>
        <w:spacing w:line="360" w:after="210" w:lineRule="auto"/>
      </w:pPr>
      <w:hyperlink r:id="rId50">
        <w:r>
          <w:rPr>
            <w:rFonts w:eastAsia="inter" w:cs="inter" w:ascii="inter" w:hAnsi="inter"/>
            <w:color w:val="#000"/>
            <w:sz w:val="18"/>
            <w:u w:val="single"/>
          </w:rPr>
          <w:t xml:space="preserve">https://web.stanford.edu/group/scpnt/gpslab/pubs/papers/Neish_2018_IONITM_QuantumResistantAuthenticationUpdated.pdf</w:t>
        </w:r>
      </w:hyperlink>
      <w:r>
        <w:rPr>
          <w:rFonts w:eastAsia="inter" w:cs="inter" w:ascii="inter" w:hAnsi="inter"/>
          <w:color w:val="000000"/>
          <w:sz w:val="18"/>
        </w:rPr>
        <w:t xml:space="preserve"> </w:t>
      </w:r>
    </w:p>
    <w:bookmarkStart w:id="70" w:name="fn39"/>
    <w:bookmarkEnd w:id="70"/>
    <w:p>
      <w:pPr>
        <w:numPr>
          <w:ilvl w:val="0"/>
          <w:numId w:val="7"/>
        </w:numPr>
        <w:spacing w:line="360" w:after="210" w:lineRule="auto"/>
      </w:pPr>
      <w:hyperlink r:id="rId51">
        <w:r>
          <w:rPr>
            <w:rFonts w:eastAsia="inter" w:cs="inter" w:ascii="inter" w:hAnsi="inter"/>
            <w:color w:val="#000"/>
            <w:sz w:val="18"/>
            <w:u w:val="single"/>
          </w:rPr>
          <w:t xml:space="preserve">https://dukakis.org/shaping-futures/operationalizing-ai-ethics-from-principles-to-practice/</w:t>
        </w:r>
      </w:hyperlink>
      <w:r>
        <w:rPr>
          <w:rFonts w:eastAsia="inter" w:cs="inter" w:ascii="inter" w:hAnsi="inter"/>
          <w:color w:val="000000"/>
          <w:sz w:val="18"/>
        </w:rPr>
        <w:t xml:space="preserve"> </w:t>
      </w:r>
    </w:p>
    <w:bookmarkStart w:id="71" w:name="fn40"/>
    <w:bookmarkEnd w:id="71"/>
    <w:p>
      <w:pPr>
        <w:numPr>
          <w:ilvl w:val="0"/>
          <w:numId w:val="7"/>
        </w:numPr>
        <w:spacing w:line="360" w:after="210" w:lineRule="auto"/>
      </w:pPr>
      <w:hyperlink r:id="rId52">
        <w:r>
          <w:rPr>
            <w:rFonts w:eastAsia="inter" w:cs="inter" w:ascii="inter" w:hAnsi="inter"/>
            <w:color w:val="#000"/>
            <w:sz w:val="18"/>
            <w:u w:val="single"/>
          </w:rPr>
          <w:t xml:space="preserve">https://three.jsc.nasa.gov/Bibliography</w:t>
        </w:r>
      </w:hyperlink>
      <w:r>
        <w:rPr>
          <w:rFonts w:eastAsia="inter" w:cs="inter" w:ascii="inter" w:hAnsi="inter"/>
          <w:color w:val="000000"/>
          <w:sz w:val="18"/>
        </w:rPr>
        <w:t xml:space="preserve"> </w:t>
      </w:r>
    </w:p>
    <w:bookmarkStart w:id="72" w:name="fn41"/>
    <w:bookmarkEnd w:id="72"/>
    <w:p>
      <w:pPr>
        <w:numPr>
          <w:ilvl w:val="0"/>
          <w:numId w:val="7"/>
        </w:numPr>
        <w:spacing w:line="360" w:after="210" w:lineRule="auto"/>
      </w:pPr>
      <w:hyperlink r:id="rId53">
        <w:r>
          <w:rPr>
            <w:rFonts w:eastAsia="inter" w:cs="inter" w:ascii="inter" w:hAnsi="inter"/>
            <w:color w:val="#000"/>
            <w:sz w:val="18"/>
            <w:u w:val="single"/>
          </w:rPr>
          <w:t xml:space="preserve">https://www.prove.com/blog/what-is-cryptographic-authentication-why-are-leading-companies-moving-away-from-risk-based-authentication</w:t>
        </w:r>
      </w:hyperlink>
      <w:r>
        <w:rPr>
          <w:rFonts w:eastAsia="inter" w:cs="inter" w:ascii="inter" w:hAnsi="inter"/>
          <w:color w:val="000000"/>
          <w:sz w:val="18"/>
        </w:rPr>
        <w:t xml:space="preserve"> </w:t>
      </w:r>
    </w:p>
    <w:bookmarkStart w:id="73" w:name="fn42"/>
    <w:bookmarkEnd w:id="73"/>
    <w:p>
      <w:pPr>
        <w:numPr>
          <w:ilvl w:val="0"/>
          <w:numId w:val="7"/>
        </w:numPr>
        <w:spacing w:line="360" w:after="210" w:lineRule="auto"/>
      </w:pPr>
      <w:hyperlink r:id="rId54">
        <w:r>
          <w:rPr>
            <w:rFonts w:eastAsia="inter" w:cs="inter" w:ascii="inter" w:hAnsi="inter"/>
            <w:color w:val="#000"/>
            <w:sz w:val="18"/>
            <w:u w:val="single"/>
          </w:rPr>
          <w:t xml:space="preserve">https://pure.uva.nl/ws/files/1576255/51748_proefschrift.pdf</w:t>
        </w:r>
      </w:hyperlink>
      <w:r>
        <w:rPr>
          <w:rFonts w:eastAsia="inter" w:cs="inter" w:ascii="inter" w:hAnsi="inter"/>
          <w:color w:val="000000"/>
          <w:sz w:val="18"/>
        </w:rPr>
        <w:t xml:space="preserve"> </w:t>
      </w:r>
    </w:p>
    <w:bookmarkStart w:id="74" w:name="fn43"/>
    <w:bookmarkEnd w:id="74"/>
    <w:p>
      <w:pPr>
        <w:numPr>
          <w:ilvl w:val="0"/>
          <w:numId w:val="7"/>
        </w:numPr>
        <w:spacing w:line="360" w:after="210" w:lineRule="auto"/>
      </w:pPr>
      <w:hyperlink r:id="rId55">
        <w:r>
          <w:rPr>
            <w:rFonts w:eastAsia="inter" w:cs="inter" w:ascii="inter" w:hAnsi="inter"/>
            <w:color w:val="#000"/>
            <w:sz w:val="18"/>
            <w:u w:val="single"/>
          </w:rPr>
          <w:t xml:space="preserve">https://www.cs.yale.edu/cybertrust08/posters/posters/108_career08.pdf</w:t>
        </w:r>
      </w:hyperlink>
      <w:r>
        <w:rPr>
          <w:rFonts w:eastAsia="inter" w:cs="inter" w:ascii="inter" w:hAnsi="inter"/>
          <w:color w:val="000000"/>
          <w:sz w:val="18"/>
        </w:rPr>
        <w:t xml:space="preserve"> </w:t>
      </w:r>
    </w:p>
    <w:bookmarkStart w:id="75" w:name="fn44"/>
    <w:bookmarkEnd w:id="75"/>
    <w:p>
      <w:pPr>
        <w:numPr>
          <w:ilvl w:val="0"/>
          <w:numId w:val="7"/>
        </w:numPr>
        <w:spacing w:line="360" w:after="210" w:lineRule="auto"/>
      </w:pPr>
      <w:hyperlink r:id="rId56">
        <w:r>
          <w:rPr>
            <w:rFonts w:eastAsia="inter" w:cs="inter" w:ascii="inter" w:hAnsi="inter"/>
            <w:color w:val="#000"/>
            <w:sz w:val="18"/>
            <w:u w:val="single"/>
          </w:rPr>
          <w:t xml:space="preserve">https://onlinelibrary.wiley.com/doi/10.1002/lsm.22023</w:t>
        </w:r>
      </w:hyperlink>
      <w:r>
        <w:rPr>
          <w:rFonts w:eastAsia="inter" w:cs="inter" w:ascii="inter" w:hAnsi="inter"/>
          <w:color w:val="000000"/>
          <w:sz w:val="18"/>
        </w:rPr>
        <w:t xml:space="preserve"> </w:t>
      </w:r>
    </w:p>
    <w:bookmarkStart w:id="76" w:name="fn45"/>
    <w:bookmarkEnd w:id="76"/>
    <w:p>
      <w:pPr>
        <w:numPr>
          <w:ilvl w:val="0"/>
          <w:numId w:val="7"/>
        </w:numPr>
        <w:spacing w:line="360" w:after="210" w:lineRule="auto"/>
      </w:pPr>
      <w:hyperlink r:id="rId57">
        <w:r>
          <w:rPr>
            <w:rFonts w:eastAsia="inter" w:cs="inter" w:ascii="inter" w:hAnsi="inter"/>
            <w:color w:val="#000"/>
            <w:sz w:val="18"/>
            <w:u w:val="single"/>
          </w:rPr>
          <w:t xml:space="preserve">https://mdpi-res.com/bookfiles/book/752/Nutraceuticals_and_the_Skin_Roles_in_Health_and_Disease.pdf?v=1750899690</w:t>
        </w:r>
      </w:hyperlink>
      <w:r>
        <w:rPr>
          <w:rFonts w:eastAsia="inter" w:cs="inter" w:ascii="inter" w:hAnsi="inter"/>
          <w:color w:val="000000"/>
          <w:sz w:val="18"/>
        </w:rPr>
        <w:t xml:space="preserve"> </w:t>
      </w:r>
    </w:p>
    <w:bookmarkStart w:id="77" w:name="fn46"/>
    <w:bookmarkEnd w:id="77"/>
    <w:p>
      <w:pPr>
        <w:numPr>
          <w:ilvl w:val="0"/>
          <w:numId w:val="7"/>
        </w:numPr>
        <w:spacing w:line="360" w:after="210" w:lineRule="auto"/>
      </w:pPr>
      <w:hyperlink r:id="rId58">
        <w:r>
          <w:rPr>
            <w:rFonts w:eastAsia="inter" w:cs="inter" w:ascii="inter" w:hAnsi="inter"/>
            <w:color w:val="#000"/>
            <w:sz w:val="18"/>
            <w:u w:val="single"/>
          </w:rPr>
          <w:t xml:space="preserve">https://bidenwhitehouse.archives.gov/wp-content/uploads/2023/07/Ensuring-Safe-Secure-and-Trustworthy-AI.pdf</w:t>
        </w:r>
      </w:hyperlink>
      <w:r>
        <w:rPr>
          <w:rFonts w:eastAsia="inter" w:cs="inter" w:ascii="inter" w:hAnsi="inter"/>
          <w:color w:val="000000"/>
          <w:sz w:val="18"/>
        </w:rPr>
        <w:t xml:space="preserve"> </w:t>
      </w:r>
    </w:p>
    <w:bookmarkStart w:id="78" w:name="fn47"/>
    <w:bookmarkEnd w:id="78"/>
    <w:p>
      <w:pPr>
        <w:numPr>
          <w:ilvl w:val="0"/>
          <w:numId w:val="7"/>
        </w:numPr>
        <w:spacing w:line="360" w:after="210" w:lineRule="auto"/>
      </w:pPr>
      <w:hyperlink r:id="rId59">
        <w:r>
          <w:rPr>
            <w:rFonts w:eastAsia="inter" w:cs="inter" w:ascii="inter" w:hAnsi="inter"/>
            <w:color w:val="#000"/>
            <w:sz w:val="18"/>
            <w:u w:val="single"/>
          </w:rPr>
          <w:t xml:space="preserve">https://magai.co/how-to-ensure-accountability-in-ai-text/</w:t>
        </w:r>
      </w:hyperlink>
      <w:r>
        <w:rPr>
          <w:rFonts w:eastAsia="inter" w:cs="inter" w:ascii="inter" w:hAnsi="inter"/>
          <w:color w:val="000000"/>
          <w:sz w:val="18"/>
        </w:rPr>
        <w:t xml:space="preserve"> </w:t>
      </w:r>
    </w:p>
    <w:bookmarkStart w:id="79" w:name="fn48"/>
    <w:bookmarkEnd w:id="79"/>
    <w:p>
      <w:pPr>
        <w:numPr>
          <w:ilvl w:val="0"/>
          <w:numId w:val="7"/>
        </w:numPr>
        <w:spacing w:line="360" w:after="210" w:lineRule="auto"/>
      </w:pPr>
      <w:hyperlink r:id="rId60">
        <w:r>
          <w:rPr>
            <w:rFonts w:eastAsia="inter" w:cs="inter" w:ascii="inter" w:hAnsi="inter"/>
            <w:color w:val="#000"/>
            <w:sz w:val="18"/>
            <w:u w:val="single"/>
          </w:rPr>
          <w:t xml:space="preserve">https://lewisbrisbois.com/newsroom/legal-alerts/white-house-announces-voluntary-commitments-of-leading-artificial-intelligence-companies</w:t>
        </w:r>
      </w:hyperlink>
      <w:r>
        <w:rPr>
          <w:rFonts w:eastAsia="inter" w:cs="inter" w:ascii="inter" w:hAnsi="inter"/>
          <w:color w:val="000000"/>
          <w:sz w:val="18"/>
        </w:rPr>
        <w:t xml:space="preserve"> </w:t>
      </w:r>
    </w:p>
    <w:bookmarkStart w:id="80" w:name="fn49"/>
    <w:bookmarkEnd w:id="80"/>
    <w:p>
      <w:pPr>
        <w:numPr>
          <w:ilvl w:val="0"/>
          <w:numId w:val="7"/>
        </w:numPr>
        <w:spacing w:line="360" w:after="210" w:lineRule="auto"/>
      </w:pPr>
      <w:hyperlink r:id="rId61">
        <w:r>
          <w:rPr>
            <w:rFonts w:eastAsia="inter" w:cs="inter" w:ascii="inter" w:hAnsi="inter"/>
            <w:color w:val="#000"/>
            <w:sz w:val="18"/>
            <w:u w:val="single"/>
          </w:rPr>
          <w:t xml:space="preserve">https://hackernoon.com/blockchain-in-terms-of-philosophy-from-plato-to-foucault</w:t>
        </w:r>
      </w:hyperlink>
      <w:r>
        <w:rPr>
          <w:rFonts w:eastAsia="inter" w:cs="inter" w:ascii="inter" w:hAnsi="inter"/>
          <w:color w:val="000000"/>
          <w:sz w:val="18"/>
        </w:rPr>
        <w:t xml:space="preserve"> </w:t>
      </w:r>
    </w:p>
    <w:bookmarkStart w:id="81" w:name="fn50"/>
    <w:bookmarkEnd w:id="81"/>
    <w:p>
      <w:pPr>
        <w:numPr>
          <w:ilvl w:val="0"/>
          <w:numId w:val="7"/>
        </w:numPr>
        <w:spacing w:line="360" w:after="210" w:lineRule="auto"/>
      </w:pPr>
      <w:hyperlink r:id="rId62">
        <w:r>
          <w:rPr>
            <w:rFonts w:eastAsia="inter" w:cs="inter" w:ascii="inter" w:hAnsi="inter"/>
            <w:color w:val="#000"/>
            <w:sz w:val="18"/>
            <w:u w:val="single"/>
          </w:rPr>
          <w:t xml:space="preserve">https://www.cnas.org/press/press-note/noteworthy-biden-harris-artificial-intelligence-companies-risks-ai</w:t>
        </w:r>
      </w:hyperlink>
      <w:r>
        <w:rPr>
          <w:rFonts w:eastAsia="inter" w:cs="inter" w:ascii="inter" w:hAnsi="inter"/>
          <w:color w:val="000000"/>
          <w:sz w:val="18"/>
        </w:rPr>
        <w:t xml:space="preserve"> </w:t>
      </w:r>
    </w:p>
    <w:bookmarkStart w:id="82" w:name="fn51"/>
    <w:bookmarkEnd w:id="82"/>
    <w:p>
      <w:pPr>
        <w:numPr>
          <w:ilvl w:val="0"/>
          <w:numId w:val="7"/>
        </w:numPr>
        <w:spacing w:line="360" w:after="210" w:lineRule="auto"/>
      </w:pPr>
      <w:hyperlink r:id="rId63">
        <w:r>
          <w:rPr>
            <w:rFonts w:eastAsia="inter" w:cs="inter" w:ascii="inter" w:hAnsi="inter"/>
            <w:color w:val="#000"/>
            <w:sz w:val="18"/>
            <w:u w:val="single"/>
          </w:rPr>
          <w:t xml:space="preserve">https://dl.acm.org/doi/10.1145/3706598.3713510</w:t>
        </w:r>
      </w:hyperlink>
      <w:r>
        <w:rPr>
          <w:rFonts w:eastAsia="inter" w:cs="inter" w:ascii="inter" w:hAnsi="inter"/>
          <w:color w:val="000000"/>
          <w:sz w:val="18"/>
        </w:rPr>
        <w:t xml:space="preserve"> </w:t>
      </w:r>
    </w:p>
    <w:bookmarkStart w:id="83" w:name="fn52"/>
    <w:bookmarkEnd w:id="83"/>
    <w:p>
      <w:pPr>
        <w:numPr>
          <w:ilvl w:val="0"/>
          <w:numId w:val="7"/>
        </w:numPr>
        <w:spacing w:line="360" w:after="210" w:lineRule="auto"/>
      </w:pPr>
      <w:hyperlink r:id="rId64">
        <w:r>
          <w:rPr>
            <w:rFonts w:eastAsia="inter" w:cs="inter" w:ascii="inter" w:hAnsi="inter"/>
            <w:color w:val="#000"/>
            <w:sz w:val="18"/>
            <w:u w:val="single"/>
          </w:rPr>
          <w:t xml:space="preserve">https://fis.dshs-koeln.de/files/7567026/2021_HumanInSpace_Moscow.pdf</w:t>
        </w:r>
      </w:hyperlink>
      <w:r>
        <w:rPr>
          <w:rFonts w:eastAsia="inter" w:cs="inter" w:ascii="inter" w:hAnsi="inter"/>
          <w:color w:val="000000"/>
          <w:sz w:val="18"/>
        </w:rPr>
        <w:t xml:space="preserve"> </w:t>
      </w:r>
    </w:p>
    <w:bookmarkStart w:id="84" w:name="fn53"/>
    <w:bookmarkEnd w:id="84"/>
    <w:p>
      <w:pPr>
        <w:numPr>
          <w:ilvl w:val="0"/>
          <w:numId w:val="7"/>
        </w:numPr>
        <w:spacing w:line="360" w:after="210" w:lineRule="auto"/>
      </w:pPr>
      <w:hyperlink r:id="rId65">
        <w:r>
          <w:rPr>
            <w:rFonts w:eastAsia="inter" w:cs="inter" w:ascii="inter" w:hAnsi="inter"/>
            <w:color w:val="#000"/>
            <w:sz w:val="18"/>
            <w:u w:val="single"/>
          </w:rPr>
          <w:t xml:space="preserve">https://neuron.expert/news/a-group-of-seven-technology-leaders-agree-to-ai-safeguards-forbes/3515/en/</w:t>
        </w:r>
      </w:hyperlink>
      <w:r>
        <w:rPr>
          <w:rFonts w:eastAsia="inter" w:cs="inter" w:ascii="inter" w:hAnsi="inter"/>
          <w:color w:val="000000"/>
          <w:sz w:val="18"/>
        </w:rPr>
        <w:t xml:space="preserve"> </w:t>
      </w:r>
    </w:p>
    <w:bookmarkStart w:id="85" w:name="fn54"/>
    <w:bookmarkEnd w:id="85"/>
    <w:p>
      <w:pPr>
        <w:numPr>
          <w:ilvl w:val="0"/>
          <w:numId w:val="7"/>
        </w:numPr>
        <w:spacing w:line="360" w:after="210" w:lineRule="auto"/>
      </w:pPr>
      <w:hyperlink r:id="rId66">
        <w:r>
          <w:rPr>
            <w:rFonts w:eastAsia="inter" w:cs="inter" w:ascii="inter" w:hAnsi="inter"/>
            <w:color w:val="#000"/>
            <w:sz w:val="18"/>
            <w:u w:val="single"/>
          </w:rPr>
          <w:t xml:space="preserve">https://lanternstudios.com/how-we-work/responsible-ai/</w:t>
        </w:r>
      </w:hyperlink>
      <w:r>
        <w:rPr>
          <w:rFonts w:eastAsia="inter" w:cs="inter" w:ascii="inter" w:hAnsi="inter"/>
          <w:color w:val="000000"/>
          <w:sz w:val="18"/>
        </w:rPr>
        <w:t xml:space="preserve"> </w:t>
      </w:r>
    </w:p>
    <w:bookmarkStart w:id="86" w:name="fn55"/>
    <w:bookmarkEnd w:id="86"/>
    <w:p>
      <w:pPr>
        <w:numPr>
          <w:ilvl w:val="0"/>
          <w:numId w:val="7"/>
        </w:numPr>
        <w:spacing w:line="360" w:after="210" w:lineRule="auto"/>
      </w:pPr>
      <w:hyperlink r:id="rId67">
        <w:r>
          <w:rPr>
            <w:rFonts w:eastAsia="inter" w:cs="inter" w:ascii="inter" w:hAnsi="inter"/>
            <w:color w:val="#000"/>
            <w:sz w:val="18"/>
            <w:u w:val="single"/>
          </w:rPr>
          <w:t xml:space="preserve">https://uidp.org/3-minute-read-white-house-ai-action-plan-embracing-the-next-age-of-ai/</w:t>
        </w:r>
      </w:hyperlink>
      <w:r>
        <w:rPr>
          <w:rFonts w:eastAsia="inter" w:cs="inter" w:ascii="inter" w:hAnsi="inter"/>
          <w:color w:val="000000"/>
          <w:sz w:val="18"/>
        </w:rPr>
        <w:t xml:space="preserve"> </w:t>
      </w:r>
    </w:p>
    <w:bookmarkStart w:id="87" w:name="fn56"/>
    <w:bookmarkEnd w:id="87"/>
    <w:p>
      <w:pPr>
        <w:numPr>
          <w:ilvl w:val="0"/>
          <w:numId w:val="7"/>
        </w:numPr>
        <w:spacing w:line="360" w:after="210" w:lineRule="auto"/>
      </w:pPr>
      <w:hyperlink r:id="rId68">
        <w:r>
          <w:rPr>
            <w:rFonts w:eastAsia="inter" w:cs="inter" w:ascii="inter" w:hAnsi="inter"/>
            <w:color w:val="#000"/>
            <w:sz w:val="18"/>
            <w:u w:val="single"/>
          </w:rPr>
          <w:t xml:space="preserve">https://www.sciencedirect.com/science/article/pii/S0267364924000530</w:t>
        </w:r>
      </w:hyperlink>
      <w:r>
        <w:rPr>
          <w:rFonts w:eastAsia="inter" w:cs="inter" w:ascii="inter" w:hAnsi="inter"/>
          <w:color w:val="000000"/>
          <w:sz w:val="18"/>
        </w:rPr>
        <w:t xml:space="preserve"> </w:t>
      </w:r>
    </w:p>
    <w:bookmarkStart w:id="88" w:name="fn57"/>
    <w:bookmarkEnd w:id="88"/>
    <w:p>
      <w:pPr>
        <w:numPr>
          <w:ilvl w:val="0"/>
          <w:numId w:val="7"/>
        </w:numPr>
        <w:spacing w:line="360" w:after="210" w:lineRule="auto"/>
      </w:pPr>
      <w:hyperlink r:id="rId69">
        <w:r>
          <w:rPr>
            <w:rFonts w:eastAsia="inter" w:cs="inter" w:ascii="inter" w:hAnsi="inter"/>
            <w:color w:val="#000"/>
            <w:sz w:val="18"/>
            <w:u w:val="single"/>
          </w:rPr>
          <w:t xml:space="preserve">https://venturebeat.com/ai/ais-promise-of-opportunity-masks-a-reality-of-managed-displacement</w:t>
        </w:r>
      </w:hyperlink>
      <w:r>
        <w:rPr>
          <w:rFonts w:eastAsia="inter" w:cs="inter" w:ascii="inter" w:hAnsi="inter"/>
          <w:color w:val="000000"/>
          <w:sz w:val="18"/>
        </w:rPr>
        <w:t xml:space="preserve"> </w:t>
      </w:r>
    </w:p>
    <w:bookmarkStart w:id="89" w:name="fn58"/>
    <w:bookmarkEnd w:id="89"/>
    <w:p>
      <w:pPr>
        <w:numPr>
          <w:ilvl w:val="0"/>
          <w:numId w:val="7"/>
        </w:numPr>
        <w:spacing w:line="360" w:after="210" w:lineRule="auto"/>
      </w:pPr>
      <w:hyperlink r:id="rId70">
        <w:r>
          <w:rPr>
            <w:rFonts w:eastAsia="inter" w:cs="inter" w:ascii="inter" w:hAnsi="inter"/>
            <w:color w:val="#000"/>
            <w:sz w:val="18"/>
            <w:u w:val="single"/>
          </w:rPr>
          <w:t xml:space="preserve">https://www.lantern.ai</w:t>
        </w:r>
      </w:hyperlink>
      <w:r>
        <w:rPr>
          <w:rFonts w:eastAsia="inter" w:cs="inter" w:ascii="inter" w:hAnsi="inter"/>
          <w:color w:val="000000"/>
          <w:sz w:val="18"/>
        </w:rPr>
        <w:t xml:space="preserve"> </w:t>
      </w:r>
    </w:p>
    <w:bookmarkStart w:id="90" w:name="fn59"/>
    <w:bookmarkEnd w:id="90"/>
    <w:p>
      <w:pPr>
        <w:numPr>
          <w:ilvl w:val="0"/>
          <w:numId w:val="7"/>
        </w:numPr>
        <w:spacing w:line="360" w:after="210" w:lineRule="auto"/>
      </w:pPr>
      <w:hyperlink r:id="rId71">
        <w:r>
          <w:rPr>
            <w:rFonts w:eastAsia="inter" w:cs="inter" w:ascii="inter" w:hAnsi="inter"/>
            <w:color w:val="#000"/>
            <w:sz w:val="18"/>
            <w:u w:val="single"/>
          </w:rPr>
          <w:t xml:space="preserve">https://www.mckinsey.com/featured-insights/artificial-intelligence/the-promise-and-challenge-of-the-age-of-artificial-intelligence</w:t>
        </w:r>
      </w:hyperlink>
      <w:r>
        <w:rPr>
          <w:rFonts w:eastAsia="inter" w:cs="inter" w:ascii="inter" w:hAnsi="inter"/>
          <w:color w:val="000000"/>
          <w:sz w:val="18"/>
        </w:rPr>
        <w:t xml:space="preserve"> </w:t>
      </w:r>
    </w:p>
    <w:bookmarkStart w:id="91" w:name="fn60"/>
    <w:bookmarkEnd w:id="91"/>
    <w:p>
      <w:pPr>
        <w:numPr>
          <w:ilvl w:val="0"/>
          <w:numId w:val="7"/>
        </w:numPr>
        <w:spacing w:line="360" w:after="210" w:lineRule="auto"/>
      </w:pPr>
      <w:hyperlink r:id="rId72">
        <w:r>
          <w:rPr>
            <w:rFonts w:eastAsia="inter" w:cs="inter" w:ascii="inter" w:hAnsi="inter"/>
            <w:color w:val="#000"/>
            <w:sz w:val="18"/>
            <w:u w:val="single"/>
          </w:rPr>
          <w:t xml:space="preserve">https://sjud.senate.ca.gov/system/files/2025-07/ab-853-wicks-sjud-analysis.pdf</w:t>
        </w:r>
      </w:hyperlink>
      <w:r>
        <w:rPr>
          <w:rFonts w:eastAsia="inter" w:cs="inter" w:ascii="inter" w:hAnsi="inter"/>
          <w:color w:val="000000"/>
          <w:sz w:val="18"/>
        </w:rPr>
        <w:t xml:space="preserve"> </w:t>
      </w:r>
    </w:p>
    <w:bookmarkStart w:id="92" w:name="fn61"/>
    <w:bookmarkEnd w:id="92"/>
    <w:p>
      <w:pPr>
        <w:numPr>
          <w:ilvl w:val="0"/>
          <w:numId w:val="7"/>
        </w:numPr>
        <w:spacing w:line="360" w:after="210" w:lineRule="auto"/>
      </w:pPr>
      <w:hyperlink r:id="rId73">
        <w:r>
          <w:rPr>
            <w:rFonts w:eastAsia="inter" w:cs="inter" w:ascii="inter" w:hAnsi="inter"/>
            <w:color w:val="#000"/>
            <w:sz w:val="18"/>
            <w:u w:val="single"/>
          </w:rPr>
          <w:t xml:space="preserve">https://www.psychologytoday.com/us/blog/the-digital-self/202503/the-cognitive-covenant-partnering-with-ai-on-human-terms</w:t>
        </w:r>
      </w:hyperlink>
      <w:r>
        <w:rPr>
          <w:rFonts w:eastAsia="inter" w:cs="inter" w:ascii="inter" w:hAnsi="inter"/>
          <w:color w:val="000000"/>
          <w:sz w:val="18"/>
        </w:rPr>
        <w:t xml:space="preserve"> </w:t>
      </w:r>
    </w:p>
    <w:bookmarkStart w:id="93" w:name="fn62"/>
    <w:bookmarkEnd w:id="93"/>
    <w:p>
      <w:pPr>
        <w:numPr>
          <w:ilvl w:val="0"/>
          <w:numId w:val="7"/>
        </w:numPr>
        <w:spacing w:line="360" w:after="210" w:lineRule="auto"/>
      </w:pPr>
      <w:hyperlink r:id="rId74">
        <w:r>
          <w:rPr>
            <w:rFonts w:eastAsia="inter" w:cs="inter" w:ascii="inter" w:hAnsi="inter"/>
            <w:color w:val="#000"/>
            <w:sz w:val="18"/>
            <w:u w:val="single"/>
          </w:rPr>
          <w:t xml:space="preserve">https://aws.amazon.com/blogs/machine-learning/considerations-for-addressing-the-core-dimensions-of-responsible-ai-for-amazon-bedrock-applications/</w:t>
        </w:r>
      </w:hyperlink>
      <w:r>
        <w:rPr>
          <w:rFonts w:eastAsia="inter" w:cs="inter" w:ascii="inter" w:hAnsi="inter"/>
          <w:color w:val="000000"/>
          <w:sz w:val="18"/>
        </w:rPr>
        <w:t xml:space="preserve"> </w:t>
      </w:r>
    </w:p>
    <w:bookmarkStart w:id="94" w:name="fn63"/>
    <w:bookmarkEnd w:id="94"/>
    <w:p>
      <w:pPr>
        <w:numPr>
          <w:ilvl w:val="0"/>
          <w:numId w:val="7"/>
        </w:numPr>
        <w:spacing w:line="360" w:after="210" w:lineRule="auto"/>
      </w:pPr>
      <w:hyperlink r:id="rId75">
        <w:r>
          <w:rPr>
            <w:rFonts w:eastAsia="inter" w:cs="inter" w:ascii="inter" w:hAnsi="inter"/>
            <w:color w:val="#000"/>
            <w:sz w:val="18"/>
            <w:u w:val="single"/>
          </w:rPr>
          <w:t xml:space="preserve">https://jamanetwork.com/journals/jamanetworkopen/fullarticle/2830390</w:t>
        </w:r>
      </w:hyperlink>
      <w:r>
        <w:rPr>
          <w:rFonts w:eastAsia="inter" w:cs="inter" w:ascii="inter" w:hAnsi="inter"/>
          <w:color w:val="000000"/>
          <w:sz w:val="18"/>
        </w:rPr>
        <w:t xml:space="preserve"> </w:t>
      </w:r>
    </w:p>
    <w:sectPr>
      <w:pgSz w:w="12240" w:h="15840" w:orient="portrait"/>
      <w:pgMar w:top="1365" w:right="1365" w:bottom="1365" w:left="1365"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inter">
    <w:family w:val="auto"/>
    <w:pitch w:val="variable"/>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
    <w:multiLevelType w:val="hybridMultilevel"/>
  </w:abstractNum>
  <w:abstractNum w:abstractNumId="7">
    <w:multiLevelType w:val="hybridMultilevel"/>
    <w:lvl w:ilvl="0">
      <w:start w:val="1"/>
      <w:numFmt w:val="decimal"/>
      <w:lvlText w:val="%1."/>
      <w:lvlJc w:val="left"/>
      <w:pPr>
        <w:tabs>
          <w:tab w:val="num" w:pos="900"/>
        </w:tabs>
        <w:ind w:left="54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1"/>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1"/>
      <w:szCs w:val="22"/>
      <w:lang w:val="en-US" w:eastAsia="en-US" w:bidi="ar-SA"/>
    </w:rPr>
  </w:style>
  <w:style w:type="character" w:customStyle="1" w:styleId="VerbatimChar">
    <w:name w:val="Verbatim Char"/>
    <w:basedOn w:val="BodyTextChar"/>
    <w:rPr>
      <w:rFonts w:ascii="Consolas" w:hAnsi="Consolas"/>
      <w:sz w:val="22"/>
    </w:r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404ce151cf6f3ac340c77c2f6f216e9a00725f88.png" TargetMode="Internal"/><Relationship Id="rId6" Type="http://schemas.openxmlformats.org/officeDocument/2006/relationships/image" Target="media/image-0c33bdb904e1359506e23711d33bdb47558e10cc.jpg" TargetMode="Internal"/><Relationship Id="rId7" Type="http://schemas.openxmlformats.org/officeDocument/2006/relationships/image" Target="media/image-e8b91af3edd920867a7682eba4aefb651265bb6e.png" TargetMode="Internal"/><Relationship Id="rId8" Type="http://schemas.openxmlformats.org/officeDocument/2006/relationships/image" Target="media/image-5e81e9334a4aea0ebe604645feaa09f30bd4a68a.png" TargetMode="Internal"/><Relationship Id="rId9" Type="http://schemas.openxmlformats.org/officeDocument/2006/relationships/image" Target="media/image-d1da44cac1431f6115aaf628d00b215fb3952925.png" TargetMode="Internal"/><Relationship Id="rId10" Type="http://schemas.openxmlformats.org/officeDocument/2006/relationships/image" Target="media/image-2d17180d3f3476bc51deb54c3c804f48f64c5afd.jpg" TargetMode="Internal"/><Relationship Id="rId11" Type="http://schemas.openxmlformats.org/officeDocument/2006/relationships/image" Target="media/image-80c5381660fb483abf3ace39a62b23cf740f13d4.png" TargetMode="Internal"/><Relationship Id="rId12" Type="http://schemas.openxmlformats.org/officeDocument/2006/relationships/image" Target="media/image-a3bc1c27a65fe6bf80723192dc6c7eef0d3d2696.png" TargetMode="Internal"/><Relationship Id="rId13" Type="http://schemas.openxmlformats.org/officeDocument/2006/relationships/hyperlink" Target="https://www.mexc.com/news/how-a-terminal-diagnosis-inspired-a-new-ethical-ai-system/68113" TargetMode="External"/><Relationship Id="rId14" Type="http://schemas.openxmlformats.org/officeDocument/2006/relationships/hyperlink" Target="https://dev.to/lev_goukassian_5fe7ea654a/sacred-pause-a-third-state-for-ai-accountability-49mm" TargetMode="External"/><Relationship Id="rId15" Type="http://schemas.openxmlformats.org/officeDocument/2006/relationships/hyperlink" Target="https://dev.to/lev_goukassian_5fe7ea654a/i-gave-my-ai-a-conscience-in-3-lines-of-code-the-sacred-pause-pattern-dj0" TargetMode="External"/><Relationship Id="rId16" Type="http://schemas.openxmlformats.org/officeDocument/2006/relationships/hyperlink" Target="https://dev.to/lev_goukassian_5fe7ea654a/-aihb-giving-ai-a-heartbeat-through-sprl-4ac5" TargetMode="External"/><Relationship Id="rId17" Type="http://schemas.openxmlformats.org/officeDocument/2006/relationships/hyperlink" Target="https://fractonicmind.github.io/TernaryLogic/" TargetMode="External"/><Relationship Id="rId18" Type="http://schemas.openxmlformats.org/officeDocument/2006/relationships/hyperlink" Target="https://hackernoon.com/about/lev-goukassian" TargetMode="External"/><Relationship Id="rId19" Type="http://schemas.openxmlformats.org/officeDocument/2006/relationships/hyperlink" Target="https://fractonicmind.github.io/TernaryMoralLogic/" TargetMode="External"/><Relationship Id="rId20" Type="http://schemas.openxmlformats.org/officeDocument/2006/relationships/hyperlink" Target="https://openknowledge.nau.edu/id/eprint/6013/" TargetMode="External"/><Relationship Id="rId21" Type="http://schemas.openxmlformats.org/officeDocument/2006/relationships/hyperlink" Target="https://www.arxiv.org/pdf/2508.01332.pdf" TargetMode="External"/><Relationship Id="rId22" Type="http://schemas.openxmlformats.org/officeDocument/2006/relationships/hyperlink" Target="https://hackernoon.com/how-a-terminal-diagnosis-inspired-a-new-ethical-ai-system" TargetMode="External"/><Relationship Id="rId23" Type="http://schemas.openxmlformats.org/officeDocument/2006/relationships/hyperlink" Target="https://ai4people.org/PDF/AI4People_Ethical_Framework_For_A_Good_AI_Society.pdf" TargetMode="External"/><Relationship Id="rId24" Type="http://schemas.openxmlformats.org/officeDocument/2006/relationships/hyperlink" Target="https://www.frontiersin.org/journals/artificial-intelligence/articles/10.3389/frai.2025.1619029/full" TargetMode="External"/><Relationship Id="rId25" Type="http://schemas.openxmlformats.org/officeDocument/2006/relationships/hyperlink" Target="https://hackernoon.com/lang/so/sida-loo-yaqaan-%22terminal-diagnosis%22-waxay-ku-dhigi-karaa-nidaamka-ai-ah-ee-new-ethical" TargetMode="External"/><Relationship Id="rId26" Type="http://schemas.openxmlformats.org/officeDocument/2006/relationships/hyperlink" Target="https://www.alvarezandmarsal.com/insights/ai-ethics-part-two-ai-framework-best-practices" TargetMode="External"/><Relationship Id="rId27" Type="http://schemas.openxmlformats.org/officeDocument/2006/relationships/hyperlink" Target="https://hackernoon.com/lang/ja/%E3%82%BF%E3%83%BC%E3%83%9F%E3%83%8A%E3%83%AB%E8%A8%BA%E6%96%AD%E3%81%8C%E6%96%B0%E3%81%97%E3%81%84%E5%80%AB%E7%90%86%E7%9A%84%E3%81%AAai%E3%82%B7%E3%82%B9%E3%83%86%E3%83%A0%E3%82%92%E3%82%A4%E3%83%B3%E3%82%B9%E3%83%94%E3%83%AC%E3%83%BC%E3%82%B7%E3%83%A7%E3%83%B3%E3%81%97%E3%81%9F%E6%96%B9%E6%B3%95" TargetMode="External"/><Relationship Id="rId28" Type="http://schemas.openxmlformats.org/officeDocument/2006/relationships/hyperlink" Target="https://www.sciencedirect.com/science/article/pii/S0963868724000672" TargetMode="External"/><Relationship Id="rId29" Type="http://schemas.openxmlformats.org/officeDocument/2006/relationships/hyperlink" Target="https://www.sciencedirect.com/science/article/pii/S2772906024005065" TargetMode="External"/><Relationship Id="rId30" Type="http://schemas.openxmlformats.org/officeDocument/2006/relationships/hyperlink" Target="https://github.com/FractonicMind/TernaryMoralLogic" TargetMode="External"/><Relationship Id="rId31" Type="http://schemas.openxmlformats.org/officeDocument/2006/relationships/hyperlink" Target="https://genai.calstate.edu/communities/faculty/ethical-and-responsible-use-ai/ethical-principles-ai-framework-higher-education" TargetMode="External"/><Relationship Id="rId32" Type="http://schemas.openxmlformats.org/officeDocument/2006/relationships/hyperlink" Target="https://www.sciencedirect.com/science/article/pii/S0040162523001877" TargetMode="External"/><Relationship Id="rId33" Type="http://schemas.openxmlformats.org/officeDocument/2006/relationships/hyperlink" Target="https://www.mexc.co/en-IN/news/how-a-terminal-diagnosis-inspired-a-new-ethical-ai-system/68113" TargetMode="External"/><Relationship Id="rId34" Type="http://schemas.openxmlformats.org/officeDocument/2006/relationships/hyperlink" Target="https://www.mexc.co/hi-IN/news/how-a-terminal-diagnosis-inspired-a-new-ethical-ai-system/68113" TargetMode="External"/><Relationship Id="rId35" Type="http://schemas.openxmlformats.org/officeDocument/2006/relationships/hyperlink" Target="https://www.cybersecurity-now.co.uk/article/245283/how-a-terminal-diagnosis-inspired-a-new-ethical-ai-system" TargetMode="External"/><Relationship Id="rId36" Type="http://schemas.openxmlformats.org/officeDocument/2006/relationships/hyperlink" Target="https://www.certinal.com/blog/navigating-ethical-dilemmas-how-certinal-is-pioneering-ethical-ai-powered-e-signatures" TargetMode="External"/><Relationship Id="rId37" Type="http://schemas.openxmlformats.org/officeDocument/2006/relationships/hyperlink" Target="https://in.nau.edu/wp-content/uploads/sites/223/2019/11/Key-Exchange-using-Ternary-System-to-Enhance-Security.pdf" TargetMode="External"/><Relationship Id="rId38" Type="http://schemas.openxmlformats.org/officeDocument/2006/relationships/hyperlink" Target="https://www.policingproject.org/axon-alpr" TargetMode="External"/><Relationship Id="rId39" Type="http://schemas.openxmlformats.org/officeDocument/2006/relationships/hyperlink" Target="https://portal.research.lu.se/files/5271313/3159359.pdf" TargetMode="External"/><Relationship Id="rId40" Type="http://schemas.openxmlformats.org/officeDocument/2006/relationships/hyperlink" Target="https://standards.ieee.org/products-programs/icap/ieee-certifaied/" TargetMode="External"/><Relationship Id="rId41" Type="http://schemas.openxmlformats.org/officeDocument/2006/relationships/hyperlink" Target="https://pmc.ncbi.nlm.nih.gov/articles/PMC11428753/" TargetMode="External"/><Relationship Id="rId42" Type="http://schemas.openxmlformats.org/officeDocument/2006/relationships/hyperlink" Target="https://standards.ieee.org/products-programs/icap/ieee-certifaied/professional-certification/" TargetMode="External"/><Relationship Id="rId43" Type="http://schemas.openxmlformats.org/officeDocument/2006/relationships/hyperlink" Target="https://www.clemson.edu/brand/application/ai-guidelines.html" TargetMode="External"/><Relationship Id="rId44" Type="http://schemas.openxmlformats.org/officeDocument/2006/relationships/hyperlink" Target="https://github.com/topics/sacred-pause" TargetMode="External"/><Relationship Id="rId45" Type="http://schemas.openxmlformats.org/officeDocument/2006/relationships/hyperlink" Target="https://orbit.dtu.dk/files/257296437/1906.01645.pdf" TargetMode="External"/><Relationship Id="rId46" Type="http://schemas.openxmlformats.org/officeDocument/2006/relationships/hyperlink" Target="https://magai.co/ethical-considerations-when-using-generative-ai/" TargetMode="External"/><Relationship Id="rId47" Type="http://schemas.openxmlformats.org/officeDocument/2006/relationships/hyperlink" Target="https://repos.ecosyste.ms/topics/sacred-pause" TargetMode="External"/><Relationship Id="rId48" Type="http://schemas.openxmlformats.org/officeDocument/2006/relationships/hyperlink" Target="https://dailycampus.com/2025/09/11/regulatory-licensing-system-for-ai-usage/" TargetMode="External"/><Relationship Id="rId49" Type="http://schemas.openxmlformats.org/officeDocument/2006/relationships/hyperlink" Target="https://www.cambridge.org/core/books/law-ethics-and-the-visual-arts/art-freedom-of-expression-and-the-government/38AF2381B8D5C395E6950479448F8DB4" TargetMode="External"/><Relationship Id="rId50" Type="http://schemas.openxmlformats.org/officeDocument/2006/relationships/hyperlink" Target="https://web.stanford.edu/group/scpnt/gpslab/pubs/papers/Neish_2018_IONITM_QuantumResistantAuthenticationUpdated.pdf" TargetMode="External"/><Relationship Id="rId51" Type="http://schemas.openxmlformats.org/officeDocument/2006/relationships/hyperlink" Target="https://dukakis.org/shaping-futures/operationalizing-ai-ethics-from-principles-to-practice/" TargetMode="External"/><Relationship Id="rId52" Type="http://schemas.openxmlformats.org/officeDocument/2006/relationships/hyperlink" Target="https://three.jsc.nasa.gov/Bibliography" TargetMode="External"/><Relationship Id="rId53" Type="http://schemas.openxmlformats.org/officeDocument/2006/relationships/hyperlink" Target="https://www.prove.com/blog/what-is-cryptographic-authentication-why-are-leading-companies-moving-away-from-risk-based-authentication" TargetMode="External"/><Relationship Id="rId54" Type="http://schemas.openxmlformats.org/officeDocument/2006/relationships/hyperlink" Target="https://pure.uva.nl/ws/files/1576255/51748_proefschrift.pdf" TargetMode="External"/><Relationship Id="rId55" Type="http://schemas.openxmlformats.org/officeDocument/2006/relationships/hyperlink" Target="https://www.cs.yale.edu/cybertrust08/posters/posters/108_career08.pdf" TargetMode="External"/><Relationship Id="rId56" Type="http://schemas.openxmlformats.org/officeDocument/2006/relationships/hyperlink" Target="https://onlinelibrary.wiley.com/doi/10.1002/lsm.22023" TargetMode="External"/><Relationship Id="rId57" Type="http://schemas.openxmlformats.org/officeDocument/2006/relationships/hyperlink" Target="https://mdpi-res.com/bookfiles/book/752/Nutraceuticals_and_the_Skin_Roles_in_Health_and_Disease.pdf?v=1750899690" TargetMode="External"/><Relationship Id="rId58" Type="http://schemas.openxmlformats.org/officeDocument/2006/relationships/hyperlink" Target="https://bidenwhitehouse.archives.gov/wp-content/uploads/2023/07/Ensuring-Safe-Secure-and-Trustworthy-AI.pdf" TargetMode="External"/><Relationship Id="rId59" Type="http://schemas.openxmlformats.org/officeDocument/2006/relationships/hyperlink" Target="https://magai.co/how-to-ensure-accountability-in-ai-text/" TargetMode="External"/><Relationship Id="rId60" Type="http://schemas.openxmlformats.org/officeDocument/2006/relationships/hyperlink" Target="https://lewisbrisbois.com/newsroom/legal-alerts/white-house-announces-voluntary-commitments-of-leading-artificial-intelligence-companies" TargetMode="External"/><Relationship Id="rId61" Type="http://schemas.openxmlformats.org/officeDocument/2006/relationships/hyperlink" Target="https://hackernoon.com/blockchain-in-terms-of-philosophy-from-plato-to-foucault" TargetMode="External"/><Relationship Id="rId62" Type="http://schemas.openxmlformats.org/officeDocument/2006/relationships/hyperlink" Target="https://www.cnas.org/press/press-note/noteworthy-biden-harris-artificial-intelligence-companies-risks-ai" TargetMode="External"/><Relationship Id="rId63" Type="http://schemas.openxmlformats.org/officeDocument/2006/relationships/hyperlink" Target="https://dl.acm.org/doi/10.1145/3706598.3713510" TargetMode="External"/><Relationship Id="rId64" Type="http://schemas.openxmlformats.org/officeDocument/2006/relationships/hyperlink" Target="https://fis.dshs-koeln.de/files/7567026/2021_HumanInSpace_Moscow.pdf" TargetMode="External"/><Relationship Id="rId65" Type="http://schemas.openxmlformats.org/officeDocument/2006/relationships/hyperlink" Target="https://neuron.expert/news/a-group-of-seven-technology-leaders-agree-to-ai-safeguards-forbes/3515/en/" TargetMode="External"/><Relationship Id="rId66" Type="http://schemas.openxmlformats.org/officeDocument/2006/relationships/hyperlink" Target="https://lanternstudios.com/how-we-work/responsible-ai/" TargetMode="External"/><Relationship Id="rId67" Type="http://schemas.openxmlformats.org/officeDocument/2006/relationships/hyperlink" Target="https://uidp.org/3-minute-read-white-house-ai-action-plan-embracing-the-next-age-of-ai/" TargetMode="External"/><Relationship Id="rId68" Type="http://schemas.openxmlformats.org/officeDocument/2006/relationships/hyperlink" Target="https://www.sciencedirect.com/science/article/pii/S0267364924000530" TargetMode="External"/><Relationship Id="rId69" Type="http://schemas.openxmlformats.org/officeDocument/2006/relationships/hyperlink" Target="https://venturebeat.com/ai/ais-promise-of-opportunity-masks-a-reality-of-managed-displacement" TargetMode="External"/><Relationship Id="rId70" Type="http://schemas.openxmlformats.org/officeDocument/2006/relationships/hyperlink" Target="https://www.lantern.ai" TargetMode="External"/><Relationship Id="rId71" Type="http://schemas.openxmlformats.org/officeDocument/2006/relationships/hyperlink" Target="https://www.mckinsey.com/featured-insights/artificial-intelligence/the-promise-and-challenge-of-the-age-of-artificial-intelligence" TargetMode="External"/><Relationship Id="rId72" Type="http://schemas.openxmlformats.org/officeDocument/2006/relationships/hyperlink" Target="https://sjud.senate.ca.gov/system/files/2025-07/ab-853-wicks-sjud-analysis.pdf" TargetMode="External"/><Relationship Id="rId73" Type="http://schemas.openxmlformats.org/officeDocument/2006/relationships/hyperlink" Target="https://www.psychologytoday.com/us/blog/the-digital-self/202503/the-cognitive-covenant-partnering-with-ai-on-human-terms" TargetMode="External"/><Relationship Id="rId74" Type="http://schemas.openxmlformats.org/officeDocument/2006/relationships/hyperlink" Target="https://aws.amazon.com/blogs/machine-learning/considerations-for-addressing-the-core-dimensions-of-responsible-ai-for-amazon-bedrock-applications/" TargetMode="External"/><Relationship Id="rId75" Type="http://schemas.openxmlformats.org/officeDocument/2006/relationships/hyperlink" Target="https://jamanetwork.com/journals/jamanetworkopen/fullarticle/2830390" TargetMode="Ex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2025-09-18T08:34:05.776Z</dcterms:created>
  <dcterms:modified xsi:type="dcterms:W3CDTF">2025-09-18T08:34:05.776Z</dcterms:modified>
</cp:coreProperties>
</file>