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l7x3tx7ral1a" w:id="0"/>
      <w:bookmarkEnd w:id="0"/>
      <w:r w:rsidDel="00000000" w:rsidR="00000000" w:rsidRPr="00000000">
        <w:rPr>
          <w:b w:val="1"/>
          <w:bCs w:val="1"/>
          <w:sz w:val="46"/>
          <w:szCs w:val="46"/>
          <w:rtl w:val="0"/>
        </w:rPr>
        <w:t xml:space="preserve">THE CONSTITUTIONAL ARCHITECTURE OF ASSURED GOVERNANCE</w:t>
      </w:r>
    </w:p>
    <w:p w:rsidR="00000000" w:rsidDel="00000000" w:rsidP="00000000" w:rsidRDefault="00000000" w:rsidRPr="00000000" w14:paraId="00000002">
      <w:pPr>
        <w:pStyle w:val="Heading2"/>
        <w:spacing w:after="0" w:before="200" w:line="180" w:lineRule="auto"/>
        <w:jc w:val="center"/>
        <w:rPr/>
      </w:pPr>
      <w:bookmarkStart w:colFirst="0" w:colLast="0" w:name="_dgylm9sw2va9" w:id="1"/>
      <w:bookmarkEnd w:id="1"/>
      <w:r w:rsidDel="00000000" w:rsidR="00000000" w:rsidRPr="00000000">
        <w:rPr>
          <w:b w:val="1"/>
          <w:bCs w:val="1"/>
          <w:i w:val="1"/>
          <w:iCs w:val="1"/>
          <w:sz w:val="20"/>
          <w:szCs w:val="20"/>
          <w:rtl w:val="0"/>
        </w:rPr>
        <w:t xml:space="preserve">A governance kernel: activation constitutes acceptance </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jc w:val="center"/>
        <w:rPr>
          <w:b w:val="1"/>
          <w:bCs w:val="1"/>
          <w:sz w:val="34"/>
          <w:szCs w:val="34"/>
        </w:rPr>
      </w:pPr>
      <w:bookmarkStart w:colFirst="0" w:colLast="0" w:name="_b17m272yx0u7" w:id="2"/>
      <w:bookmarkEnd w:id="2"/>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center"/>
        <w:rPr>
          <w:b w:val="1"/>
          <w:bCs w:val="1"/>
          <w:sz w:val="34"/>
          <w:szCs w:val="34"/>
        </w:rPr>
      </w:pPr>
      <w:bookmarkStart w:colFirst="0" w:colLast="0" w:name="_jfq9qcmhc5up" w:id="3"/>
      <w:bookmarkEnd w:id="3"/>
      <w:r w:rsidDel="00000000" w:rsidR="00000000" w:rsidRPr="00000000">
        <w:rPr>
          <w:b w:val="1"/>
          <w:bCs w:val="1"/>
          <w:sz w:val="34"/>
          <w:szCs w:val="34"/>
          <w:rtl w:val="0"/>
        </w:rPr>
        <w:t xml:space="preserve">Ternary Logic as a Sovereign, Evidentiary Triadic Framework for Global Economic Systems</w:t>
      </w:r>
    </w:p>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TECHNICAL STANDARD AND RESEARCH MONOGRAPH</w:t>
      </w:r>
    </w:p>
    <w:p w:rsidR="00000000" w:rsidDel="00000000" w:rsidP="00000000" w:rsidRDefault="00000000" w:rsidRPr="00000000" w14:paraId="00000006">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7">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8">
      <w:pPr>
        <w:spacing w:after="240" w:before="240" w:lineRule="auto"/>
        <w:jc w:val="center"/>
        <w:rPr>
          <w:b w:val="1"/>
          <w:bCs w:val="1"/>
        </w:rPr>
      </w:pPr>
      <w:r w:rsidDel="00000000" w:rsidR="00000000" w:rsidRPr="00000000">
        <w:rPr>
          <w:b w:val="1"/>
          <w:bCs w:val="1"/>
          <w:rtl w:val="0"/>
        </w:rPr>
        <w:t xml:space="preserve">Version 2.0</w:t>
      </w:r>
      <w:r w:rsidDel="00000000" w:rsidR="00000000" w:rsidRPr="00000000">
        <w:rPr>
          <w:rtl w:val="0"/>
        </w:rPr>
        <w:t xml:space="preserve">, </w:t>
      </w:r>
      <w:r w:rsidDel="00000000" w:rsidR="00000000" w:rsidRPr="00000000">
        <w:rPr>
          <w:b w:val="1"/>
          <w:bCs w:val="1"/>
          <w:rtl w:val="0"/>
        </w:rPr>
        <w:t xml:space="preserve">May 2026</w:t>
      </w:r>
    </w:p>
    <w:p w:rsidR="00000000" w:rsidDel="00000000" w:rsidP="00000000" w:rsidRDefault="00000000" w:rsidRPr="00000000" w14:paraId="00000009">
      <w:pPr>
        <w:spacing w:after="240" w:before="240" w:lineRule="auto"/>
        <w:jc w:val="center"/>
        <w:rPr>
          <w:b w:val="1"/>
          <w:bCs w:val="1"/>
        </w:rPr>
      </w:pPr>
      <w:r w:rsidDel="00000000" w:rsidR="00000000" w:rsidRPr="00000000">
        <w:rPr>
          <w:b w:val="1"/>
          <w:bCs w:val="1"/>
          <w:rtl w:val="0"/>
        </w:rPr>
        <w:t xml:space="preserve">Author: Lev Goukassian</w:t>
      </w:r>
    </w:p>
    <w:p w:rsidR="00000000" w:rsidDel="00000000" w:rsidP="00000000" w:rsidRDefault="00000000" w:rsidRPr="00000000" w14:paraId="0000000A">
      <w:pPr>
        <w:spacing w:after="240" w:before="240" w:lineRule="auto"/>
        <w:jc w:val="center"/>
        <w:rPr>
          <w:b w:val="1"/>
          <w:bCs w:val="1"/>
          <w:color w:val="1155cc"/>
          <w:u w:val="single"/>
        </w:rPr>
      </w:pPr>
      <w:r w:rsidDel="00000000" w:rsidR="00000000" w:rsidRPr="00000000">
        <w:rPr>
          <w:b w:val="1"/>
          <w:bCs w:val="1"/>
          <w:rtl w:val="0"/>
        </w:rPr>
        <w:t xml:space="preserve">ORCID:</w:t>
      </w:r>
      <w:hyperlink r:id="rId6">
        <w:r w:rsidDel="00000000" w:rsidR="00000000" w:rsidRPr="00000000">
          <w:rPr>
            <w:b w:val="1"/>
            <w:bCs w:val="1"/>
            <w:rtl w:val="0"/>
          </w:rPr>
          <w:t xml:space="preserve"> </w:t>
        </w:r>
      </w:hyperlink>
      <w:hyperlink r:id="rId7">
        <w:r w:rsidDel="00000000" w:rsidR="00000000" w:rsidRPr="00000000">
          <w:rPr>
            <w:b w:val="1"/>
            <w:bCs w:val="1"/>
            <w:color w:val="1155cc"/>
            <w:u w:val="single"/>
            <w:rtl w:val="0"/>
          </w:rPr>
          <w:t xml:space="preserve">0009-0006-5966-1243</w:t>
        </w:r>
      </w:hyperlink>
      <w:r w:rsidDel="00000000" w:rsidR="00000000" w:rsidRPr="00000000">
        <w:rPr>
          <w:rtl w:val="0"/>
        </w:rPr>
      </w:r>
    </w:p>
    <w:p w:rsidR="00000000" w:rsidDel="00000000" w:rsidP="00000000" w:rsidRDefault="00000000" w:rsidRPr="00000000" w14:paraId="0000000B">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C">
      <w:pPr>
        <w:spacing w:after="240" w:before="240" w:lineRule="auto"/>
        <w:jc w:val="center"/>
        <w:rPr>
          <w:b w:val="1"/>
          <w:bCs w:val="1"/>
          <w:color w:val="1155cc"/>
          <w:u w:val="single"/>
        </w:rPr>
      </w:pPr>
      <w:r w:rsidDel="00000000" w:rsidR="00000000" w:rsidRPr="00000000">
        <w:rPr>
          <w:b w:val="1"/>
          <w:bCs w:val="1"/>
          <w:rtl w:val="0"/>
        </w:rPr>
        <w:t xml:space="preserve">Repository:</w:t>
      </w:r>
      <w:hyperlink r:id="rId8">
        <w:r w:rsidDel="00000000" w:rsidR="00000000" w:rsidRPr="00000000">
          <w:rPr>
            <w:rtl w:val="0"/>
          </w:rPr>
          <w:t xml:space="preserve"> </w:t>
        </w:r>
      </w:hyperlink>
      <w:hyperlink r:id="rId9">
        <w:r w:rsidDel="00000000" w:rsidR="00000000" w:rsidRPr="00000000">
          <w:rPr>
            <w:b w:val="1"/>
            <w:bCs w:val="1"/>
            <w:color w:val="1155cc"/>
            <w:u w:val="single"/>
            <w:rtl w:val="0"/>
          </w:rPr>
          <w:t xml:space="preserve">FractonicMind/TernaryLogic</w:t>
        </w:r>
      </w:hyperlink>
      <w:r w:rsidDel="00000000" w:rsidR="00000000" w:rsidRPr="00000000">
        <w:rPr>
          <w:rtl w:val="0"/>
        </w:rPr>
      </w:r>
    </w:p>
    <w:p w:rsidR="00000000" w:rsidDel="00000000" w:rsidP="00000000" w:rsidRDefault="00000000" w:rsidRPr="00000000" w14:paraId="0000000D">
      <w:pPr>
        <w:spacing w:after="240" w:before="240" w:lineRule="auto"/>
        <w:jc w:val="center"/>
        <w:rPr>
          <w:b w:val="1"/>
          <w:bCs w:val="1"/>
          <w:color w:val="1155cc"/>
          <w:u w:val="single"/>
        </w:rPr>
      </w:pPr>
      <w:r w:rsidDel="00000000" w:rsidR="00000000" w:rsidRPr="00000000">
        <w:rPr>
          <w:b w:val="1"/>
          <w:bCs w:val="1"/>
          <w:rtl w:val="0"/>
        </w:rPr>
        <w:t xml:space="preserve">DOI:</w:t>
      </w:r>
      <w:hyperlink r:id="rId10">
        <w:r w:rsidDel="00000000" w:rsidR="00000000" w:rsidRPr="00000000">
          <w:rPr>
            <w:b w:val="1"/>
            <w:bCs w:val="1"/>
            <w:rtl w:val="0"/>
          </w:rPr>
          <w:t xml:space="preserve"> </w:t>
        </w:r>
      </w:hyperlink>
      <w:hyperlink r:id="rId11">
        <w:r w:rsidDel="00000000" w:rsidR="00000000" w:rsidRPr="00000000">
          <w:rPr>
            <w:b w:val="1"/>
            <w:bCs w:val="1"/>
            <w:color w:val="1155cc"/>
            <w:u w:val="single"/>
            <w:rtl w:val="0"/>
          </w:rPr>
          <w:t xml:space="preserve">10.1007/s43681-026-01124-0</w:t>
        </w:r>
      </w:hyperlink>
      <w:r w:rsidDel="00000000" w:rsidR="00000000" w:rsidRPr="00000000">
        <w:rPr>
          <w:rtl w:val="0"/>
        </w:rPr>
      </w:r>
    </w:p>
    <w:p w:rsidR="00000000" w:rsidDel="00000000" w:rsidP="00000000" w:rsidRDefault="00000000" w:rsidRPr="00000000" w14:paraId="0000000E">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F">
      <w:pPr>
        <w:spacing w:after="240" w:before="240" w:lineRule="auto"/>
        <w:jc w:val="center"/>
        <w:rPr/>
      </w:pPr>
      <w:r w:rsidDel="00000000" w:rsidR="00000000" w:rsidRPr="00000000">
        <w:rPr>
          <w:b w:val="1"/>
          <w:bCs w:val="1"/>
          <w:rtl w:val="0"/>
        </w:rPr>
        <w:t xml:space="preserve">Document Classification:</w:t>
      </w:r>
      <w:r w:rsidDel="00000000" w:rsidR="00000000" w:rsidRPr="00000000">
        <w:rPr>
          <w:rtl w:val="0"/>
        </w:rPr>
        <w:t xml:space="preserve"> Sovereign-Grade Governance Specification</w:t>
      </w:r>
    </w:p>
    <w:p w:rsidR="00000000" w:rsidDel="00000000" w:rsidP="00000000" w:rsidRDefault="00000000" w:rsidRPr="00000000" w14:paraId="00000010">
      <w:pPr>
        <w:spacing w:after="240" w:before="240" w:lineRule="auto"/>
        <w:jc w:val="center"/>
        <w:rPr/>
      </w:pPr>
      <w:r w:rsidDel="00000000" w:rsidR="00000000" w:rsidRPr="00000000">
        <w:rPr>
          <w:b w:val="1"/>
          <w:bCs w:val="1"/>
          <w:rtl w:val="0"/>
        </w:rPr>
        <w:t xml:space="preserve">Framework:</w:t>
      </w:r>
      <w:r w:rsidDel="00000000" w:rsidR="00000000" w:rsidRPr="00000000">
        <w:rPr>
          <w:rtl w:val="0"/>
        </w:rPr>
        <w:t xml:space="preserve"> Ternary Logic (TL)</w:t>
      </w:r>
    </w:p>
    <w:p w:rsidR="00000000" w:rsidDel="00000000" w:rsidP="00000000" w:rsidRDefault="00000000" w:rsidRPr="00000000" w14:paraId="00000011">
      <w:pPr>
        <w:spacing w:after="240" w:before="240" w:lineRule="auto"/>
        <w:jc w:val="center"/>
        <w:rPr/>
      </w:pPr>
      <w:r w:rsidDel="00000000" w:rsidR="00000000" w:rsidRPr="00000000">
        <w:rPr>
          <w:b w:val="1"/>
          <w:bCs w:val="1"/>
          <w:rtl w:val="0"/>
        </w:rPr>
        <w:t xml:space="preserve">Build:</w:t>
      </w:r>
      <w:r w:rsidDel="00000000" w:rsidR="00000000" w:rsidRPr="00000000">
        <w:rPr>
          <w:rtl w:val="0"/>
        </w:rPr>
        <w:t xml:space="preserve"> 2.0.0-tl-monograph-2026</w:t>
      </w:r>
    </w:p>
    <w:p w:rsidR="00000000" w:rsidDel="00000000" w:rsidP="00000000" w:rsidRDefault="00000000" w:rsidRPr="00000000" w14:paraId="00000012">
      <w:pPr>
        <w:spacing w:after="240" w:before="240" w:lineRule="auto"/>
        <w:jc w:val="center"/>
        <w:rPr>
          <w:i w:val="1"/>
          <w:iCs w:val="1"/>
        </w:rPr>
      </w:pPr>
      <w:r w:rsidDel="00000000" w:rsidR="00000000" w:rsidRPr="00000000">
        <w:rPr>
          <w:rtl w:val="0"/>
        </w:rPr>
      </w:r>
    </w:p>
    <w:p w:rsidR="00000000" w:rsidDel="00000000" w:rsidP="00000000" w:rsidRDefault="00000000" w:rsidRPr="00000000" w14:paraId="00000013">
      <w:pPr>
        <w:spacing w:after="240" w:before="240" w:lineRule="auto"/>
        <w:jc w:val="center"/>
        <w:rPr>
          <w:i w:val="1"/>
          <w:iCs w:val="1"/>
        </w:rPr>
      </w:pPr>
      <w:r w:rsidDel="00000000" w:rsidR="00000000" w:rsidRPr="00000000">
        <w:rPr>
          <w:i w:val="1"/>
          <w:iCs w:val="1"/>
          <w:rtl w:val="0"/>
        </w:rPr>
        <w:t xml:space="preserve">Pause when truth is uncertain.</w:t>
        <w:br w:type="textWrapping"/>
      </w:r>
      <w:r w:rsidDel="00000000" w:rsidR="00000000" w:rsidRPr="00000000">
        <w:rPr>
          <w:rtl w:val="0"/>
        </w:rPr>
        <w:t xml:space="preserve"> </w:t>
      </w:r>
      <w:r w:rsidDel="00000000" w:rsidR="00000000" w:rsidRPr="00000000">
        <w:rPr>
          <w:i w:val="1"/>
          <w:iCs w:val="1"/>
          <w:rtl w:val="0"/>
        </w:rPr>
        <w:t xml:space="preserve">Refuse when harm is clear.</w:t>
        <w:br w:type="textWrapping"/>
      </w:r>
      <w:r w:rsidDel="00000000" w:rsidR="00000000" w:rsidRPr="00000000">
        <w:rPr>
          <w:rtl w:val="0"/>
        </w:rPr>
        <w:t xml:space="preserve"> </w:t>
      </w:r>
      <w:r w:rsidDel="00000000" w:rsidR="00000000" w:rsidRPr="00000000">
        <w:rPr>
          <w:i w:val="1"/>
          <w:iCs w:val="1"/>
          <w:rtl w:val="0"/>
        </w:rPr>
        <w:t xml:space="preserve">Proceed where truth is.</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f6xbgm9047tc" w:id="4"/>
      <w:bookmarkEnd w:id="4"/>
      <w:r w:rsidDel="00000000" w:rsidR="00000000" w:rsidRPr="00000000">
        <w:rPr>
          <w:b w:val="1"/>
          <w:bCs w:val="1"/>
          <w:sz w:val="34"/>
          <w:szCs w:val="34"/>
          <w:rtl w:val="0"/>
        </w:rPr>
        <w:t xml:space="preserve">POLICYMAKER'S ABSTRACT: The Architecture of Assured Governance</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To:</w:t>
      </w:r>
      <w:r w:rsidDel="00000000" w:rsidR="00000000" w:rsidRPr="00000000">
        <w:rPr>
          <w:rtl w:val="0"/>
        </w:rPr>
        <w:t xml:space="preserve"> Regulators, General Counsels, and Legislative Bodies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Subject:</w:t>
      </w:r>
      <w:r w:rsidDel="00000000" w:rsidR="00000000" w:rsidRPr="00000000">
        <w:rPr>
          <w:rtl w:val="0"/>
        </w:rPr>
        <w:t xml:space="preserve"> Moving from Compliance by Trust to Compliance by Architecture</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cgmguyjnwc3k" w:id="5"/>
      <w:bookmarkEnd w:id="5"/>
      <w:r w:rsidDel="00000000" w:rsidR="00000000" w:rsidRPr="00000000">
        <w:rPr>
          <w:b w:val="1"/>
          <w:bCs w:val="1"/>
          <w:color w:val="000000"/>
          <w:sz w:val="26"/>
          <w:szCs w:val="26"/>
          <w:rtl w:val="0"/>
        </w:rPr>
        <w:t xml:space="preserve">The Governance Gap</w:t>
      </w:r>
    </w:p>
    <w:p w:rsidR="00000000" w:rsidDel="00000000" w:rsidP="00000000" w:rsidRDefault="00000000" w:rsidRPr="00000000" w14:paraId="00000018">
      <w:pPr>
        <w:spacing w:after="240" w:before="240" w:lineRule="auto"/>
        <w:rPr/>
      </w:pPr>
      <w:r w:rsidDel="00000000" w:rsidR="00000000" w:rsidRPr="00000000">
        <w:rPr>
          <w:rtl w:val="0"/>
        </w:rPr>
        <w:t xml:space="preserve">Current financial regulation faces a structural enforcement crisis. It relies on ex-post forensic reconstruction. When an algorithm fails or a market manipulation event occurs, regulators and legal teams must reconstruct intent and causation from fragmented, often self-reported logs. This creates massive legal ambiguity, prolonged discovery phases, and a reliance on the good faith of the institutions being supervised. The May 6, 2010 Flash Crash eliminated approximately one trillion dollars in market value within thirty minutes, with the majority of losses concentrated in under five minutes, demonstrating what happens when automated systems operate without structured hesitation mechanisms: cascading failure propagates faster than any human oversight layer can intercept it</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[1]</w:t>
        </w:r>
      </w:hyperlink>
      <w:r w:rsidDel="00000000" w:rsidR="00000000" w:rsidRPr="00000000">
        <w:rPr>
          <w:rtl w:val="0"/>
        </w:rPr>
        <w:t xml:space="preserve">. The problem is architectural, not behavioral.</w:t>
      </w:r>
    </w:p>
    <w:p w:rsidR="00000000" w:rsidDel="00000000" w:rsidP="00000000" w:rsidRDefault="00000000" w:rsidRPr="00000000" w14:paraId="00000019">
      <w:pPr>
        <w:spacing w:after="240" w:before="240" w:lineRule="auto"/>
        <w:rPr/>
      </w:pPr>
      <w:r w:rsidDel="00000000" w:rsidR="00000000" w:rsidRPr="00000000">
        <w:rPr>
          <w:rtl w:val="0"/>
        </w:rPr>
        <w:t xml:space="preserve">Global AML compliance now costs financial institutions an estimated $274 billion annually, yet independent analysis shows that 90 to 95 percent of all monitoring alerts are false positives, overwhelming compliance functions while genuine financial crime continues to flow through the gaps</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[2]</w:t>
        </w:r>
      </w:hyperlink>
      <w:r w:rsidDel="00000000" w:rsidR="00000000" w:rsidRPr="00000000">
        <w:rPr>
          <w:rtl w:val="0"/>
        </w:rPr>
        <w:t xml:space="preserve">. In 2024 alone, AML-related enforcement penalties totalled $3.2 billion globally, with TD Bank's $3 billion penalty marking the largest single enforcement action ever levied under the Bank Secrecy Act</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[3]</w:t>
        </w:r>
      </w:hyperlink>
      <w:r w:rsidDel="00000000" w:rsidR="00000000" w:rsidRPr="00000000">
        <w:rPr>
          <w:rtl w:val="0"/>
        </w:rPr>
        <w:t xml:space="preserve">. These figures do not reflect a failure of institutional effort. They reflect a failure of architecture.</w:t>
      </w:r>
    </w:p>
    <w:p w:rsidR="00000000" w:rsidDel="00000000" w:rsidP="00000000" w:rsidRDefault="00000000" w:rsidRPr="00000000" w14:paraId="0000001A">
      <w:pPr>
        <w:spacing w:after="240" w:before="240" w:lineRule="auto"/>
        <w:rPr/>
      </w:pPr>
      <w:r w:rsidDel="00000000" w:rsidR="00000000" w:rsidRPr="00000000">
        <w:rPr>
          <w:rtl w:val="0"/>
        </w:rPr>
        <w:t xml:space="preserve">Basel III's Fundamental Review of the Trading Book (FRTB) is expected to raise market risk capital requirements for the largest banking institutions by approximately 70 percent, without any corresponding increase in underlying risk</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[4]</w:t>
        </w:r>
      </w:hyperlink>
      <w:r w:rsidDel="00000000" w:rsidR="00000000" w:rsidRPr="00000000">
        <w:rPr>
          <w:rtl w:val="0"/>
        </w:rPr>
        <w:t xml:space="preserve">. The European Commission has delayed FRTB implementation twice: first to 1 January 2026, then by a delegated act adopted in June 2025 and entering into force in September 2025, to 1 January 2027, as major jurisdictions remain unable to align on a common implementation timeline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[5]</w:t>
        </w:r>
      </w:hyperlink>
      <w:r w:rsidDel="00000000" w:rsidR="00000000" w:rsidRPr="00000000">
        <w:rPr>
          <w:rtl w:val="0"/>
        </w:rPr>
        <w:t xml:space="preserve">. This capital surcharge is a tacit regulatory admission that existing governance tools cannot prevent operational failures, so the financial system must instead absorb their cost. Ternary Logic proposes a different answer.</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ntfvzdu0lid8" w:id="6"/>
      <w:bookmarkEnd w:id="6"/>
      <w:r w:rsidDel="00000000" w:rsidR="00000000" w:rsidRPr="00000000">
        <w:rPr>
          <w:b w:val="1"/>
          <w:bCs w:val="1"/>
          <w:color w:val="000000"/>
          <w:sz w:val="26"/>
          <w:szCs w:val="26"/>
          <w:rtl w:val="0"/>
        </w:rPr>
        <w:t xml:space="preserve">The Solution: Ternary Logic</w:t>
      </w:r>
    </w:p>
    <w:p w:rsidR="00000000" w:rsidDel="00000000" w:rsidP="00000000" w:rsidRDefault="00000000" w:rsidRPr="00000000" w14:paraId="0000001C">
      <w:pPr>
        <w:spacing w:after="240" w:before="240" w:lineRule="auto"/>
        <w:rPr/>
      </w:pPr>
      <w:r w:rsidDel="00000000" w:rsidR="00000000" w:rsidRPr="00000000">
        <w:rPr>
          <w:rtl w:val="0"/>
        </w:rPr>
        <w:t xml:space="preserve">Ternary Logic (TL) is not a software update. It is a constitutional layer for economic systems. It replaces the passive reporting of compliance with the active architectural enforcement of law.</w:t>
      </w:r>
    </w:p>
    <w:p w:rsidR="00000000" w:rsidDel="00000000" w:rsidP="00000000" w:rsidRDefault="00000000" w:rsidRPr="00000000" w14:paraId="0000001D">
      <w:pPr>
        <w:spacing w:after="240" w:before="240" w:lineRule="auto"/>
        <w:rPr/>
      </w:pPr>
      <w:r w:rsidDel="00000000" w:rsidR="00000000" w:rsidRPr="00000000">
        <w:rPr>
          <w:rtl w:val="0"/>
        </w:rPr>
        <w:t xml:space="preserve">TL operates on a non-negotiable legal covenant: NL=NA, meaning No Log equals No Action. No financial transaction, whether a trade, a loan, a settlement, or a central bank liquidity injection, can computationally execute unless it has first generated a secured, immutable Decision Log proving adherence to regulatory standards. Binary systems force algorithms to act or refuse to act. TL introduces a third mandatory state, Epistemic Hold, the constitutional compulsion to pause when truth is uncertain, log the uncertainty, and escalate to human stewards before proceeding.</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39go8yx60qkb" w:id="7"/>
      <w:bookmarkEnd w:id="7"/>
      <w:r w:rsidDel="00000000" w:rsidR="00000000" w:rsidRPr="00000000">
        <w:rPr>
          <w:b w:val="1"/>
          <w:bCs w:val="1"/>
          <w:color w:val="000000"/>
          <w:sz w:val="26"/>
          <w:szCs w:val="26"/>
          <w:rtl w:val="0"/>
        </w:rPr>
        <w:t xml:space="preserve">Core Legal and Regulatory Advantages</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The Safe Harbor of Automated Prudence.</w:t>
      </w:r>
      <w:r w:rsidDel="00000000" w:rsidR="00000000" w:rsidRPr="00000000">
        <w:rPr>
          <w:rtl w:val="0"/>
        </w:rPr>
        <w:t xml:space="preserve"> If data is ambiguous or truth is uncertain, the system is architecturally compelled to pause through the Sacred Pause workflow. This creates an immutable record that the institution exercised fiduciary duty and due care. It transforms what would otherwise appear as a system failure into documented prudence: a verifiable, time-stamped determination that the institution declined to act recklessly under conditions of uncertainty.</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Audit-Grade Evidence.</w:t>
      </w:r>
      <w:r w:rsidDel="00000000" w:rsidR="00000000" w:rsidRPr="00000000">
        <w:rPr>
          <w:rtl w:val="0"/>
        </w:rPr>
        <w:t xml:space="preserve"> Every decision is cryptographically signed and anchored to public blockchains through the Anchors Pillar. This renders compliance history non-repudiable. An institution cannot retroactively alter or delete logs to conceal misconduct. Records are tamper-evident and immediately admissible as authentic digital evidence under Federal Rule of Evidence 902 and the eIDAS qualified electronic signature standard.</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Structural AML and Sanctions Enforcement.</w:t>
      </w:r>
      <w:r w:rsidDel="00000000" w:rsidR="00000000" w:rsidRPr="00000000">
        <w:rPr>
          <w:rtl w:val="0"/>
        </w:rPr>
        <w:t xml:space="preserve"> The system physically blocks any transaction that fails a sanctions check or exhibits manipulative behavior such as spoofing or layering. Compliance is not a policy. It is a computational precondition for the transaction to execute at all.</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y45pa8royajc" w:id="8"/>
      <w:bookmarkEnd w:id="8"/>
      <w:r w:rsidDel="00000000" w:rsidR="00000000" w:rsidRPr="00000000">
        <w:rPr>
          <w:b w:val="1"/>
          <w:bCs w:val="1"/>
          <w:color w:val="000000"/>
          <w:sz w:val="26"/>
          <w:szCs w:val="26"/>
          <w:rtl w:val="0"/>
        </w:rPr>
        <w:t xml:space="preserve">The Shift in Oversight</w:t>
      </w:r>
    </w:p>
    <w:p w:rsidR="00000000" w:rsidDel="00000000" w:rsidP="00000000" w:rsidRDefault="00000000" w:rsidRPr="00000000" w14:paraId="00000023">
      <w:pPr>
        <w:spacing w:after="240" w:before="240" w:lineRule="auto"/>
        <w:rPr/>
      </w:pPr>
      <w:r w:rsidDel="00000000" w:rsidR="00000000" w:rsidRPr="00000000">
        <w:rPr>
          <w:rtl w:val="0"/>
        </w:rPr>
        <w:t xml:space="preserve">Adopting TL shifts the regulatory burden from subjective interpretation, asking why the trader did this, to objective verification, checking the cryptographic anchor and the Permission Token. For the regulator, this means instant mathematical verification of systemic stability without seizing servers. For the institution, it means a verifiable defense against unfounded claims of negligence or bias. For the public, it means a guarantee that the financial system operates under a governance architecture that is physically incapable of executing without prior evidence.</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ax6x3dtm0lm0" w:id="9"/>
      <w:bookmarkEnd w:id="9"/>
      <w:r w:rsidDel="00000000" w:rsidR="00000000" w:rsidRPr="00000000">
        <w:rPr>
          <w:b w:val="1"/>
          <w:bCs w:val="1"/>
          <w:color w:val="000000"/>
          <w:sz w:val="26"/>
          <w:szCs w:val="26"/>
          <w:rtl w:val="0"/>
        </w:rPr>
        <w:t xml:space="preserve">Conclusion</w:t>
      </w:r>
    </w:p>
    <w:p w:rsidR="00000000" w:rsidDel="00000000" w:rsidP="00000000" w:rsidRDefault="00000000" w:rsidRPr="00000000" w14:paraId="00000025">
      <w:pPr>
        <w:spacing w:after="240" w:before="240" w:lineRule="auto"/>
        <w:rPr/>
      </w:pPr>
      <w:r w:rsidDel="00000000" w:rsidR="00000000" w:rsidRPr="00000000">
        <w:rPr>
          <w:rtl w:val="0"/>
        </w:rPr>
        <w:t xml:space="preserve">Ternary Logic operationalizes the standard of care for the digital age. It ensures that economic systems do not merely claim to be compliant. They are architected to be incapable of non-compliance.</w:t>
      </w: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c7rx24xfzojb" w:id="10"/>
      <w:bookmarkEnd w:id="10"/>
      <w:r w:rsidDel="00000000" w:rsidR="00000000" w:rsidRPr="00000000">
        <w:rPr>
          <w:b w:val="1"/>
          <w:bCs w:val="1"/>
          <w:sz w:val="34"/>
          <w:szCs w:val="34"/>
          <w:rtl w:val="0"/>
        </w:rPr>
        <w:t xml:space="preserve">ABSTRACT</w:t>
      </w:r>
    </w:p>
    <w:p w:rsidR="00000000" w:rsidDel="00000000" w:rsidP="00000000" w:rsidRDefault="00000000" w:rsidRPr="00000000" w14:paraId="00000027">
      <w:pPr>
        <w:spacing w:after="240" w:before="240" w:lineRule="auto"/>
        <w:rPr/>
      </w:pPr>
      <w:r w:rsidDel="00000000" w:rsidR="00000000" w:rsidRPr="00000000">
        <w:rPr>
          <w:rtl w:val="0"/>
        </w:rPr>
        <w:t xml:space="preserve">The global financial infrastructure operates under a structural governance deficit that intensifies as algorithmic automation displaces human judgment in high-stakes economic decisions. Binary logic, the foundational computational paradigm of modern finance, forces every decision into one of two states: proceed or refuse. This binary constraint eliminates the architectural possibility of structured hesitation: the computationally enforced, evidentiary verification window that prevents execution under conditions of genuine uncertainty. The resulting architecture generates systemic risk that has manifested repeatedly, from the trillion-dollar Flash Crash of May 6, 2010, to AML false-positive rates exceeding 90 percent that simultaneously overload compliance functions and fail to prevent financial crime at scale</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[1]</w:t>
        </w:r>
      </w:hyperlink>
      <w:hyperlink r:id="rId24">
        <w:r w:rsidDel="00000000" w:rsidR="00000000" w:rsidRPr="00000000">
          <w:rPr>
            <w:rtl w:val="0"/>
          </w:rPr>
          <w:t xml:space="preserve"> </w:t>
        </w:r>
      </w:hyperlink>
      <w:hyperlink r:id="rId25">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This monograph presents Ternary Logic (TL), a constitutional governance layer for global economic systems authored by Lev Goukassian (ORCID: 0009-0006-5966-1243). TL does not replace binary computation. Binary inference engines provide the speed, pattern recognition, and statistical throughput essential to modern economic systems at scale. TL operates as a sovereign governance coprocessor in parallel: binary proposes actions, TL dictates whether those proposals cross the execution threshold. This Dual-Lane Architecture separates the Inference Lane, which handles sub-millisecond economic computation, from the Governance Lane, which performs constitutional compliance evaluation, cryptographic logging, and blockchain anchoring. Both lanes converge at a fail-closed Gateway that opens only upon issuance of a valid Permission Token from the Governance Lane.</w:t>
      </w:r>
    </w:p>
    <w:p w:rsidR="00000000" w:rsidDel="00000000" w:rsidP="00000000" w:rsidRDefault="00000000" w:rsidRPr="00000000" w14:paraId="00000029">
      <w:pPr>
        <w:spacing w:after="240" w:before="240" w:lineRule="auto"/>
        <w:rPr/>
      </w:pPr>
      <w:r w:rsidDel="00000000" w:rsidR="00000000" w:rsidRPr="00000000">
        <w:rPr>
          <w:rtl w:val="0"/>
        </w:rPr>
        <w:t xml:space="preserve">The framework derives from the Goukassian Vow: "Pause when truth is uncertain. Refuse when harm is clear. Proceed where truth is." These three mandates map to the triadic decision alphabet: Proceed (+1), Epistemic Hold (0), and Refuse (-1). Epistemic Hold is the architectural innovation. It is not an error, a timeout, a null return, or a retry flag. It is a mandatory, first-class constitutional state representing the documented determination that truth has not yet been established. When the system enters Epistemic Hold, the Sacred Pause workflow activates, initiating structured evidentiary resolution while the Gateway remains physically closed.</w:t>
      </w:r>
    </w:p>
    <w:p w:rsidR="00000000" w:rsidDel="00000000" w:rsidP="00000000" w:rsidRDefault="00000000" w:rsidRPr="00000000" w14:paraId="0000002A">
      <w:pPr>
        <w:spacing w:after="240" w:before="240" w:lineRule="auto"/>
        <w:rPr/>
      </w:pPr>
      <w:r w:rsidDel="00000000" w:rsidR="00000000" w:rsidRPr="00000000">
        <w:rPr>
          <w:rtl w:val="0"/>
        </w:rPr>
        <w:t xml:space="preserve">TL institutionalizes integrity through Eight Pillars: Epistemic Hold, Immutable Ledger, Goukassian Principle, Decision Logs, Economic Rights and Transparency Mandate, Sustainable Capital Allocation Mandate, Hybrid Shield, and Anchors. The non-negotiable architectural covenant NL=NA mandates that every transaction, settlement, or policy decision generate a cryptographically sealed, schema-validated Decision Log before execution is permitted. This covenant is enforced at five independent layers spanning JSON schema validation, smart contract ABI constraints, lane-origin cryptographic binding, Merkle inclusion proofs, and, in full hardware deployment, physical memristive gate states that make execution electrically impossible without log confirmation.</w:t>
      </w:r>
    </w:p>
    <w:p w:rsidR="00000000" w:rsidDel="00000000" w:rsidP="00000000" w:rsidRDefault="00000000" w:rsidRPr="00000000" w14:paraId="0000002B">
      <w:pPr>
        <w:spacing w:after="240" w:before="240" w:lineRule="auto"/>
        <w:rPr/>
      </w:pPr>
      <w:r w:rsidDel="00000000" w:rsidR="00000000" w:rsidRPr="00000000">
        <w:rPr>
          <w:rtl w:val="0"/>
        </w:rPr>
        <w:t xml:space="preserve">The No Spy, No Weapon Mandate establishes the negative constitutional architecture: categorical, structural prohibitions on surveillance and weapons applications embedded in the constitutional schema, the API specification, and the hardware substrate. The Hybrid Shield resolves the fundamental tension between regulatory audit requirements and trade secret protection through per-session Ephemeral Key Rotation (EKR) using HKDF-SHA3-256 key derivation, achieving GDPR Article 17 compliance through cryptographic erasure rather than ledger deletion. Post-quantum migration is addressed through the reservation of ML-KEM-1024 (FIPS 203) and SLH-DSA-SHAKE-128s (FIPS 205) signature slots in the TL API Signature Block, aligned with the three NIST post-quantum standards finalized in August 2024</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Hardware enforcement is realized through Delay-Insensitive Ternary Logic (DITL) and Mandated Ternary (MT) memristive substrates. The current shipping baseline is Architecture B, a hybrid memristive-CMOS design recommended for the 2026 to 2027 commercialization window, operating under IEC 61508 SIL 3 certification path targeting Q4 2027. Architecture A, the native ternary crossbar compute-in-memory design, is designated FUTURE, targeting the 2029 to 2030 standardization horizon. The Tri-Cameral Governance Model distributes authority across a nine-member Technical Council requiring 75 percent supermajority for decisions, an eleven-member Stewardship Custodians body with dual-nomination structure, and an autonomous Smart Contract Treasury, with a constitutional No Switch Off rule preventing unilateral system termination.</w:t>
      </w:r>
    </w:p>
    <w:p w:rsidR="00000000" w:rsidDel="00000000" w:rsidP="00000000" w:rsidRDefault="00000000" w:rsidRPr="00000000" w14:paraId="0000002D">
      <w:pPr>
        <w:spacing w:after="240" w:before="240" w:lineRule="auto"/>
        <w:rPr/>
      </w:pPr>
      <w:r w:rsidDel="00000000" w:rsidR="00000000" w:rsidRPr="00000000">
        <w:rPr>
          <w:rtl w:val="0"/>
        </w:rPr>
        <w:t xml:space="preserve">This document constitutes the sovereign-grade specification for financial infrastructure, supply chain verification, central banking, and institutional governance. It unifies constitutional architecture, negative prohibitions, legal and regulatory alignment, hardware substrates, adversarial survivability assessment, implementation economics, and succession continuity into a single monograph.</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6irblge00fff" w:id="11"/>
      <w:bookmarkEnd w:id="11"/>
      <w:r w:rsidDel="00000000" w:rsidR="00000000" w:rsidRPr="00000000">
        <w:rPr>
          <w:b w:val="1"/>
          <w:bCs w:val="1"/>
          <w:sz w:val="34"/>
          <w:szCs w:val="34"/>
          <w:rtl w:val="0"/>
        </w:rPr>
        <w:t xml:space="preserve">KEYWORDS</w:t>
      </w:r>
    </w:p>
    <w:p w:rsidR="00000000" w:rsidDel="00000000" w:rsidP="00000000" w:rsidRDefault="00000000" w:rsidRPr="00000000" w14:paraId="0000002F">
      <w:pPr>
        <w:spacing w:after="240" w:before="240" w:lineRule="auto"/>
        <w:rPr/>
      </w:pPr>
      <w:r w:rsidDel="00000000" w:rsidR="00000000" w:rsidRPr="00000000">
        <w:rPr>
          <w:rtl w:val="0"/>
        </w:rPr>
        <w:t xml:space="preserve">Ternary Logic, TL, Epistemic Hold, Sacred Pause, Goukassian Vow, Goukassian Principle, Dual-Lane Architecture, NL=NA, Immutable Ledger, Decision Logs, Eight Pillars, No Spy No Weapon, Ephemeral Key Rotation, EKR, Anti-Money Laundering, AML, Hybrid Shield, DITL, Mandated Ternary, MT Hardware, Tri-Cameral Governance, Permission Token, Constitutional Governance, Economic Systems Governance, Adversarial Survivability, Query Constitutionalization, Differential Privacy, Trade Secret Protection, Post-Quantum Cryptography, Ghost Governance, Architecture B, HKDF-SHA3-256, Cryptographic Erasure</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5467wmaq4r9k" w:id="12"/>
      <w:bookmarkEnd w:id="12"/>
      <w:r w:rsidDel="00000000" w:rsidR="00000000" w:rsidRPr="00000000">
        <w:br w:type="page"/>
      </w:r>
      <w:r w:rsidDel="00000000" w:rsidR="00000000" w:rsidRPr="00000000">
        <w:rPr>
          <w:rtl w:val="0"/>
        </w:rPr>
      </w:r>
    </w:p>
    <w:sdt>
      <w:sdtPr>
        <w:id w:val="-496896395"/>
        <w:docPartObj>
          <w:docPartGallery w:val="Table of Contents"/>
          <w:docPartUnique w:val="1"/>
        </w:docPartObj>
      </w:sdtPr>
      <w:sdtContent>
        <w:p w:rsidR="00000000" w:rsidDel="00000000" w:rsidP="00000000" w:rsidRDefault="00000000" w:rsidRPr="00000000" w14:paraId="00000031">
          <w:pPr>
            <w:widowControl w:val="0"/>
            <w:tabs>
              <w:tab w:val="right" w:leader="dot"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l7x3tx7ral1a">
            <w:r w:rsidDel="00000000" w:rsidR="00000000" w:rsidRPr="00000000">
              <w:rPr>
                <w:b w:val="1"/>
                <w:bCs w:val="1"/>
                <w:color w:val="000000"/>
                <w:u w:val="none"/>
                <w:rtl w:val="0"/>
              </w:rPr>
              <w:t xml:space="preserve">THE CONSTITUTIONAL ARCHITECTURE OF ASSURED GOVERNANCE</w:t>
            </w:r>
          </w:hyperlink>
          <w:r w:rsidDel="00000000" w:rsidR="00000000" w:rsidRPr="00000000">
            <w:rPr>
              <w:rtl w:val="0"/>
            </w:rPr>
          </w:r>
        </w:p>
        <w:p w:rsidR="00000000" w:rsidDel="00000000" w:rsidP="00000000" w:rsidRDefault="00000000" w:rsidRPr="00000000" w14:paraId="00000032">
          <w:pPr>
            <w:widowControl w:val="0"/>
            <w:tabs>
              <w:tab w:val="right" w:leader="dot" w:pos="9360"/>
            </w:tabs>
            <w:spacing w:before="60" w:line="240" w:lineRule="auto"/>
            <w:ind w:left="360" w:firstLine="0"/>
            <w:rPr>
              <w:color w:val="000000"/>
              <w:u w:val="none"/>
            </w:rPr>
          </w:pPr>
          <w:hyperlink w:anchor="_f6xbgm9047tc">
            <w:r w:rsidDel="00000000" w:rsidR="00000000" w:rsidRPr="00000000">
              <w:rPr>
                <w:color w:val="000000"/>
                <w:u w:val="none"/>
                <w:rtl w:val="0"/>
              </w:rPr>
              <w:t xml:space="preserve">POLICYMAKER'S ABSTRACT: The Architecture of Assured Governance</w:t>
              <w:tab/>
            </w:r>
          </w:hyperlink>
          <w:r w:rsidDel="00000000" w:rsidR="00000000" w:rsidRPr="00000000">
            <w:fldChar w:fldCharType="begin"/>
            <w:instrText xml:space="preserve"> PAGEREF _f6xbgm9047tc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360"/>
            </w:tabs>
            <w:spacing w:before="60" w:line="240" w:lineRule="auto"/>
            <w:ind w:left="720" w:firstLine="0"/>
            <w:rPr>
              <w:color w:val="000000"/>
              <w:u w:val="none"/>
            </w:rPr>
          </w:pPr>
          <w:hyperlink w:anchor="_cgmguyjnwc3k">
            <w:r w:rsidDel="00000000" w:rsidR="00000000" w:rsidRPr="00000000">
              <w:rPr>
                <w:color w:val="000000"/>
                <w:u w:val="none"/>
                <w:rtl w:val="0"/>
              </w:rPr>
              <w:t xml:space="preserve">The Governance Gap</w:t>
              <w:tab/>
            </w:r>
          </w:hyperlink>
          <w:r w:rsidDel="00000000" w:rsidR="00000000" w:rsidRPr="00000000">
            <w:fldChar w:fldCharType="begin"/>
            <w:instrText xml:space="preserve"> PAGEREF _cgmguyjnwc3k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360"/>
            </w:tabs>
            <w:spacing w:before="60" w:line="240" w:lineRule="auto"/>
            <w:ind w:left="720" w:firstLine="0"/>
            <w:rPr>
              <w:color w:val="000000"/>
              <w:u w:val="none"/>
            </w:rPr>
          </w:pPr>
          <w:hyperlink w:anchor="_ntfvzdu0lid8">
            <w:r w:rsidDel="00000000" w:rsidR="00000000" w:rsidRPr="00000000">
              <w:rPr>
                <w:color w:val="000000"/>
                <w:u w:val="none"/>
                <w:rtl w:val="0"/>
              </w:rPr>
              <w:t xml:space="preserve">The Solution: Ternary Logic</w:t>
              <w:tab/>
            </w:r>
          </w:hyperlink>
          <w:r w:rsidDel="00000000" w:rsidR="00000000" w:rsidRPr="00000000">
            <w:fldChar w:fldCharType="begin"/>
            <w:instrText xml:space="preserve"> PAGEREF _ntfvzdu0lid8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360"/>
            </w:tabs>
            <w:spacing w:before="60" w:line="240" w:lineRule="auto"/>
            <w:ind w:left="720" w:firstLine="0"/>
            <w:rPr>
              <w:color w:val="000000"/>
              <w:u w:val="none"/>
            </w:rPr>
          </w:pPr>
          <w:hyperlink w:anchor="_39go8yx60qkb">
            <w:r w:rsidDel="00000000" w:rsidR="00000000" w:rsidRPr="00000000">
              <w:rPr>
                <w:color w:val="000000"/>
                <w:u w:val="none"/>
                <w:rtl w:val="0"/>
              </w:rPr>
              <w:t xml:space="preserve">Core Legal and Regulatory Advantages</w:t>
              <w:tab/>
            </w:r>
          </w:hyperlink>
          <w:r w:rsidDel="00000000" w:rsidR="00000000" w:rsidRPr="00000000">
            <w:fldChar w:fldCharType="begin"/>
            <w:instrText xml:space="preserve"> PAGEREF _39go8yx60qkb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360"/>
            </w:tabs>
            <w:spacing w:before="60" w:line="240" w:lineRule="auto"/>
            <w:ind w:left="720" w:firstLine="0"/>
            <w:rPr>
              <w:color w:val="000000"/>
              <w:u w:val="none"/>
            </w:rPr>
          </w:pPr>
          <w:hyperlink w:anchor="_y45pa8royajc">
            <w:r w:rsidDel="00000000" w:rsidR="00000000" w:rsidRPr="00000000">
              <w:rPr>
                <w:color w:val="000000"/>
                <w:u w:val="none"/>
                <w:rtl w:val="0"/>
              </w:rPr>
              <w:t xml:space="preserve">The Shift in Oversight</w:t>
              <w:tab/>
            </w:r>
          </w:hyperlink>
          <w:r w:rsidDel="00000000" w:rsidR="00000000" w:rsidRPr="00000000">
            <w:fldChar w:fldCharType="begin"/>
            <w:instrText xml:space="preserve"> PAGEREF _y45pa8royajc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360"/>
            </w:tabs>
            <w:spacing w:before="60" w:line="240" w:lineRule="auto"/>
            <w:ind w:left="720" w:firstLine="0"/>
            <w:rPr>
              <w:color w:val="000000"/>
              <w:u w:val="none"/>
            </w:rPr>
          </w:pPr>
          <w:hyperlink w:anchor="_ax6x3dtm0lm0">
            <w:r w:rsidDel="00000000" w:rsidR="00000000" w:rsidRPr="00000000">
              <w:rPr>
                <w:color w:val="000000"/>
                <w:u w:val="none"/>
                <w:rtl w:val="0"/>
              </w:rPr>
              <w:t xml:space="preserve">Conclusion</w:t>
              <w:tab/>
            </w:r>
          </w:hyperlink>
          <w:r w:rsidDel="00000000" w:rsidR="00000000" w:rsidRPr="00000000">
            <w:fldChar w:fldCharType="begin"/>
            <w:instrText xml:space="preserve"> PAGEREF _ax6x3dtm0lm0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360"/>
            </w:tabs>
            <w:spacing w:before="60" w:line="240" w:lineRule="auto"/>
            <w:ind w:left="360" w:firstLine="0"/>
            <w:rPr>
              <w:color w:val="000000"/>
              <w:u w:val="none"/>
            </w:rPr>
          </w:pPr>
          <w:hyperlink w:anchor="_c7rx24xfzojb">
            <w:r w:rsidDel="00000000" w:rsidR="00000000" w:rsidRPr="00000000">
              <w:rPr>
                <w:color w:val="000000"/>
                <w:u w:val="none"/>
                <w:rtl w:val="0"/>
              </w:rPr>
              <w:t xml:space="preserve">ABSTRACT</w:t>
              <w:tab/>
            </w:r>
          </w:hyperlink>
          <w:r w:rsidDel="00000000" w:rsidR="00000000" w:rsidRPr="00000000">
            <w:fldChar w:fldCharType="begin"/>
            <w:instrText xml:space="preserve"> PAGEREF _c7rx24xfzojb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360"/>
            </w:tabs>
            <w:spacing w:before="60" w:line="240" w:lineRule="auto"/>
            <w:ind w:left="360" w:firstLine="0"/>
            <w:rPr>
              <w:color w:val="000000"/>
              <w:u w:val="none"/>
            </w:rPr>
          </w:pPr>
          <w:hyperlink w:anchor="_6irblge00fff">
            <w:r w:rsidDel="00000000" w:rsidR="00000000" w:rsidRPr="00000000">
              <w:rPr>
                <w:color w:val="000000"/>
                <w:u w:val="none"/>
                <w:rtl w:val="0"/>
              </w:rPr>
              <w:t xml:space="preserve">KEYWORDS</w:t>
              <w:tab/>
            </w:r>
          </w:hyperlink>
          <w:r w:rsidDel="00000000" w:rsidR="00000000" w:rsidRPr="00000000">
            <w:fldChar w:fldCharType="begin"/>
            <w:instrText xml:space="preserve"> PAGEREF _6irblge00fff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360"/>
            </w:tabs>
            <w:spacing w:before="60" w:line="240" w:lineRule="auto"/>
            <w:ind w:left="360" w:firstLine="0"/>
            <w:rPr>
              <w:color w:val="000000"/>
              <w:u w:val="none"/>
            </w:rPr>
          </w:pPr>
          <w:hyperlink w:anchor="_cuehk47acx6k">
            <w:r w:rsidDel="00000000" w:rsidR="00000000" w:rsidRPr="00000000">
              <w:rPr>
                <w:color w:val="000000"/>
                <w:u w:val="none"/>
                <w:rtl w:val="0"/>
              </w:rPr>
              <w:t xml:space="preserve">SECTION 1: INTRODUCTION</w:t>
              <w:tab/>
            </w:r>
          </w:hyperlink>
          <w:r w:rsidDel="00000000" w:rsidR="00000000" w:rsidRPr="00000000">
            <w:fldChar w:fldCharType="begin"/>
            <w:instrText xml:space="preserve"> PAGEREF _cuehk47acx6k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360"/>
            </w:tabs>
            <w:spacing w:before="60" w:line="240" w:lineRule="auto"/>
            <w:ind w:left="720" w:firstLine="0"/>
            <w:rPr>
              <w:color w:val="000000"/>
              <w:u w:val="none"/>
            </w:rPr>
          </w:pPr>
          <w:hyperlink w:anchor="_edp2icj2sa76">
            <w:r w:rsidDel="00000000" w:rsidR="00000000" w:rsidRPr="00000000">
              <w:rPr>
                <w:color w:val="000000"/>
                <w:u w:val="none"/>
                <w:rtl w:val="0"/>
              </w:rPr>
              <w:t xml:space="preserve">1.1 The Governance Crisis in Automated Economic Systems</w:t>
              <w:tab/>
            </w:r>
          </w:hyperlink>
          <w:r w:rsidDel="00000000" w:rsidR="00000000" w:rsidRPr="00000000">
            <w:fldChar w:fldCharType="begin"/>
            <w:instrText xml:space="preserve"> PAGEREF _edp2icj2sa76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360"/>
            </w:tabs>
            <w:spacing w:before="60" w:line="240" w:lineRule="auto"/>
            <w:ind w:left="720" w:firstLine="0"/>
            <w:rPr>
              <w:color w:val="000000"/>
              <w:u w:val="none"/>
            </w:rPr>
          </w:pPr>
          <w:hyperlink w:anchor="_pkqctge70mcy">
            <w:r w:rsidDel="00000000" w:rsidR="00000000" w:rsidRPr="00000000">
              <w:rPr>
                <w:color w:val="000000"/>
                <w:u w:val="none"/>
                <w:rtl w:val="0"/>
              </w:rPr>
              <w:t xml:space="preserve">1.2 The Claims of This Monograph</w:t>
              <w:tab/>
            </w:r>
          </w:hyperlink>
          <w:r w:rsidDel="00000000" w:rsidR="00000000" w:rsidRPr="00000000">
            <w:fldChar w:fldCharType="begin"/>
            <w:instrText xml:space="preserve"> PAGEREF _pkqctge70mcy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360"/>
            </w:tabs>
            <w:spacing w:before="60" w:line="240" w:lineRule="auto"/>
            <w:ind w:left="720" w:firstLine="0"/>
            <w:rPr>
              <w:color w:val="000000"/>
              <w:u w:val="none"/>
            </w:rPr>
          </w:pPr>
          <w:hyperlink w:anchor="_duhm5zklrk81">
            <w:r w:rsidDel="00000000" w:rsidR="00000000" w:rsidRPr="00000000">
              <w:rPr>
                <w:color w:val="000000"/>
                <w:u w:val="none"/>
                <w:rtl w:val="0"/>
              </w:rPr>
              <w:t xml:space="preserve">1.3 Relationship to Existing Legal and Regulatory Frameworks</w:t>
              <w:tab/>
            </w:r>
          </w:hyperlink>
          <w:r w:rsidDel="00000000" w:rsidR="00000000" w:rsidRPr="00000000">
            <w:fldChar w:fldCharType="begin"/>
            <w:instrText xml:space="preserve"> PAGEREF _duhm5zklrk81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360"/>
            </w:tabs>
            <w:spacing w:before="60" w:line="240" w:lineRule="auto"/>
            <w:ind w:left="720" w:firstLine="0"/>
            <w:rPr>
              <w:color w:val="000000"/>
              <w:u w:val="none"/>
            </w:rPr>
          </w:pPr>
          <w:hyperlink w:anchor="_jlnaubtkd87z">
            <w:r w:rsidDel="00000000" w:rsidR="00000000" w:rsidRPr="00000000">
              <w:rPr>
                <w:color w:val="000000"/>
                <w:u w:val="none"/>
                <w:rtl w:val="0"/>
              </w:rPr>
              <w:t xml:space="preserve">1.4 A Note on Terminology</w:t>
              <w:tab/>
            </w:r>
          </w:hyperlink>
          <w:r w:rsidDel="00000000" w:rsidR="00000000" w:rsidRPr="00000000">
            <w:fldChar w:fldCharType="begin"/>
            <w:instrText xml:space="preserve"> PAGEREF _jlnaubtkd87z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360"/>
            </w:tabs>
            <w:spacing w:before="60" w:line="240" w:lineRule="auto"/>
            <w:rPr>
              <w:b w:val="1"/>
              <w:bCs w:val="1"/>
              <w:color w:val="000000"/>
              <w:u w:val="none"/>
            </w:rPr>
          </w:pPr>
          <w:hyperlink w:anchor="_o9o11pjhgvj0">
            <w:r w:rsidDel="00000000" w:rsidR="00000000" w:rsidRPr="00000000">
              <w:rPr>
                <w:b w:val="1"/>
                <w:bCs w:val="1"/>
                <w:color w:val="000000"/>
                <w:u w:val="none"/>
                <w:rtl w:val="0"/>
              </w:rPr>
              <w:t xml:space="preserve">SECTION 2: CONSTITUTIONAL FOUNDATIONS</w:t>
              <w:tab/>
            </w:r>
          </w:hyperlink>
          <w:r w:rsidDel="00000000" w:rsidR="00000000" w:rsidRPr="00000000">
            <w:fldChar w:fldCharType="begin"/>
            <w:instrText xml:space="preserve"> PAGEREF _o9o11pjhgvj0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360"/>
            </w:tabs>
            <w:spacing w:before="60" w:line="240" w:lineRule="auto"/>
            <w:ind w:left="360" w:firstLine="0"/>
            <w:rPr>
              <w:color w:val="000000"/>
              <w:u w:val="none"/>
            </w:rPr>
          </w:pPr>
          <w:hyperlink w:anchor="_ga20vyf7sgv8">
            <w:r w:rsidDel="00000000" w:rsidR="00000000" w:rsidRPr="00000000">
              <w:rPr>
                <w:color w:val="000000"/>
                <w:u w:val="none"/>
                <w:rtl w:val="0"/>
              </w:rPr>
              <w:t xml:space="preserve">2.1 The Goukassian Vow as Foundational Architecture</w:t>
              <w:tab/>
            </w:r>
          </w:hyperlink>
          <w:r w:rsidDel="00000000" w:rsidR="00000000" w:rsidRPr="00000000">
            <w:fldChar w:fldCharType="begin"/>
            <w:instrText xml:space="preserve"> PAGEREF _ga20vyf7sgv8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360"/>
            </w:tabs>
            <w:spacing w:before="60" w:line="240" w:lineRule="auto"/>
            <w:ind w:left="360" w:firstLine="0"/>
            <w:rPr>
              <w:color w:val="000000"/>
              <w:u w:val="none"/>
            </w:rPr>
          </w:pPr>
          <w:hyperlink w:anchor="_vo3cbzczk079">
            <w:r w:rsidDel="00000000" w:rsidR="00000000" w:rsidRPr="00000000">
              <w:rPr>
                <w:color w:val="000000"/>
                <w:u w:val="none"/>
                <w:rtl w:val="0"/>
              </w:rPr>
              <w:t xml:space="preserve">2.2 The Goukassian Principle: Lantern, Signature, and License</w:t>
              <w:tab/>
            </w:r>
          </w:hyperlink>
          <w:r w:rsidDel="00000000" w:rsidR="00000000" w:rsidRPr="00000000">
            <w:fldChar w:fldCharType="begin"/>
            <w:instrText xml:space="preserve"> PAGEREF _vo3cbzczk079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360"/>
            </w:tabs>
            <w:spacing w:before="60" w:line="240" w:lineRule="auto"/>
            <w:ind w:left="360" w:firstLine="0"/>
            <w:rPr>
              <w:color w:val="000000"/>
              <w:u w:val="none"/>
            </w:rPr>
          </w:pPr>
          <w:hyperlink w:anchor="_qf7fvdkf9zku">
            <w:r w:rsidDel="00000000" w:rsidR="00000000" w:rsidRPr="00000000">
              <w:rPr>
                <w:color w:val="000000"/>
                <w:u w:val="none"/>
                <w:rtl w:val="0"/>
              </w:rPr>
              <w:t xml:space="preserve">2.3 The Three Economic Decision States</w:t>
              <w:tab/>
            </w:r>
          </w:hyperlink>
          <w:r w:rsidDel="00000000" w:rsidR="00000000" w:rsidRPr="00000000">
            <w:fldChar w:fldCharType="begin"/>
            <w:instrText xml:space="preserve"> PAGEREF _qf7fvdkf9zku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360"/>
            </w:tabs>
            <w:spacing w:before="60" w:line="240" w:lineRule="auto"/>
            <w:ind w:left="720" w:firstLine="0"/>
            <w:rPr>
              <w:color w:val="000000"/>
              <w:u w:val="none"/>
            </w:rPr>
          </w:pPr>
          <w:hyperlink w:anchor="_sgnnisgd4o62">
            <w:r w:rsidDel="00000000" w:rsidR="00000000" w:rsidRPr="00000000">
              <w:rPr>
                <w:color w:val="000000"/>
                <w:u w:val="none"/>
                <w:rtl w:val="0"/>
              </w:rPr>
              <w:t xml:space="preserve">2.3.1 Proceed (+1): The Authorization State</w:t>
              <w:tab/>
            </w:r>
          </w:hyperlink>
          <w:r w:rsidDel="00000000" w:rsidR="00000000" w:rsidRPr="00000000">
            <w:fldChar w:fldCharType="begin"/>
            <w:instrText xml:space="preserve"> PAGEREF _sgnnisgd4o62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360"/>
            </w:tabs>
            <w:spacing w:before="60" w:line="240" w:lineRule="auto"/>
            <w:ind w:left="720" w:firstLine="0"/>
            <w:rPr>
              <w:color w:val="000000"/>
              <w:u w:val="none"/>
            </w:rPr>
          </w:pPr>
          <w:hyperlink w:anchor="_hkonrb47sgs2">
            <w:r w:rsidDel="00000000" w:rsidR="00000000" w:rsidRPr="00000000">
              <w:rPr>
                <w:color w:val="000000"/>
                <w:u w:val="none"/>
                <w:rtl w:val="0"/>
              </w:rPr>
              <w:t xml:space="preserve">2.3.2 Refuse (-1): The Prohibition State</w:t>
              <w:tab/>
            </w:r>
          </w:hyperlink>
          <w:r w:rsidDel="00000000" w:rsidR="00000000" w:rsidRPr="00000000">
            <w:fldChar w:fldCharType="begin"/>
            <w:instrText xml:space="preserve"> PAGEREF _hkonrb47sgs2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360"/>
            </w:tabs>
            <w:spacing w:before="60" w:line="240" w:lineRule="auto"/>
            <w:ind w:left="720" w:firstLine="0"/>
            <w:rPr>
              <w:color w:val="000000"/>
              <w:u w:val="none"/>
            </w:rPr>
          </w:pPr>
          <w:hyperlink w:anchor="_319onndwk03e">
            <w:r w:rsidDel="00000000" w:rsidR="00000000" w:rsidRPr="00000000">
              <w:rPr>
                <w:color w:val="000000"/>
                <w:u w:val="none"/>
                <w:rtl w:val="0"/>
              </w:rPr>
              <w:t xml:space="preserve">2.3.3 Epistemic Hold (0): The Hesitation State</w:t>
              <w:tab/>
            </w:r>
          </w:hyperlink>
          <w:r w:rsidDel="00000000" w:rsidR="00000000" w:rsidRPr="00000000">
            <w:fldChar w:fldCharType="begin"/>
            <w:instrText xml:space="preserve"> PAGEREF _319onndwk03e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360"/>
            </w:tabs>
            <w:spacing w:before="60" w:line="240" w:lineRule="auto"/>
            <w:ind w:left="360" w:firstLine="0"/>
            <w:rPr>
              <w:color w:val="000000"/>
              <w:u w:val="none"/>
            </w:rPr>
          </w:pPr>
          <w:hyperlink w:anchor="_j4kumh55fyg7">
            <w:r w:rsidDel="00000000" w:rsidR="00000000" w:rsidRPr="00000000">
              <w:rPr>
                <w:color w:val="000000"/>
                <w:u w:val="none"/>
                <w:rtl w:val="0"/>
              </w:rPr>
              <w:t xml:space="preserve">2.4 Epistemic Hold and Sacred Pause: State Distinguished from Workflow</w:t>
              <w:tab/>
            </w:r>
          </w:hyperlink>
          <w:r w:rsidDel="00000000" w:rsidR="00000000" w:rsidRPr="00000000">
            <w:fldChar w:fldCharType="begin"/>
            <w:instrText xml:space="preserve"> PAGEREF _j4kumh55fyg7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360"/>
            </w:tabs>
            <w:spacing w:before="60" w:line="240" w:lineRule="auto"/>
            <w:ind w:left="360" w:firstLine="0"/>
            <w:rPr>
              <w:color w:val="000000"/>
              <w:u w:val="none"/>
            </w:rPr>
          </w:pPr>
          <w:hyperlink w:anchor="_5jxaeed9jb0c">
            <w:r w:rsidDel="00000000" w:rsidR="00000000" w:rsidRPr="00000000">
              <w:rPr>
                <w:color w:val="000000"/>
                <w:u w:val="none"/>
                <w:rtl w:val="0"/>
              </w:rPr>
              <w:t xml:space="preserve">2.5 NL=NA: The Non-Negotiable Architectural Covenant</w:t>
              <w:tab/>
            </w:r>
          </w:hyperlink>
          <w:r w:rsidDel="00000000" w:rsidR="00000000" w:rsidRPr="00000000">
            <w:fldChar w:fldCharType="begin"/>
            <w:instrText xml:space="preserve"> PAGEREF _5jxaeed9jb0c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360"/>
            </w:tabs>
            <w:spacing w:before="60" w:line="240" w:lineRule="auto"/>
            <w:ind w:left="360" w:firstLine="0"/>
            <w:rPr>
              <w:color w:val="000000"/>
              <w:u w:val="none"/>
            </w:rPr>
          </w:pPr>
          <w:hyperlink w:anchor="_fkwceyumj5yh">
            <w:r w:rsidDel="00000000" w:rsidR="00000000" w:rsidRPr="00000000">
              <w:rPr>
                <w:color w:val="000000"/>
                <w:u w:val="none"/>
                <w:rtl w:val="0"/>
              </w:rPr>
              <w:t xml:space="preserve">2.6 The Eight Pillars of Evidentiary Governance</w:t>
              <w:tab/>
            </w:r>
          </w:hyperlink>
          <w:r w:rsidDel="00000000" w:rsidR="00000000" w:rsidRPr="00000000">
            <w:fldChar w:fldCharType="begin"/>
            <w:instrText xml:space="preserve"> PAGEREF _fkwceyumj5yh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360"/>
            </w:tabs>
            <w:spacing w:before="60" w:line="240" w:lineRule="auto"/>
            <w:ind w:left="360" w:firstLine="0"/>
            <w:rPr>
              <w:color w:val="000000"/>
              <w:u w:val="none"/>
            </w:rPr>
          </w:pPr>
          <w:hyperlink w:anchor="_5ezxrg1aooes">
            <w:r w:rsidDel="00000000" w:rsidR="00000000" w:rsidRPr="00000000">
              <w:rPr>
                <w:color w:val="000000"/>
                <w:u w:val="none"/>
                <w:rtl w:val="0"/>
              </w:rPr>
              <w:t xml:space="preserve">2.7 Dual-Lane Architecture</w:t>
              <w:tab/>
            </w:r>
          </w:hyperlink>
          <w:r w:rsidDel="00000000" w:rsidR="00000000" w:rsidRPr="00000000">
            <w:fldChar w:fldCharType="begin"/>
            <w:instrText xml:space="preserve"> PAGEREF _5ezxrg1aooes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360"/>
            </w:tabs>
            <w:spacing w:before="60" w:line="240" w:lineRule="auto"/>
            <w:ind w:left="360" w:firstLine="0"/>
            <w:rPr>
              <w:color w:val="000000"/>
              <w:u w:val="none"/>
            </w:rPr>
          </w:pPr>
          <w:hyperlink w:anchor="_i0dw5473vxl5">
            <w:r w:rsidDel="00000000" w:rsidR="00000000" w:rsidRPr="00000000">
              <w:rPr>
                <w:color w:val="000000"/>
                <w:u w:val="none"/>
                <w:rtl w:val="0"/>
              </w:rPr>
              <w:t xml:space="preserve">2.8 The No Spy, No Weapon Mandate</w:t>
              <w:tab/>
            </w:r>
          </w:hyperlink>
          <w:r w:rsidDel="00000000" w:rsidR="00000000" w:rsidRPr="00000000">
            <w:fldChar w:fldCharType="begin"/>
            <w:instrText xml:space="preserve"> PAGEREF _i0dw5473vxl5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360"/>
            </w:tabs>
            <w:spacing w:before="60" w:line="240" w:lineRule="auto"/>
            <w:ind w:left="360" w:firstLine="0"/>
            <w:rPr>
              <w:color w:val="000000"/>
              <w:u w:val="none"/>
            </w:rPr>
          </w:pPr>
          <w:hyperlink w:anchor="_u5vu6yjkbqbt">
            <w:r w:rsidDel="00000000" w:rsidR="00000000" w:rsidRPr="00000000">
              <w:rPr>
                <w:color w:val="000000"/>
                <w:u w:val="none"/>
                <w:rtl w:val="0"/>
              </w:rPr>
              <w:t xml:space="preserve">2.9 Constitutional Governance: What TL Is and Is Not</w:t>
              <w:tab/>
            </w:r>
          </w:hyperlink>
          <w:r w:rsidDel="00000000" w:rsidR="00000000" w:rsidRPr="00000000">
            <w:fldChar w:fldCharType="begin"/>
            <w:instrText xml:space="preserve"> PAGEREF _u5vu6yjkbqbt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360"/>
            </w:tabs>
            <w:spacing w:before="60" w:line="240" w:lineRule="auto"/>
            <w:rPr>
              <w:b w:val="1"/>
              <w:bCs w:val="1"/>
              <w:color w:val="000000"/>
              <w:u w:val="none"/>
            </w:rPr>
          </w:pPr>
          <w:hyperlink w:anchor="_lutmww44t86w">
            <w:r w:rsidDel="00000000" w:rsidR="00000000" w:rsidRPr="00000000">
              <w:rPr>
                <w:b w:val="1"/>
                <w:bCs w:val="1"/>
                <w:color w:val="000000"/>
                <w:u w:val="none"/>
                <w:rtl w:val="0"/>
              </w:rPr>
              <w:t xml:space="preserve">SECTION 3: DUAL-LANE ARCHITECTURE</w:t>
              <w:tab/>
            </w:r>
          </w:hyperlink>
          <w:r w:rsidDel="00000000" w:rsidR="00000000" w:rsidRPr="00000000">
            <w:fldChar w:fldCharType="begin"/>
            <w:instrText xml:space="preserve"> PAGEREF _lutmww44t86w \h </w:instrText>
            <w:fldChar w:fldCharType="separate"/>
          </w:r>
          <w:r w:rsidDel="00000000" w:rsidR="00000000" w:rsidRPr="00000000">
            <w:rPr>
              <w:b w:val="1"/>
              <w:bCs w:val="1"/>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360"/>
            </w:tabs>
            <w:spacing w:before="60" w:line="240" w:lineRule="auto"/>
            <w:ind w:left="360" w:firstLine="0"/>
            <w:rPr>
              <w:color w:val="000000"/>
              <w:u w:val="none"/>
            </w:rPr>
          </w:pPr>
          <w:hyperlink w:anchor="_y526z7h016l6">
            <w:r w:rsidDel="00000000" w:rsidR="00000000" w:rsidRPr="00000000">
              <w:rPr>
                <w:color w:val="000000"/>
                <w:u w:val="none"/>
                <w:rtl w:val="0"/>
              </w:rPr>
              <w:t xml:space="preserve">3.1 Architectural Principle: Why Two Lanes</w:t>
              <w:tab/>
            </w:r>
          </w:hyperlink>
          <w:r w:rsidDel="00000000" w:rsidR="00000000" w:rsidRPr="00000000">
            <w:fldChar w:fldCharType="begin"/>
            <w:instrText xml:space="preserve"> PAGEREF _y526z7h016l6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360"/>
            </w:tabs>
            <w:spacing w:before="60" w:line="240" w:lineRule="auto"/>
            <w:ind w:left="360" w:firstLine="0"/>
            <w:rPr>
              <w:color w:val="000000"/>
              <w:u w:val="none"/>
            </w:rPr>
          </w:pPr>
          <w:hyperlink w:anchor="_huk94z9e5wy8">
            <w:r w:rsidDel="00000000" w:rsidR="00000000" w:rsidRPr="00000000">
              <w:rPr>
                <w:color w:val="000000"/>
                <w:u w:val="none"/>
                <w:rtl w:val="0"/>
              </w:rPr>
              <w:t xml:space="preserve">3.2 The Inference Lane</w:t>
              <w:tab/>
            </w:r>
          </w:hyperlink>
          <w:r w:rsidDel="00000000" w:rsidR="00000000" w:rsidRPr="00000000">
            <w:fldChar w:fldCharType="begin"/>
            <w:instrText xml:space="preserve"> PAGEREF _huk94z9e5wy8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360"/>
            </w:tabs>
            <w:spacing w:before="60" w:line="240" w:lineRule="auto"/>
            <w:ind w:left="360" w:firstLine="0"/>
            <w:rPr>
              <w:color w:val="000000"/>
              <w:u w:val="none"/>
            </w:rPr>
          </w:pPr>
          <w:hyperlink w:anchor="_jle0dtjlepi7">
            <w:r w:rsidDel="00000000" w:rsidR="00000000" w:rsidRPr="00000000">
              <w:rPr>
                <w:color w:val="000000"/>
                <w:u w:val="none"/>
                <w:rtl w:val="0"/>
              </w:rPr>
              <w:t xml:space="preserve">3.3 The Governance Lane and the Dual-Lane Latency Architecture</w:t>
              <w:tab/>
            </w:r>
          </w:hyperlink>
          <w:r w:rsidDel="00000000" w:rsidR="00000000" w:rsidRPr="00000000">
            <w:fldChar w:fldCharType="begin"/>
            <w:instrText xml:space="preserve"> PAGEREF _jle0dtjlepi7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360"/>
            </w:tabs>
            <w:spacing w:before="60" w:line="240" w:lineRule="auto"/>
            <w:ind w:left="360" w:firstLine="0"/>
            <w:rPr>
              <w:color w:val="000000"/>
              <w:u w:val="none"/>
            </w:rPr>
          </w:pPr>
          <w:hyperlink w:anchor="_tu7doug21a0s">
            <w:r w:rsidDel="00000000" w:rsidR="00000000" w:rsidRPr="00000000">
              <w:rPr>
                <w:color w:val="000000"/>
                <w:u w:val="none"/>
                <w:rtl w:val="0"/>
              </w:rPr>
              <w:t xml:space="preserve">3.4 The Gateway: Fail-Closed by Constitutional Design</w:t>
              <w:tab/>
            </w:r>
          </w:hyperlink>
          <w:r w:rsidDel="00000000" w:rsidR="00000000" w:rsidRPr="00000000">
            <w:fldChar w:fldCharType="begin"/>
            <w:instrText xml:space="preserve"> PAGEREF _tu7doug21a0s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360"/>
            </w:tabs>
            <w:spacing w:before="60" w:line="240" w:lineRule="auto"/>
            <w:ind w:left="360" w:firstLine="0"/>
            <w:rPr>
              <w:color w:val="000000"/>
              <w:u w:val="none"/>
            </w:rPr>
          </w:pPr>
          <w:hyperlink w:anchor="_wzqjl0pi5tkf">
            <w:r w:rsidDel="00000000" w:rsidR="00000000" w:rsidRPr="00000000">
              <w:rPr>
                <w:color w:val="000000"/>
                <w:u w:val="none"/>
                <w:rtl w:val="0"/>
              </w:rPr>
              <w:t xml:space="preserve">3.5 The Provisional Permission Token</w:t>
              <w:tab/>
            </w:r>
          </w:hyperlink>
          <w:r w:rsidDel="00000000" w:rsidR="00000000" w:rsidRPr="00000000">
            <w:fldChar w:fldCharType="begin"/>
            <w:instrText xml:space="preserve"> PAGEREF _wzqjl0pi5tkf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360"/>
            </w:tabs>
            <w:spacing w:before="60" w:line="240" w:lineRule="auto"/>
            <w:ind w:left="360" w:firstLine="0"/>
            <w:rPr>
              <w:color w:val="000000"/>
              <w:u w:val="none"/>
            </w:rPr>
          </w:pPr>
          <w:hyperlink w:anchor="_wkz144liok3n">
            <w:r w:rsidDel="00000000" w:rsidR="00000000" w:rsidRPr="00000000">
              <w:rPr>
                <w:color w:val="000000"/>
                <w:u w:val="none"/>
                <w:rtl w:val="0"/>
              </w:rPr>
              <w:t xml:space="preserve">3.6 Governor Independence and the 50-Millisecond Marker</w:t>
              <w:tab/>
            </w:r>
          </w:hyperlink>
          <w:r w:rsidDel="00000000" w:rsidR="00000000" w:rsidRPr="00000000">
            <w:fldChar w:fldCharType="begin"/>
            <w:instrText xml:space="preserve"> PAGEREF _wkz144liok3n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360"/>
            </w:tabs>
            <w:spacing w:before="60" w:line="240" w:lineRule="auto"/>
            <w:ind w:left="360" w:firstLine="0"/>
            <w:rPr>
              <w:color w:val="000000"/>
              <w:u w:val="none"/>
            </w:rPr>
          </w:pPr>
          <w:hyperlink w:anchor="_qn54zumb8muq">
            <w:r w:rsidDel="00000000" w:rsidR="00000000" w:rsidRPr="00000000">
              <w:rPr>
                <w:color w:val="000000"/>
                <w:u w:val="none"/>
                <w:rtl w:val="0"/>
              </w:rPr>
              <w:t xml:space="preserve">3.7 The Final Permission Token and Anchoring Completion</w:t>
              <w:tab/>
            </w:r>
          </w:hyperlink>
          <w:r w:rsidDel="00000000" w:rsidR="00000000" w:rsidRPr="00000000">
            <w:fldChar w:fldCharType="begin"/>
            <w:instrText xml:space="preserve"> PAGEREF _qn54zumb8muq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360"/>
            </w:tabs>
            <w:spacing w:before="60" w:line="240" w:lineRule="auto"/>
            <w:ind w:left="360" w:firstLine="0"/>
            <w:rPr>
              <w:color w:val="000000"/>
              <w:u w:val="none"/>
            </w:rPr>
          </w:pPr>
          <w:hyperlink w:anchor="_1q52nm1848vo">
            <w:r w:rsidDel="00000000" w:rsidR="00000000" w:rsidRPr="00000000">
              <w:rPr>
                <w:color w:val="000000"/>
                <w:u w:val="none"/>
                <w:rtl w:val="0"/>
              </w:rPr>
              <w:t xml:space="preserve">3.8 The TLResult Object</w:t>
              <w:tab/>
            </w:r>
          </w:hyperlink>
          <w:r w:rsidDel="00000000" w:rsidR="00000000" w:rsidRPr="00000000">
            <w:fldChar w:fldCharType="begin"/>
            <w:instrText xml:space="preserve"> PAGEREF _1q52nm1848vo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360"/>
            </w:tabs>
            <w:spacing w:before="60" w:line="240" w:lineRule="auto"/>
            <w:ind w:left="360" w:firstLine="0"/>
            <w:rPr>
              <w:color w:val="000000"/>
              <w:u w:val="none"/>
            </w:rPr>
          </w:pPr>
          <w:hyperlink w:anchor="_765dhdwynwjj">
            <w:r w:rsidDel="00000000" w:rsidR="00000000" w:rsidRPr="00000000">
              <w:rPr>
                <w:color w:val="000000"/>
                <w:u w:val="none"/>
                <w:rtl w:val="0"/>
              </w:rPr>
              <w:t xml:space="preserve">3.9 NL=NA Five-Layer Enforcement Architecture</w:t>
              <w:tab/>
            </w:r>
          </w:hyperlink>
          <w:r w:rsidDel="00000000" w:rsidR="00000000" w:rsidRPr="00000000">
            <w:fldChar w:fldCharType="begin"/>
            <w:instrText xml:space="preserve"> PAGEREF _765dhdwynwjj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360"/>
            </w:tabs>
            <w:spacing w:before="60" w:line="240" w:lineRule="auto"/>
            <w:ind w:left="360" w:firstLine="0"/>
            <w:rPr>
              <w:color w:val="000000"/>
              <w:u w:val="none"/>
            </w:rPr>
          </w:pPr>
          <w:hyperlink w:anchor="_fuykm29w4qhz">
            <w:r w:rsidDel="00000000" w:rsidR="00000000" w:rsidRPr="00000000">
              <w:rPr>
                <w:color w:val="000000"/>
                <w:u w:val="none"/>
                <w:rtl w:val="0"/>
              </w:rPr>
              <w:t xml:space="preserve">3.10 Tri-Cameral Oversight of the Dual-Lane Architecture</w:t>
              <w:tab/>
            </w:r>
          </w:hyperlink>
          <w:r w:rsidDel="00000000" w:rsidR="00000000" w:rsidRPr="00000000">
            <w:fldChar w:fldCharType="begin"/>
            <w:instrText xml:space="preserve"> PAGEREF _fuykm29w4qhz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360"/>
            </w:tabs>
            <w:spacing w:before="60" w:line="240" w:lineRule="auto"/>
            <w:ind w:left="360" w:firstLine="0"/>
            <w:rPr>
              <w:color w:val="000000"/>
              <w:u w:val="none"/>
            </w:rPr>
          </w:pPr>
          <w:hyperlink w:anchor="_y12nrt1n1pdr">
            <w:r w:rsidDel="00000000" w:rsidR="00000000" w:rsidRPr="00000000">
              <w:rPr>
                <w:color w:val="000000"/>
                <w:u w:val="none"/>
                <w:rtl w:val="0"/>
              </w:rPr>
              <w:t xml:space="preserve">3.11 Dual-Lane Architecture in Macroeconomic Practice</w:t>
              <w:tab/>
            </w:r>
          </w:hyperlink>
          <w:r w:rsidDel="00000000" w:rsidR="00000000" w:rsidRPr="00000000">
            <w:fldChar w:fldCharType="begin"/>
            <w:instrText xml:space="preserve"> PAGEREF _y12nrt1n1pdr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360"/>
            </w:tabs>
            <w:spacing w:before="60" w:line="240" w:lineRule="auto"/>
            <w:rPr>
              <w:b w:val="1"/>
              <w:bCs w:val="1"/>
              <w:color w:val="000000"/>
              <w:u w:val="none"/>
            </w:rPr>
          </w:pPr>
          <w:hyperlink w:anchor="_rw0foupqzt7n">
            <w:r w:rsidDel="00000000" w:rsidR="00000000" w:rsidRPr="00000000">
              <w:rPr>
                <w:b w:val="1"/>
                <w:bCs w:val="1"/>
                <w:color w:val="000000"/>
                <w:u w:val="none"/>
                <w:rtl w:val="0"/>
              </w:rPr>
              <w:t xml:space="preserve">SECTION 4: THE EIGHT PILLARS OF EVIDENTIARY GOVERNANCE</w:t>
              <w:tab/>
            </w:r>
          </w:hyperlink>
          <w:r w:rsidDel="00000000" w:rsidR="00000000" w:rsidRPr="00000000">
            <w:fldChar w:fldCharType="begin"/>
            <w:instrText xml:space="preserve"> PAGEREF _rw0foupqzt7n \h </w:instrText>
            <w:fldChar w:fldCharType="separate"/>
          </w:r>
          <w:r w:rsidDel="00000000" w:rsidR="00000000" w:rsidRPr="00000000">
            <w:rPr>
              <w:b w:val="1"/>
              <w:bCs w:val="1"/>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360"/>
            </w:tabs>
            <w:spacing w:before="60" w:line="240" w:lineRule="auto"/>
            <w:ind w:left="360" w:firstLine="0"/>
            <w:rPr>
              <w:color w:val="000000"/>
              <w:u w:val="none"/>
            </w:rPr>
          </w:pPr>
          <w:hyperlink w:anchor="_236earwieqcf">
            <w:r w:rsidDel="00000000" w:rsidR="00000000" w:rsidRPr="00000000">
              <w:rPr>
                <w:color w:val="000000"/>
                <w:u w:val="none"/>
                <w:rtl w:val="0"/>
              </w:rPr>
              <w:t xml:space="preserve">4.0 Overview</w:t>
              <w:tab/>
            </w:r>
          </w:hyperlink>
          <w:r w:rsidDel="00000000" w:rsidR="00000000" w:rsidRPr="00000000">
            <w:fldChar w:fldCharType="begin"/>
            <w:instrText xml:space="preserve"> PAGEREF _236earwieqcf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360"/>
            </w:tabs>
            <w:spacing w:before="60" w:line="240" w:lineRule="auto"/>
            <w:ind w:left="360" w:firstLine="0"/>
            <w:rPr>
              <w:color w:val="000000"/>
              <w:u w:val="none"/>
            </w:rPr>
          </w:pPr>
          <w:hyperlink w:anchor="_kiddt49hl16s">
            <w:r w:rsidDel="00000000" w:rsidR="00000000" w:rsidRPr="00000000">
              <w:rPr>
                <w:color w:val="000000"/>
                <w:u w:val="none"/>
                <w:rtl w:val="0"/>
              </w:rPr>
              <w:t xml:space="preserve">4.1 Pillar I: Epistemic Hold</w:t>
              <w:tab/>
            </w:r>
          </w:hyperlink>
          <w:r w:rsidDel="00000000" w:rsidR="00000000" w:rsidRPr="00000000">
            <w:fldChar w:fldCharType="begin"/>
            <w:instrText xml:space="preserve"> PAGEREF _kiddt49hl16s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360"/>
            </w:tabs>
            <w:spacing w:before="60" w:line="240" w:lineRule="auto"/>
            <w:ind w:left="360" w:firstLine="0"/>
            <w:rPr>
              <w:color w:val="000000"/>
              <w:u w:val="none"/>
            </w:rPr>
          </w:pPr>
          <w:hyperlink w:anchor="_tctdl0of9qdy">
            <w:r w:rsidDel="00000000" w:rsidR="00000000" w:rsidRPr="00000000">
              <w:rPr>
                <w:color w:val="000000"/>
                <w:u w:val="none"/>
                <w:rtl w:val="0"/>
              </w:rPr>
              <w:t xml:space="preserve">4.2 Pillar II: Immutable Ledger</w:t>
              <w:tab/>
            </w:r>
          </w:hyperlink>
          <w:r w:rsidDel="00000000" w:rsidR="00000000" w:rsidRPr="00000000">
            <w:fldChar w:fldCharType="begin"/>
            <w:instrText xml:space="preserve"> PAGEREF _tctdl0of9qdy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360"/>
            </w:tabs>
            <w:spacing w:before="60" w:line="240" w:lineRule="auto"/>
            <w:ind w:left="360" w:firstLine="0"/>
            <w:rPr>
              <w:color w:val="000000"/>
              <w:u w:val="none"/>
            </w:rPr>
          </w:pPr>
          <w:hyperlink w:anchor="_e0ryvo7639po">
            <w:r w:rsidDel="00000000" w:rsidR="00000000" w:rsidRPr="00000000">
              <w:rPr>
                <w:color w:val="000000"/>
                <w:u w:val="none"/>
                <w:rtl w:val="0"/>
              </w:rPr>
              <w:t xml:space="preserve">4.3 Pillar III: Goukassian Principle</w:t>
              <w:tab/>
            </w:r>
          </w:hyperlink>
          <w:r w:rsidDel="00000000" w:rsidR="00000000" w:rsidRPr="00000000">
            <w:fldChar w:fldCharType="begin"/>
            <w:instrText xml:space="preserve"> PAGEREF _e0ryvo7639po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360"/>
            </w:tabs>
            <w:spacing w:before="60" w:line="240" w:lineRule="auto"/>
            <w:ind w:left="360" w:firstLine="0"/>
            <w:rPr>
              <w:color w:val="000000"/>
              <w:u w:val="none"/>
            </w:rPr>
          </w:pPr>
          <w:hyperlink w:anchor="_93dlqpd087uz">
            <w:r w:rsidDel="00000000" w:rsidR="00000000" w:rsidRPr="00000000">
              <w:rPr>
                <w:color w:val="000000"/>
                <w:u w:val="none"/>
                <w:rtl w:val="0"/>
              </w:rPr>
              <w:t xml:space="preserve">4.4 Pillar IV: Decision Logs</w:t>
              <w:tab/>
            </w:r>
          </w:hyperlink>
          <w:r w:rsidDel="00000000" w:rsidR="00000000" w:rsidRPr="00000000">
            <w:fldChar w:fldCharType="begin"/>
            <w:instrText xml:space="preserve"> PAGEREF _93dlqpd087uz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360"/>
            </w:tabs>
            <w:spacing w:before="60" w:line="240" w:lineRule="auto"/>
            <w:ind w:left="360" w:firstLine="0"/>
            <w:rPr>
              <w:color w:val="000000"/>
              <w:u w:val="none"/>
            </w:rPr>
          </w:pPr>
          <w:hyperlink w:anchor="_icr19dh4q6wi">
            <w:r w:rsidDel="00000000" w:rsidR="00000000" w:rsidRPr="00000000">
              <w:rPr>
                <w:color w:val="000000"/>
                <w:u w:val="none"/>
                <w:rtl w:val="0"/>
              </w:rPr>
              <w:t xml:space="preserve">4.5 Pillar V: Economic Rights and Transparency Mandate</w:t>
              <w:tab/>
            </w:r>
          </w:hyperlink>
          <w:r w:rsidDel="00000000" w:rsidR="00000000" w:rsidRPr="00000000">
            <w:fldChar w:fldCharType="begin"/>
            <w:instrText xml:space="preserve"> PAGEREF _icr19dh4q6wi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360"/>
            </w:tabs>
            <w:spacing w:before="60" w:line="240" w:lineRule="auto"/>
            <w:ind w:left="360" w:firstLine="0"/>
            <w:rPr>
              <w:color w:val="000000"/>
              <w:u w:val="none"/>
            </w:rPr>
          </w:pPr>
          <w:hyperlink w:anchor="_f9bs3spzcwbq">
            <w:r w:rsidDel="00000000" w:rsidR="00000000" w:rsidRPr="00000000">
              <w:rPr>
                <w:color w:val="000000"/>
                <w:u w:val="none"/>
                <w:rtl w:val="0"/>
              </w:rPr>
              <w:t xml:space="preserve">4.6 Pillar VI: Sustainable Capital Allocation Mandate</w:t>
              <w:tab/>
            </w:r>
          </w:hyperlink>
          <w:r w:rsidDel="00000000" w:rsidR="00000000" w:rsidRPr="00000000">
            <w:fldChar w:fldCharType="begin"/>
            <w:instrText xml:space="preserve"> PAGEREF _f9bs3spzcwbq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360"/>
            </w:tabs>
            <w:spacing w:before="60" w:line="240" w:lineRule="auto"/>
            <w:ind w:left="360" w:firstLine="0"/>
            <w:rPr>
              <w:color w:val="000000"/>
              <w:u w:val="none"/>
            </w:rPr>
          </w:pPr>
          <w:hyperlink w:anchor="_o3hill1qzkto">
            <w:r w:rsidDel="00000000" w:rsidR="00000000" w:rsidRPr="00000000">
              <w:rPr>
                <w:color w:val="000000"/>
                <w:u w:val="none"/>
                <w:rtl w:val="0"/>
              </w:rPr>
              <w:t xml:space="preserve">4.7 Pillar VII: Hybrid Shield</w:t>
              <w:tab/>
            </w:r>
          </w:hyperlink>
          <w:r w:rsidDel="00000000" w:rsidR="00000000" w:rsidRPr="00000000">
            <w:fldChar w:fldCharType="begin"/>
            <w:instrText xml:space="preserve"> PAGEREF _o3hill1qzkto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360"/>
            </w:tabs>
            <w:spacing w:before="60" w:line="240" w:lineRule="auto"/>
            <w:ind w:left="360" w:firstLine="0"/>
            <w:rPr>
              <w:color w:val="000000"/>
              <w:u w:val="none"/>
            </w:rPr>
          </w:pPr>
          <w:hyperlink w:anchor="_8qvld46xxwgd">
            <w:r w:rsidDel="00000000" w:rsidR="00000000" w:rsidRPr="00000000">
              <w:rPr>
                <w:color w:val="000000"/>
                <w:u w:val="none"/>
                <w:rtl w:val="0"/>
              </w:rPr>
              <w:t xml:space="preserve">4.8 Pillar VIII: Anchors</w:t>
              <w:tab/>
            </w:r>
          </w:hyperlink>
          <w:r w:rsidDel="00000000" w:rsidR="00000000" w:rsidRPr="00000000">
            <w:fldChar w:fldCharType="begin"/>
            <w:instrText xml:space="preserve"> PAGEREF _8qvld46xxwgd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360"/>
            </w:tabs>
            <w:spacing w:before="60" w:line="240" w:lineRule="auto"/>
            <w:ind w:left="360" w:firstLine="0"/>
            <w:rPr>
              <w:color w:val="000000"/>
              <w:u w:val="none"/>
            </w:rPr>
          </w:pPr>
          <w:hyperlink w:anchor="_timo28rhqx8e">
            <w:r w:rsidDel="00000000" w:rsidR="00000000" w:rsidRPr="00000000">
              <w:rPr>
                <w:color w:val="000000"/>
                <w:u w:val="none"/>
                <w:rtl w:val="0"/>
              </w:rPr>
              <w:t xml:space="preserve">4.9 Pillar Interdependencies and Collapse Threshold</w:t>
              <w:tab/>
            </w:r>
          </w:hyperlink>
          <w:r w:rsidDel="00000000" w:rsidR="00000000" w:rsidRPr="00000000">
            <w:fldChar w:fldCharType="begin"/>
            <w:instrText xml:space="preserve"> PAGEREF _timo28rhqx8e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360"/>
            </w:tabs>
            <w:spacing w:before="60" w:line="240" w:lineRule="auto"/>
            <w:rPr>
              <w:b w:val="1"/>
              <w:bCs w:val="1"/>
              <w:color w:val="000000"/>
              <w:u w:val="none"/>
            </w:rPr>
          </w:pPr>
          <w:hyperlink w:anchor="_6mnumxwymco5">
            <w:r w:rsidDel="00000000" w:rsidR="00000000" w:rsidRPr="00000000">
              <w:rPr>
                <w:b w:val="1"/>
                <w:bCs w:val="1"/>
                <w:color w:val="000000"/>
                <w:u w:val="none"/>
                <w:rtl w:val="0"/>
              </w:rPr>
              <w:t xml:space="preserve">SECTION 5: CONSTITUTIONAL MANDATES</w:t>
              <w:tab/>
            </w:r>
          </w:hyperlink>
          <w:r w:rsidDel="00000000" w:rsidR="00000000" w:rsidRPr="00000000">
            <w:fldChar w:fldCharType="begin"/>
            <w:instrText xml:space="preserve"> PAGEREF _6mnumxwymco5 \h </w:instrText>
            <w:fldChar w:fldCharType="separate"/>
          </w:r>
          <w:r w:rsidDel="00000000" w:rsidR="00000000" w:rsidRPr="00000000">
            <w:rPr>
              <w:b w:val="1"/>
              <w:bCs w:val="1"/>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360"/>
            </w:tabs>
            <w:spacing w:before="60" w:line="240" w:lineRule="auto"/>
            <w:ind w:left="360" w:firstLine="0"/>
            <w:rPr>
              <w:color w:val="000000"/>
              <w:u w:val="none"/>
            </w:rPr>
          </w:pPr>
          <w:hyperlink w:anchor="_qtta4dt8d4cb">
            <w:r w:rsidDel="00000000" w:rsidR="00000000" w:rsidRPr="00000000">
              <w:rPr>
                <w:color w:val="000000"/>
                <w:u w:val="none"/>
                <w:rtl w:val="0"/>
              </w:rPr>
              <w:t xml:space="preserve">5.0 Overview</w:t>
              <w:tab/>
            </w:r>
          </w:hyperlink>
          <w:r w:rsidDel="00000000" w:rsidR="00000000" w:rsidRPr="00000000">
            <w:fldChar w:fldCharType="begin"/>
            <w:instrText xml:space="preserve"> PAGEREF _qtta4dt8d4cb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360"/>
            </w:tabs>
            <w:spacing w:before="60" w:line="240" w:lineRule="auto"/>
            <w:ind w:left="360" w:firstLine="0"/>
            <w:rPr>
              <w:color w:val="000000"/>
              <w:u w:val="none"/>
            </w:rPr>
          </w:pPr>
          <w:hyperlink w:anchor="_lxwe6n1jafvh">
            <w:r w:rsidDel="00000000" w:rsidR="00000000" w:rsidRPr="00000000">
              <w:rPr>
                <w:color w:val="000000"/>
                <w:u w:val="none"/>
                <w:rtl w:val="0"/>
              </w:rPr>
              <w:t xml:space="preserve">5.1 The Three Structural Constraints</w:t>
              <w:tab/>
            </w:r>
          </w:hyperlink>
          <w:r w:rsidDel="00000000" w:rsidR="00000000" w:rsidRPr="00000000">
            <w:fldChar w:fldCharType="begin"/>
            <w:instrText xml:space="preserve"> PAGEREF _lxwe6n1jafvh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360"/>
            </w:tabs>
            <w:spacing w:before="60" w:line="240" w:lineRule="auto"/>
            <w:ind w:left="360" w:firstLine="0"/>
            <w:rPr>
              <w:color w:val="000000"/>
              <w:u w:val="none"/>
            </w:rPr>
          </w:pPr>
          <w:hyperlink w:anchor="_ioen1qju7n8m">
            <w:r w:rsidDel="00000000" w:rsidR="00000000" w:rsidRPr="00000000">
              <w:rPr>
                <w:color w:val="000000"/>
                <w:u w:val="none"/>
                <w:rtl w:val="0"/>
              </w:rPr>
              <w:t xml:space="preserve">5.2 The Oracle Problem and Query Constitutionalization</w:t>
              <w:tab/>
            </w:r>
          </w:hyperlink>
          <w:r w:rsidDel="00000000" w:rsidR="00000000" w:rsidRPr="00000000">
            <w:fldChar w:fldCharType="begin"/>
            <w:instrText xml:space="preserve"> PAGEREF _ioen1qju7n8m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360"/>
            </w:tabs>
            <w:spacing w:before="60" w:line="240" w:lineRule="auto"/>
            <w:ind w:left="360" w:firstLine="0"/>
            <w:rPr>
              <w:color w:val="000000"/>
              <w:u w:val="none"/>
            </w:rPr>
          </w:pPr>
          <w:hyperlink w:anchor="_ohqlofgt6xsi">
            <w:r w:rsidDel="00000000" w:rsidR="00000000" w:rsidRPr="00000000">
              <w:rPr>
                <w:color w:val="000000"/>
                <w:u w:val="none"/>
                <w:rtl w:val="0"/>
              </w:rPr>
              <w:t xml:space="preserve">5.3 Partial Weapons Integration</w:t>
              <w:tab/>
            </w:r>
          </w:hyperlink>
          <w:r w:rsidDel="00000000" w:rsidR="00000000" w:rsidRPr="00000000">
            <w:fldChar w:fldCharType="begin"/>
            <w:instrText xml:space="preserve"> PAGEREF _ohqlofgt6xsi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360"/>
            </w:tabs>
            <w:spacing w:before="60" w:line="240" w:lineRule="auto"/>
            <w:ind w:left="360" w:firstLine="0"/>
            <w:rPr>
              <w:color w:val="000000"/>
              <w:u w:val="none"/>
            </w:rPr>
          </w:pPr>
          <w:hyperlink w:anchor="_8npnvikycj3c">
            <w:r w:rsidDel="00000000" w:rsidR="00000000" w:rsidRPr="00000000">
              <w:rPr>
                <w:color w:val="000000"/>
                <w:u w:val="none"/>
                <w:rtl w:val="0"/>
              </w:rPr>
              <w:t xml:space="preserve">5.4 Twelve Domain-Specific Edge-Case Determinations</w:t>
              <w:tab/>
            </w:r>
          </w:hyperlink>
          <w:r w:rsidDel="00000000" w:rsidR="00000000" w:rsidRPr="00000000">
            <w:fldChar w:fldCharType="begin"/>
            <w:instrText xml:space="preserve"> PAGEREF _8npnvikycj3c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360"/>
            </w:tabs>
            <w:spacing w:before="60" w:line="240" w:lineRule="auto"/>
            <w:ind w:left="360" w:firstLine="0"/>
            <w:rPr>
              <w:color w:val="000000"/>
              <w:u w:val="none"/>
            </w:rPr>
          </w:pPr>
          <w:hyperlink w:anchor="_dxbpi5v14f6k">
            <w:r w:rsidDel="00000000" w:rsidR="00000000" w:rsidRPr="00000000">
              <w:rPr>
                <w:color w:val="000000"/>
                <w:u w:val="none"/>
                <w:rtl w:val="0"/>
              </w:rPr>
              <w:t xml:space="preserve">5.5 Universality of the Mandate</w:t>
              <w:tab/>
            </w:r>
          </w:hyperlink>
          <w:r w:rsidDel="00000000" w:rsidR="00000000" w:rsidRPr="00000000">
            <w:fldChar w:fldCharType="begin"/>
            <w:instrText xml:space="preserve"> PAGEREF _dxbpi5v14f6k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360"/>
            </w:tabs>
            <w:spacing w:before="60" w:line="240" w:lineRule="auto"/>
            <w:ind w:left="360" w:firstLine="0"/>
            <w:rPr>
              <w:color w:val="000000"/>
              <w:u w:val="none"/>
            </w:rPr>
          </w:pPr>
          <w:hyperlink w:anchor="_ayouxuw2mjrw">
            <w:r w:rsidDel="00000000" w:rsidR="00000000" w:rsidRPr="00000000">
              <w:rPr>
                <w:color w:val="000000"/>
                <w:u w:val="none"/>
                <w:rtl w:val="0"/>
              </w:rPr>
              <w:t xml:space="preserve">5.6 Power Pressure: Four Sovereign Pressure Vectors</w:t>
              <w:tab/>
            </w:r>
          </w:hyperlink>
          <w:r w:rsidDel="00000000" w:rsidR="00000000" w:rsidRPr="00000000">
            <w:fldChar w:fldCharType="begin"/>
            <w:instrText xml:space="preserve"> PAGEREF _ayouxuw2mjrw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9360"/>
            </w:tabs>
            <w:spacing w:before="60" w:line="240" w:lineRule="auto"/>
            <w:ind w:left="360" w:firstLine="0"/>
            <w:rPr>
              <w:color w:val="000000"/>
              <w:u w:val="none"/>
            </w:rPr>
          </w:pPr>
          <w:hyperlink w:anchor="_s4tybl9hsw3r">
            <w:r w:rsidDel="00000000" w:rsidR="00000000" w:rsidRPr="00000000">
              <w:rPr>
                <w:color w:val="000000"/>
                <w:u w:val="none"/>
                <w:rtl w:val="0"/>
              </w:rPr>
              <w:t xml:space="preserve">5.7 The Three-Axis Final Determination</w:t>
              <w:tab/>
            </w:r>
          </w:hyperlink>
          <w:r w:rsidDel="00000000" w:rsidR="00000000" w:rsidRPr="00000000">
            <w:fldChar w:fldCharType="begin"/>
            <w:instrText xml:space="preserve"> PAGEREF _s4tybl9hsw3r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9360"/>
            </w:tabs>
            <w:spacing w:before="60" w:line="240" w:lineRule="auto"/>
            <w:ind w:left="360" w:firstLine="0"/>
            <w:rPr>
              <w:color w:val="000000"/>
              <w:u w:val="none"/>
            </w:rPr>
          </w:pPr>
          <w:hyperlink w:anchor="_cthwkaj79vrz">
            <w:r w:rsidDel="00000000" w:rsidR="00000000" w:rsidRPr="00000000">
              <w:rPr>
                <w:color w:val="000000"/>
                <w:u w:val="none"/>
                <w:rtl w:val="0"/>
              </w:rPr>
              <w:t xml:space="preserve">5.8 Gray Zone Elimination</w:t>
              <w:tab/>
            </w:r>
          </w:hyperlink>
          <w:r w:rsidDel="00000000" w:rsidR="00000000" w:rsidRPr="00000000">
            <w:fldChar w:fldCharType="begin"/>
            <w:instrText xml:space="preserve"> PAGEREF _cthwkaj79vrz \h </w:instrText>
            <w:fldChar w:fldCharType="separate"/>
          </w:r>
          <w:r w:rsidDel="00000000" w:rsidR="00000000" w:rsidRPr="00000000">
            <w:rPr>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9360"/>
            </w:tabs>
            <w:spacing w:before="60" w:line="240" w:lineRule="auto"/>
            <w:rPr>
              <w:b w:val="1"/>
              <w:bCs w:val="1"/>
              <w:color w:val="000000"/>
              <w:u w:val="none"/>
            </w:rPr>
          </w:pPr>
          <w:hyperlink w:anchor="_mf6sejmry5cb">
            <w:r w:rsidDel="00000000" w:rsidR="00000000" w:rsidRPr="00000000">
              <w:rPr>
                <w:b w:val="1"/>
                <w:bCs w:val="1"/>
                <w:color w:val="000000"/>
                <w:u w:val="none"/>
                <w:rtl w:val="0"/>
              </w:rPr>
              <w:t xml:space="preserve">SECTION 6: PRIVACY, CRYPTOGRAPHY, AND ERASURE</w:t>
              <w:tab/>
            </w:r>
          </w:hyperlink>
          <w:r w:rsidDel="00000000" w:rsidR="00000000" w:rsidRPr="00000000">
            <w:fldChar w:fldCharType="begin"/>
            <w:instrText xml:space="preserve"> PAGEREF _mf6sejmry5cb \h </w:instrText>
            <w:fldChar w:fldCharType="separate"/>
          </w:r>
          <w:r w:rsidDel="00000000" w:rsidR="00000000" w:rsidRPr="00000000">
            <w:rPr>
              <w:b w:val="1"/>
              <w:bCs w:val="1"/>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9360"/>
            </w:tabs>
            <w:spacing w:before="60" w:line="240" w:lineRule="auto"/>
            <w:ind w:left="360" w:firstLine="0"/>
            <w:rPr>
              <w:color w:val="000000"/>
              <w:u w:val="none"/>
            </w:rPr>
          </w:pPr>
          <w:hyperlink w:anchor="_eo1qgzeaqjtx">
            <w:r w:rsidDel="00000000" w:rsidR="00000000" w:rsidRPr="00000000">
              <w:rPr>
                <w:color w:val="000000"/>
                <w:u w:val="none"/>
                <w:rtl w:val="0"/>
              </w:rPr>
              <w:t xml:space="preserve">6.0 Overview</w:t>
              <w:tab/>
            </w:r>
          </w:hyperlink>
          <w:r w:rsidDel="00000000" w:rsidR="00000000" w:rsidRPr="00000000">
            <w:fldChar w:fldCharType="begin"/>
            <w:instrText xml:space="preserve"> PAGEREF _eo1qgzeaqjtx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9360"/>
            </w:tabs>
            <w:spacing w:before="60" w:line="240" w:lineRule="auto"/>
            <w:ind w:left="360" w:firstLine="0"/>
            <w:rPr>
              <w:color w:val="000000"/>
              <w:u w:val="none"/>
            </w:rPr>
          </w:pPr>
          <w:hyperlink w:anchor="_m21raylzu071">
            <w:r w:rsidDel="00000000" w:rsidR="00000000" w:rsidRPr="00000000">
              <w:rPr>
                <w:color w:val="000000"/>
                <w:u w:val="none"/>
                <w:rtl w:val="0"/>
              </w:rPr>
              <w:t xml:space="preserve">6.1 The Structural Incompatibility and Its Resolution</w:t>
              <w:tab/>
            </w:r>
          </w:hyperlink>
          <w:r w:rsidDel="00000000" w:rsidR="00000000" w:rsidRPr="00000000">
            <w:fldChar w:fldCharType="begin"/>
            <w:instrText xml:space="preserve"> PAGEREF _m21raylzu071 \h </w:instrText>
            <w:fldChar w:fldCharType="separate"/>
          </w:r>
          <w:r w:rsidDel="00000000" w:rsidR="00000000" w:rsidRPr="00000000">
            <w:rPr>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9360"/>
            </w:tabs>
            <w:spacing w:before="60" w:line="240" w:lineRule="auto"/>
            <w:ind w:left="360" w:firstLine="0"/>
            <w:rPr>
              <w:color w:val="000000"/>
              <w:u w:val="none"/>
            </w:rPr>
          </w:pPr>
          <w:hyperlink w:anchor="_2ltc7n2t65kx">
            <w:r w:rsidDel="00000000" w:rsidR="00000000" w:rsidRPr="00000000">
              <w:rPr>
                <w:color w:val="000000"/>
                <w:u w:val="none"/>
                <w:rtl w:val="0"/>
              </w:rPr>
              <w:t xml:space="preserve">6.2 Cryptographic Erasure: The HKDF-SHA3-256 Protocol</w:t>
              <w:tab/>
            </w:r>
          </w:hyperlink>
          <w:r w:rsidDel="00000000" w:rsidR="00000000" w:rsidRPr="00000000">
            <w:fldChar w:fldCharType="begin"/>
            <w:instrText xml:space="preserve"> PAGEREF _2ltc7n2t65kx \h </w:instrText>
            <w:fldChar w:fldCharType="separate"/>
          </w:r>
          <w:r w:rsidDel="00000000" w:rsidR="00000000" w:rsidRPr="00000000">
            <w:rPr>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9360"/>
            </w:tabs>
            <w:spacing w:before="60" w:line="240" w:lineRule="auto"/>
            <w:ind w:left="360" w:firstLine="0"/>
            <w:rPr>
              <w:color w:val="000000"/>
              <w:u w:val="none"/>
            </w:rPr>
          </w:pPr>
          <w:hyperlink w:anchor="_7i8bvjtotiy0">
            <w:r w:rsidDel="00000000" w:rsidR="00000000" w:rsidRPr="00000000">
              <w:rPr>
                <w:color w:val="000000"/>
                <w:u w:val="none"/>
                <w:rtl w:val="0"/>
              </w:rPr>
              <w:t xml:space="preserve">6.3 Ephemeral Key Rotation: Architecture and Operational Mechanics</w:t>
              <w:tab/>
            </w:r>
          </w:hyperlink>
          <w:r w:rsidDel="00000000" w:rsidR="00000000" w:rsidRPr="00000000">
            <w:fldChar w:fldCharType="begin"/>
            <w:instrText xml:space="preserve"> PAGEREF _7i8bvjtotiy0 \h </w:instrText>
            <w:fldChar w:fldCharType="separate"/>
          </w:r>
          <w:r w:rsidDel="00000000" w:rsidR="00000000" w:rsidRPr="00000000">
            <w:rPr>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9360"/>
            </w:tabs>
            <w:spacing w:before="60" w:line="240" w:lineRule="auto"/>
            <w:ind w:left="360" w:firstLine="0"/>
            <w:rPr>
              <w:color w:val="000000"/>
              <w:u w:val="none"/>
            </w:rPr>
          </w:pPr>
          <w:hyperlink w:anchor="_cnt165z0gcmu">
            <w:r w:rsidDel="00000000" w:rsidR="00000000" w:rsidRPr="00000000">
              <w:rPr>
                <w:color w:val="000000"/>
                <w:u w:val="none"/>
                <w:rtl w:val="0"/>
              </w:rPr>
              <w:t xml:space="preserve">6.4 Trade Secret Protection and Regulatory Examination</w:t>
              <w:tab/>
            </w:r>
          </w:hyperlink>
          <w:r w:rsidDel="00000000" w:rsidR="00000000" w:rsidRPr="00000000">
            <w:fldChar w:fldCharType="begin"/>
            <w:instrText xml:space="preserve"> PAGEREF _cnt165z0gcmu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9360"/>
            </w:tabs>
            <w:spacing w:before="60" w:line="240" w:lineRule="auto"/>
            <w:ind w:left="360" w:firstLine="0"/>
            <w:rPr>
              <w:color w:val="000000"/>
              <w:u w:val="none"/>
            </w:rPr>
          </w:pPr>
          <w:hyperlink w:anchor="_kkx90wh23lhr">
            <w:r w:rsidDel="00000000" w:rsidR="00000000" w:rsidRPr="00000000">
              <w:rPr>
                <w:color w:val="000000"/>
                <w:u w:val="none"/>
                <w:rtl w:val="0"/>
              </w:rPr>
              <w:t xml:space="preserve">6.5 GDPR Article 17 Full Compliance Analysis</w:t>
              <w:tab/>
            </w:r>
          </w:hyperlink>
          <w:r w:rsidDel="00000000" w:rsidR="00000000" w:rsidRPr="00000000">
            <w:fldChar w:fldCharType="begin"/>
            <w:instrText xml:space="preserve"> PAGEREF _kkx90wh23lhr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9360"/>
            </w:tabs>
            <w:spacing w:before="60" w:line="240" w:lineRule="auto"/>
            <w:ind w:left="360" w:firstLine="0"/>
            <w:rPr>
              <w:color w:val="000000"/>
              <w:u w:val="none"/>
            </w:rPr>
          </w:pPr>
          <w:hyperlink w:anchor="_hknevi3da8lc">
            <w:r w:rsidDel="00000000" w:rsidR="00000000" w:rsidRPr="00000000">
              <w:rPr>
                <w:color w:val="000000"/>
                <w:u w:val="none"/>
                <w:rtl w:val="0"/>
              </w:rPr>
              <w:t xml:space="preserve">6.6 Three Residual Sub-Gaps</w:t>
              <w:tab/>
            </w:r>
          </w:hyperlink>
          <w:r w:rsidDel="00000000" w:rsidR="00000000" w:rsidRPr="00000000">
            <w:fldChar w:fldCharType="begin"/>
            <w:instrText xml:space="preserve"> PAGEREF _hknevi3da8lc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dot" w:pos="9360"/>
            </w:tabs>
            <w:spacing w:before="60" w:line="240" w:lineRule="auto"/>
            <w:ind w:left="360" w:firstLine="0"/>
            <w:rPr>
              <w:color w:val="000000"/>
              <w:u w:val="none"/>
            </w:rPr>
          </w:pPr>
          <w:hyperlink w:anchor="_pf3ducattksq">
            <w:r w:rsidDel="00000000" w:rsidR="00000000" w:rsidRPr="00000000">
              <w:rPr>
                <w:color w:val="000000"/>
                <w:u w:val="none"/>
                <w:rtl w:val="0"/>
              </w:rPr>
              <w:t xml:space="preserve">6.7 Post-Quantum Cryptographic Migration</w:t>
              <w:tab/>
            </w:r>
          </w:hyperlink>
          <w:r w:rsidDel="00000000" w:rsidR="00000000" w:rsidRPr="00000000">
            <w:fldChar w:fldCharType="begin"/>
            <w:instrText xml:space="preserve"> PAGEREF _pf3ducattksq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dot" w:pos="9360"/>
            </w:tabs>
            <w:spacing w:before="60" w:line="240" w:lineRule="auto"/>
            <w:ind w:left="360" w:firstLine="0"/>
            <w:rPr>
              <w:color w:val="000000"/>
              <w:u w:val="none"/>
            </w:rPr>
          </w:pPr>
          <w:hyperlink w:anchor="_8ti9lrks52vp">
            <w:r w:rsidDel="00000000" w:rsidR="00000000" w:rsidRPr="00000000">
              <w:rPr>
                <w:color w:val="000000"/>
                <w:u w:val="none"/>
                <w:rtl w:val="0"/>
              </w:rPr>
              <w:t xml:space="preserve">6.8 Tri-Cameral Oversight of Privacy and Cryptographic Infrastructure</w:t>
              <w:tab/>
            </w:r>
          </w:hyperlink>
          <w:r w:rsidDel="00000000" w:rsidR="00000000" w:rsidRPr="00000000">
            <w:fldChar w:fldCharType="begin"/>
            <w:instrText xml:space="preserve"> PAGEREF _8ti9lrks52vp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dot" w:pos="9360"/>
            </w:tabs>
            <w:spacing w:before="60" w:line="240" w:lineRule="auto"/>
            <w:rPr>
              <w:b w:val="1"/>
              <w:bCs w:val="1"/>
              <w:color w:val="000000"/>
              <w:u w:val="none"/>
            </w:rPr>
          </w:pPr>
          <w:hyperlink w:anchor="_ck1bagw1iqha">
            <w:r w:rsidDel="00000000" w:rsidR="00000000" w:rsidRPr="00000000">
              <w:rPr>
                <w:b w:val="1"/>
                <w:bCs w:val="1"/>
                <w:color w:val="000000"/>
                <w:u w:val="none"/>
                <w:rtl w:val="0"/>
              </w:rPr>
              <w:t xml:space="preserve">SECTION 7: REGULATORY AND LEGAL ALIGNMENT</w:t>
              <w:tab/>
            </w:r>
          </w:hyperlink>
          <w:r w:rsidDel="00000000" w:rsidR="00000000" w:rsidRPr="00000000">
            <w:fldChar w:fldCharType="begin"/>
            <w:instrText xml:space="preserve"> PAGEREF _ck1bagw1iqha \h </w:instrText>
            <w:fldChar w:fldCharType="separate"/>
          </w:r>
          <w:r w:rsidDel="00000000" w:rsidR="00000000" w:rsidRPr="00000000">
            <w:rPr>
              <w:b w:val="1"/>
              <w:bCs w:val="1"/>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dot" w:pos="9360"/>
            </w:tabs>
            <w:spacing w:before="60" w:line="240" w:lineRule="auto"/>
            <w:ind w:left="360" w:firstLine="0"/>
            <w:rPr>
              <w:color w:val="000000"/>
              <w:u w:val="none"/>
            </w:rPr>
          </w:pPr>
          <w:hyperlink w:anchor="_6l1q2qn65rg2">
            <w:r w:rsidDel="00000000" w:rsidR="00000000" w:rsidRPr="00000000">
              <w:rPr>
                <w:color w:val="000000"/>
                <w:u w:val="none"/>
                <w:rtl w:val="0"/>
              </w:rPr>
              <w:t xml:space="preserve">7.0 Overview</w:t>
              <w:tab/>
            </w:r>
          </w:hyperlink>
          <w:r w:rsidDel="00000000" w:rsidR="00000000" w:rsidRPr="00000000">
            <w:fldChar w:fldCharType="begin"/>
            <w:instrText xml:space="preserve"> PAGEREF _6l1q2qn65rg2 \h </w:instrText>
            <w:fldChar w:fldCharType="separate"/>
          </w:r>
          <w:r w:rsidDel="00000000" w:rsidR="00000000" w:rsidRPr="00000000">
            <w:rPr>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dot" w:pos="9360"/>
            </w:tabs>
            <w:spacing w:before="60" w:line="240" w:lineRule="auto"/>
            <w:ind w:left="360" w:firstLine="0"/>
            <w:rPr>
              <w:color w:val="000000"/>
              <w:u w:val="none"/>
            </w:rPr>
          </w:pPr>
          <w:hyperlink w:anchor="_lk5jkdr73icc">
            <w:r w:rsidDel="00000000" w:rsidR="00000000" w:rsidRPr="00000000">
              <w:rPr>
                <w:color w:val="000000"/>
                <w:u w:val="none"/>
                <w:rtl w:val="0"/>
              </w:rPr>
              <w:t xml:space="preserve">7.1 Basel III and the Fundamental Review of the Trading Book</w:t>
              <w:tab/>
            </w:r>
          </w:hyperlink>
          <w:r w:rsidDel="00000000" w:rsidR="00000000" w:rsidRPr="00000000">
            <w:fldChar w:fldCharType="begin"/>
            <w:instrText xml:space="preserve"> PAGEREF _lk5jkdr73icc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dot" w:pos="9360"/>
            </w:tabs>
            <w:spacing w:before="60" w:line="240" w:lineRule="auto"/>
            <w:ind w:left="360" w:firstLine="0"/>
            <w:rPr>
              <w:color w:val="000000"/>
              <w:u w:val="none"/>
            </w:rPr>
          </w:pPr>
          <w:hyperlink w:anchor="_n1kst31bsv1z">
            <w:r w:rsidDel="00000000" w:rsidR="00000000" w:rsidRPr="00000000">
              <w:rPr>
                <w:color w:val="000000"/>
                <w:u w:val="none"/>
                <w:rtl w:val="0"/>
              </w:rPr>
              <w:t xml:space="preserve">7.2 SEC, CFTC, and Market Integrity Enforcement</w:t>
              <w:tab/>
            </w:r>
          </w:hyperlink>
          <w:r w:rsidDel="00000000" w:rsidR="00000000" w:rsidRPr="00000000">
            <w:fldChar w:fldCharType="begin"/>
            <w:instrText xml:space="preserve"> PAGEREF _n1kst31bsv1z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dot" w:pos="9360"/>
            </w:tabs>
            <w:spacing w:before="60" w:line="240" w:lineRule="auto"/>
            <w:ind w:left="360" w:firstLine="0"/>
            <w:rPr>
              <w:color w:val="000000"/>
              <w:u w:val="none"/>
            </w:rPr>
          </w:pPr>
          <w:hyperlink w:anchor="_ie3lu4ygyegi">
            <w:r w:rsidDel="00000000" w:rsidR="00000000" w:rsidRPr="00000000">
              <w:rPr>
                <w:color w:val="000000"/>
                <w:u w:val="none"/>
                <w:rtl w:val="0"/>
              </w:rPr>
              <w:t xml:space="preserve">7.3 IOSCO Principles for Financial Market Infrastructures</w:t>
              <w:tab/>
            </w:r>
          </w:hyperlink>
          <w:r w:rsidDel="00000000" w:rsidR="00000000" w:rsidRPr="00000000">
            <w:fldChar w:fldCharType="begin"/>
            <w:instrText xml:space="preserve"> PAGEREF _ie3lu4ygyegi \h </w:instrText>
            <w:fldChar w:fldCharType="separate"/>
          </w:r>
          <w:r w:rsidDel="00000000" w:rsidR="00000000" w:rsidRPr="00000000">
            <w:rPr>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dot" w:pos="9360"/>
            </w:tabs>
            <w:spacing w:before="60" w:line="240" w:lineRule="auto"/>
            <w:ind w:left="360" w:firstLine="0"/>
            <w:rPr>
              <w:color w:val="000000"/>
              <w:u w:val="none"/>
            </w:rPr>
          </w:pPr>
          <w:hyperlink w:anchor="_jpmfu8puo77">
            <w:r w:rsidDel="00000000" w:rsidR="00000000" w:rsidRPr="00000000">
              <w:rPr>
                <w:color w:val="000000"/>
                <w:u w:val="none"/>
                <w:rtl w:val="0"/>
              </w:rPr>
              <w:t xml:space="preserve">7.4 Central Bank Oversight and CBDC Governance</w:t>
              <w:tab/>
            </w:r>
          </w:hyperlink>
          <w:r w:rsidDel="00000000" w:rsidR="00000000" w:rsidRPr="00000000">
            <w:fldChar w:fldCharType="begin"/>
            <w:instrText xml:space="preserve"> PAGEREF _jpmfu8puo77 \h </w:instrText>
            <w:fldChar w:fldCharType="separate"/>
          </w:r>
          <w:r w:rsidDel="00000000" w:rsidR="00000000" w:rsidRPr="00000000">
            <w:rPr>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dot" w:pos="9360"/>
            </w:tabs>
            <w:spacing w:before="60" w:line="240" w:lineRule="auto"/>
            <w:ind w:left="360" w:firstLine="0"/>
            <w:rPr>
              <w:color w:val="000000"/>
              <w:u w:val="none"/>
            </w:rPr>
          </w:pPr>
          <w:hyperlink w:anchor="_b2ohhv3y67me">
            <w:r w:rsidDel="00000000" w:rsidR="00000000" w:rsidRPr="00000000">
              <w:rPr>
                <w:color w:val="000000"/>
                <w:u w:val="none"/>
                <w:rtl w:val="0"/>
              </w:rPr>
              <w:t xml:space="preserve">7.5 Digital Evidence Standards: FRE 901/902 and eIDAS</w:t>
              <w:tab/>
            </w:r>
          </w:hyperlink>
          <w:r w:rsidDel="00000000" w:rsidR="00000000" w:rsidRPr="00000000">
            <w:fldChar w:fldCharType="begin"/>
            <w:instrText xml:space="preserve"> PAGEREF _b2ohhv3y67me \h </w:instrText>
            <w:fldChar w:fldCharType="separate"/>
          </w:r>
          <w:r w:rsidDel="00000000" w:rsidR="00000000" w:rsidRPr="00000000">
            <w:rPr>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dot" w:pos="9360"/>
            </w:tabs>
            <w:spacing w:before="60" w:line="240" w:lineRule="auto"/>
            <w:ind w:left="360" w:firstLine="0"/>
            <w:rPr>
              <w:color w:val="000000"/>
              <w:u w:val="none"/>
            </w:rPr>
          </w:pPr>
          <w:hyperlink w:anchor="_mzeee43yaolv">
            <w:r w:rsidDel="00000000" w:rsidR="00000000" w:rsidRPr="00000000">
              <w:rPr>
                <w:color w:val="000000"/>
                <w:u w:val="none"/>
                <w:rtl w:val="0"/>
              </w:rPr>
              <w:t xml:space="preserve">7.6 EU AI Act Alignment</w:t>
              <w:tab/>
            </w:r>
          </w:hyperlink>
          <w:r w:rsidDel="00000000" w:rsidR="00000000" w:rsidRPr="00000000">
            <w:fldChar w:fldCharType="begin"/>
            <w:instrText xml:space="preserve"> PAGEREF _mzeee43yaolv \h </w:instrText>
            <w:fldChar w:fldCharType="separate"/>
          </w:r>
          <w:r w:rsidDel="00000000" w:rsidR="00000000" w:rsidRPr="00000000">
            <w:rPr>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dot" w:pos="9360"/>
            </w:tabs>
            <w:spacing w:before="60" w:line="240" w:lineRule="auto"/>
            <w:ind w:left="360" w:firstLine="0"/>
            <w:rPr>
              <w:color w:val="000000"/>
              <w:u w:val="none"/>
            </w:rPr>
          </w:pPr>
          <w:hyperlink w:anchor="_1s58jjthw0t4">
            <w:r w:rsidDel="00000000" w:rsidR="00000000" w:rsidRPr="00000000">
              <w:rPr>
                <w:color w:val="000000"/>
                <w:u w:val="none"/>
                <w:rtl w:val="0"/>
              </w:rPr>
              <w:t xml:space="preserve">7.7 Global AML and the FATF Framework</w:t>
              <w:tab/>
            </w:r>
          </w:hyperlink>
          <w:r w:rsidDel="00000000" w:rsidR="00000000" w:rsidRPr="00000000">
            <w:fldChar w:fldCharType="begin"/>
            <w:instrText xml:space="preserve"> PAGEREF _1s58jjthw0t4 \h </w:instrText>
            <w:fldChar w:fldCharType="separate"/>
          </w:r>
          <w:r w:rsidDel="00000000" w:rsidR="00000000" w:rsidRPr="00000000">
            <w:rPr>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dot" w:pos="9360"/>
            </w:tabs>
            <w:spacing w:before="60" w:line="240" w:lineRule="auto"/>
            <w:ind w:left="360" w:firstLine="0"/>
            <w:rPr>
              <w:color w:val="000000"/>
              <w:u w:val="none"/>
            </w:rPr>
          </w:pPr>
          <w:hyperlink w:anchor="_bihdz53jeyz3">
            <w:r w:rsidDel="00000000" w:rsidR="00000000" w:rsidRPr="00000000">
              <w:rPr>
                <w:color w:val="000000"/>
                <w:u w:val="none"/>
                <w:rtl w:val="0"/>
              </w:rPr>
              <w:t xml:space="preserve">7.8 The Regulatory Nexus in Operation</w:t>
              <w:tab/>
            </w:r>
          </w:hyperlink>
          <w:r w:rsidDel="00000000" w:rsidR="00000000" w:rsidRPr="00000000">
            <w:fldChar w:fldCharType="begin"/>
            <w:instrText xml:space="preserve"> PAGEREF _bihdz53jeyz3 \h </w:instrText>
            <w:fldChar w:fldCharType="separate"/>
          </w:r>
          <w:r w:rsidDel="00000000" w:rsidR="00000000" w:rsidRPr="00000000">
            <w:rPr>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dot" w:pos="9360"/>
            </w:tabs>
            <w:spacing w:before="60" w:line="240" w:lineRule="auto"/>
            <w:rPr>
              <w:b w:val="1"/>
              <w:bCs w:val="1"/>
              <w:color w:val="000000"/>
              <w:u w:val="none"/>
            </w:rPr>
          </w:pPr>
          <w:hyperlink w:anchor="_gwyceibbbkpp">
            <w:r w:rsidDel="00000000" w:rsidR="00000000" w:rsidRPr="00000000">
              <w:rPr>
                <w:b w:val="1"/>
                <w:bCs w:val="1"/>
                <w:color w:val="000000"/>
                <w:u w:val="none"/>
                <w:rtl w:val="0"/>
              </w:rPr>
              <w:t xml:space="preserve">SECTION 8: HARDWARE ENFORCEMENT</w:t>
              <w:tab/>
            </w:r>
          </w:hyperlink>
          <w:r w:rsidDel="00000000" w:rsidR="00000000" w:rsidRPr="00000000">
            <w:fldChar w:fldCharType="begin"/>
            <w:instrText xml:space="preserve"> PAGEREF _gwyceibbbkpp \h </w:instrText>
            <w:fldChar w:fldCharType="separate"/>
          </w:r>
          <w:r w:rsidDel="00000000" w:rsidR="00000000" w:rsidRPr="00000000">
            <w:rPr>
              <w:b w:val="1"/>
              <w:bCs w:val="1"/>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dot" w:pos="9360"/>
            </w:tabs>
            <w:spacing w:before="60" w:line="240" w:lineRule="auto"/>
            <w:ind w:left="360" w:firstLine="0"/>
            <w:rPr>
              <w:color w:val="000000"/>
              <w:u w:val="none"/>
            </w:rPr>
          </w:pPr>
          <w:hyperlink w:anchor="_v59zsce9axzv">
            <w:r w:rsidDel="00000000" w:rsidR="00000000" w:rsidRPr="00000000">
              <w:rPr>
                <w:color w:val="000000"/>
                <w:u w:val="none"/>
                <w:rtl w:val="0"/>
              </w:rPr>
              <w:t xml:space="preserve">8.0 Overview</w:t>
              <w:tab/>
            </w:r>
          </w:hyperlink>
          <w:r w:rsidDel="00000000" w:rsidR="00000000" w:rsidRPr="00000000">
            <w:fldChar w:fldCharType="begin"/>
            <w:instrText xml:space="preserve"> PAGEREF _v59zsce9axzv \h </w:instrText>
            <w:fldChar w:fldCharType="separate"/>
          </w:r>
          <w:r w:rsidDel="00000000" w:rsidR="00000000" w:rsidRPr="00000000">
            <w:rPr>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dot" w:pos="9360"/>
            </w:tabs>
            <w:spacing w:before="60" w:line="240" w:lineRule="auto"/>
            <w:ind w:left="360" w:firstLine="0"/>
            <w:rPr>
              <w:color w:val="000000"/>
              <w:u w:val="none"/>
            </w:rPr>
          </w:pPr>
          <w:hyperlink w:anchor="_bywp8is1t215">
            <w:r w:rsidDel="00000000" w:rsidR="00000000" w:rsidRPr="00000000">
              <w:rPr>
                <w:color w:val="000000"/>
                <w:u w:val="none"/>
                <w:rtl w:val="0"/>
              </w:rPr>
              <w:t xml:space="preserve">8.1 The Enforceability Gap: Why Software Governance Fails</w:t>
              <w:tab/>
            </w:r>
          </w:hyperlink>
          <w:r w:rsidDel="00000000" w:rsidR="00000000" w:rsidRPr="00000000">
            <w:fldChar w:fldCharType="begin"/>
            <w:instrText xml:space="preserve"> PAGEREF _bywp8is1t215 \h </w:instrText>
            <w:fldChar w:fldCharType="separate"/>
          </w:r>
          <w:r w:rsidDel="00000000" w:rsidR="00000000" w:rsidRPr="00000000">
            <w:rPr>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dot" w:pos="9360"/>
            </w:tabs>
            <w:spacing w:before="60" w:line="240" w:lineRule="auto"/>
            <w:ind w:left="360" w:firstLine="0"/>
            <w:rPr>
              <w:color w:val="000000"/>
              <w:u w:val="none"/>
            </w:rPr>
          </w:pPr>
          <w:hyperlink w:anchor="_2h4n8jfln2h3">
            <w:r w:rsidDel="00000000" w:rsidR="00000000" w:rsidRPr="00000000">
              <w:rPr>
                <w:color w:val="000000"/>
                <w:u w:val="none"/>
                <w:rtl w:val="0"/>
              </w:rPr>
              <w:t xml:space="preserve">8.2 Delay-Insensitive Ternary Logic: Circuit Architecture</w:t>
              <w:tab/>
            </w:r>
          </w:hyperlink>
          <w:r w:rsidDel="00000000" w:rsidR="00000000" w:rsidRPr="00000000">
            <w:fldChar w:fldCharType="begin"/>
            <w:instrText xml:space="preserve"> PAGEREF _2h4n8jfln2h3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dot" w:pos="9360"/>
            </w:tabs>
            <w:spacing w:before="60" w:line="240" w:lineRule="auto"/>
            <w:ind w:left="720" w:firstLine="0"/>
            <w:rPr>
              <w:color w:val="000000"/>
              <w:u w:val="none"/>
            </w:rPr>
          </w:pPr>
          <w:hyperlink w:anchor="_gf75a5n44433">
            <w:r w:rsidDel="00000000" w:rsidR="00000000" w:rsidRPr="00000000">
              <w:rPr>
                <w:color w:val="000000"/>
                <w:u w:val="none"/>
                <w:rtl w:val="0"/>
              </w:rPr>
              <w:t xml:space="preserve">8.2.1 Synchronous vs. Asynchronous: The Enforcement Significance</w:t>
              <w:tab/>
            </w:r>
          </w:hyperlink>
          <w:r w:rsidDel="00000000" w:rsidR="00000000" w:rsidRPr="00000000">
            <w:fldChar w:fldCharType="begin"/>
            <w:instrText xml:space="preserve"> PAGEREF _gf75a5n44433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dot" w:pos="9360"/>
            </w:tabs>
            <w:spacing w:before="60" w:line="240" w:lineRule="auto"/>
            <w:ind w:left="720" w:firstLine="0"/>
            <w:rPr>
              <w:color w:val="000000"/>
              <w:u w:val="none"/>
            </w:rPr>
          </w:pPr>
          <w:hyperlink w:anchor="_ujgm44wrstxe">
            <w:r w:rsidDel="00000000" w:rsidR="00000000" w:rsidRPr="00000000">
              <w:rPr>
                <w:color w:val="000000"/>
                <w:u w:val="none"/>
                <w:rtl w:val="0"/>
              </w:rPr>
              <w:t xml:space="preserve">8.2.2 The Four-Phase Handshake Protocol</w:t>
              <w:tab/>
            </w:r>
          </w:hyperlink>
          <w:r w:rsidDel="00000000" w:rsidR="00000000" w:rsidRPr="00000000">
            <w:fldChar w:fldCharType="begin"/>
            <w:instrText xml:space="preserve"> PAGEREF _ujgm44wrstxe \h </w:instrText>
            <w:fldChar w:fldCharType="separate"/>
          </w:r>
          <w:r w:rsidDel="00000000" w:rsidR="00000000" w:rsidRPr="00000000">
            <w:rPr>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dot" w:pos="9360"/>
            </w:tabs>
            <w:spacing w:before="60" w:line="240" w:lineRule="auto"/>
            <w:ind w:left="720" w:firstLine="0"/>
            <w:rPr>
              <w:color w:val="000000"/>
              <w:u w:val="none"/>
            </w:rPr>
          </w:pPr>
          <w:hyperlink w:anchor="_nnul0e8pv0a1">
            <w:r w:rsidDel="00000000" w:rsidR="00000000" w:rsidRPr="00000000">
              <w:rPr>
                <w:color w:val="000000"/>
                <w:u w:val="none"/>
                <w:rtl w:val="0"/>
              </w:rPr>
              <w:t xml:space="preserve">8.2.3 Encoding Schemes: 1-of-3 Rail Encoding</w:t>
              <w:tab/>
            </w:r>
          </w:hyperlink>
          <w:r w:rsidDel="00000000" w:rsidR="00000000" w:rsidRPr="00000000">
            <w:fldChar w:fldCharType="begin"/>
            <w:instrText xml:space="preserve"> PAGEREF _nnul0e8pv0a1 \h </w:instrText>
            <w:fldChar w:fldCharType="separate"/>
          </w:r>
          <w:r w:rsidDel="00000000" w:rsidR="00000000" w:rsidRPr="00000000">
            <w:rPr>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dot" w:pos="9360"/>
            </w:tabs>
            <w:spacing w:before="60" w:line="240" w:lineRule="auto"/>
            <w:ind w:left="720" w:firstLine="0"/>
            <w:rPr>
              <w:color w:val="000000"/>
              <w:u w:val="none"/>
            </w:rPr>
          </w:pPr>
          <w:hyperlink w:anchor="_heqhztbttb86">
            <w:r w:rsidDel="00000000" w:rsidR="00000000" w:rsidRPr="00000000">
              <w:rPr>
                <w:color w:val="000000"/>
                <w:u w:val="none"/>
                <w:rtl w:val="0"/>
              </w:rPr>
              <w:t xml:space="preserve">8.2.4 Dual-Rail Encoding for Binary-to-Ternary Interface</w:t>
              <w:tab/>
            </w:r>
          </w:hyperlink>
          <w:r w:rsidDel="00000000" w:rsidR="00000000" w:rsidRPr="00000000">
            <w:fldChar w:fldCharType="begin"/>
            <w:instrText xml:space="preserve"> PAGEREF _heqhztbttb86 \h </w:instrText>
            <w:fldChar w:fldCharType="separate"/>
          </w:r>
          <w:r w:rsidDel="00000000" w:rsidR="00000000" w:rsidRPr="00000000">
            <w:rPr>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dot" w:pos="9360"/>
            </w:tabs>
            <w:spacing w:before="60" w:line="240" w:lineRule="auto"/>
            <w:ind w:left="720" w:firstLine="0"/>
            <w:rPr>
              <w:color w:val="000000"/>
              <w:u w:val="none"/>
            </w:rPr>
          </w:pPr>
          <w:hyperlink w:anchor="_ezk4bq6yvsxd">
            <w:r w:rsidDel="00000000" w:rsidR="00000000" w:rsidRPr="00000000">
              <w:rPr>
                <w:color w:val="000000"/>
                <w:u w:val="none"/>
                <w:rtl w:val="0"/>
              </w:rPr>
              <w:t xml:space="preserve">8.2.5 Muller C-Elements and Pipeline Stalls</w:t>
              <w:tab/>
            </w:r>
          </w:hyperlink>
          <w:r w:rsidDel="00000000" w:rsidR="00000000" w:rsidRPr="00000000">
            <w:fldChar w:fldCharType="begin"/>
            <w:instrText xml:space="preserve"> PAGEREF _ezk4bq6yvsxd \h </w:instrText>
            <w:fldChar w:fldCharType="separate"/>
          </w:r>
          <w:r w:rsidDel="00000000" w:rsidR="00000000" w:rsidRPr="00000000">
            <w:rPr>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dot" w:pos="9360"/>
            </w:tabs>
            <w:spacing w:before="60" w:line="240" w:lineRule="auto"/>
            <w:ind w:left="720" w:firstLine="0"/>
            <w:rPr>
              <w:color w:val="000000"/>
              <w:u w:val="none"/>
            </w:rPr>
          </w:pPr>
          <w:hyperlink w:anchor="_46dsod8a2ooi">
            <w:r w:rsidDel="00000000" w:rsidR="00000000" w:rsidRPr="00000000">
              <w:rPr>
                <w:color w:val="000000"/>
                <w:u w:val="none"/>
                <w:rtl w:val="0"/>
              </w:rPr>
              <w:t xml:space="preserve">8.2.6 Completion Detection</w:t>
              <w:tab/>
            </w:r>
          </w:hyperlink>
          <w:r w:rsidDel="00000000" w:rsidR="00000000" w:rsidRPr="00000000">
            <w:fldChar w:fldCharType="begin"/>
            <w:instrText xml:space="preserve"> PAGEREF _46dsod8a2ooi \h </w:instrText>
            <w:fldChar w:fldCharType="separate"/>
          </w:r>
          <w:r w:rsidDel="00000000" w:rsidR="00000000" w:rsidRPr="00000000">
            <w:rPr>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dot" w:pos="9360"/>
            </w:tabs>
            <w:spacing w:before="60" w:line="240" w:lineRule="auto"/>
            <w:ind w:left="720" w:firstLine="0"/>
            <w:rPr>
              <w:color w:val="000000"/>
              <w:u w:val="none"/>
            </w:rPr>
          </w:pPr>
          <w:hyperlink w:anchor="_ntrg3diwcqlh">
            <w:r w:rsidDel="00000000" w:rsidR="00000000" w:rsidRPr="00000000">
              <w:rPr>
                <w:color w:val="000000"/>
                <w:u w:val="none"/>
                <w:rtl w:val="0"/>
              </w:rPr>
              <w:t xml:space="preserve">8.2.7 Inline vs. Sidecar Placement</w:t>
              <w:tab/>
            </w:r>
          </w:hyperlink>
          <w:r w:rsidDel="00000000" w:rsidR="00000000" w:rsidRPr="00000000">
            <w:fldChar w:fldCharType="begin"/>
            <w:instrText xml:space="preserve"> PAGEREF _ntrg3diwcqlh \h </w:instrText>
            <w:fldChar w:fldCharType="separate"/>
          </w:r>
          <w:r w:rsidDel="00000000" w:rsidR="00000000" w:rsidRPr="00000000">
            <w:rPr>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dot" w:pos="9360"/>
            </w:tabs>
            <w:spacing w:before="60" w:line="240" w:lineRule="auto"/>
            <w:ind w:left="360" w:firstLine="0"/>
            <w:rPr>
              <w:color w:val="000000"/>
              <w:u w:val="none"/>
            </w:rPr>
          </w:pPr>
          <w:hyperlink w:anchor="_pc4ylhrnao2k">
            <w:r w:rsidDel="00000000" w:rsidR="00000000" w:rsidRPr="00000000">
              <w:rPr>
                <w:color w:val="000000"/>
                <w:u w:val="none"/>
                <w:rtl w:val="0"/>
              </w:rPr>
              <w:t xml:space="preserve">8.3 Mandated Ternary Memristive Cells</w:t>
              <w:tab/>
            </w:r>
          </w:hyperlink>
          <w:r w:rsidDel="00000000" w:rsidR="00000000" w:rsidRPr="00000000">
            <w:fldChar w:fldCharType="begin"/>
            <w:instrText xml:space="preserve"> PAGEREF _pc4ylhrnao2k \h </w:instrText>
            <w:fldChar w:fldCharType="separate"/>
          </w:r>
          <w:r w:rsidDel="00000000" w:rsidR="00000000" w:rsidRPr="00000000">
            <w:rPr>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dot" w:pos="9360"/>
            </w:tabs>
            <w:spacing w:before="60" w:line="240" w:lineRule="auto"/>
            <w:ind w:left="720" w:firstLine="0"/>
            <w:rPr>
              <w:color w:val="000000"/>
              <w:u w:val="none"/>
            </w:rPr>
          </w:pPr>
          <w:hyperlink w:anchor="_45me6z97fuek">
            <w:r w:rsidDel="00000000" w:rsidR="00000000" w:rsidRPr="00000000">
              <w:rPr>
                <w:color w:val="000000"/>
                <w:u w:val="none"/>
                <w:rtl w:val="0"/>
              </w:rPr>
              <w:t xml:space="preserve">8.3.1 Material Physics and Resistance States</w:t>
              <w:tab/>
            </w:r>
          </w:hyperlink>
          <w:r w:rsidDel="00000000" w:rsidR="00000000" w:rsidRPr="00000000">
            <w:fldChar w:fldCharType="begin"/>
            <w:instrText xml:space="preserve"> PAGEREF _45me6z97fuek \h </w:instrText>
            <w:fldChar w:fldCharType="separate"/>
          </w:r>
          <w:r w:rsidDel="00000000" w:rsidR="00000000" w:rsidRPr="00000000">
            <w:rPr>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8E">
          <w:pPr>
            <w:widowControl w:val="0"/>
            <w:tabs>
              <w:tab w:val="right" w:leader="dot" w:pos="9360"/>
            </w:tabs>
            <w:spacing w:before="60" w:line="240" w:lineRule="auto"/>
            <w:ind w:left="720" w:firstLine="0"/>
            <w:rPr>
              <w:color w:val="000000"/>
              <w:u w:val="none"/>
            </w:rPr>
          </w:pPr>
          <w:hyperlink w:anchor="_wxstav7g69j1">
            <w:r w:rsidDel="00000000" w:rsidR="00000000" w:rsidRPr="00000000">
              <w:rPr>
                <w:color w:val="000000"/>
                <w:u w:val="none"/>
                <w:rtl w:val="0"/>
              </w:rPr>
              <w:t xml:space="preserve">8.3.2 Hysteresis and Non-Volatility</w:t>
              <w:tab/>
            </w:r>
          </w:hyperlink>
          <w:r w:rsidDel="00000000" w:rsidR="00000000" w:rsidRPr="00000000">
            <w:fldChar w:fldCharType="begin"/>
            <w:instrText xml:space="preserve"> PAGEREF _wxstav7g69j1 \h </w:instrText>
            <w:fldChar w:fldCharType="separate"/>
          </w:r>
          <w:r w:rsidDel="00000000" w:rsidR="00000000" w:rsidRPr="00000000">
            <w:rPr>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8F">
          <w:pPr>
            <w:widowControl w:val="0"/>
            <w:tabs>
              <w:tab w:val="right" w:leader="dot" w:pos="9360"/>
            </w:tabs>
            <w:spacing w:before="60" w:line="240" w:lineRule="auto"/>
            <w:ind w:left="720" w:firstLine="0"/>
            <w:rPr>
              <w:color w:val="000000"/>
              <w:u w:val="none"/>
            </w:rPr>
          </w:pPr>
          <w:hyperlink w:anchor="_35orxyggtlpe">
            <w:r w:rsidDel="00000000" w:rsidR="00000000" w:rsidRPr="00000000">
              <w:rPr>
                <w:color w:val="000000"/>
                <w:u w:val="none"/>
                <w:rtl w:val="0"/>
              </w:rPr>
              <w:t xml:space="preserve">8.3.3 The Cryptographic Confirm Pulse</w:t>
              <w:tab/>
            </w:r>
          </w:hyperlink>
          <w:r w:rsidDel="00000000" w:rsidR="00000000" w:rsidRPr="00000000">
            <w:fldChar w:fldCharType="begin"/>
            <w:instrText xml:space="preserve"> PAGEREF _35orxyggtlpe \h </w:instrText>
            <w:fldChar w:fldCharType="separate"/>
          </w:r>
          <w:r w:rsidDel="00000000" w:rsidR="00000000" w:rsidRPr="00000000">
            <w:rPr>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90">
          <w:pPr>
            <w:widowControl w:val="0"/>
            <w:tabs>
              <w:tab w:val="right" w:leader="dot" w:pos="9360"/>
            </w:tabs>
            <w:spacing w:before="60" w:line="240" w:lineRule="auto"/>
            <w:ind w:left="720" w:firstLine="0"/>
            <w:rPr>
              <w:color w:val="000000"/>
              <w:u w:val="none"/>
            </w:rPr>
          </w:pPr>
          <w:hyperlink w:anchor="_ina14hc8z05z">
            <w:r w:rsidDel="00000000" w:rsidR="00000000" w:rsidRPr="00000000">
              <w:rPr>
                <w:color w:val="000000"/>
                <w:u w:val="none"/>
                <w:rtl w:val="0"/>
              </w:rPr>
              <w:t xml:space="preserve">8.3.4 The 1T1R Cell Architecture</w:t>
              <w:tab/>
            </w:r>
          </w:hyperlink>
          <w:r w:rsidDel="00000000" w:rsidR="00000000" w:rsidRPr="00000000">
            <w:fldChar w:fldCharType="begin"/>
            <w:instrText xml:space="preserve"> PAGEREF _ina14hc8z05z \h </w:instrText>
            <w:fldChar w:fldCharType="separate"/>
          </w:r>
          <w:r w:rsidDel="00000000" w:rsidR="00000000" w:rsidRPr="00000000">
            <w:rPr>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091">
          <w:pPr>
            <w:widowControl w:val="0"/>
            <w:tabs>
              <w:tab w:val="right" w:leader="dot" w:pos="9360"/>
            </w:tabs>
            <w:spacing w:before="60" w:line="240" w:lineRule="auto"/>
            <w:ind w:left="360" w:firstLine="0"/>
            <w:rPr>
              <w:color w:val="000000"/>
              <w:u w:val="none"/>
            </w:rPr>
          </w:pPr>
          <w:hyperlink w:anchor="_ppwpmvj5mr5b">
            <w:r w:rsidDel="00000000" w:rsidR="00000000" w:rsidRPr="00000000">
              <w:rPr>
                <w:color w:val="000000"/>
                <w:u w:val="none"/>
                <w:rtl w:val="0"/>
              </w:rPr>
              <w:t xml:space="preserve">8.4 The Triadic Coprocessor: Six Mandatory Conditions</w:t>
              <w:tab/>
            </w:r>
          </w:hyperlink>
          <w:r w:rsidDel="00000000" w:rsidR="00000000" w:rsidRPr="00000000">
            <w:fldChar w:fldCharType="begin"/>
            <w:instrText xml:space="preserve"> PAGEREF _ppwpmvj5mr5b \h </w:instrText>
            <w:fldChar w:fldCharType="separate"/>
          </w:r>
          <w:r w:rsidDel="00000000" w:rsidR="00000000" w:rsidRPr="00000000">
            <w:rPr>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092">
          <w:pPr>
            <w:widowControl w:val="0"/>
            <w:tabs>
              <w:tab w:val="right" w:leader="dot" w:pos="9360"/>
            </w:tabs>
            <w:spacing w:before="60" w:line="240" w:lineRule="auto"/>
            <w:ind w:left="360" w:firstLine="0"/>
            <w:rPr>
              <w:color w:val="000000"/>
              <w:u w:val="none"/>
            </w:rPr>
          </w:pPr>
          <w:hyperlink w:anchor="_ionqzluw4cr2">
            <w:r w:rsidDel="00000000" w:rsidR="00000000" w:rsidRPr="00000000">
              <w:rPr>
                <w:color w:val="000000"/>
                <w:u w:val="none"/>
                <w:rtl w:val="0"/>
              </w:rPr>
              <w:t xml:space="preserve">8.5 Physical Security and Tamper Detection</w:t>
              <w:tab/>
            </w:r>
          </w:hyperlink>
          <w:r w:rsidDel="00000000" w:rsidR="00000000" w:rsidRPr="00000000">
            <w:fldChar w:fldCharType="begin"/>
            <w:instrText xml:space="preserve"> PAGEREF _ionqzluw4cr2 \h </w:instrText>
            <w:fldChar w:fldCharType="separate"/>
          </w:r>
          <w:r w:rsidDel="00000000" w:rsidR="00000000" w:rsidRPr="00000000">
            <w:rPr>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093">
          <w:pPr>
            <w:widowControl w:val="0"/>
            <w:tabs>
              <w:tab w:val="right" w:leader="dot" w:pos="9360"/>
            </w:tabs>
            <w:spacing w:before="60" w:line="240" w:lineRule="auto"/>
            <w:ind w:left="360" w:firstLine="0"/>
            <w:rPr>
              <w:color w:val="000000"/>
              <w:u w:val="none"/>
            </w:rPr>
          </w:pPr>
          <w:hyperlink w:anchor="_cq0azep7n0l0">
            <w:r w:rsidDel="00000000" w:rsidR="00000000" w:rsidRPr="00000000">
              <w:rPr>
                <w:color w:val="000000"/>
                <w:u w:val="none"/>
                <w:rtl w:val="0"/>
              </w:rPr>
              <w:t xml:space="preserve">8.6 Architecture A and Architecture B: Deployment Roadmap</w:t>
              <w:tab/>
            </w:r>
          </w:hyperlink>
          <w:r w:rsidDel="00000000" w:rsidR="00000000" w:rsidRPr="00000000">
            <w:fldChar w:fldCharType="begin"/>
            <w:instrText xml:space="preserve"> PAGEREF _cq0azep7n0l0 \h </w:instrText>
            <w:fldChar w:fldCharType="separate"/>
          </w:r>
          <w:r w:rsidDel="00000000" w:rsidR="00000000" w:rsidRPr="00000000">
            <w:rPr>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094">
          <w:pPr>
            <w:widowControl w:val="0"/>
            <w:tabs>
              <w:tab w:val="right" w:leader="dot" w:pos="9360"/>
            </w:tabs>
            <w:spacing w:before="60" w:line="240" w:lineRule="auto"/>
            <w:ind w:left="720" w:firstLine="0"/>
            <w:rPr>
              <w:color w:val="000000"/>
              <w:u w:val="none"/>
            </w:rPr>
          </w:pPr>
          <w:hyperlink w:anchor="_2vbidhvt1g3s">
            <w:r w:rsidDel="00000000" w:rsidR="00000000" w:rsidRPr="00000000">
              <w:rPr>
                <w:color w:val="000000"/>
                <w:u w:val="none"/>
                <w:rtl w:val="0"/>
              </w:rPr>
              <w:t xml:space="preserve">8.6.1 Architecture B: Hybrid Memristive-CMOS (2026-2027 Commercialization Target)</w:t>
              <w:tab/>
            </w:r>
          </w:hyperlink>
          <w:r w:rsidDel="00000000" w:rsidR="00000000" w:rsidRPr="00000000">
            <w:fldChar w:fldCharType="begin"/>
            <w:instrText xml:space="preserve"> PAGEREF _2vbidhvt1g3s \h </w:instrText>
            <w:fldChar w:fldCharType="separate"/>
          </w:r>
          <w:r w:rsidDel="00000000" w:rsidR="00000000" w:rsidRPr="00000000">
            <w:rPr>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095">
          <w:pPr>
            <w:widowControl w:val="0"/>
            <w:tabs>
              <w:tab w:val="right" w:leader="dot" w:pos="9360"/>
            </w:tabs>
            <w:spacing w:before="60" w:line="240" w:lineRule="auto"/>
            <w:ind w:left="720" w:firstLine="0"/>
            <w:rPr>
              <w:color w:val="000000"/>
              <w:u w:val="none"/>
            </w:rPr>
          </w:pPr>
          <w:hyperlink w:anchor="_f6xlqfzcfj6q">
            <w:r w:rsidDel="00000000" w:rsidR="00000000" w:rsidRPr="00000000">
              <w:rPr>
                <w:color w:val="000000"/>
                <w:u w:val="none"/>
                <w:rtl w:val="0"/>
              </w:rPr>
              <w:t xml:space="preserve">8.6.2 Architecture A: Native Ternary Crossbar (2029-2030 Standardization Horizon)</w:t>
              <w:tab/>
            </w:r>
          </w:hyperlink>
          <w:r w:rsidDel="00000000" w:rsidR="00000000" w:rsidRPr="00000000">
            <w:fldChar w:fldCharType="begin"/>
            <w:instrText xml:space="preserve"> PAGEREF _f6xlqfzcfj6q \h </w:instrText>
            <w:fldChar w:fldCharType="separate"/>
          </w:r>
          <w:r w:rsidDel="00000000" w:rsidR="00000000" w:rsidRPr="00000000">
            <w:rPr>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096">
          <w:pPr>
            <w:widowControl w:val="0"/>
            <w:tabs>
              <w:tab w:val="right" w:leader="dot" w:pos="9360"/>
            </w:tabs>
            <w:spacing w:before="60" w:line="240" w:lineRule="auto"/>
            <w:ind w:left="720" w:firstLine="0"/>
            <w:rPr>
              <w:color w:val="000000"/>
              <w:u w:val="none"/>
            </w:rPr>
          </w:pPr>
          <w:hyperlink w:anchor="_c8lxtmy7gzcu">
            <w:r w:rsidDel="00000000" w:rsidR="00000000" w:rsidRPr="00000000">
              <w:rPr>
                <w:color w:val="000000"/>
                <w:u w:val="none"/>
                <w:rtl w:val="0"/>
              </w:rPr>
              <w:t xml:space="preserve">8.6.3 FPGA Prohibition</w:t>
              <w:tab/>
            </w:r>
          </w:hyperlink>
          <w:r w:rsidDel="00000000" w:rsidR="00000000" w:rsidRPr="00000000">
            <w:fldChar w:fldCharType="begin"/>
            <w:instrText xml:space="preserve"> PAGEREF _c8lxtmy7gzcu \h </w:instrText>
            <w:fldChar w:fldCharType="separate"/>
          </w:r>
          <w:r w:rsidDel="00000000" w:rsidR="00000000" w:rsidRPr="00000000">
            <w:rPr>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97">
          <w:pPr>
            <w:widowControl w:val="0"/>
            <w:tabs>
              <w:tab w:val="right" w:leader="dot" w:pos="9360"/>
            </w:tabs>
            <w:spacing w:before="60" w:line="240" w:lineRule="auto"/>
            <w:ind w:left="360" w:firstLine="0"/>
            <w:rPr>
              <w:color w:val="000000"/>
              <w:u w:val="none"/>
            </w:rPr>
          </w:pPr>
          <w:hyperlink w:anchor="_d2dfzm1kjxt5">
            <w:r w:rsidDel="00000000" w:rsidR="00000000" w:rsidRPr="00000000">
              <w:rPr>
                <w:color w:val="000000"/>
                <w:u w:val="none"/>
                <w:rtl w:val="0"/>
              </w:rPr>
              <w:t xml:space="preserve">8.7 Supply Chain Risk and Fabrication Integrity</w:t>
              <w:tab/>
            </w:r>
          </w:hyperlink>
          <w:r w:rsidDel="00000000" w:rsidR="00000000" w:rsidRPr="00000000">
            <w:fldChar w:fldCharType="begin"/>
            <w:instrText xml:space="preserve"> PAGEREF _d2dfzm1kjxt5 \h </w:instrText>
            <w:fldChar w:fldCharType="separate"/>
          </w:r>
          <w:r w:rsidDel="00000000" w:rsidR="00000000" w:rsidRPr="00000000">
            <w:rPr>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98">
          <w:pPr>
            <w:widowControl w:val="0"/>
            <w:tabs>
              <w:tab w:val="right" w:leader="dot" w:pos="9360"/>
            </w:tabs>
            <w:spacing w:before="60" w:line="240" w:lineRule="auto"/>
            <w:ind w:left="720" w:firstLine="0"/>
            <w:rPr>
              <w:color w:val="000000"/>
              <w:u w:val="none"/>
            </w:rPr>
          </w:pPr>
          <w:hyperlink w:anchor="_kr5thbbksbd">
            <w:r w:rsidDel="00000000" w:rsidR="00000000" w:rsidRPr="00000000">
              <w:rPr>
                <w:color w:val="000000"/>
                <w:u w:val="none"/>
                <w:rtl w:val="0"/>
              </w:rPr>
              <w:t xml:space="preserve">8.7.1 Dopant-Level Hardware Trojans</w:t>
              <w:tab/>
            </w:r>
          </w:hyperlink>
          <w:r w:rsidDel="00000000" w:rsidR="00000000" w:rsidRPr="00000000">
            <w:fldChar w:fldCharType="begin"/>
            <w:instrText xml:space="preserve"> PAGEREF _kr5thbbksbd \h </w:instrText>
            <w:fldChar w:fldCharType="separate"/>
          </w:r>
          <w:r w:rsidDel="00000000" w:rsidR="00000000" w:rsidRPr="00000000">
            <w:rPr>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99">
          <w:pPr>
            <w:widowControl w:val="0"/>
            <w:tabs>
              <w:tab w:val="right" w:leader="dot" w:pos="9360"/>
            </w:tabs>
            <w:spacing w:before="60" w:line="240" w:lineRule="auto"/>
            <w:ind w:left="720" w:firstLine="0"/>
            <w:rPr>
              <w:color w:val="000000"/>
              <w:u w:val="none"/>
            </w:rPr>
          </w:pPr>
          <w:hyperlink w:anchor="_f7tvyzpxlj3j">
            <w:r w:rsidDel="00000000" w:rsidR="00000000" w:rsidRPr="00000000">
              <w:rPr>
                <w:color w:val="000000"/>
                <w:u w:val="none"/>
                <w:rtl w:val="0"/>
              </w:rPr>
              <w:t xml:space="preserve">8.7.2 Geopolitical Concentration Risk</w:t>
              <w:tab/>
            </w:r>
          </w:hyperlink>
          <w:r w:rsidDel="00000000" w:rsidR="00000000" w:rsidRPr="00000000">
            <w:fldChar w:fldCharType="begin"/>
            <w:instrText xml:space="preserve"> PAGEREF _f7tvyzpxlj3j \h </w:instrText>
            <w:fldChar w:fldCharType="separate"/>
          </w:r>
          <w:r w:rsidDel="00000000" w:rsidR="00000000" w:rsidRPr="00000000">
            <w:rPr>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9A">
          <w:pPr>
            <w:widowControl w:val="0"/>
            <w:tabs>
              <w:tab w:val="right" w:leader="dot" w:pos="9360"/>
            </w:tabs>
            <w:spacing w:before="60" w:line="240" w:lineRule="auto"/>
            <w:ind w:left="720" w:firstLine="0"/>
            <w:rPr>
              <w:color w:val="000000"/>
              <w:u w:val="none"/>
            </w:rPr>
          </w:pPr>
          <w:hyperlink w:anchor="_e6i4pisbgfwf">
            <w:r w:rsidDel="00000000" w:rsidR="00000000" w:rsidRPr="00000000">
              <w:rPr>
                <w:color w:val="000000"/>
                <w:u w:val="none"/>
                <w:rtl w:val="0"/>
              </w:rPr>
              <w:t xml:space="preserve">8.7.3 Mitigation Strategy</w:t>
              <w:tab/>
            </w:r>
          </w:hyperlink>
          <w:r w:rsidDel="00000000" w:rsidR="00000000" w:rsidRPr="00000000">
            <w:fldChar w:fldCharType="begin"/>
            <w:instrText xml:space="preserve"> PAGEREF _e6i4pisbgfwf \h </w:instrText>
            <w:fldChar w:fldCharType="separate"/>
          </w:r>
          <w:r w:rsidDel="00000000" w:rsidR="00000000" w:rsidRPr="00000000">
            <w:rPr>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9B">
          <w:pPr>
            <w:widowControl w:val="0"/>
            <w:tabs>
              <w:tab w:val="right" w:leader="dot" w:pos="9360"/>
            </w:tabs>
            <w:spacing w:before="60" w:line="240" w:lineRule="auto"/>
            <w:ind w:left="360" w:firstLine="0"/>
            <w:rPr>
              <w:color w:val="000000"/>
              <w:u w:val="none"/>
            </w:rPr>
          </w:pPr>
          <w:hyperlink w:anchor="_rwkl4saozssx">
            <w:r w:rsidDel="00000000" w:rsidR="00000000" w:rsidRPr="00000000">
              <w:rPr>
                <w:color w:val="000000"/>
                <w:u w:val="none"/>
                <w:rtl w:val="0"/>
              </w:rPr>
              <w:t xml:space="preserve">8.8 Transitional Emulation Mode</w:t>
              <w:tab/>
            </w:r>
          </w:hyperlink>
          <w:r w:rsidDel="00000000" w:rsidR="00000000" w:rsidRPr="00000000">
            <w:fldChar w:fldCharType="begin"/>
            <w:instrText xml:space="preserve"> PAGEREF _rwkl4saozssx \h </w:instrText>
            <w:fldChar w:fldCharType="separate"/>
          </w:r>
          <w:r w:rsidDel="00000000" w:rsidR="00000000" w:rsidRPr="00000000">
            <w:rPr>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9C">
          <w:pPr>
            <w:widowControl w:val="0"/>
            <w:tabs>
              <w:tab w:val="right" w:leader="dot" w:pos="9360"/>
            </w:tabs>
            <w:spacing w:before="60" w:line="240" w:lineRule="auto"/>
            <w:ind w:left="360" w:firstLine="0"/>
            <w:rPr>
              <w:color w:val="000000"/>
              <w:u w:val="none"/>
            </w:rPr>
          </w:pPr>
          <w:hyperlink w:anchor="_xd7sbhd6gmyk">
            <w:r w:rsidDel="00000000" w:rsidR="00000000" w:rsidRPr="00000000">
              <w:rPr>
                <w:color w:val="000000"/>
                <w:u w:val="none"/>
                <w:rtl w:val="0"/>
              </w:rPr>
              <w:t xml:space="preserve">8.9 Autonomous Execution Use Cases: Hardware in Practice</w:t>
              <w:tab/>
            </w:r>
          </w:hyperlink>
          <w:r w:rsidDel="00000000" w:rsidR="00000000" w:rsidRPr="00000000">
            <w:fldChar w:fldCharType="begin"/>
            <w:instrText xml:space="preserve"> PAGEREF _xd7sbhd6gmyk \h </w:instrText>
            <w:fldChar w:fldCharType="separate"/>
          </w:r>
          <w:r w:rsidDel="00000000" w:rsidR="00000000" w:rsidRPr="00000000">
            <w:rPr>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9D">
          <w:pPr>
            <w:widowControl w:val="0"/>
            <w:tabs>
              <w:tab w:val="right" w:leader="dot" w:pos="9360"/>
            </w:tabs>
            <w:spacing w:before="60" w:line="240" w:lineRule="auto"/>
            <w:rPr>
              <w:b w:val="1"/>
              <w:bCs w:val="1"/>
              <w:color w:val="000000"/>
              <w:u w:val="none"/>
            </w:rPr>
          </w:pPr>
          <w:hyperlink w:anchor="_8zs8j8z4og5e">
            <w:r w:rsidDel="00000000" w:rsidR="00000000" w:rsidRPr="00000000">
              <w:rPr>
                <w:b w:val="1"/>
                <w:bCs w:val="1"/>
                <w:color w:val="000000"/>
                <w:u w:val="none"/>
                <w:rtl w:val="0"/>
              </w:rPr>
              <w:t xml:space="preserve">SECTION 9: TRI-CAMERAL GOVERNANCE MODEL</w:t>
              <w:tab/>
            </w:r>
          </w:hyperlink>
          <w:r w:rsidDel="00000000" w:rsidR="00000000" w:rsidRPr="00000000">
            <w:fldChar w:fldCharType="begin"/>
            <w:instrText xml:space="preserve"> PAGEREF _8zs8j8z4og5e \h </w:instrText>
            <w:fldChar w:fldCharType="separate"/>
          </w:r>
          <w:r w:rsidDel="00000000" w:rsidR="00000000" w:rsidRPr="00000000">
            <w:rPr>
              <w:b w:val="1"/>
              <w:bCs w:val="1"/>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9E">
          <w:pPr>
            <w:widowControl w:val="0"/>
            <w:tabs>
              <w:tab w:val="right" w:leader="dot" w:pos="9360"/>
            </w:tabs>
            <w:spacing w:before="60" w:line="240" w:lineRule="auto"/>
            <w:ind w:left="360" w:firstLine="0"/>
            <w:rPr>
              <w:color w:val="000000"/>
              <w:u w:val="none"/>
            </w:rPr>
          </w:pPr>
          <w:hyperlink w:anchor="_p481zjp2zjzz">
            <w:r w:rsidDel="00000000" w:rsidR="00000000" w:rsidRPr="00000000">
              <w:rPr>
                <w:color w:val="000000"/>
                <w:u w:val="none"/>
                <w:rtl w:val="0"/>
              </w:rPr>
              <w:t xml:space="preserve">9.0 Overview</w:t>
              <w:tab/>
            </w:r>
          </w:hyperlink>
          <w:r w:rsidDel="00000000" w:rsidR="00000000" w:rsidRPr="00000000">
            <w:fldChar w:fldCharType="begin"/>
            <w:instrText xml:space="preserve"> PAGEREF _p481zjp2zjzz \h </w:instrText>
            <w:fldChar w:fldCharType="separate"/>
          </w:r>
          <w:r w:rsidDel="00000000" w:rsidR="00000000" w:rsidRPr="00000000">
            <w:rPr>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9F">
          <w:pPr>
            <w:widowControl w:val="0"/>
            <w:tabs>
              <w:tab w:val="right" w:leader="dot" w:pos="9360"/>
            </w:tabs>
            <w:spacing w:before="60" w:line="240" w:lineRule="auto"/>
            <w:ind w:left="360" w:firstLine="0"/>
            <w:rPr>
              <w:color w:val="000000"/>
              <w:u w:val="none"/>
            </w:rPr>
          </w:pPr>
          <w:hyperlink w:anchor="_l55asumzd75b">
            <w:r w:rsidDel="00000000" w:rsidR="00000000" w:rsidRPr="00000000">
              <w:rPr>
                <w:color w:val="000000"/>
                <w:u w:val="none"/>
                <w:rtl w:val="0"/>
              </w:rPr>
              <w:t xml:space="preserve">9.1 The Technical Council</w:t>
              <w:tab/>
            </w:r>
          </w:hyperlink>
          <w:r w:rsidDel="00000000" w:rsidR="00000000" w:rsidRPr="00000000">
            <w:fldChar w:fldCharType="begin"/>
            <w:instrText xml:space="preserve"> PAGEREF _l55asumzd75b \h </w:instrText>
            <w:fldChar w:fldCharType="separate"/>
          </w:r>
          <w:r w:rsidDel="00000000" w:rsidR="00000000" w:rsidRPr="00000000">
            <w:rPr>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A0">
          <w:pPr>
            <w:widowControl w:val="0"/>
            <w:tabs>
              <w:tab w:val="right" w:leader="dot" w:pos="9360"/>
            </w:tabs>
            <w:spacing w:before="60" w:line="240" w:lineRule="auto"/>
            <w:ind w:left="720" w:firstLine="0"/>
            <w:rPr>
              <w:color w:val="000000"/>
              <w:u w:val="none"/>
            </w:rPr>
          </w:pPr>
          <w:hyperlink w:anchor="_dcx5c2rb2re3">
            <w:r w:rsidDel="00000000" w:rsidR="00000000" w:rsidRPr="00000000">
              <w:rPr>
                <w:color w:val="000000"/>
                <w:u w:val="none"/>
                <w:rtl w:val="0"/>
              </w:rPr>
              <w:t xml:space="preserve">9.1.1 Composition and Selection</w:t>
              <w:tab/>
            </w:r>
          </w:hyperlink>
          <w:r w:rsidDel="00000000" w:rsidR="00000000" w:rsidRPr="00000000">
            <w:fldChar w:fldCharType="begin"/>
            <w:instrText xml:space="preserve"> PAGEREF _dcx5c2rb2re3 \h </w:instrText>
            <w:fldChar w:fldCharType="separate"/>
          </w:r>
          <w:r w:rsidDel="00000000" w:rsidR="00000000" w:rsidRPr="00000000">
            <w:rPr>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A1">
          <w:pPr>
            <w:widowControl w:val="0"/>
            <w:tabs>
              <w:tab w:val="right" w:leader="dot" w:pos="9360"/>
            </w:tabs>
            <w:spacing w:before="60" w:line="240" w:lineRule="auto"/>
            <w:ind w:left="720" w:firstLine="0"/>
            <w:rPr>
              <w:color w:val="000000"/>
              <w:u w:val="none"/>
            </w:rPr>
          </w:pPr>
          <w:hyperlink w:anchor="_g82l46fvd8ak">
            <w:r w:rsidDel="00000000" w:rsidR="00000000" w:rsidRPr="00000000">
              <w:rPr>
                <w:color w:val="000000"/>
                <w:u w:val="none"/>
                <w:rtl w:val="0"/>
              </w:rPr>
              <w:t xml:space="preserve">9.1.2 Constitutional Mandate</w:t>
              <w:tab/>
            </w:r>
          </w:hyperlink>
          <w:r w:rsidDel="00000000" w:rsidR="00000000" w:rsidRPr="00000000">
            <w:fldChar w:fldCharType="begin"/>
            <w:instrText xml:space="preserve"> PAGEREF _g82l46fvd8ak \h </w:instrText>
            <w:fldChar w:fldCharType="separate"/>
          </w:r>
          <w:r w:rsidDel="00000000" w:rsidR="00000000" w:rsidRPr="00000000">
            <w:rPr>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A2">
          <w:pPr>
            <w:widowControl w:val="0"/>
            <w:tabs>
              <w:tab w:val="right" w:leader="dot" w:pos="9360"/>
            </w:tabs>
            <w:spacing w:before="60" w:line="240" w:lineRule="auto"/>
            <w:ind w:left="720" w:firstLine="0"/>
            <w:rPr>
              <w:color w:val="000000"/>
              <w:u w:val="none"/>
            </w:rPr>
          </w:pPr>
          <w:hyperlink w:anchor="_712i394g6epm">
            <w:r w:rsidDel="00000000" w:rsidR="00000000" w:rsidRPr="00000000">
              <w:rPr>
                <w:color w:val="000000"/>
                <w:u w:val="none"/>
                <w:rtl w:val="0"/>
              </w:rPr>
              <w:t xml:space="preserve">9.1.3 Operational Responsibilities</w:t>
              <w:tab/>
            </w:r>
          </w:hyperlink>
          <w:r w:rsidDel="00000000" w:rsidR="00000000" w:rsidRPr="00000000">
            <w:fldChar w:fldCharType="begin"/>
            <w:instrText xml:space="preserve"> PAGEREF _712i394g6epm \h </w:instrText>
            <w:fldChar w:fldCharType="separate"/>
          </w:r>
          <w:r w:rsidDel="00000000" w:rsidR="00000000" w:rsidRPr="00000000">
            <w:rPr>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A3">
          <w:pPr>
            <w:widowControl w:val="0"/>
            <w:tabs>
              <w:tab w:val="right" w:leader="dot" w:pos="9360"/>
            </w:tabs>
            <w:spacing w:before="60" w:line="240" w:lineRule="auto"/>
            <w:ind w:left="720" w:firstLine="0"/>
            <w:rPr>
              <w:color w:val="000000"/>
              <w:u w:val="none"/>
            </w:rPr>
          </w:pPr>
          <w:hyperlink w:anchor="_ezc8xm880qy6">
            <w:r w:rsidDel="00000000" w:rsidR="00000000" w:rsidRPr="00000000">
              <w:rPr>
                <w:color w:val="000000"/>
                <w:u w:val="none"/>
                <w:rtl w:val="0"/>
              </w:rPr>
              <w:t xml:space="preserve">9.1.4 Economic Alignment</w:t>
              <w:tab/>
            </w:r>
          </w:hyperlink>
          <w:r w:rsidDel="00000000" w:rsidR="00000000" w:rsidRPr="00000000">
            <w:fldChar w:fldCharType="begin"/>
            <w:instrText xml:space="preserve"> PAGEREF _ezc8xm880qy6 \h </w:instrText>
            <w:fldChar w:fldCharType="separate"/>
          </w:r>
          <w:r w:rsidDel="00000000" w:rsidR="00000000" w:rsidRPr="00000000">
            <w:rPr>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A4">
          <w:pPr>
            <w:widowControl w:val="0"/>
            <w:tabs>
              <w:tab w:val="right" w:leader="dot" w:pos="9360"/>
            </w:tabs>
            <w:spacing w:before="60" w:line="240" w:lineRule="auto"/>
            <w:ind w:left="360" w:firstLine="0"/>
            <w:rPr>
              <w:color w:val="000000"/>
              <w:u w:val="none"/>
            </w:rPr>
          </w:pPr>
          <w:hyperlink w:anchor="_jemw8p58g85z">
            <w:r w:rsidDel="00000000" w:rsidR="00000000" w:rsidRPr="00000000">
              <w:rPr>
                <w:color w:val="000000"/>
                <w:u w:val="none"/>
                <w:rtl w:val="0"/>
              </w:rPr>
              <w:t xml:space="preserve">9.2 The Stewardship Custodians</w:t>
              <w:tab/>
            </w:r>
          </w:hyperlink>
          <w:r w:rsidDel="00000000" w:rsidR="00000000" w:rsidRPr="00000000">
            <w:fldChar w:fldCharType="begin"/>
            <w:instrText xml:space="preserve"> PAGEREF _jemw8p58g85z \h </w:instrText>
            <w:fldChar w:fldCharType="separate"/>
          </w:r>
          <w:r w:rsidDel="00000000" w:rsidR="00000000" w:rsidRPr="00000000">
            <w:rPr>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A5">
          <w:pPr>
            <w:widowControl w:val="0"/>
            <w:tabs>
              <w:tab w:val="right" w:leader="dot" w:pos="9360"/>
            </w:tabs>
            <w:spacing w:before="60" w:line="240" w:lineRule="auto"/>
            <w:ind w:left="720" w:firstLine="0"/>
            <w:rPr>
              <w:color w:val="000000"/>
              <w:u w:val="none"/>
            </w:rPr>
          </w:pPr>
          <w:hyperlink w:anchor="_zck51krz4zez">
            <w:r w:rsidDel="00000000" w:rsidR="00000000" w:rsidRPr="00000000">
              <w:rPr>
                <w:color w:val="000000"/>
                <w:u w:val="none"/>
                <w:rtl w:val="0"/>
              </w:rPr>
              <w:t xml:space="preserve">9.2.1 Composition and Selection</w:t>
              <w:tab/>
            </w:r>
          </w:hyperlink>
          <w:r w:rsidDel="00000000" w:rsidR="00000000" w:rsidRPr="00000000">
            <w:fldChar w:fldCharType="begin"/>
            <w:instrText xml:space="preserve"> PAGEREF _zck51krz4zez \h </w:instrText>
            <w:fldChar w:fldCharType="separate"/>
          </w:r>
          <w:r w:rsidDel="00000000" w:rsidR="00000000" w:rsidRPr="00000000">
            <w:rPr>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A6">
          <w:pPr>
            <w:widowControl w:val="0"/>
            <w:tabs>
              <w:tab w:val="right" w:leader="dot" w:pos="9360"/>
            </w:tabs>
            <w:spacing w:before="60" w:line="240" w:lineRule="auto"/>
            <w:ind w:left="720" w:firstLine="0"/>
            <w:rPr>
              <w:color w:val="000000"/>
              <w:u w:val="none"/>
            </w:rPr>
          </w:pPr>
          <w:hyperlink w:anchor="_8avj8as2yd7d">
            <w:r w:rsidDel="00000000" w:rsidR="00000000" w:rsidRPr="00000000">
              <w:rPr>
                <w:color w:val="000000"/>
                <w:u w:val="none"/>
                <w:rtl w:val="0"/>
              </w:rPr>
              <w:t xml:space="preserve">9.2.2 Constitutional Mandate</w:t>
              <w:tab/>
            </w:r>
          </w:hyperlink>
          <w:r w:rsidDel="00000000" w:rsidR="00000000" w:rsidRPr="00000000">
            <w:fldChar w:fldCharType="begin"/>
            <w:instrText xml:space="preserve"> PAGEREF _8avj8as2yd7d \h </w:instrText>
            <w:fldChar w:fldCharType="separate"/>
          </w:r>
          <w:r w:rsidDel="00000000" w:rsidR="00000000" w:rsidRPr="00000000">
            <w:rPr>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0A7">
          <w:pPr>
            <w:widowControl w:val="0"/>
            <w:tabs>
              <w:tab w:val="right" w:leader="dot" w:pos="9360"/>
            </w:tabs>
            <w:spacing w:before="60" w:line="240" w:lineRule="auto"/>
            <w:ind w:left="720" w:firstLine="0"/>
            <w:rPr>
              <w:color w:val="000000"/>
              <w:u w:val="none"/>
            </w:rPr>
          </w:pPr>
          <w:hyperlink w:anchor="_z8hbtla3oram">
            <w:r w:rsidDel="00000000" w:rsidR="00000000" w:rsidRPr="00000000">
              <w:rPr>
                <w:color w:val="000000"/>
                <w:u w:val="none"/>
                <w:rtl w:val="0"/>
              </w:rPr>
              <w:t xml:space="preserve">9.2.3 Operational Responsibilities</w:t>
              <w:tab/>
            </w:r>
          </w:hyperlink>
          <w:r w:rsidDel="00000000" w:rsidR="00000000" w:rsidRPr="00000000">
            <w:fldChar w:fldCharType="begin"/>
            <w:instrText xml:space="preserve"> PAGEREF _z8hbtla3oram \h </w:instrText>
            <w:fldChar w:fldCharType="separate"/>
          </w:r>
          <w:r w:rsidDel="00000000" w:rsidR="00000000" w:rsidRPr="00000000">
            <w:rPr>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0A8">
          <w:pPr>
            <w:widowControl w:val="0"/>
            <w:tabs>
              <w:tab w:val="right" w:leader="dot" w:pos="9360"/>
            </w:tabs>
            <w:spacing w:before="60" w:line="240" w:lineRule="auto"/>
            <w:ind w:left="720" w:firstLine="0"/>
            <w:rPr>
              <w:color w:val="000000"/>
              <w:u w:val="none"/>
            </w:rPr>
          </w:pPr>
          <w:hyperlink w:anchor="_3i14sluh18do">
            <w:r w:rsidDel="00000000" w:rsidR="00000000" w:rsidRPr="00000000">
              <w:rPr>
                <w:color w:val="000000"/>
                <w:u w:val="none"/>
                <w:rtl w:val="0"/>
              </w:rPr>
              <w:t xml:space="preserve">9.2.4 Shamir Key Custody</w:t>
              <w:tab/>
            </w:r>
          </w:hyperlink>
          <w:r w:rsidDel="00000000" w:rsidR="00000000" w:rsidRPr="00000000">
            <w:fldChar w:fldCharType="begin"/>
            <w:instrText xml:space="preserve"> PAGEREF _3i14sluh18do \h </w:instrText>
            <w:fldChar w:fldCharType="separate"/>
          </w:r>
          <w:r w:rsidDel="00000000" w:rsidR="00000000" w:rsidRPr="00000000">
            <w:rPr>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A9">
          <w:pPr>
            <w:widowControl w:val="0"/>
            <w:tabs>
              <w:tab w:val="right" w:leader="dot" w:pos="9360"/>
            </w:tabs>
            <w:spacing w:before="60" w:line="240" w:lineRule="auto"/>
            <w:ind w:left="360" w:firstLine="0"/>
            <w:rPr>
              <w:color w:val="000000"/>
              <w:u w:val="none"/>
            </w:rPr>
          </w:pPr>
          <w:hyperlink w:anchor="_75hekw5y9qav">
            <w:r w:rsidDel="00000000" w:rsidR="00000000" w:rsidRPr="00000000">
              <w:rPr>
                <w:color w:val="000000"/>
                <w:u w:val="none"/>
                <w:rtl w:val="0"/>
              </w:rPr>
              <w:t xml:space="preserve">9.3 The Smart Contract Treasury</w:t>
              <w:tab/>
            </w:r>
          </w:hyperlink>
          <w:r w:rsidDel="00000000" w:rsidR="00000000" w:rsidRPr="00000000">
            <w:fldChar w:fldCharType="begin"/>
            <w:instrText xml:space="preserve"> PAGEREF _75hekw5y9qav \h </w:instrText>
            <w:fldChar w:fldCharType="separate"/>
          </w:r>
          <w:r w:rsidDel="00000000" w:rsidR="00000000" w:rsidRPr="00000000">
            <w:rPr>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AA">
          <w:pPr>
            <w:widowControl w:val="0"/>
            <w:tabs>
              <w:tab w:val="right" w:leader="dot" w:pos="9360"/>
            </w:tabs>
            <w:spacing w:before="60" w:line="240" w:lineRule="auto"/>
            <w:ind w:left="720" w:firstLine="0"/>
            <w:rPr>
              <w:color w:val="000000"/>
              <w:u w:val="none"/>
            </w:rPr>
          </w:pPr>
          <w:hyperlink w:anchor="_8l4qwhscju3q">
            <w:r w:rsidDel="00000000" w:rsidR="00000000" w:rsidRPr="00000000">
              <w:rPr>
                <w:color w:val="000000"/>
                <w:u w:val="none"/>
                <w:rtl w:val="0"/>
              </w:rPr>
              <w:t xml:space="preserve">9.3.1 Composition and Structure</w:t>
              <w:tab/>
            </w:r>
          </w:hyperlink>
          <w:r w:rsidDel="00000000" w:rsidR="00000000" w:rsidRPr="00000000">
            <w:fldChar w:fldCharType="begin"/>
            <w:instrText xml:space="preserve"> PAGEREF _8l4qwhscju3q \h </w:instrText>
            <w:fldChar w:fldCharType="separate"/>
          </w:r>
          <w:r w:rsidDel="00000000" w:rsidR="00000000" w:rsidRPr="00000000">
            <w:rPr>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AB">
          <w:pPr>
            <w:widowControl w:val="0"/>
            <w:tabs>
              <w:tab w:val="right" w:leader="dot" w:pos="9360"/>
            </w:tabs>
            <w:spacing w:before="60" w:line="240" w:lineRule="auto"/>
            <w:ind w:left="720" w:firstLine="0"/>
            <w:rPr>
              <w:color w:val="000000"/>
              <w:u w:val="none"/>
            </w:rPr>
          </w:pPr>
          <w:hyperlink w:anchor="_qqsbr94802ty">
            <w:r w:rsidDel="00000000" w:rsidR="00000000" w:rsidRPr="00000000">
              <w:rPr>
                <w:color w:val="000000"/>
                <w:u w:val="none"/>
                <w:rtl w:val="0"/>
              </w:rPr>
              <w:t xml:space="preserve">9.3.2 Mandate</w:t>
              <w:tab/>
            </w:r>
          </w:hyperlink>
          <w:r w:rsidDel="00000000" w:rsidR="00000000" w:rsidRPr="00000000">
            <w:fldChar w:fldCharType="begin"/>
            <w:instrText xml:space="preserve"> PAGEREF _qqsbr94802ty \h </w:instrText>
            <w:fldChar w:fldCharType="separate"/>
          </w:r>
          <w:r w:rsidDel="00000000" w:rsidR="00000000" w:rsidRPr="00000000">
            <w:rPr>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AC">
          <w:pPr>
            <w:widowControl w:val="0"/>
            <w:tabs>
              <w:tab w:val="right" w:leader="dot" w:pos="9360"/>
            </w:tabs>
            <w:spacing w:before="60" w:line="240" w:lineRule="auto"/>
            <w:ind w:left="720" w:firstLine="0"/>
            <w:rPr>
              <w:color w:val="000000"/>
              <w:u w:val="none"/>
            </w:rPr>
          </w:pPr>
          <w:hyperlink w:anchor="_b5ye3b43le2r">
            <w:r w:rsidDel="00000000" w:rsidR="00000000" w:rsidRPr="00000000">
              <w:rPr>
                <w:color w:val="000000"/>
                <w:u w:val="none"/>
                <w:rtl w:val="0"/>
              </w:rPr>
              <w:t xml:space="preserve">9.3.3 Four Constitutional Reserves</w:t>
              <w:tab/>
            </w:r>
          </w:hyperlink>
          <w:r w:rsidDel="00000000" w:rsidR="00000000" w:rsidRPr="00000000">
            <w:fldChar w:fldCharType="begin"/>
            <w:instrText xml:space="preserve"> PAGEREF _b5ye3b43le2r \h </w:instrText>
            <w:fldChar w:fldCharType="separate"/>
          </w:r>
          <w:r w:rsidDel="00000000" w:rsidR="00000000" w:rsidRPr="00000000">
            <w:rPr>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AD">
          <w:pPr>
            <w:widowControl w:val="0"/>
            <w:tabs>
              <w:tab w:val="right" w:leader="dot" w:pos="9360"/>
            </w:tabs>
            <w:spacing w:before="60" w:line="240" w:lineRule="auto"/>
            <w:ind w:left="720" w:firstLine="0"/>
            <w:rPr>
              <w:color w:val="000000"/>
              <w:u w:val="none"/>
            </w:rPr>
          </w:pPr>
          <w:hyperlink w:anchor="_uw5w0wwqptdf">
            <w:r w:rsidDel="00000000" w:rsidR="00000000" w:rsidRPr="00000000">
              <w:rPr>
                <w:color w:val="000000"/>
                <w:u w:val="none"/>
                <w:rtl w:val="0"/>
              </w:rPr>
              <w:t xml:space="preserve">9.3.4 The Automated Penalty and Incentive Architecture</w:t>
              <w:tab/>
            </w:r>
          </w:hyperlink>
          <w:r w:rsidDel="00000000" w:rsidR="00000000" w:rsidRPr="00000000">
            <w:fldChar w:fldCharType="begin"/>
            <w:instrText xml:space="preserve"> PAGEREF _uw5w0wwqptdf \h </w:instrText>
            <w:fldChar w:fldCharType="separate"/>
          </w:r>
          <w:r w:rsidDel="00000000" w:rsidR="00000000" w:rsidRPr="00000000">
            <w:rPr>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0AE">
          <w:pPr>
            <w:widowControl w:val="0"/>
            <w:tabs>
              <w:tab w:val="right" w:leader="dot" w:pos="9360"/>
            </w:tabs>
            <w:spacing w:before="60" w:line="240" w:lineRule="auto"/>
            <w:ind w:left="360" w:firstLine="0"/>
            <w:rPr>
              <w:color w:val="000000"/>
              <w:u w:val="none"/>
            </w:rPr>
          </w:pPr>
          <w:hyperlink w:anchor="_nkaugmufs84i">
            <w:r w:rsidDel="00000000" w:rsidR="00000000" w:rsidRPr="00000000">
              <w:rPr>
                <w:color w:val="000000"/>
                <w:u w:val="none"/>
                <w:rtl w:val="0"/>
              </w:rPr>
              <w:t xml:space="preserve">9.4 Chamber Interdependence and Separation of Powers</w:t>
              <w:tab/>
            </w:r>
          </w:hyperlink>
          <w:r w:rsidDel="00000000" w:rsidR="00000000" w:rsidRPr="00000000">
            <w:fldChar w:fldCharType="begin"/>
            <w:instrText xml:space="preserve"> PAGEREF _nkaugmufs84i \h </w:instrText>
            <w:fldChar w:fldCharType="separate"/>
          </w:r>
          <w:r w:rsidDel="00000000" w:rsidR="00000000" w:rsidRPr="00000000">
            <w:rPr>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0AF">
          <w:pPr>
            <w:widowControl w:val="0"/>
            <w:tabs>
              <w:tab w:val="right" w:leader="dot" w:pos="9360"/>
            </w:tabs>
            <w:spacing w:before="60" w:line="240" w:lineRule="auto"/>
            <w:ind w:left="360" w:firstLine="0"/>
            <w:rPr>
              <w:color w:val="000000"/>
              <w:u w:val="none"/>
            </w:rPr>
          </w:pPr>
          <w:hyperlink w:anchor="_cfxvv6j2z9of">
            <w:r w:rsidDel="00000000" w:rsidR="00000000" w:rsidRPr="00000000">
              <w:rPr>
                <w:color w:val="000000"/>
                <w:u w:val="none"/>
                <w:rtl w:val="0"/>
              </w:rPr>
              <w:t xml:space="preserve">9.5 The Emergency Constitutional Override Protocol</w:t>
              <w:tab/>
            </w:r>
          </w:hyperlink>
          <w:r w:rsidDel="00000000" w:rsidR="00000000" w:rsidRPr="00000000">
            <w:fldChar w:fldCharType="begin"/>
            <w:instrText xml:space="preserve"> PAGEREF _cfxvv6j2z9of \h </w:instrText>
            <w:fldChar w:fldCharType="separate"/>
          </w:r>
          <w:r w:rsidDel="00000000" w:rsidR="00000000" w:rsidRPr="00000000">
            <w:rPr>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0B0">
          <w:pPr>
            <w:widowControl w:val="0"/>
            <w:tabs>
              <w:tab w:val="right" w:leader="dot" w:pos="9360"/>
            </w:tabs>
            <w:spacing w:before="60" w:line="240" w:lineRule="auto"/>
            <w:ind w:left="360" w:firstLine="0"/>
            <w:rPr>
              <w:color w:val="000000"/>
              <w:u w:val="none"/>
            </w:rPr>
          </w:pPr>
          <w:hyperlink w:anchor="_2wmz1r487ft8">
            <w:r w:rsidDel="00000000" w:rsidR="00000000" w:rsidRPr="00000000">
              <w:rPr>
                <w:color w:val="000000"/>
                <w:u w:val="none"/>
                <w:rtl w:val="0"/>
              </w:rPr>
              <w:t xml:space="preserve">9.6 The No Switch Off Rule</w:t>
              <w:tab/>
            </w:r>
          </w:hyperlink>
          <w:r w:rsidDel="00000000" w:rsidR="00000000" w:rsidRPr="00000000">
            <w:fldChar w:fldCharType="begin"/>
            <w:instrText xml:space="preserve"> PAGEREF _2wmz1r487ft8 \h </w:instrText>
            <w:fldChar w:fldCharType="separate"/>
          </w:r>
          <w:r w:rsidDel="00000000" w:rsidR="00000000" w:rsidRPr="00000000">
            <w:rPr>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0B1">
          <w:pPr>
            <w:widowControl w:val="0"/>
            <w:tabs>
              <w:tab w:val="right" w:leader="dot" w:pos="9360"/>
            </w:tabs>
            <w:spacing w:before="60" w:line="240" w:lineRule="auto"/>
            <w:ind w:left="360" w:firstLine="0"/>
            <w:rPr>
              <w:color w:val="000000"/>
              <w:u w:val="none"/>
            </w:rPr>
          </w:pPr>
          <w:hyperlink w:anchor="_gwjp2g8ngvyy">
            <w:r w:rsidDel="00000000" w:rsidR="00000000" w:rsidRPr="00000000">
              <w:rPr>
                <w:color w:val="000000"/>
                <w:u w:val="none"/>
                <w:rtl w:val="0"/>
              </w:rPr>
              <w:t xml:space="preserve">9.7 Governance Capture Vectors and Institutional Countermeasures</w:t>
              <w:tab/>
            </w:r>
          </w:hyperlink>
          <w:r w:rsidDel="00000000" w:rsidR="00000000" w:rsidRPr="00000000">
            <w:fldChar w:fldCharType="begin"/>
            <w:instrText xml:space="preserve"> PAGEREF _gwjp2g8ngvyy \h </w:instrText>
            <w:fldChar w:fldCharType="separate"/>
          </w:r>
          <w:r w:rsidDel="00000000" w:rsidR="00000000" w:rsidRPr="00000000">
            <w:rPr>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B2">
          <w:pPr>
            <w:widowControl w:val="0"/>
            <w:tabs>
              <w:tab w:val="right" w:leader="dot" w:pos="9360"/>
            </w:tabs>
            <w:spacing w:before="60" w:line="240" w:lineRule="auto"/>
            <w:ind w:left="360" w:firstLine="0"/>
            <w:rPr>
              <w:color w:val="000000"/>
              <w:u w:val="none"/>
            </w:rPr>
          </w:pPr>
          <w:hyperlink w:anchor="_n311pdnmoh0s">
            <w:r w:rsidDel="00000000" w:rsidR="00000000" w:rsidRPr="00000000">
              <w:rPr>
                <w:color w:val="000000"/>
                <w:u w:val="none"/>
                <w:rtl w:val="0"/>
              </w:rPr>
              <w:t xml:space="preserve">9.8 The Tri-Cameral Model in Macroeconomic Practice</w:t>
              <w:tab/>
            </w:r>
          </w:hyperlink>
          <w:r w:rsidDel="00000000" w:rsidR="00000000" w:rsidRPr="00000000">
            <w:fldChar w:fldCharType="begin"/>
            <w:instrText xml:space="preserve"> PAGEREF _n311pdnmoh0s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B3">
          <w:pPr>
            <w:widowControl w:val="0"/>
            <w:tabs>
              <w:tab w:val="right" w:leader="dot" w:pos="9360"/>
            </w:tabs>
            <w:spacing w:before="60" w:line="240" w:lineRule="auto"/>
            <w:rPr>
              <w:b w:val="1"/>
              <w:bCs w:val="1"/>
              <w:color w:val="000000"/>
              <w:u w:val="none"/>
            </w:rPr>
          </w:pPr>
          <w:hyperlink w:anchor="_qmpletrmjike">
            <w:r w:rsidDel="00000000" w:rsidR="00000000" w:rsidRPr="00000000">
              <w:rPr>
                <w:b w:val="1"/>
                <w:bCs w:val="1"/>
                <w:color w:val="000000"/>
                <w:u w:val="none"/>
                <w:rtl w:val="0"/>
              </w:rPr>
              <w:t xml:space="preserve">SECTION 10: ADVERSARIAL SURVIVABILITY</w:t>
              <w:tab/>
            </w:r>
          </w:hyperlink>
          <w:r w:rsidDel="00000000" w:rsidR="00000000" w:rsidRPr="00000000">
            <w:fldChar w:fldCharType="begin"/>
            <w:instrText xml:space="preserve"> PAGEREF _qmpletrmjike \h </w:instrText>
            <w:fldChar w:fldCharType="separate"/>
          </w:r>
          <w:r w:rsidDel="00000000" w:rsidR="00000000" w:rsidRPr="00000000">
            <w:rPr>
              <w:b w:val="1"/>
              <w:bCs w:val="1"/>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B4">
          <w:pPr>
            <w:widowControl w:val="0"/>
            <w:tabs>
              <w:tab w:val="right" w:leader="dot" w:pos="9360"/>
            </w:tabs>
            <w:spacing w:before="60" w:line="240" w:lineRule="auto"/>
            <w:ind w:left="360" w:firstLine="0"/>
            <w:rPr>
              <w:color w:val="000000"/>
              <w:u w:val="none"/>
            </w:rPr>
          </w:pPr>
          <w:hyperlink w:anchor="_98zyu4m3nwmg">
            <w:r w:rsidDel="00000000" w:rsidR="00000000" w:rsidRPr="00000000">
              <w:rPr>
                <w:color w:val="000000"/>
                <w:u w:val="none"/>
                <w:rtl w:val="0"/>
              </w:rPr>
              <w:t xml:space="preserve">10.0 Overview</w:t>
              <w:tab/>
            </w:r>
          </w:hyperlink>
          <w:r w:rsidDel="00000000" w:rsidR="00000000" w:rsidRPr="00000000">
            <w:fldChar w:fldCharType="begin"/>
            <w:instrText xml:space="preserve"> PAGEREF _98zyu4m3nwmg \h </w:instrText>
            <w:fldChar w:fldCharType="separate"/>
          </w:r>
          <w:r w:rsidDel="00000000" w:rsidR="00000000" w:rsidRPr="00000000">
            <w:rPr>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B5">
          <w:pPr>
            <w:widowControl w:val="0"/>
            <w:tabs>
              <w:tab w:val="right" w:leader="dot" w:pos="9360"/>
            </w:tabs>
            <w:spacing w:before="60" w:line="240" w:lineRule="auto"/>
            <w:ind w:left="360" w:firstLine="0"/>
            <w:rPr>
              <w:color w:val="000000"/>
              <w:u w:val="none"/>
            </w:rPr>
          </w:pPr>
          <w:hyperlink w:anchor="_3xb6ax6jady9">
            <w:r w:rsidDel="00000000" w:rsidR="00000000" w:rsidRPr="00000000">
              <w:rPr>
                <w:color w:val="000000"/>
                <w:u w:val="none"/>
                <w:rtl w:val="0"/>
              </w:rPr>
              <w:t xml:space="preserve">10.1 Eight Pillars Survivability Assessment</w:t>
              <w:tab/>
            </w:r>
          </w:hyperlink>
          <w:r w:rsidDel="00000000" w:rsidR="00000000" w:rsidRPr="00000000">
            <w:fldChar w:fldCharType="begin"/>
            <w:instrText xml:space="preserve"> PAGEREF _3xb6ax6jady9 \h </w:instrText>
            <w:fldChar w:fldCharType="separate"/>
          </w:r>
          <w:r w:rsidDel="00000000" w:rsidR="00000000" w:rsidRPr="00000000">
            <w:rPr>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B6">
          <w:pPr>
            <w:widowControl w:val="0"/>
            <w:tabs>
              <w:tab w:val="right" w:leader="dot" w:pos="9360"/>
            </w:tabs>
            <w:spacing w:before="60" w:line="240" w:lineRule="auto"/>
            <w:ind w:left="360" w:firstLine="0"/>
            <w:rPr>
              <w:color w:val="000000"/>
              <w:u w:val="none"/>
            </w:rPr>
          </w:pPr>
          <w:hyperlink w:anchor="_hlw3phys3pw7">
            <w:r w:rsidDel="00000000" w:rsidR="00000000" w:rsidRPr="00000000">
              <w:rPr>
                <w:color w:val="000000"/>
                <w:u w:val="none"/>
                <w:rtl w:val="0"/>
              </w:rPr>
              <w:t xml:space="preserve">10.2 NL=NA Under Five Adversarial Scenarios</w:t>
              <w:tab/>
            </w:r>
          </w:hyperlink>
          <w:r w:rsidDel="00000000" w:rsidR="00000000" w:rsidRPr="00000000">
            <w:fldChar w:fldCharType="begin"/>
            <w:instrText xml:space="preserve"> PAGEREF _hlw3phys3pw7 \h </w:instrText>
            <w:fldChar w:fldCharType="separate"/>
          </w:r>
          <w:r w:rsidDel="00000000" w:rsidR="00000000" w:rsidRPr="00000000">
            <w:rPr>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0B7">
          <w:pPr>
            <w:widowControl w:val="0"/>
            <w:tabs>
              <w:tab w:val="right" w:leader="dot" w:pos="9360"/>
            </w:tabs>
            <w:spacing w:before="60" w:line="240" w:lineRule="auto"/>
            <w:ind w:left="360" w:firstLine="0"/>
            <w:rPr>
              <w:color w:val="000000"/>
              <w:u w:val="none"/>
            </w:rPr>
          </w:pPr>
          <w:hyperlink w:anchor="_en3bdlg6tr1h">
            <w:r w:rsidDel="00000000" w:rsidR="00000000" w:rsidRPr="00000000">
              <w:rPr>
                <w:color w:val="000000"/>
                <w:u w:val="none"/>
                <w:rtl w:val="0"/>
              </w:rPr>
              <w:t xml:space="preserve">10.3 Transitional Emulation Mode: Collapse Analysis</w:t>
              <w:tab/>
            </w:r>
          </w:hyperlink>
          <w:r w:rsidDel="00000000" w:rsidR="00000000" w:rsidRPr="00000000">
            <w:fldChar w:fldCharType="begin"/>
            <w:instrText xml:space="preserve"> PAGEREF _en3bdlg6tr1h \h </w:instrText>
            <w:fldChar w:fldCharType="separate"/>
          </w:r>
          <w:r w:rsidDel="00000000" w:rsidR="00000000" w:rsidRPr="00000000">
            <w:rPr>
              <w:rtl w:val="0"/>
            </w:rPr>
            <w:t xml:space="preserve">111</w:t>
          </w:r>
          <w:r w:rsidDel="00000000" w:rsidR="00000000" w:rsidRPr="00000000">
            <w:fldChar w:fldCharType="end"/>
          </w:r>
          <w:r w:rsidDel="00000000" w:rsidR="00000000" w:rsidRPr="00000000">
            <w:rPr>
              <w:rtl w:val="0"/>
            </w:rPr>
          </w:r>
        </w:p>
        <w:p w:rsidR="00000000" w:rsidDel="00000000" w:rsidP="00000000" w:rsidRDefault="00000000" w:rsidRPr="00000000" w14:paraId="000000B8">
          <w:pPr>
            <w:widowControl w:val="0"/>
            <w:tabs>
              <w:tab w:val="right" w:leader="dot" w:pos="9360"/>
            </w:tabs>
            <w:spacing w:before="60" w:line="240" w:lineRule="auto"/>
            <w:ind w:left="360" w:firstLine="0"/>
            <w:rPr>
              <w:color w:val="000000"/>
              <w:u w:val="none"/>
            </w:rPr>
          </w:pPr>
          <w:hyperlink w:anchor="_vcmdefme2ycv">
            <w:r w:rsidDel="00000000" w:rsidR="00000000" w:rsidRPr="00000000">
              <w:rPr>
                <w:color w:val="000000"/>
                <w:u w:val="none"/>
                <w:rtl w:val="0"/>
              </w:rPr>
              <w:t xml:space="preserve">10.4 Triadic State Integrity and Epistemic Exploitation</w:t>
              <w:tab/>
            </w:r>
          </w:hyperlink>
          <w:r w:rsidDel="00000000" w:rsidR="00000000" w:rsidRPr="00000000">
            <w:fldChar w:fldCharType="begin"/>
            <w:instrText xml:space="preserve"> PAGEREF _vcmdefme2ycv \h </w:instrText>
            <w:fldChar w:fldCharType="separate"/>
          </w:r>
          <w:r w:rsidDel="00000000" w:rsidR="00000000" w:rsidRPr="00000000">
            <w:rPr>
              <w:rtl w:val="0"/>
            </w:rPr>
            <w:t xml:space="preserve">112</w:t>
          </w:r>
          <w:r w:rsidDel="00000000" w:rsidR="00000000" w:rsidRPr="00000000">
            <w:fldChar w:fldCharType="end"/>
          </w:r>
          <w:r w:rsidDel="00000000" w:rsidR="00000000" w:rsidRPr="00000000">
            <w:rPr>
              <w:rtl w:val="0"/>
            </w:rPr>
          </w:r>
        </w:p>
        <w:p w:rsidR="00000000" w:rsidDel="00000000" w:rsidP="00000000" w:rsidRDefault="00000000" w:rsidRPr="00000000" w14:paraId="000000B9">
          <w:pPr>
            <w:widowControl w:val="0"/>
            <w:tabs>
              <w:tab w:val="right" w:leader="dot" w:pos="9360"/>
            </w:tabs>
            <w:spacing w:before="60" w:line="240" w:lineRule="auto"/>
            <w:ind w:left="360" w:firstLine="0"/>
            <w:rPr>
              <w:color w:val="000000"/>
              <w:u w:val="none"/>
            </w:rPr>
          </w:pPr>
          <w:hyperlink w:anchor="_c70ruq7ck6mo">
            <w:r w:rsidDel="00000000" w:rsidR="00000000" w:rsidRPr="00000000">
              <w:rPr>
                <w:color w:val="000000"/>
                <w:u w:val="none"/>
                <w:rtl w:val="0"/>
              </w:rPr>
              <w:t xml:space="preserve">10.5 Ten Root Override and Low-Level Attack Vectors</w:t>
              <w:tab/>
            </w:r>
          </w:hyperlink>
          <w:r w:rsidDel="00000000" w:rsidR="00000000" w:rsidRPr="00000000">
            <w:fldChar w:fldCharType="begin"/>
            <w:instrText xml:space="preserve"> PAGEREF _c70ruq7ck6mo \h </w:instrText>
            <w:fldChar w:fldCharType="separate"/>
          </w:r>
          <w:r w:rsidDel="00000000" w:rsidR="00000000" w:rsidRPr="00000000">
            <w:rPr>
              <w:rtl w:val="0"/>
            </w:rPr>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BA">
          <w:pPr>
            <w:widowControl w:val="0"/>
            <w:tabs>
              <w:tab w:val="right" w:leader="dot" w:pos="9360"/>
            </w:tabs>
            <w:spacing w:before="60" w:line="240" w:lineRule="auto"/>
            <w:ind w:left="360" w:firstLine="0"/>
            <w:rPr>
              <w:color w:val="000000"/>
              <w:u w:val="none"/>
            </w:rPr>
          </w:pPr>
          <w:hyperlink w:anchor="_fo526ogs66qw">
            <w:r w:rsidDel="00000000" w:rsidR="00000000" w:rsidRPr="00000000">
              <w:rPr>
                <w:color w:val="000000"/>
                <w:u w:val="none"/>
                <w:rtl w:val="0"/>
              </w:rPr>
              <w:t xml:space="preserve">10.6 Governance Capture: Four Institutional Attack Vectors</w:t>
              <w:tab/>
            </w:r>
          </w:hyperlink>
          <w:r w:rsidDel="00000000" w:rsidR="00000000" w:rsidRPr="00000000">
            <w:fldChar w:fldCharType="begin"/>
            <w:instrText xml:space="preserve"> PAGEREF _fo526ogs66qw \h </w:instrText>
            <w:fldChar w:fldCharType="separate"/>
          </w:r>
          <w:r w:rsidDel="00000000" w:rsidR="00000000" w:rsidRPr="00000000">
            <w:rPr>
              <w:rtl w:val="0"/>
            </w:rPr>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00BB">
          <w:pPr>
            <w:widowControl w:val="0"/>
            <w:tabs>
              <w:tab w:val="right" w:leader="dot" w:pos="9360"/>
            </w:tabs>
            <w:spacing w:before="60" w:line="240" w:lineRule="auto"/>
            <w:ind w:left="360" w:firstLine="0"/>
            <w:rPr>
              <w:color w:val="000000"/>
              <w:u w:val="none"/>
            </w:rPr>
          </w:pPr>
          <w:hyperlink w:anchor="_8hemo37io0nk">
            <w:r w:rsidDel="00000000" w:rsidR="00000000" w:rsidRPr="00000000">
              <w:rPr>
                <w:color w:val="000000"/>
                <w:u w:val="none"/>
                <w:rtl w:val="0"/>
              </w:rPr>
              <w:t xml:space="preserve">10.7 Semantic Drift: The Multi-Decade Governance Threat</w:t>
              <w:tab/>
            </w:r>
          </w:hyperlink>
          <w:r w:rsidDel="00000000" w:rsidR="00000000" w:rsidRPr="00000000">
            <w:fldChar w:fldCharType="begin"/>
            <w:instrText xml:space="preserve"> PAGEREF _8hemo37io0nk \h </w:instrText>
            <w:fldChar w:fldCharType="separate"/>
          </w:r>
          <w:r w:rsidDel="00000000" w:rsidR="00000000" w:rsidRPr="00000000">
            <w:rPr>
              <w:rtl w:val="0"/>
            </w:rPr>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BC">
          <w:pPr>
            <w:widowControl w:val="0"/>
            <w:tabs>
              <w:tab w:val="right" w:leader="dot" w:pos="9360"/>
            </w:tabs>
            <w:spacing w:before="60" w:line="240" w:lineRule="auto"/>
            <w:ind w:left="360" w:firstLine="0"/>
            <w:rPr>
              <w:color w:val="000000"/>
              <w:u w:val="none"/>
            </w:rPr>
          </w:pPr>
          <w:hyperlink w:anchor="_4sn2ankqtxub">
            <w:r w:rsidDel="00000000" w:rsidR="00000000" w:rsidRPr="00000000">
              <w:rPr>
                <w:color w:val="000000"/>
                <w:u w:val="none"/>
                <w:rtl w:val="0"/>
              </w:rPr>
              <w:t xml:space="preserve">10.8 Sovereign Coercion: Four Geopolitical Pressure Scenarios</w:t>
              <w:tab/>
            </w:r>
          </w:hyperlink>
          <w:r w:rsidDel="00000000" w:rsidR="00000000" w:rsidRPr="00000000">
            <w:fldChar w:fldCharType="begin"/>
            <w:instrText xml:space="preserve"> PAGEREF _4sn2ankqtxub \h </w:instrText>
            <w:fldChar w:fldCharType="separate"/>
          </w:r>
          <w:r w:rsidDel="00000000" w:rsidR="00000000" w:rsidRPr="00000000">
            <w:rPr>
              <w:rtl w:val="0"/>
            </w:rPr>
            <w:t xml:space="preserve">117</w:t>
          </w:r>
          <w:r w:rsidDel="00000000" w:rsidR="00000000" w:rsidRPr="00000000">
            <w:fldChar w:fldCharType="end"/>
          </w:r>
          <w:r w:rsidDel="00000000" w:rsidR="00000000" w:rsidRPr="00000000">
            <w:rPr>
              <w:rtl w:val="0"/>
            </w:rPr>
          </w:r>
        </w:p>
        <w:p w:rsidR="00000000" w:rsidDel="00000000" w:rsidP="00000000" w:rsidRDefault="00000000" w:rsidRPr="00000000" w14:paraId="000000BD">
          <w:pPr>
            <w:widowControl w:val="0"/>
            <w:tabs>
              <w:tab w:val="right" w:leader="dot" w:pos="9360"/>
            </w:tabs>
            <w:spacing w:before="60" w:line="240" w:lineRule="auto"/>
            <w:ind w:left="360" w:firstLine="0"/>
            <w:rPr>
              <w:color w:val="000000"/>
              <w:u w:val="none"/>
            </w:rPr>
          </w:pPr>
          <w:hyperlink w:anchor="_39t7u1k8uika">
            <w:r w:rsidDel="00000000" w:rsidR="00000000" w:rsidRPr="00000000">
              <w:rPr>
                <w:color w:val="000000"/>
                <w:u w:val="none"/>
                <w:rtl w:val="0"/>
              </w:rPr>
              <w:t xml:space="preserve">10.9 Post-Compromise Recovery</w:t>
              <w:tab/>
            </w:r>
          </w:hyperlink>
          <w:r w:rsidDel="00000000" w:rsidR="00000000" w:rsidRPr="00000000">
            <w:fldChar w:fldCharType="begin"/>
            <w:instrText xml:space="preserve"> PAGEREF _39t7u1k8uika \h </w:instrText>
            <w:fldChar w:fldCharType="separate"/>
          </w:r>
          <w:r w:rsidDel="00000000" w:rsidR="00000000" w:rsidRPr="00000000">
            <w:rPr>
              <w:rtl w:val="0"/>
            </w:rPr>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BE">
          <w:pPr>
            <w:widowControl w:val="0"/>
            <w:tabs>
              <w:tab w:val="right" w:leader="dot" w:pos="9360"/>
            </w:tabs>
            <w:spacing w:before="60" w:line="240" w:lineRule="auto"/>
            <w:ind w:left="360" w:firstLine="0"/>
            <w:rPr>
              <w:color w:val="000000"/>
              <w:u w:val="none"/>
            </w:rPr>
          </w:pPr>
          <w:hyperlink w:anchor="_f3dexj951pa7">
            <w:r w:rsidDel="00000000" w:rsidR="00000000" w:rsidRPr="00000000">
              <w:rPr>
                <w:color w:val="000000"/>
                <w:u w:val="none"/>
                <w:rtl w:val="0"/>
              </w:rPr>
              <w:t xml:space="preserve">10.10 The Closing Thesis: Hardware Resists Last. Institutions Fail First.</w:t>
              <w:tab/>
            </w:r>
          </w:hyperlink>
          <w:r w:rsidDel="00000000" w:rsidR="00000000" w:rsidRPr="00000000">
            <w:fldChar w:fldCharType="begin"/>
            <w:instrText xml:space="preserve"> PAGEREF _f3dexj951pa7 \h </w:instrText>
            <w:fldChar w:fldCharType="separate"/>
          </w:r>
          <w:r w:rsidDel="00000000" w:rsidR="00000000" w:rsidRPr="00000000">
            <w:rPr>
              <w:rtl w:val="0"/>
            </w:rPr>
            <w:t xml:space="preserve">119</w:t>
          </w:r>
          <w:r w:rsidDel="00000000" w:rsidR="00000000" w:rsidRPr="00000000">
            <w:fldChar w:fldCharType="end"/>
          </w:r>
          <w:r w:rsidDel="00000000" w:rsidR="00000000" w:rsidRPr="00000000">
            <w:rPr>
              <w:rtl w:val="0"/>
            </w:rPr>
          </w:r>
        </w:p>
        <w:p w:rsidR="00000000" w:rsidDel="00000000" w:rsidP="00000000" w:rsidRDefault="00000000" w:rsidRPr="00000000" w14:paraId="000000BF">
          <w:pPr>
            <w:widowControl w:val="0"/>
            <w:tabs>
              <w:tab w:val="right" w:leader="dot" w:pos="9360"/>
            </w:tabs>
            <w:spacing w:before="60" w:line="240" w:lineRule="auto"/>
            <w:rPr>
              <w:b w:val="1"/>
              <w:bCs w:val="1"/>
              <w:color w:val="000000"/>
              <w:u w:val="none"/>
            </w:rPr>
          </w:pPr>
          <w:hyperlink w:anchor="_bmsb6pu9dq48">
            <w:r w:rsidDel="00000000" w:rsidR="00000000" w:rsidRPr="00000000">
              <w:rPr>
                <w:b w:val="1"/>
                <w:bCs w:val="1"/>
                <w:color w:val="000000"/>
                <w:u w:val="none"/>
                <w:rtl w:val="0"/>
              </w:rPr>
              <w:t xml:space="preserve">SECTION 11: POST-QUANTUM CRYPTOGRAPHIC MIGRATION</w:t>
              <w:tab/>
            </w:r>
          </w:hyperlink>
          <w:r w:rsidDel="00000000" w:rsidR="00000000" w:rsidRPr="00000000">
            <w:fldChar w:fldCharType="begin"/>
            <w:instrText xml:space="preserve"> PAGEREF _bmsb6pu9dq48 \h </w:instrText>
            <w:fldChar w:fldCharType="separate"/>
          </w:r>
          <w:r w:rsidDel="00000000" w:rsidR="00000000" w:rsidRPr="00000000">
            <w:rPr>
              <w:b w:val="1"/>
              <w:bCs w:val="1"/>
              <w:rtl w:val="0"/>
            </w:rPr>
            <w:t xml:space="preserve">120</w:t>
          </w:r>
          <w:r w:rsidDel="00000000" w:rsidR="00000000" w:rsidRPr="00000000">
            <w:fldChar w:fldCharType="end"/>
          </w:r>
          <w:r w:rsidDel="00000000" w:rsidR="00000000" w:rsidRPr="00000000">
            <w:rPr>
              <w:rtl w:val="0"/>
            </w:rPr>
          </w:r>
        </w:p>
        <w:p w:rsidR="00000000" w:rsidDel="00000000" w:rsidP="00000000" w:rsidRDefault="00000000" w:rsidRPr="00000000" w14:paraId="000000C0">
          <w:pPr>
            <w:widowControl w:val="0"/>
            <w:tabs>
              <w:tab w:val="right" w:leader="dot" w:pos="9360"/>
            </w:tabs>
            <w:spacing w:before="60" w:line="240" w:lineRule="auto"/>
            <w:ind w:left="360" w:firstLine="0"/>
            <w:rPr>
              <w:color w:val="000000"/>
              <w:u w:val="none"/>
            </w:rPr>
          </w:pPr>
          <w:hyperlink w:anchor="_zti59w4s0ob">
            <w:r w:rsidDel="00000000" w:rsidR="00000000" w:rsidRPr="00000000">
              <w:rPr>
                <w:color w:val="000000"/>
                <w:u w:val="none"/>
                <w:rtl w:val="0"/>
              </w:rPr>
              <w:t xml:space="preserve">11.0 Overview</w:t>
              <w:tab/>
            </w:r>
          </w:hyperlink>
          <w:r w:rsidDel="00000000" w:rsidR="00000000" w:rsidRPr="00000000">
            <w:fldChar w:fldCharType="begin"/>
            <w:instrText xml:space="preserve"> PAGEREF _zti59w4s0ob \h </w:instrText>
            <w:fldChar w:fldCharType="separate"/>
          </w:r>
          <w:r w:rsidDel="00000000" w:rsidR="00000000" w:rsidRPr="00000000">
            <w:rPr>
              <w:rtl w:val="0"/>
            </w:rPr>
            <w:t xml:space="preserve">120</w:t>
          </w:r>
          <w:r w:rsidDel="00000000" w:rsidR="00000000" w:rsidRPr="00000000">
            <w:fldChar w:fldCharType="end"/>
          </w:r>
          <w:r w:rsidDel="00000000" w:rsidR="00000000" w:rsidRPr="00000000">
            <w:rPr>
              <w:rtl w:val="0"/>
            </w:rPr>
          </w:r>
        </w:p>
        <w:p w:rsidR="00000000" w:rsidDel="00000000" w:rsidP="00000000" w:rsidRDefault="00000000" w:rsidRPr="00000000" w14:paraId="000000C1">
          <w:pPr>
            <w:widowControl w:val="0"/>
            <w:tabs>
              <w:tab w:val="right" w:leader="dot" w:pos="9360"/>
            </w:tabs>
            <w:spacing w:before="60" w:line="240" w:lineRule="auto"/>
            <w:ind w:left="360" w:firstLine="0"/>
            <w:rPr>
              <w:color w:val="000000"/>
              <w:u w:val="none"/>
            </w:rPr>
          </w:pPr>
          <w:hyperlink w:anchor="_jurat78zcznt">
            <w:r w:rsidDel="00000000" w:rsidR="00000000" w:rsidRPr="00000000">
              <w:rPr>
                <w:color w:val="000000"/>
                <w:u w:val="none"/>
                <w:rtl w:val="0"/>
              </w:rPr>
              <w:t xml:space="preserve">11.1 The Quantum Threat Landscape</w:t>
              <w:tab/>
            </w:r>
          </w:hyperlink>
          <w:r w:rsidDel="00000000" w:rsidR="00000000" w:rsidRPr="00000000">
            <w:fldChar w:fldCharType="begin"/>
            <w:instrText xml:space="preserve"> PAGEREF _jurat78zcznt \h </w:instrText>
            <w:fldChar w:fldCharType="separate"/>
          </w:r>
          <w:r w:rsidDel="00000000" w:rsidR="00000000" w:rsidRPr="00000000">
            <w:rPr>
              <w:rtl w:val="0"/>
            </w:rPr>
            <w:t xml:space="preserve">120</w:t>
          </w:r>
          <w:r w:rsidDel="00000000" w:rsidR="00000000" w:rsidRPr="00000000">
            <w:fldChar w:fldCharType="end"/>
          </w:r>
          <w:r w:rsidDel="00000000" w:rsidR="00000000" w:rsidRPr="00000000">
            <w:rPr>
              <w:rtl w:val="0"/>
            </w:rPr>
          </w:r>
        </w:p>
        <w:p w:rsidR="00000000" w:rsidDel="00000000" w:rsidP="00000000" w:rsidRDefault="00000000" w:rsidRPr="00000000" w14:paraId="000000C2">
          <w:pPr>
            <w:widowControl w:val="0"/>
            <w:tabs>
              <w:tab w:val="right" w:leader="dot" w:pos="9360"/>
            </w:tabs>
            <w:spacing w:before="60" w:line="240" w:lineRule="auto"/>
            <w:ind w:left="720" w:firstLine="0"/>
            <w:rPr>
              <w:color w:val="000000"/>
              <w:u w:val="none"/>
            </w:rPr>
          </w:pPr>
          <w:hyperlink w:anchor="_jxorn69gb7ie">
            <w:r w:rsidDel="00000000" w:rsidR="00000000" w:rsidRPr="00000000">
              <w:rPr>
                <w:color w:val="000000"/>
                <w:u w:val="none"/>
                <w:rtl w:val="0"/>
              </w:rPr>
              <w:t xml:space="preserve">11.1.1 Hash Function Resilience</w:t>
              <w:tab/>
            </w:r>
          </w:hyperlink>
          <w:r w:rsidDel="00000000" w:rsidR="00000000" w:rsidRPr="00000000">
            <w:fldChar w:fldCharType="begin"/>
            <w:instrText xml:space="preserve"> PAGEREF _jxorn69gb7ie \h </w:instrText>
            <w:fldChar w:fldCharType="separate"/>
          </w:r>
          <w:r w:rsidDel="00000000" w:rsidR="00000000" w:rsidRPr="00000000">
            <w:rPr>
              <w:rtl w:val="0"/>
            </w:rPr>
            <w:t xml:space="preserve">120</w:t>
          </w:r>
          <w:r w:rsidDel="00000000" w:rsidR="00000000" w:rsidRPr="00000000">
            <w:fldChar w:fldCharType="end"/>
          </w:r>
          <w:r w:rsidDel="00000000" w:rsidR="00000000" w:rsidRPr="00000000">
            <w:rPr>
              <w:rtl w:val="0"/>
            </w:rPr>
          </w:r>
        </w:p>
        <w:p w:rsidR="00000000" w:rsidDel="00000000" w:rsidP="00000000" w:rsidRDefault="00000000" w:rsidRPr="00000000" w14:paraId="000000C3">
          <w:pPr>
            <w:widowControl w:val="0"/>
            <w:tabs>
              <w:tab w:val="right" w:leader="dot" w:pos="9360"/>
            </w:tabs>
            <w:spacing w:before="60" w:line="240" w:lineRule="auto"/>
            <w:ind w:left="720" w:firstLine="0"/>
            <w:rPr>
              <w:color w:val="000000"/>
              <w:u w:val="none"/>
            </w:rPr>
          </w:pPr>
          <w:hyperlink w:anchor="_gx3a4yco37ev">
            <w:r w:rsidDel="00000000" w:rsidR="00000000" w:rsidRPr="00000000">
              <w:rPr>
                <w:color w:val="000000"/>
                <w:u w:val="none"/>
                <w:rtl w:val="0"/>
              </w:rPr>
              <w:t xml:space="preserve">11.1.2 ECDSA Vulnerability</w:t>
              <w:tab/>
            </w:r>
          </w:hyperlink>
          <w:r w:rsidDel="00000000" w:rsidR="00000000" w:rsidRPr="00000000">
            <w:fldChar w:fldCharType="begin"/>
            <w:instrText xml:space="preserve"> PAGEREF _gx3a4yco37ev \h </w:instrText>
            <w:fldChar w:fldCharType="separate"/>
          </w:r>
          <w:r w:rsidDel="00000000" w:rsidR="00000000" w:rsidRPr="00000000">
            <w:rPr>
              <w:rtl w:val="0"/>
            </w:rPr>
            <w:t xml:space="preserve">121</w:t>
          </w:r>
          <w:r w:rsidDel="00000000" w:rsidR="00000000" w:rsidRPr="00000000">
            <w:fldChar w:fldCharType="end"/>
          </w:r>
          <w:r w:rsidDel="00000000" w:rsidR="00000000" w:rsidRPr="00000000">
            <w:rPr>
              <w:rtl w:val="0"/>
            </w:rPr>
          </w:r>
        </w:p>
        <w:p w:rsidR="00000000" w:rsidDel="00000000" w:rsidP="00000000" w:rsidRDefault="00000000" w:rsidRPr="00000000" w14:paraId="000000C4">
          <w:pPr>
            <w:widowControl w:val="0"/>
            <w:tabs>
              <w:tab w:val="right" w:leader="dot" w:pos="9360"/>
            </w:tabs>
            <w:spacing w:before="60" w:line="240" w:lineRule="auto"/>
            <w:ind w:left="720" w:firstLine="0"/>
            <w:rPr>
              <w:color w:val="000000"/>
              <w:u w:val="none"/>
            </w:rPr>
          </w:pPr>
          <w:hyperlink w:anchor="_bvgdyna2ikp">
            <w:r w:rsidDel="00000000" w:rsidR="00000000" w:rsidRPr="00000000">
              <w:rPr>
                <w:color w:val="000000"/>
                <w:u w:val="none"/>
                <w:rtl w:val="0"/>
              </w:rPr>
              <w:t xml:space="preserve">11.1.3 The Harvest-Now-Decrypt-Later Threat</w:t>
              <w:tab/>
            </w:r>
          </w:hyperlink>
          <w:r w:rsidDel="00000000" w:rsidR="00000000" w:rsidRPr="00000000">
            <w:fldChar w:fldCharType="begin"/>
            <w:instrText xml:space="preserve"> PAGEREF _bvgdyna2ikp \h </w:instrText>
            <w:fldChar w:fldCharType="separate"/>
          </w:r>
          <w:r w:rsidDel="00000000" w:rsidR="00000000" w:rsidRPr="00000000">
            <w:rPr>
              <w:rtl w:val="0"/>
            </w:rPr>
            <w:t xml:space="preserve">121</w:t>
          </w:r>
          <w:r w:rsidDel="00000000" w:rsidR="00000000" w:rsidRPr="00000000">
            <w:fldChar w:fldCharType="end"/>
          </w:r>
          <w:r w:rsidDel="00000000" w:rsidR="00000000" w:rsidRPr="00000000">
            <w:rPr>
              <w:rtl w:val="0"/>
            </w:rPr>
          </w:r>
        </w:p>
        <w:p w:rsidR="00000000" w:rsidDel="00000000" w:rsidP="00000000" w:rsidRDefault="00000000" w:rsidRPr="00000000" w14:paraId="000000C5">
          <w:pPr>
            <w:widowControl w:val="0"/>
            <w:tabs>
              <w:tab w:val="right" w:leader="dot" w:pos="9360"/>
            </w:tabs>
            <w:spacing w:before="60" w:line="240" w:lineRule="auto"/>
            <w:ind w:left="720" w:firstLine="0"/>
            <w:rPr>
              <w:color w:val="000000"/>
              <w:u w:val="none"/>
            </w:rPr>
          </w:pPr>
          <w:hyperlink w:anchor="_lt2hb0wwlo36">
            <w:r w:rsidDel="00000000" w:rsidR="00000000" w:rsidRPr="00000000">
              <w:rPr>
                <w:color w:val="000000"/>
                <w:u w:val="none"/>
                <w:rtl w:val="0"/>
              </w:rPr>
              <w:t xml:space="preserve">11.1.4 The Vulnerability Window: 2032 to 2040</w:t>
              <w:tab/>
            </w:r>
          </w:hyperlink>
          <w:r w:rsidDel="00000000" w:rsidR="00000000" w:rsidRPr="00000000">
            <w:fldChar w:fldCharType="begin"/>
            <w:instrText xml:space="preserve"> PAGEREF _lt2hb0wwlo36 \h </w:instrText>
            <w:fldChar w:fldCharType="separate"/>
          </w:r>
          <w:r w:rsidDel="00000000" w:rsidR="00000000" w:rsidRPr="00000000">
            <w:rPr>
              <w:rtl w:val="0"/>
            </w:rPr>
            <w:t xml:space="preserve">121</w:t>
          </w:r>
          <w:r w:rsidDel="00000000" w:rsidR="00000000" w:rsidRPr="00000000">
            <w:fldChar w:fldCharType="end"/>
          </w:r>
          <w:r w:rsidDel="00000000" w:rsidR="00000000" w:rsidRPr="00000000">
            <w:rPr>
              <w:rtl w:val="0"/>
            </w:rPr>
          </w:r>
        </w:p>
        <w:p w:rsidR="00000000" w:rsidDel="00000000" w:rsidP="00000000" w:rsidRDefault="00000000" w:rsidRPr="00000000" w14:paraId="000000C6">
          <w:pPr>
            <w:widowControl w:val="0"/>
            <w:tabs>
              <w:tab w:val="right" w:leader="dot" w:pos="9360"/>
            </w:tabs>
            <w:spacing w:before="60" w:line="240" w:lineRule="auto"/>
            <w:ind w:left="360" w:firstLine="0"/>
            <w:rPr>
              <w:color w:val="000000"/>
              <w:u w:val="none"/>
            </w:rPr>
          </w:pPr>
          <w:hyperlink w:anchor="_32be1he2md1i">
            <w:r w:rsidDel="00000000" w:rsidR="00000000" w:rsidRPr="00000000">
              <w:rPr>
                <w:color w:val="000000"/>
                <w:u w:val="none"/>
                <w:rtl w:val="0"/>
              </w:rPr>
              <w:t xml:space="preserve">11.2 NIST Post-Quantum Algorithm Standards</w:t>
              <w:tab/>
            </w:r>
          </w:hyperlink>
          <w:r w:rsidDel="00000000" w:rsidR="00000000" w:rsidRPr="00000000">
            <w:fldChar w:fldCharType="begin"/>
            <w:instrText xml:space="preserve"> PAGEREF _32be1he2md1i \h </w:instrText>
            <w:fldChar w:fldCharType="separate"/>
          </w:r>
          <w:r w:rsidDel="00000000" w:rsidR="00000000" w:rsidRPr="00000000">
            <w:rPr>
              <w:rtl w:val="0"/>
            </w:rPr>
            <w:t xml:space="preserve">122</w:t>
          </w:r>
          <w:r w:rsidDel="00000000" w:rsidR="00000000" w:rsidRPr="00000000">
            <w:fldChar w:fldCharType="end"/>
          </w:r>
          <w:r w:rsidDel="00000000" w:rsidR="00000000" w:rsidRPr="00000000">
            <w:rPr>
              <w:rtl w:val="0"/>
            </w:rPr>
          </w:r>
        </w:p>
        <w:p w:rsidR="00000000" w:rsidDel="00000000" w:rsidP="00000000" w:rsidRDefault="00000000" w:rsidRPr="00000000" w14:paraId="000000C7">
          <w:pPr>
            <w:widowControl w:val="0"/>
            <w:tabs>
              <w:tab w:val="right" w:leader="dot" w:pos="9360"/>
            </w:tabs>
            <w:spacing w:before="60" w:line="240" w:lineRule="auto"/>
            <w:ind w:left="720" w:firstLine="0"/>
            <w:rPr>
              <w:color w:val="000000"/>
              <w:u w:val="none"/>
            </w:rPr>
          </w:pPr>
          <w:hyperlink w:anchor="_xvxnb7qnkctl">
            <w:r w:rsidDel="00000000" w:rsidR="00000000" w:rsidRPr="00000000">
              <w:rPr>
                <w:color w:val="000000"/>
                <w:u w:val="none"/>
                <w:rtl w:val="0"/>
              </w:rPr>
              <w:t xml:space="preserve">11.2.1 FIPS 203: ML-KEM-1024</w:t>
              <w:tab/>
            </w:r>
          </w:hyperlink>
          <w:r w:rsidDel="00000000" w:rsidR="00000000" w:rsidRPr="00000000">
            <w:fldChar w:fldCharType="begin"/>
            <w:instrText xml:space="preserve"> PAGEREF _xvxnb7qnkctl \h </w:instrText>
            <w:fldChar w:fldCharType="separate"/>
          </w:r>
          <w:r w:rsidDel="00000000" w:rsidR="00000000" w:rsidRPr="00000000">
            <w:rPr>
              <w:rtl w:val="0"/>
            </w:rPr>
            <w:t xml:space="preserve">122</w:t>
          </w:r>
          <w:r w:rsidDel="00000000" w:rsidR="00000000" w:rsidRPr="00000000">
            <w:fldChar w:fldCharType="end"/>
          </w:r>
          <w:r w:rsidDel="00000000" w:rsidR="00000000" w:rsidRPr="00000000">
            <w:rPr>
              <w:rtl w:val="0"/>
            </w:rPr>
          </w:r>
        </w:p>
        <w:p w:rsidR="00000000" w:rsidDel="00000000" w:rsidP="00000000" w:rsidRDefault="00000000" w:rsidRPr="00000000" w14:paraId="000000C8">
          <w:pPr>
            <w:widowControl w:val="0"/>
            <w:tabs>
              <w:tab w:val="right" w:leader="dot" w:pos="9360"/>
            </w:tabs>
            <w:spacing w:before="60" w:line="240" w:lineRule="auto"/>
            <w:ind w:left="720" w:firstLine="0"/>
            <w:rPr>
              <w:color w:val="000000"/>
              <w:u w:val="none"/>
            </w:rPr>
          </w:pPr>
          <w:hyperlink w:anchor="_47eiuteridfl">
            <w:r w:rsidDel="00000000" w:rsidR="00000000" w:rsidRPr="00000000">
              <w:rPr>
                <w:color w:val="000000"/>
                <w:u w:val="none"/>
                <w:rtl w:val="0"/>
              </w:rPr>
              <w:t xml:space="preserve">11.2.2 FIPS 204: ML-DSA (Dilithium)</w:t>
              <w:tab/>
            </w:r>
          </w:hyperlink>
          <w:r w:rsidDel="00000000" w:rsidR="00000000" w:rsidRPr="00000000">
            <w:fldChar w:fldCharType="begin"/>
            <w:instrText xml:space="preserve"> PAGEREF _47eiuteridfl \h </w:instrText>
            <w:fldChar w:fldCharType="separate"/>
          </w:r>
          <w:r w:rsidDel="00000000" w:rsidR="00000000" w:rsidRPr="00000000">
            <w:rPr>
              <w:rtl w:val="0"/>
            </w:rPr>
            <w:t xml:space="preserve">122</w:t>
          </w:r>
          <w:r w:rsidDel="00000000" w:rsidR="00000000" w:rsidRPr="00000000">
            <w:fldChar w:fldCharType="end"/>
          </w:r>
          <w:r w:rsidDel="00000000" w:rsidR="00000000" w:rsidRPr="00000000">
            <w:rPr>
              <w:rtl w:val="0"/>
            </w:rPr>
          </w:r>
        </w:p>
        <w:p w:rsidR="00000000" w:rsidDel="00000000" w:rsidP="00000000" w:rsidRDefault="00000000" w:rsidRPr="00000000" w14:paraId="000000C9">
          <w:pPr>
            <w:widowControl w:val="0"/>
            <w:tabs>
              <w:tab w:val="right" w:leader="dot" w:pos="9360"/>
            </w:tabs>
            <w:spacing w:before="60" w:line="240" w:lineRule="auto"/>
            <w:ind w:left="720" w:firstLine="0"/>
            <w:rPr>
              <w:color w:val="000000"/>
              <w:u w:val="none"/>
            </w:rPr>
          </w:pPr>
          <w:hyperlink w:anchor="_jlkmqjybbc3i">
            <w:r w:rsidDel="00000000" w:rsidR="00000000" w:rsidRPr="00000000">
              <w:rPr>
                <w:color w:val="000000"/>
                <w:u w:val="none"/>
                <w:rtl w:val="0"/>
              </w:rPr>
              <w:t xml:space="preserve">11.2.3 FIPS 205: SLH-DSA-SHAKE-128s</w:t>
              <w:tab/>
            </w:r>
          </w:hyperlink>
          <w:r w:rsidDel="00000000" w:rsidR="00000000" w:rsidRPr="00000000">
            <w:fldChar w:fldCharType="begin"/>
            <w:instrText xml:space="preserve"> PAGEREF _jlkmqjybbc3i \h </w:instrText>
            <w:fldChar w:fldCharType="separate"/>
          </w:r>
          <w:r w:rsidDel="00000000" w:rsidR="00000000" w:rsidRPr="00000000">
            <w:rPr>
              <w:rtl w:val="0"/>
            </w:rPr>
            <w:t xml:space="preserve">122</w:t>
          </w:r>
          <w:r w:rsidDel="00000000" w:rsidR="00000000" w:rsidRPr="00000000">
            <w:fldChar w:fldCharType="end"/>
          </w:r>
          <w:r w:rsidDel="00000000" w:rsidR="00000000" w:rsidRPr="00000000">
            <w:rPr>
              <w:rtl w:val="0"/>
            </w:rPr>
          </w:r>
        </w:p>
        <w:p w:rsidR="00000000" w:rsidDel="00000000" w:rsidP="00000000" w:rsidRDefault="00000000" w:rsidRPr="00000000" w14:paraId="000000CA">
          <w:pPr>
            <w:widowControl w:val="0"/>
            <w:tabs>
              <w:tab w:val="right" w:leader="dot" w:pos="9360"/>
            </w:tabs>
            <w:spacing w:before="60" w:line="240" w:lineRule="auto"/>
            <w:ind w:left="360" w:firstLine="0"/>
            <w:rPr>
              <w:color w:val="000000"/>
              <w:u w:val="none"/>
            </w:rPr>
          </w:pPr>
          <w:hyperlink w:anchor="_8ewxkesfxfju">
            <w:r w:rsidDel="00000000" w:rsidR="00000000" w:rsidRPr="00000000">
              <w:rPr>
                <w:color w:val="000000"/>
                <w:u w:val="none"/>
                <w:rtl w:val="0"/>
              </w:rPr>
              <w:t xml:space="preserve">11.3 The Hybrid Signature Protocol</w:t>
              <w:tab/>
            </w:r>
          </w:hyperlink>
          <w:r w:rsidDel="00000000" w:rsidR="00000000" w:rsidRPr="00000000">
            <w:fldChar w:fldCharType="begin"/>
            <w:instrText xml:space="preserve"> PAGEREF _8ewxkesfxfju \h </w:instrText>
            <w:fldChar w:fldCharType="separate"/>
          </w:r>
          <w:r w:rsidDel="00000000" w:rsidR="00000000" w:rsidRPr="00000000">
            <w:rPr>
              <w:rtl w:val="0"/>
            </w:rPr>
            <w:t xml:space="preserve">123</w:t>
          </w:r>
          <w:r w:rsidDel="00000000" w:rsidR="00000000" w:rsidRPr="00000000">
            <w:fldChar w:fldCharType="end"/>
          </w:r>
          <w:r w:rsidDel="00000000" w:rsidR="00000000" w:rsidRPr="00000000">
            <w:rPr>
              <w:rtl w:val="0"/>
            </w:rPr>
          </w:r>
        </w:p>
        <w:p w:rsidR="00000000" w:rsidDel="00000000" w:rsidP="00000000" w:rsidRDefault="00000000" w:rsidRPr="00000000" w14:paraId="000000CB">
          <w:pPr>
            <w:widowControl w:val="0"/>
            <w:tabs>
              <w:tab w:val="right" w:leader="dot" w:pos="9360"/>
            </w:tabs>
            <w:spacing w:before="60" w:line="240" w:lineRule="auto"/>
            <w:ind w:left="720" w:firstLine="0"/>
            <w:rPr>
              <w:color w:val="000000"/>
              <w:u w:val="none"/>
            </w:rPr>
          </w:pPr>
          <w:hyperlink w:anchor="_v2usfvbb3r0k">
            <w:r w:rsidDel="00000000" w:rsidR="00000000" w:rsidRPr="00000000">
              <w:rPr>
                <w:color w:val="000000"/>
                <w:u w:val="none"/>
                <w:rtl w:val="0"/>
              </w:rPr>
              <w:t xml:space="preserve">11.3.1 Hybrid Leaf Structure</w:t>
              <w:tab/>
            </w:r>
          </w:hyperlink>
          <w:r w:rsidDel="00000000" w:rsidR="00000000" w:rsidRPr="00000000">
            <w:fldChar w:fldCharType="begin"/>
            <w:instrText xml:space="preserve"> PAGEREF _v2usfvbb3r0k \h </w:instrText>
            <w:fldChar w:fldCharType="separate"/>
          </w:r>
          <w:r w:rsidDel="00000000" w:rsidR="00000000" w:rsidRPr="00000000">
            <w:rPr>
              <w:rtl w:val="0"/>
            </w:rPr>
            <w:t xml:space="preserve">123</w:t>
          </w:r>
          <w:r w:rsidDel="00000000" w:rsidR="00000000" w:rsidRPr="00000000">
            <w:fldChar w:fldCharType="end"/>
          </w:r>
          <w:r w:rsidDel="00000000" w:rsidR="00000000" w:rsidRPr="00000000">
            <w:rPr>
              <w:rtl w:val="0"/>
            </w:rPr>
          </w:r>
        </w:p>
        <w:p w:rsidR="00000000" w:rsidDel="00000000" w:rsidP="00000000" w:rsidRDefault="00000000" w:rsidRPr="00000000" w14:paraId="000000CC">
          <w:pPr>
            <w:widowControl w:val="0"/>
            <w:tabs>
              <w:tab w:val="right" w:leader="dot" w:pos="9360"/>
            </w:tabs>
            <w:spacing w:before="60" w:line="240" w:lineRule="auto"/>
            <w:ind w:left="720" w:firstLine="0"/>
            <w:rPr>
              <w:color w:val="000000"/>
              <w:u w:val="none"/>
            </w:rPr>
          </w:pPr>
          <w:hyperlink w:anchor="_h8uilnk55hy">
            <w:r w:rsidDel="00000000" w:rsidR="00000000" w:rsidRPr="00000000">
              <w:rPr>
                <w:color w:val="000000"/>
                <w:u w:val="none"/>
                <w:rtl w:val="0"/>
              </w:rPr>
              <w:t xml:space="preserve">11.3.2 Merkle Chain Continuity</w:t>
              <w:tab/>
            </w:r>
          </w:hyperlink>
          <w:r w:rsidDel="00000000" w:rsidR="00000000" w:rsidRPr="00000000">
            <w:fldChar w:fldCharType="begin"/>
            <w:instrText xml:space="preserve"> PAGEREF _h8uilnk55hy \h </w:instrText>
            <w:fldChar w:fldCharType="separate"/>
          </w:r>
          <w:r w:rsidDel="00000000" w:rsidR="00000000" w:rsidRPr="00000000">
            <w:rPr>
              <w:rtl w:val="0"/>
            </w:rPr>
            <w:t xml:space="preserve">124</w:t>
          </w:r>
          <w:r w:rsidDel="00000000" w:rsidR="00000000" w:rsidRPr="00000000">
            <w:fldChar w:fldCharType="end"/>
          </w:r>
          <w:r w:rsidDel="00000000" w:rsidR="00000000" w:rsidRPr="00000000">
            <w:rPr>
              <w:rtl w:val="0"/>
            </w:rPr>
          </w:r>
        </w:p>
        <w:p w:rsidR="00000000" w:rsidDel="00000000" w:rsidP="00000000" w:rsidRDefault="00000000" w:rsidRPr="00000000" w14:paraId="000000CD">
          <w:pPr>
            <w:widowControl w:val="0"/>
            <w:tabs>
              <w:tab w:val="right" w:leader="dot" w:pos="9360"/>
            </w:tabs>
            <w:spacing w:before="60" w:line="240" w:lineRule="auto"/>
            <w:ind w:left="720" w:firstLine="0"/>
            <w:rPr>
              <w:color w:val="000000"/>
              <w:u w:val="none"/>
            </w:rPr>
          </w:pPr>
          <w:hyperlink w:anchor="_etq1m8w254q">
            <w:r w:rsidDel="00000000" w:rsidR="00000000" w:rsidRPr="00000000">
              <w:rPr>
                <w:color w:val="000000"/>
                <w:u w:val="none"/>
                <w:rtl w:val="0"/>
              </w:rPr>
              <w:t xml:space="preserve">11.3.3 Chamber Key Migration</w:t>
              <w:tab/>
            </w:r>
          </w:hyperlink>
          <w:r w:rsidDel="00000000" w:rsidR="00000000" w:rsidRPr="00000000">
            <w:fldChar w:fldCharType="begin"/>
            <w:instrText xml:space="preserve"> PAGEREF _etq1m8w254q \h </w:instrText>
            <w:fldChar w:fldCharType="separate"/>
          </w:r>
          <w:r w:rsidDel="00000000" w:rsidR="00000000" w:rsidRPr="00000000">
            <w:rPr>
              <w:rtl w:val="0"/>
            </w:rPr>
            <w:t xml:space="preserve">124</w:t>
          </w:r>
          <w:r w:rsidDel="00000000" w:rsidR="00000000" w:rsidRPr="00000000">
            <w:fldChar w:fldCharType="end"/>
          </w:r>
          <w:r w:rsidDel="00000000" w:rsidR="00000000" w:rsidRPr="00000000">
            <w:rPr>
              <w:rtl w:val="0"/>
            </w:rPr>
          </w:r>
        </w:p>
        <w:p w:rsidR="00000000" w:rsidDel="00000000" w:rsidP="00000000" w:rsidRDefault="00000000" w:rsidRPr="00000000" w14:paraId="000000CE">
          <w:pPr>
            <w:widowControl w:val="0"/>
            <w:tabs>
              <w:tab w:val="right" w:leader="dot" w:pos="9360"/>
            </w:tabs>
            <w:spacing w:before="60" w:line="240" w:lineRule="auto"/>
            <w:ind w:left="360" w:firstLine="0"/>
            <w:rPr>
              <w:color w:val="000000"/>
              <w:u w:val="none"/>
            </w:rPr>
          </w:pPr>
          <w:hyperlink w:anchor="_zcvj8qja42x5">
            <w:r w:rsidDel="00000000" w:rsidR="00000000" w:rsidRPr="00000000">
              <w:rPr>
                <w:color w:val="000000"/>
                <w:u w:val="none"/>
                <w:rtl w:val="0"/>
              </w:rPr>
              <w:t xml:space="preserve">11.4 Automatic Migration Triggers</w:t>
              <w:tab/>
            </w:r>
          </w:hyperlink>
          <w:r w:rsidDel="00000000" w:rsidR="00000000" w:rsidRPr="00000000">
            <w:fldChar w:fldCharType="begin"/>
            <w:instrText xml:space="preserve"> PAGEREF _zcvj8qja42x5 \h </w:instrText>
            <w:fldChar w:fldCharType="separate"/>
          </w:r>
          <w:r w:rsidDel="00000000" w:rsidR="00000000" w:rsidRPr="00000000">
            <w:rPr>
              <w:rtl w:val="0"/>
            </w:rPr>
            <w:t xml:space="preserve">125</w:t>
          </w:r>
          <w:r w:rsidDel="00000000" w:rsidR="00000000" w:rsidRPr="00000000">
            <w:fldChar w:fldCharType="end"/>
          </w:r>
          <w:r w:rsidDel="00000000" w:rsidR="00000000" w:rsidRPr="00000000">
            <w:rPr>
              <w:rtl w:val="0"/>
            </w:rPr>
          </w:r>
        </w:p>
        <w:p w:rsidR="00000000" w:rsidDel="00000000" w:rsidP="00000000" w:rsidRDefault="00000000" w:rsidRPr="00000000" w14:paraId="000000CF">
          <w:pPr>
            <w:widowControl w:val="0"/>
            <w:tabs>
              <w:tab w:val="right" w:leader="dot" w:pos="9360"/>
            </w:tabs>
            <w:spacing w:before="60" w:line="240" w:lineRule="auto"/>
            <w:ind w:left="720" w:firstLine="0"/>
            <w:rPr>
              <w:color w:val="000000"/>
              <w:u w:val="none"/>
            </w:rPr>
          </w:pPr>
          <w:hyperlink w:anchor="_88sutqmf34o">
            <w:r w:rsidDel="00000000" w:rsidR="00000000" w:rsidRPr="00000000">
              <w:rPr>
                <w:color w:val="000000"/>
                <w:u w:val="none"/>
                <w:rtl w:val="0"/>
              </w:rPr>
              <w:t xml:space="preserve">11.4.1 Quantum Readiness Parameter</w:t>
              <w:tab/>
            </w:r>
          </w:hyperlink>
          <w:r w:rsidDel="00000000" w:rsidR="00000000" w:rsidRPr="00000000">
            <w:fldChar w:fldCharType="begin"/>
            <w:instrText xml:space="preserve"> PAGEREF _88sutqmf34o \h </w:instrText>
            <w:fldChar w:fldCharType="separate"/>
          </w:r>
          <w:r w:rsidDel="00000000" w:rsidR="00000000" w:rsidRPr="00000000">
            <w:rPr>
              <w:rtl w:val="0"/>
            </w:rPr>
            <w:t xml:space="preserve">125</w:t>
          </w:r>
          <w:r w:rsidDel="00000000" w:rsidR="00000000" w:rsidRPr="00000000">
            <w:fldChar w:fldCharType="end"/>
          </w:r>
          <w:r w:rsidDel="00000000" w:rsidR="00000000" w:rsidRPr="00000000">
            <w:rPr>
              <w:rtl w:val="0"/>
            </w:rPr>
          </w:r>
        </w:p>
        <w:p w:rsidR="00000000" w:rsidDel="00000000" w:rsidP="00000000" w:rsidRDefault="00000000" w:rsidRPr="00000000" w14:paraId="000000D0">
          <w:pPr>
            <w:widowControl w:val="0"/>
            <w:tabs>
              <w:tab w:val="right" w:leader="dot" w:pos="9360"/>
            </w:tabs>
            <w:spacing w:before="60" w:line="240" w:lineRule="auto"/>
            <w:ind w:left="720" w:firstLine="0"/>
            <w:rPr>
              <w:color w:val="000000"/>
              <w:u w:val="none"/>
            </w:rPr>
          </w:pPr>
          <w:hyperlink w:anchor="_i3g1rocu9squ">
            <w:r w:rsidDel="00000000" w:rsidR="00000000" w:rsidRPr="00000000">
              <w:rPr>
                <w:color w:val="000000"/>
                <w:u w:val="none"/>
                <w:rtl w:val="0"/>
              </w:rPr>
              <w:t xml:space="preserve">11.4.2 Trigger Thresholds and Automatic Actions</w:t>
              <w:tab/>
            </w:r>
          </w:hyperlink>
          <w:r w:rsidDel="00000000" w:rsidR="00000000" w:rsidRPr="00000000">
            <w:fldChar w:fldCharType="begin"/>
            <w:instrText xml:space="preserve"> PAGEREF _i3g1rocu9squ \h </w:instrText>
            <w:fldChar w:fldCharType="separate"/>
          </w:r>
          <w:r w:rsidDel="00000000" w:rsidR="00000000" w:rsidRPr="00000000">
            <w:rPr>
              <w:rtl w:val="0"/>
            </w:rPr>
            <w:t xml:space="preserve">125</w:t>
          </w:r>
          <w:r w:rsidDel="00000000" w:rsidR="00000000" w:rsidRPr="00000000">
            <w:fldChar w:fldCharType="end"/>
          </w:r>
          <w:r w:rsidDel="00000000" w:rsidR="00000000" w:rsidRPr="00000000">
            <w:rPr>
              <w:rtl w:val="0"/>
            </w:rPr>
          </w:r>
        </w:p>
        <w:p w:rsidR="00000000" w:rsidDel="00000000" w:rsidP="00000000" w:rsidRDefault="00000000" w:rsidRPr="00000000" w14:paraId="000000D1">
          <w:pPr>
            <w:widowControl w:val="0"/>
            <w:tabs>
              <w:tab w:val="right" w:leader="dot" w:pos="9360"/>
            </w:tabs>
            <w:spacing w:before="60" w:line="240" w:lineRule="auto"/>
            <w:ind w:left="720" w:firstLine="0"/>
            <w:rPr>
              <w:color w:val="000000"/>
              <w:u w:val="none"/>
            </w:rPr>
          </w:pPr>
          <w:hyperlink w:anchor="_9ffgjxnlv4zv">
            <w:r w:rsidDel="00000000" w:rsidR="00000000" w:rsidRPr="00000000">
              <w:rPr>
                <w:color w:val="000000"/>
                <w:u w:val="none"/>
                <w:rtl w:val="0"/>
              </w:rPr>
              <w:t xml:space="preserve">11.4.3 Transition Window Management</w:t>
              <w:tab/>
            </w:r>
          </w:hyperlink>
          <w:r w:rsidDel="00000000" w:rsidR="00000000" w:rsidRPr="00000000">
            <w:fldChar w:fldCharType="begin"/>
            <w:instrText xml:space="preserve"> PAGEREF _9ffgjxnlv4zv \h </w:instrText>
            <w:fldChar w:fldCharType="separate"/>
          </w:r>
          <w:r w:rsidDel="00000000" w:rsidR="00000000" w:rsidRPr="00000000">
            <w:rPr>
              <w:rtl w:val="0"/>
            </w:rPr>
            <w:t xml:space="preserve">126</w:t>
          </w:r>
          <w:r w:rsidDel="00000000" w:rsidR="00000000" w:rsidRPr="00000000">
            <w:fldChar w:fldCharType="end"/>
          </w:r>
          <w:r w:rsidDel="00000000" w:rsidR="00000000" w:rsidRPr="00000000">
            <w:rPr>
              <w:rtl w:val="0"/>
            </w:rPr>
          </w:r>
        </w:p>
        <w:p w:rsidR="00000000" w:rsidDel="00000000" w:rsidP="00000000" w:rsidRDefault="00000000" w:rsidRPr="00000000" w14:paraId="000000D2">
          <w:pPr>
            <w:widowControl w:val="0"/>
            <w:tabs>
              <w:tab w:val="right" w:leader="dot" w:pos="9360"/>
            </w:tabs>
            <w:spacing w:before="60" w:line="240" w:lineRule="auto"/>
            <w:ind w:left="360" w:firstLine="0"/>
            <w:rPr>
              <w:color w:val="000000"/>
              <w:u w:val="none"/>
            </w:rPr>
          </w:pPr>
          <w:hyperlink w:anchor="_qrnyr8m1lkhx">
            <w:r w:rsidDel="00000000" w:rsidR="00000000" w:rsidRPr="00000000">
              <w:rPr>
                <w:color w:val="000000"/>
                <w:u w:val="none"/>
                <w:rtl w:val="0"/>
              </w:rPr>
              <w:t xml:space="preserve">11.5 Multi-Chain Anchoring During Quantum Transition</w:t>
              <w:tab/>
            </w:r>
          </w:hyperlink>
          <w:r w:rsidDel="00000000" w:rsidR="00000000" w:rsidRPr="00000000">
            <w:fldChar w:fldCharType="begin"/>
            <w:instrText xml:space="preserve"> PAGEREF _qrnyr8m1lkhx \h </w:instrText>
            <w:fldChar w:fldCharType="separate"/>
          </w:r>
          <w:r w:rsidDel="00000000" w:rsidR="00000000" w:rsidRPr="00000000">
            <w:rPr>
              <w:rtl w:val="0"/>
            </w:rPr>
            <w:t xml:space="preserve">126</w:t>
          </w:r>
          <w:r w:rsidDel="00000000" w:rsidR="00000000" w:rsidRPr="00000000">
            <w:fldChar w:fldCharType="end"/>
          </w:r>
          <w:r w:rsidDel="00000000" w:rsidR="00000000" w:rsidRPr="00000000">
            <w:rPr>
              <w:rtl w:val="0"/>
            </w:rPr>
          </w:r>
        </w:p>
        <w:p w:rsidR="00000000" w:rsidDel="00000000" w:rsidP="00000000" w:rsidRDefault="00000000" w:rsidRPr="00000000" w14:paraId="000000D3">
          <w:pPr>
            <w:widowControl w:val="0"/>
            <w:tabs>
              <w:tab w:val="right" w:leader="dot" w:pos="9360"/>
            </w:tabs>
            <w:spacing w:before="60" w:line="240" w:lineRule="auto"/>
            <w:ind w:left="720" w:firstLine="0"/>
            <w:rPr>
              <w:color w:val="000000"/>
              <w:u w:val="none"/>
            </w:rPr>
          </w:pPr>
          <w:hyperlink w:anchor="_56qlvdg1fhwo">
            <w:r w:rsidDel="00000000" w:rsidR="00000000" w:rsidRPr="00000000">
              <w:rPr>
                <w:color w:val="000000"/>
                <w:u w:val="none"/>
                <w:rtl w:val="0"/>
              </w:rPr>
              <w:t xml:space="preserve">11.5.1 Bitcoin Anchor Considerations</w:t>
              <w:tab/>
            </w:r>
          </w:hyperlink>
          <w:r w:rsidDel="00000000" w:rsidR="00000000" w:rsidRPr="00000000">
            <w:fldChar w:fldCharType="begin"/>
            <w:instrText xml:space="preserve"> PAGEREF _56qlvdg1fhwo \h </w:instrText>
            <w:fldChar w:fldCharType="separate"/>
          </w:r>
          <w:r w:rsidDel="00000000" w:rsidR="00000000" w:rsidRPr="00000000">
            <w:rPr>
              <w:rtl w:val="0"/>
            </w:rPr>
            <w:t xml:space="preserve">127</w:t>
          </w:r>
          <w:r w:rsidDel="00000000" w:rsidR="00000000" w:rsidRPr="00000000">
            <w:fldChar w:fldCharType="end"/>
          </w:r>
          <w:r w:rsidDel="00000000" w:rsidR="00000000" w:rsidRPr="00000000">
            <w:rPr>
              <w:rtl w:val="0"/>
            </w:rPr>
          </w:r>
        </w:p>
        <w:p w:rsidR="00000000" w:rsidDel="00000000" w:rsidP="00000000" w:rsidRDefault="00000000" w:rsidRPr="00000000" w14:paraId="000000D4">
          <w:pPr>
            <w:widowControl w:val="0"/>
            <w:tabs>
              <w:tab w:val="right" w:leader="dot" w:pos="9360"/>
            </w:tabs>
            <w:spacing w:before="60" w:line="240" w:lineRule="auto"/>
            <w:ind w:left="720" w:firstLine="0"/>
            <w:rPr>
              <w:color w:val="000000"/>
              <w:u w:val="none"/>
            </w:rPr>
          </w:pPr>
          <w:hyperlink w:anchor="_ai9nml3s4qmp">
            <w:r w:rsidDel="00000000" w:rsidR="00000000" w:rsidRPr="00000000">
              <w:rPr>
                <w:color w:val="000000"/>
                <w:u w:val="none"/>
                <w:rtl w:val="0"/>
              </w:rPr>
              <w:t xml:space="preserve">11.5.2 Ethereum and Polygon Anchor Considerations</w:t>
              <w:tab/>
            </w:r>
          </w:hyperlink>
          <w:r w:rsidDel="00000000" w:rsidR="00000000" w:rsidRPr="00000000">
            <w:fldChar w:fldCharType="begin"/>
            <w:instrText xml:space="preserve"> PAGEREF _ai9nml3s4qmp \h </w:instrText>
            <w:fldChar w:fldCharType="separate"/>
          </w:r>
          <w:r w:rsidDel="00000000" w:rsidR="00000000" w:rsidRPr="00000000">
            <w:rPr>
              <w:rtl w:val="0"/>
            </w:rPr>
            <w:t xml:space="preserve">127</w:t>
          </w:r>
          <w:r w:rsidDel="00000000" w:rsidR="00000000" w:rsidRPr="00000000">
            <w:fldChar w:fldCharType="end"/>
          </w:r>
          <w:r w:rsidDel="00000000" w:rsidR="00000000" w:rsidRPr="00000000">
            <w:rPr>
              <w:rtl w:val="0"/>
            </w:rPr>
          </w:r>
        </w:p>
        <w:p w:rsidR="00000000" w:rsidDel="00000000" w:rsidP="00000000" w:rsidRDefault="00000000" w:rsidRPr="00000000" w14:paraId="000000D5">
          <w:pPr>
            <w:widowControl w:val="0"/>
            <w:tabs>
              <w:tab w:val="right" w:leader="dot" w:pos="9360"/>
            </w:tabs>
            <w:spacing w:before="60" w:line="240" w:lineRule="auto"/>
            <w:ind w:left="720" w:firstLine="0"/>
            <w:rPr>
              <w:color w:val="000000"/>
              <w:u w:val="none"/>
            </w:rPr>
          </w:pPr>
          <w:hyperlink w:anchor="_7s9m7darlnt0">
            <w:r w:rsidDel="00000000" w:rsidR="00000000" w:rsidRPr="00000000">
              <w:rPr>
                <w:color w:val="000000"/>
                <w:u w:val="none"/>
                <w:rtl w:val="0"/>
              </w:rPr>
              <w:t xml:space="preserve">11.5.3 Multi-Chain Redundancy During Transition</w:t>
              <w:tab/>
            </w:r>
          </w:hyperlink>
          <w:r w:rsidDel="00000000" w:rsidR="00000000" w:rsidRPr="00000000">
            <w:fldChar w:fldCharType="begin"/>
            <w:instrText xml:space="preserve"> PAGEREF _7s9m7darlnt0 \h </w:instrText>
            <w:fldChar w:fldCharType="separate"/>
          </w:r>
          <w:r w:rsidDel="00000000" w:rsidR="00000000" w:rsidRPr="00000000">
            <w:rPr>
              <w:rtl w:val="0"/>
            </w:rPr>
            <w:t xml:space="preserve">127</w:t>
          </w:r>
          <w:r w:rsidDel="00000000" w:rsidR="00000000" w:rsidRPr="00000000">
            <w:fldChar w:fldCharType="end"/>
          </w:r>
          <w:r w:rsidDel="00000000" w:rsidR="00000000" w:rsidRPr="00000000">
            <w:rPr>
              <w:rtl w:val="0"/>
            </w:rPr>
          </w:r>
        </w:p>
        <w:p w:rsidR="00000000" w:rsidDel="00000000" w:rsidP="00000000" w:rsidRDefault="00000000" w:rsidRPr="00000000" w14:paraId="000000D6">
          <w:pPr>
            <w:widowControl w:val="0"/>
            <w:tabs>
              <w:tab w:val="right" w:leader="dot" w:pos="9360"/>
            </w:tabs>
            <w:spacing w:before="60" w:line="240" w:lineRule="auto"/>
            <w:ind w:left="360" w:firstLine="0"/>
            <w:rPr>
              <w:color w:val="000000"/>
              <w:u w:val="none"/>
            </w:rPr>
          </w:pPr>
          <w:hyperlink w:anchor="_73jnged5erpt">
            <w:r w:rsidDel="00000000" w:rsidR="00000000" w:rsidRPr="00000000">
              <w:rPr>
                <w:color w:val="000000"/>
                <w:u w:val="none"/>
                <w:rtl w:val="0"/>
              </w:rPr>
              <w:t xml:space="preserve">11.6 The Constitutional Agility Protocol</w:t>
              <w:tab/>
            </w:r>
          </w:hyperlink>
          <w:r w:rsidDel="00000000" w:rsidR="00000000" w:rsidRPr="00000000">
            <w:fldChar w:fldCharType="begin"/>
            <w:instrText xml:space="preserve"> PAGEREF _73jnged5erpt \h </w:instrText>
            <w:fldChar w:fldCharType="separate"/>
          </w:r>
          <w:r w:rsidDel="00000000" w:rsidR="00000000" w:rsidRPr="00000000">
            <w:rPr>
              <w:rtl w:val="0"/>
            </w:rPr>
            <w:t xml:space="preserve">128</w:t>
          </w:r>
          <w:r w:rsidDel="00000000" w:rsidR="00000000" w:rsidRPr="00000000">
            <w:fldChar w:fldCharType="end"/>
          </w:r>
          <w:r w:rsidDel="00000000" w:rsidR="00000000" w:rsidRPr="00000000">
            <w:rPr>
              <w:rtl w:val="0"/>
            </w:rPr>
          </w:r>
        </w:p>
        <w:p w:rsidR="00000000" w:rsidDel="00000000" w:rsidP="00000000" w:rsidRDefault="00000000" w:rsidRPr="00000000" w14:paraId="000000D7">
          <w:pPr>
            <w:widowControl w:val="0"/>
            <w:tabs>
              <w:tab w:val="right" w:leader="dot" w:pos="9360"/>
            </w:tabs>
            <w:spacing w:before="60" w:line="240" w:lineRule="auto"/>
            <w:ind w:left="720" w:firstLine="0"/>
            <w:rPr>
              <w:color w:val="000000"/>
              <w:u w:val="none"/>
            </w:rPr>
          </w:pPr>
          <w:hyperlink w:anchor="_yp1gpbkwm4wc">
            <w:r w:rsidDel="00000000" w:rsidR="00000000" w:rsidRPr="00000000">
              <w:rPr>
                <w:color w:val="000000"/>
                <w:u w:val="none"/>
                <w:rtl w:val="0"/>
              </w:rPr>
              <w:t xml:space="preserve">11.6.1 Algorithm Slot Architecture</w:t>
              <w:tab/>
            </w:r>
          </w:hyperlink>
          <w:r w:rsidDel="00000000" w:rsidR="00000000" w:rsidRPr="00000000">
            <w:fldChar w:fldCharType="begin"/>
            <w:instrText xml:space="preserve"> PAGEREF _yp1gpbkwm4wc \h </w:instrText>
            <w:fldChar w:fldCharType="separate"/>
          </w:r>
          <w:r w:rsidDel="00000000" w:rsidR="00000000" w:rsidRPr="00000000">
            <w:rPr>
              <w:rtl w:val="0"/>
            </w:rPr>
            <w:t xml:space="preserve">128</w:t>
          </w:r>
          <w:r w:rsidDel="00000000" w:rsidR="00000000" w:rsidRPr="00000000">
            <w:fldChar w:fldCharType="end"/>
          </w:r>
          <w:r w:rsidDel="00000000" w:rsidR="00000000" w:rsidRPr="00000000">
            <w:rPr>
              <w:rtl w:val="0"/>
            </w:rPr>
          </w:r>
        </w:p>
        <w:p w:rsidR="00000000" w:rsidDel="00000000" w:rsidP="00000000" w:rsidRDefault="00000000" w:rsidRPr="00000000" w14:paraId="000000D8">
          <w:pPr>
            <w:widowControl w:val="0"/>
            <w:tabs>
              <w:tab w:val="right" w:leader="dot" w:pos="9360"/>
            </w:tabs>
            <w:spacing w:before="60" w:line="240" w:lineRule="auto"/>
            <w:ind w:left="720" w:firstLine="0"/>
            <w:rPr>
              <w:color w:val="000000"/>
              <w:u w:val="none"/>
            </w:rPr>
          </w:pPr>
          <w:hyperlink w:anchor="_kb332kla25tj">
            <w:r w:rsidDel="00000000" w:rsidR="00000000" w:rsidRPr="00000000">
              <w:rPr>
                <w:color w:val="000000"/>
                <w:u w:val="none"/>
                <w:rtl w:val="0"/>
              </w:rPr>
              <w:t xml:space="preserve">11.6.2 Retroactive Re-Anchoring</w:t>
              <w:tab/>
            </w:r>
          </w:hyperlink>
          <w:r w:rsidDel="00000000" w:rsidR="00000000" w:rsidRPr="00000000">
            <w:fldChar w:fldCharType="begin"/>
            <w:instrText xml:space="preserve"> PAGEREF _kb332kla25tj \h </w:instrText>
            <w:fldChar w:fldCharType="separate"/>
          </w:r>
          <w:r w:rsidDel="00000000" w:rsidR="00000000" w:rsidRPr="00000000">
            <w:rPr>
              <w:rtl w:val="0"/>
            </w:rPr>
            <w:t xml:space="preserve">128</w:t>
          </w:r>
          <w:r w:rsidDel="00000000" w:rsidR="00000000" w:rsidRPr="00000000">
            <w:fldChar w:fldCharType="end"/>
          </w:r>
          <w:r w:rsidDel="00000000" w:rsidR="00000000" w:rsidRPr="00000000">
            <w:rPr>
              <w:rtl w:val="0"/>
            </w:rPr>
          </w:r>
        </w:p>
        <w:p w:rsidR="00000000" w:rsidDel="00000000" w:rsidP="00000000" w:rsidRDefault="00000000" w:rsidRPr="00000000" w14:paraId="000000D9">
          <w:pPr>
            <w:widowControl w:val="0"/>
            <w:tabs>
              <w:tab w:val="right" w:leader="dot" w:pos="9360"/>
            </w:tabs>
            <w:spacing w:before="60" w:line="240" w:lineRule="auto"/>
            <w:ind w:left="360" w:firstLine="0"/>
            <w:rPr>
              <w:color w:val="000000"/>
              <w:u w:val="none"/>
            </w:rPr>
          </w:pPr>
          <w:hyperlink w:anchor="_kue014z77ps2">
            <w:r w:rsidDel="00000000" w:rsidR="00000000" w:rsidRPr="00000000">
              <w:rPr>
                <w:color w:val="000000"/>
                <w:u w:val="none"/>
                <w:rtl w:val="0"/>
              </w:rPr>
              <w:t xml:space="preserve">11.7 Institutional Preparation Requirements</w:t>
              <w:tab/>
            </w:r>
          </w:hyperlink>
          <w:r w:rsidDel="00000000" w:rsidR="00000000" w:rsidRPr="00000000">
            <w:fldChar w:fldCharType="begin"/>
            <w:instrText xml:space="preserve"> PAGEREF _kue014z77ps2 \h </w:instrText>
            <w:fldChar w:fldCharType="separate"/>
          </w:r>
          <w:r w:rsidDel="00000000" w:rsidR="00000000" w:rsidRPr="00000000">
            <w:rPr>
              <w:rtl w:val="0"/>
            </w:rPr>
            <w:t xml:space="preserve">129</w:t>
          </w:r>
          <w:r w:rsidDel="00000000" w:rsidR="00000000" w:rsidRPr="00000000">
            <w:fldChar w:fldCharType="end"/>
          </w:r>
          <w:r w:rsidDel="00000000" w:rsidR="00000000" w:rsidRPr="00000000">
            <w:rPr>
              <w:rtl w:val="0"/>
            </w:rPr>
          </w:r>
        </w:p>
        <w:p w:rsidR="00000000" w:rsidDel="00000000" w:rsidP="00000000" w:rsidRDefault="00000000" w:rsidRPr="00000000" w14:paraId="000000DA">
          <w:pPr>
            <w:widowControl w:val="0"/>
            <w:tabs>
              <w:tab w:val="right" w:leader="dot" w:pos="9360"/>
            </w:tabs>
            <w:spacing w:before="60" w:line="240" w:lineRule="auto"/>
            <w:ind w:left="360" w:firstLine="0"/>
            <w:rPr>
              <w:color w:val="000000"/>
              <w:u w:val="none"/>
            </w:rPr>
          </w:pPr>
          <w:hyperlink w:anchor="_syitdhrfms4q">
            <w:r w:rsidDel="00000000" w:rsidR="00000000" w:rsidRPr="00000000">
              <w:rPr>
                <w:color w:val="000000"/>
                <w:u w:val="none"/>
                <w:rtl w:val="0"/>
              </w:rPr>
              <w:t xml:space="preserve">11.8 Tri-Cameral Oversight of Migration</w:t>
              <w:tab/>
            </w:r>
          </w:hyperlink>
          <w:r w:rsidDel="00000000" w:rsidR="00000000" w:rsidRPr="00000000">
            <w:fldChar w:fldCharType="begin"/>
            <w:instrText xml:space="preserve"> PAGEREF _syitdhrfms4q \h </w:instrText>
            <w:fldChar w:fldCharType="separate"/>
          </w:r>
          <w:r w:rsidDel="00000000" w:rsidR="00000000" w:rsidRPr="00000000">
            <w:rPr>
              <w:rtl w:val="0"/>
            </w:rPr>
            <w:t xml:space="preserve">129</w:t>
          </w:r>
          <w:r w:rsidDel="00000000" w:rsidR="00000000" w:rsidRPr="00000000">
            <w:fldChar w:fldCharType="end"/>
          </w:r>
          <w:r w:rsidDel="00000000" w:rsidR="00000000" w:rsidRPr="00000000">
            <w:rPr>
              <w:rtl w:val="0"/>
            </w:rPr>
          </w:r>
        </w:p>
        <w:p w:rsidR="00000000" w:rsidDel="00000000" w:rsidP="00000000" w:rsidRDefault="00000000" w:rsidRPr="00000000" w14:paraId="000000DB">
          <w:pPr>
            <w:widowControl w:val="0"/>
            <w:tabs>
              <w:tab w:val="right" w:leader="dot" w:pos="9360"/>
            </w:tabs>
            <w:spacing w:before="60" w:line="240" w:lineRule="auto"/>
            <w:ind w:left="360" w:firstLine="0"/>
            <w:rPr>
              <w:color w:val="000000"/>
              <w:u w:val="none"/>
            </w:rPr>
          </w:pPr>
          <w:hyperlink w:anchor="_e0qcvypqlhlm">
            <w:r w:rsidDel="00000000" w:rsidR="00000000" w:rsidRPr="00000000">
              <w:rPr>
                <w:color w:val="000000"/>
                <w:u w:val="none"/>
                <w:rtl w:val="0"/>
              </w:rPr>
              <w:t xml:space="preserve">11.9 Migration Residual Risks</w:t>
              <w:tab/>
            </w:r>
          </w:hyperlink>
          <w:r w:rsidDel="00000000" w:rsidR="00000000" w:rsidRPr="00000000">
            <w:fldChar w:fldCharType="begin"/>
            <w:instrText xml:space="preserve"> PAGEREF _e0qcvypqlhlm \h </w:instrText>
            <w:fldChar w:fldCharType="separate"/>
          </w:r>
          <w:r w:rsidDel="00000000" w:rsidR="00000000" w:rsidRPr="00000000">
            <w:rPr>
              <w:rtl w:val="0"/>
            </w:rPr>
            <w:t xml:space="preserve">130</w:t>
          </w:r>
          <w:r w:rsidDel="00000000" w:rsidR="00000000" w:rsidRPr="00000000">
            <w:fldChar w:fldCharType="end"/>
          </w:r>
          <w:r w:rsidDel="00000000" w:rsidR="00000000" w:rsidRPr="00000000">
            <w:rPr>
              <w:rtl w:val="0"/>
            </w:rPr>
          </w:r>
        </w:p>
        <w:p w:rsidR="00000000" w:rsidDel="00000000" w:rsidP="00000000" w:rsidRDefault="00000000" w:rsidRPr="00000000" w14:paraId="000000DC">
          <w:pPr>
            <w:widowControl w:val="0"/>
            <w:tabs>
              <w:tab w:val="right" w:leader="dot" w:pos="9360"/>
            </w:tabs>
            <w:spacing w:before="60" w:line="240" w:lineRule="auto"/>
            <w:rPr>
              <w:b w:val="1"/>
              <w:bCs w:val="1"/>
              <w:color w:val="000000"/>
              <w:u w:val="none"/>
            </w:rPr>
          </w:pPr>
          <w:hyperlink w:anchor="_8vlbadempr27">
            <w:r w:rsidDel="00000000" w:rsidR="00000000" w:rsidRPr="00000000">
              <w:rPr>
                <w:b w:val="1"/>
                <w:bCs w:val="1"/>
                <w:color w:val="000000"/>
                <w:u w:val="none"/>
                <w:rtl w:val="0"/>
              </w:rPr>
              <w:t xml:space="preserve">SECTION 12: IMPLEMENTATION ECONOMICS</w:t>
              <w:tab/>
            </w:r>
          </w:hyperlink>
          <w:r w:rsidDel="00000000" w:rsidR="00000000" w:rsidRPr="00000000">
            <w:fldChar w:fldCharType="begin"/>
            <w:instrText xml:space="preserve"> PAGEREF _8vlbadempr27 \h </w:instrText>
            <w:fldChar w:fldCharType="separate"/>
          </w:r>
          <w:r w:rsidDel="00000000" w:rsidR="00000000" w:rsidRPr="00000000">
            <w:rPr>
              <w:b w:val="1"/>
              <w:bCs w:val="1"/>
              <w:rtl w:val="0"/>
            </w:rPr>
            <w:t xml:space="preserve">131</w:t>
          </w:r>
          <w:r w:rsidDel="00000000" w:rsidR="00000000" w:rsidRPr="00000000">
            <w:fldChar w:fldCharType="end"/>
          </w:r>
          <w:r w:rsidDel="00000000" w:rsidR="00000000" w:rsidRPr="00000000">
            <w:rPr>
              <w:rtl w:val="0"/>
            </w:rPr>
          </w:r>
        </w:p>
        <w:p w:rsidR="00000000" w:rsidDel="00000000" w:rsidP="00000000" w:rsidRDefault="00000000" w:rsidRPr="00000000" w14:paraId="000000DD">
          <w:pPr>
            <w:widowControl w:val="0"/>
            <w:tabs>
              <w:tab w:val="right" w:leader="dot" w:pos="9360"/>
            </w:tabs>
            <w:spacing w:before="60" w:line="240" w:lineRule="auto"/>
            <w:ind w:left="360" w:firstLine="0"/>
            <w:rPr>
              <w:color w:val="000000"/>
              <w:u w:val="none"/>
            </w:rPr>
          </w:pPr>
          <w:hyperlink w:anchor="_9ie4xokek05b">
            <w:r w:rsidDel="00000000" w:rsidR="00000000" w:rsidRPr="00000000">
              <w:rPr>
                <w:color w:val="000000"/>
                <w:u w:val="none"/>
                <w:rtl w:val="0"/>
              </w:rPr>
              <w:t xml:space="preserve">12.0 Overview</w:t>
              <w:tab/>
            </w:r>
          </w:hyperlink>
          <w:r w:rsidDel="00000000" w:rsidR="00000000" w:rsidRPr="00000000">
            <w:fldChar w:fldCharType="begin"/>
            <w:instrText xml:space="preserve"> PAGEREF _9ie4xokek05b \h </w:instrText>
            <w:fldChar w:fldCharType="separate"/>
          </w:r>
          <w:r w:rsidDel="00000000" w:rsidR="00000000" w:rsidRPr="00000000">
            <w:rPr>
              <w:rtl w:val="0"/>
            </w:rPr>
            <w:t xml:space="preserve">131</w:t>
          </w:r>
          <w:r w:rsidDel="00000000" w:rsidR="00000000" w:rsidRPr="00000000">
            <w:fldChar w:fldCharType="end"/>
          </w:r>
          <w:r w:rsidDel="00000000" w:rsidR="00000000" w:rsidRPr="00000000">
            <w:rPr>
              <w:rtl w:val="0"/>
            </w:rPr>
          </w:r>
        </w:p>
        <w:p w:rsidR="00000000" w:rsidDel="00000000" w:rsidP="00000000" w:rsidRDefault="00000000" w:rsidRPr="00000000" w14:paraId="000000DE">
          <w:pPr>
            <w:widowControl w:val="0"/>
            <w:tabs>
              <w:tab w:val="right" w:leader="dot" w:pos="9360"/>
            </w:tabs>
            <w:spacing w:before="60" w:line="240" w:lineRule="auto"/>
            <w:ind w:left="360" w:firstLine="0"/>
            <w:rPr>
              <w:color w:val="000000"/>
              <w:u w:val="none"/>
            </w:rPr>
          </w:pPr>
          <w:hyperlink w:anchor="_vehurqqi5mk5">
            <w:r w:rsidDel="00000000" w:rsidR="00000000" w:rsidRPr="00000000">
              <w:rPr>
                <w:color w:val="000000"/>
                <w:u w:val="none"/>
                <w:rtl w:val="0"/>
              </w:rPr>
              <w:t xml:space="preserve">12.1 Market Sizing and Addressable Opportunity</w:t>
              <w:tab/>
            </w:r>
          </w:hyperlink>
          <w:r w:rsidDel="00000000" w:rsidR="00000000" w:rsidRPr="00000000">
            <w:fldChar w:fldCharType="begin"/>
            <w:instrText xml:space="preserve"> PAGEREF _vehurqqi5mk5 \h </w:instrText>
            <w:fldChar w:fldCharType="separate"/>
          </w:r>
          <w:r w:rsidDel="00000000" w:rsidR="00000000" w:rsidRPr="00000000">
            <w:rPr>
              <w:rtl w:val="0"/>
            </w:rPr>
            <w:t xml:space="preserve">132</w:t>
          </w:r>
          <w:r w:rsidDel="00000000" w:rsidR="00000000" w:rsidRPr="00000000">
            <w:fldChar w:fldCharType="end"/>
          </w:r>
          <w:r w:rsidDel="00000000" w:rsidR="00000000" w:rsidRPr="00000000">
            <w:rPr>
              <w:rtl w:val="0"/>
            </w:rPr>
          </w:r>
        </w:p>
        <w:p w:rsidR="00000000" w:rsidDel="00000000" w:rsidP="00000000" w:rsidRDefault="00000000" w:rsidRPr="00000000" w14:paraId="000000DF">
          <w:pPr>
            <w:widowControl w:val="0"/>
            <w:tabs>
              <w:tab w:val="right" w:leader="dot" w:pos="9360"/>
            </w:tabs>
            <w:spacing w:before="60" w:line="240" w:lineRule="auto"/>
            <w:ind w:left="720" w:firstLine="0"/>
            <w:rPr>
              <w:color w:val="000000"/>
              <w:u w:val="none"/>
            </w:rPr>
          </w:pPr>
          <w:hyperlink w:anchor="_9f5xnsogifgx">
            <w:r w:rsidDel="00000000" w:rsidR="00000000" w:rsidRPr="00000000">
              <w:rPr>
                <w:color w:val="000000"/>
                <w:u w:val="none"/>
                <w:rtl w:val="0"/>
              </w:rPr>
              <w:t xml:space="preserve">12.1.1 Financial Services: Primary Market</w:t>
              <w:tab/>
            </w:r>
          </w:hyperlink>
          <w:r w:rsidDel="00000000" w:rsidR="00000000" w:rsidRPr="00000000">
            <w:fldChar w:fldCharType="begin"/>
            <w:instrText xml:space="preserve"> PAGEREF _9f5xnsogifgx \h </w:instrText>
            <w:fldChar w:fldCharType="separate"/>
          </w:r>
          <w:r w:rsidDel="00000000" w:rsidR="00000000" w:rsidRPr="00000000">
            <w:rPr>
              <w:rtl w:val="0"/>
            </w:rPr>
            <w:t xml:space="preserve">132</w:t>
          </w:r>
          <w:r w:rsidDel="00000000" w:rsidR="00000000" w:rsidRPr="00000000">
            <w:fldChar w:fldCharType="end"/>
          </w:r>
          <w:r w:rsidDel="00000000" w:rsidR="00000000" w:rsidRPr="00000000">
            <w:rPr>
              <w:rtl w:val="0"/>
            </w:rPr>
          </w:r>
        </w:p>
        <w:p w:rsidR="00000000" w:rsidDel="00000000" w:rsidP="00000000" w:rsidRDefault="00000000" w:rsidRPr="00000000" w14:paraId="000000E0">
          <w:pPr>
            <w:widowControl w:val="0"/>
            <w:tabs>
              <w:tab w:val="right" w:leader="dot" w:pos="9360"/>
            </w:tabs>
            <w:spacing w:before="60" w:line="240" w:lineRule="auto"/>
            <w:ind w:left="720" w:firstLine="0"/>
            <w:rPr>
              <w:color w:val="000000"/>
              <w:u w:val="none"/>
            </w:rPr>
          </w:pPr>
          <w:hyperlink w:anchor="_rbamrp71dbip">
            <w:r w:rsidDel="00000000" w:rsidR="00000000" w:rsidRPr="00000000">
              <w:rPr>
                <w:color w:val="000000"/>
                <w:u w:val="none"/>
                <w:rtl w:val="0"/>
              </w:rPr>
              <w:t xml:space="preserve">12.1.2 Central Banking and Monetary Infrastructure</w:t>
              <w:tab/>
            </w:r>
          </w:hyperlink>
          <w:r w:rsidDel="00000000" w:rsidR="00000000" w:rsidRPr="00000000">
            <w:fldChar w:fldCharType="begin"/>
            <w:instrText xml:space="preserve"> PAGEREF _rbamrp71dbip \h </w:instrText>
            <w:fldChar w:fldCharType="separate"/>
          </w:r>
          <w:r w:rsidDel="00000000" w:rsidR="00000000" w:rsidRPr="00000000">
            <w:rPr>
              <w:rtl w:val="0"/>
            </w:rPr>
            <w:t xml:space="preserve">132</w:t>
          </w:r>
          <w:r w:rsidDel="00000000" w:rsidR="00000000" w:rsidRPr="00000000">
            <w:fldChar w:fldCharType="end"/>
          </w:r>
          <w:r w:rsidDel="00000000" w:rsidR="00000000" w:rsidRPr="00000000">
            <w:rPr>
              <w:rtl w:val="0"/>
            </w:rPr>
          </w:r>
        </w:p>
        <w:p w:rsidR="00000000" w:rsidDel="00000000" w:rsidP="00000000" w:rsidRDefault="00000000" w:rsidRPr="00000000" w14:paraId="000000E1">
          <w:pPr>
            <w:widowControl w:val="0"/>
            <w:tabs>
              <w:tab w:val="right" w:leader="dot" w:pos="9360"/>
            </w:tabs>
            <w:spacing w:before="60" w:line="240" w:lineRule="auto"/>
            <w:ind w:left="720" w:firstLine="0"/>
            <w:rPr>
              <w:color w:val="000000"/>
              <w:u w:val="none"/>
            </w:rPr>
          </w:pPr>
          <w:hyperlink w:anchor="_8agxp7pghdso">
            <w:r w:rsidDel="00000000" w:rsidR="00000000" w:rsidRPr="00000000">
              <w:rPr>
                <w:color w:val="000000"/>
                <w:u w:val="none"/>
                <w:rtl w:val="0"/>
              </w:rPr>
              <w:t xml:space="preserve">12.1.3 Supply Chain and Trade Finance</w:t>
              <w:tab/>
            </w:r>
          </w:hyperlink>
          <w:r w:rsidDel="00000000" w:rsidR="00000000" w:rsidRPr="00000000">
            <w:fldChar w:fldCharType="begin"/>
            <w:instrText xml:space="preserve"> PAGEREF _8agxp7pghdso \h </w:instrText>
            <w:fldChar w:fldCharType="separate"/>
          </w:r>
          <w:r w:rsidDel="00000000" w:rsidR="00000000" w:rsidRPr="00000000">
            <w:rPr>
              <w:rtl w:val="0"/>
            </w:rPr>
            <w:t xml:space="preserve">133</w:t>
          </w:r>
          <w:r w:rsidDel="00000000" w:rsidR="00000000" w:rsidRPr="00000000">
            <w:fldChar w:fldCharType="end"/>
          </w:r>
          <w:r w:rsidDel="00000000" w:rsidR="00000000" w:rsidRPr="00000000">
            <w:rPr>
              <w:rtl w:val="0"/>
            </w:rPr>
          </w:r>
        </w:p>
        <w:p w:rsidR="00000000" w:rsidDel="00000000" w:rsidP="00000000" w:rsidRDefault="00000000" w:rsidRPr="00000000" w14:paraId="000000E2">
          <w:pPr>
            <w:widowControl w:val="0"/>
            <w:tabs>
              <w:tab w:val="right" w:leader="dot" w:pos="9360"/>
            </w:tabs>
            <w:spacing w:before="60" w:line="240" w:lineRule="auto"/>
            <w:ind w:left="720" w:firstLine="0"/>
            <w:rPr>
              <w:color w:val="000000"/>
              <w:u w:val="none"/>
            </w:rPr>
          </w:pPr>
          <w:hyperlink w:anchor="_s10mved70lx2">
            <w:r w:rsidDel="00000000" w:rsidR="00000000" w:rsidRPr="00000000">
              <w:rPr>
                <w:color w:val="000000"/>
                <w:u w:val="none"/>
                <w:rtl w:val="0"/>
              </w:rPr>
              <w:t xml:space="preserve">12.1.4 Insurance and Actuarial Systems</w:t>
              <w:tab/>
            </w:r>
          </w:hyperlink>
          <w:r w:rsidDel="00000000" w:rsidR="00000000" w:rsidRPr="00000000">
            <w:fldChar w:fldCharType="begin"/>
            <w:instrText xml:space="preserve"> PAGEREF _s10mved70lx2 \h </w:instrText>
            <w:fldChar w:fldCharType="separate"/>
          </w:r>
          <w:r w:rsidDel="00000000" w:rsidR="00000000" w:rsidRPr="00000000">
            <w:rPr>
              <w:rtl w:val="0"/>
            </w:rPr>
            <w:t xml:space="preserve">133</w:t>
          </w:r>
          <w:r w:rsidDel="00000000" w:rsidR="00000000" w:rsidRPr="00000000">
            <w:fldChar w:fldCharType="end"/>
          </w:r>
          <w:r w:rsidDel="00000000" w:rsidR="00000000" w:rsidRPr="00000000">
            <w:rPr>
              <w:rtl w:val="0"/>
            </w:rPr>
          </w:r>
        </w:p>
        <w:p w:rsidR="00000000" w:rsidDel="00000000" w:rsidP="00000000" w:rsidRDefault="00000000" w:rsidRPr="00000000" w14:paraId="000000E3">
          <w:pPr>
            <w:widowControl w:val="0"/>
            <w:tabs>
              <w:tab w:val="right" w:leader="dot" w:pos="9360"/>
            </w:tabs>
            <w:spacing w:before="60" w:line="240" w:lineRule="auto"/>
            <w:ind w:left="360" w:firstLine="0"/>
            <w:rPr>
              <w:color w:val="000000"/>
              <w:u w:val="none"/>
            </w:rPr>
          </w:pPr>
          <w:hyperlink w:anchor="_cwfnjl2i1dnx">
            <w:r w:rsidDel="00000000" w:rsidR="00000000" w:rsidRPr="00000000">
              <w:rPr>
                <w:color w:val="000000"/>
                <w:u w:val="none"/>
                <w:rtl w:val="0"/>
              </w:rPr>
              <w:t xml:space="preserve">12.2 Non-Recurring Engineering Costs</w:t>
              <w:tab/>
            </w:r>
          </w:hyperlink>
          <w:r w:rsidDel="00000000" w:rsidR="00000000" w:rsidRPr="00000000">
            <w:fldChar w:fldCharType="begin"/>
            <w:instrText xml:space="preserve"> PAGEREF _cwfnjl2i1dnx \h </w:instrText>
            <w:fldChar w:fldCharType="separate"/>
          </w:r>
          <w:r w:rsidDel="00000000" w:rsidR="00000000" w:rsidRPr="00000000">
            <w:rPr>
              <w:rtl w:val="0"/>
            </w:rPr>
            <w:t xml:space="preserve">133</w:t>
          </w:r>
          <w:r w:rsidDel="00000000" w:rsidR="00000000" w:rsidRPr="00000000">
            <w:fldChar w:fldCharType="end"/>
          </w:r>
          <w:r w:rsidDel="00000000" w:rsidR="00000000" w:rsidRPr="00000000">
            <w:rPr>
              <w:rtl w:val="0"/>
            </w:rPr>
          </w:r>
        </w:p>
        <w:p w:rsidR="00000000" w:rsidDel="00000000" w:rsidP="00000000" w:rsidRDefault="00000000" w:rsidRPr="00000000" w14:paraId="000000E4">
          <w:pPr>
            <w:widowControl w:val="0"/>
            <w:tabs>
              <w:tab w:val="right" w:leader="dot" w:pos="9360"/>
            </w:tabs>
            <w:spacing w:before="60" w:line="240" w:lineRule="auto"/>
            <w:ind w:left="720" w:firstLine="0"/>
            <w:rPr>
              <w:color w:val="000000"/>
              <w:u w:val="none"/>
            </w:rPr>
          </w:pPr>
          <w:hyperlink w:anchor="_gkrxc3h6ti95">
            <w:r w:rsidDel="00000000" w:rsidR="00000000" w:rsidRPr="00000000">
              <w:rPr>
                <w:color w:val="000000"/>
                <w:u w:val="none"/>
                <w:rtl w:val="0"/>
              </w:rPr>
              <w:t xml:space="preserve">12.2.1 DITL Coprocessor Development</w:t>
              <w:tab/>
            </w:r>
          </w:hyperlink>
          <w:r w:rsidDel="00000000" w:rsidR="00000000" w:rsidRPr="00000000">
            <w:fldChar w:fldCharType="begin"/>
            <w:instrText xml:space="preserve"> PAGEREF _gkrxc3h6ti95 \h </w:instrText>
            <w:fldChar w:fldCharType="separate"/>
          </w:r>
          <w:r w:rsidDel="00000000" w:rsidR="00000000" w:rsidRPr="00000000">
            <w:rPr>
              <w:rtl w:val="0"/>
            </w:rPr>
            <w:t xml:space="preserve">134</w:t>
          </w:r>
          <w:r w:rsidDel="00000000" w:rsidR="00000000" w:rsidRPr="00000000">
            <w:fldChar w:fldCharType="end"/>
          </w:r>
          <w:r w:rsidDel="00000000" w:rsidR="00000000" w:rsidRPr="00000000">
            <w:rPr>
              <w:rtl w:val="0"/>
            </w:rPr>
          </w:r>
        </w:p>
        <w:p w:rsidR="00000000" w:rsidDel="00000000" w:rsidP="00000000" w:rsidRDefault="00000000" w:rsidRPr="00000000" w14:paraId="000000E5">
          <w:pPr>
            <w:widowControl w:val="0"/>
            <w:tabs>
              <w:tab w:val="right" w:leader="dot" w:pos="9360"/>
            </w:tabs>
            <w:spacing w:before="60" w:line="240" w:lineRule="auto"/>
            <w:ind w:left="720" w:firstLine="0"/>
            <w:rPr>
              <w:color w:val="000000"/>
              <w:u w:val="none"/>
            </w:rPr>
          </w:pPr>
          <w:hyperlink w:anchor="_4u9q274blgxo">
            <w:r w:rsidDel="00000000" w:rsidR="00000000" w:rsidRPr="00000000">
              <w:rPr>
                <w:color w:val="000000"/>
                <w:u w:val="none"/>
                <w:rtl w:val="0"/>
              </w:rPr>
              <w:t xml:space="preserve">12.2.2 Software Infrastructure Development</w:t>
              <w:tab/>
            </w:r>
          </w:hyperlink>
          <w:r w:rsidDel="00000000" w:rsidR="00000000" w:rsidRPr="00000000">
            <w:fldChar w:fldCharType="begin"/>
            <w:instrText xml:space="preserve"> PAGEREF _4u9q274blgxo \h </w:instrText>
            <w:fldChar w:fldCharType="separate"/>
          </w:r>
          <w:r w:rsidDel="00000000" w:rsidR="00000000" w:rsidRPr="00000000">
            <w:rPr>
              <w:rtl w:val="0"/>
            </w:rPr>
            <w:t xml:space="preserve">134</w:t>
          </w:r>
          <w:r w:rsidDel="00000000" w:rsidR="00000000" w:rsidRPr="00000000">
            <w:fldChar w:fldCharType="end"/>
          </w:r>
          <w:r w:rsidDel="00000000" w:rsidR="00000000" w:rsidRPr="00000000">
            <w:rPr>
              <w:rtl w:val="0"/>
            </w:rPr>
          </w:r>
        </w:p>
        <w:p w:rsidR="00000000" w:rsidDel="00000000" w:rsidP="00000000" w:rsidRDefault="00000000" w:rsidRPr="00000000" w14:paraId="000000E6">
          <w:pPr>
            <w:widowControl w:val="0"/>
            <w:tabs>
              <w:tab w:val="right" w:leader="dot" w:pos="9360"/>
            </w:tabs>
            <w:spacing w:before="60" w:line="240" w:lineRule="auto"/>
            <w:ind w:left="360" w:firstLine="0"/>
            <w:rPr>
              <w:color w:val="000000"/>
              <w:u w:val="none"/>
            </w:rPr>
          </w:pPr>
          <w:hyperlink w:anchor="_y4ugd2isgmvt">
            <w:r w:rsidDel="00000000" w:rsidR="00000000" w:rsidRPr="00000000">
              <w:rPr>
                <w:color w:val="000000"/>
                <w:u w:val="none"/>
                <w:rtl w:val="0"/>
              </w:rPr>
              <w:t xml:space="preserve">12.3 Per-Deployment Cost Structure</w:t>
              <w:tab/>
            </w:r>
          </w:hyperlink>
          <w:r w:rsidDel="00000000" w:rsidR="00000000" w:rsidRPr="00000000">
            <w:fldChar w:fldCharType="begin"/>
            <w:instrText xml:space="preserve"> PAGEREF _y4ugd2isgmvt \h </w:instrText>
            <w:fldChar w:fldCharType="separate"/>
          </w:r>
          <w:r w:rsidDel="00000000" w:rsidR="00000000" w:rsidRPr="00000000">
            <w:rPr>
              <w:rtl w:val="0"/>
            </w:rPr>
            <w:t xml:space="preserve">135</w:t>
          </w:r>
          <w:r w:rsidDel="00000000" w:rsidR="00000000" w:rsidRPr="00000000">
            <w:fldChar w:fldCharType="end"/>
          </w:r>
          <w:r w:rsidDel="00000000" w:rsidR="00000000" w:rsidRPr="00000000">
            <w:rPr>
              <w:rtl w:val="0"/>
            </w:rPr>
          </w:r>
        </w:p>
        <w:p w:rsidR="00000000" w:rsidDel="00000000" w:rsidP="00000000" w:rsidRDefault="00000000" w:rsidRPr="00000000" w14:paraId="000000E7">
          <w:pPr>
            <w:widowControl w:val="0"/>
            <w:tabs>
              <w:tab w:val="right" w:leader="dot" w:pos="9360"/>
            </w:tabs>
            <w:spacing w:before="60" w:line="240" w:lineRule="auto"/>
            <w:ind w:left="720" w:firstLine="0"/>
            <w:rPr>
              <w:color w:val="000000"/>
              <w:u w:val="none"/>
            </w:rPr>
          </w:pPr>
          <w:hyperlink w:anchor="_3764x32e628m">
            <w:r w:rsidDel="00000000" w:rsidR="00000000" w:rsidRPr="00000000">
              <w:rPr>
                <w:color w:val="000000"/>
                <w:u w:val="none"/>
                <w:rtl w:val="0"/>
              </w:rPr>
              <w:t xml:space="preserve">12.3.1 Hardware Costs</w:t>
              <w:tab/>
            </w:r>
          </w:hyperlink>
          <w:r w:rsidDel="00000000" w:rsidR="00000000" w:rsidRPr="00000000">
            <w:fldChar w:fldCharType="begin"/>
            <w:instrText xml:space="preserve"> PAGEREF _3764x32e628m \h </w:instrText>
            <w:fldChar w:fldCharType="separate"/>
          </w:r>
          <w:r w:rsidDel="00000000" w:rsidR="00000000" w:rsidRPr="00000000">
            <w:rPr>
              <w:rtl w:val="0"/>
            </w:rPr>
            <w:t xml:space="preserve">136</w:t>
          </w:r>
          <w:r w:rsidDel="00000000" w:rsidR="00000000" w:rsidRPr="00000000">
            <w:fldChar w:fldCharType="end"/>
          </w:r>
          <w:r w:rsidDel="00000000" w:rsidR="00000000" w:rsidRPr="00000000">
            <w:rPr>
              <w:rtl w:val="0"/>
            </w:rPr>
          </w:r>
        </w:p>
        <w:p w:rsidR="00000000" w:rsidDel="00000000" w:rsidP="00000000" w:rsidRDefault="00000000" w:rsidRPr="00000000" w14:paraId="000000E8">
          <w:pPr>
            <w:widowControl w:val="0"/>
            <w:tabs>
              <w:tab w:val="right" w:leader="dot" w:pos="9360"/>
            </w:tabs>
            <w:spacing w:before="60" w:line="240" w:lineRule="auto"/>
            <w:ind w:left="720" w:firstLine="0"/>
            <w:rPr>
              <w:color w:val="000000"/>
              <w:u w:val="none"/>
            </w:rPr>
          </w:pPr>
          <w:hyperlink w:anchor="_pyryyxdo2wkg">
            <w:r w:rsidDel="00000000" w:rsidR="00000000" w:rsidRPr="00000000">
              <w:rPr>
                <w:color w:val="000000"/>
                <w:u w:val="none"/>
                <w:rtl w:val="0"/>
              </w:rPr>
              <w:t xml:space="preserve">12.3.2 Operational Costs</w:t>
              <w:tab/>
            </w:r>
          </w:hyperlink>
          <w:r w:rsidDel="00000000" w:rsidR="00000000" w:rsidRPr="00000000">
            <w:fldChar w:fldCharType="begin"/>
            <w:instrText xml:space="preserve"> PAGEREF _pyryyxdo2wkg \h </w:instrText>
            <w:fldChar w:fldCharType="separate"/>
          </w:r>
          <w:r w:rsidDel="00000000" w:rsidR="00000000" w:rsidRPr="00000000">
            <w:rPr>
              <w:rtl w:val="0"/>
            </w:rPr>
            <w:t xml:space="preserve">136</w:t>
          </w:r>
          <w:r w:rsidDel="00000000" w:rsidR="00000000" w:rsidRPr="00000000">
            <w:fldChar w:fldCharType="end"/>
          </w:r>
          <w:r w:rsidDel="00000000" w:rsidR="00000000" w:rsidRPr="00000000">
            <w:rPr>
              <w:rtl w:val="0"/>
            </w:rPr>
          </w:r>
        </w:p>
        <w:p w:rsidR="00000000" w:rsidDel="00000000" w:rsidP="00000000" w:rsidRDefault="00000000" w:rsidRPr="00000000" w14:paraId="000000E9">
          <w:pPr>
            <w:widowControl w:val="0"/>
            <w:tabs>
              <w:tab w:val="right" w:leader="dot" w:pos="9360"/>
            </w:tabs>
            <w:spacing w:before="60" w:line="240" w:lineRule="auto"/>
            <w:ind w:left="360" w:firstLine="0"/>
            <w:rPr>
              <w:color w:val="000000"/>
              <w:u w:val="none"/>
            </w:rPr>
          </w:pPr>
          <w:hyperlink w:anchor="_83w66jjyaemc">
            <w:r w:rsidDel="00000000" w:rsidR="00000000" w:rsidRPr="00000000">
              <w:rPr>
                <w:color w:val="000000"/>
                <w:u w:val="none"/>
                <w:rtl w:val="0"/>
              </w:rPr>
              <w:t xml:space="preserve">12.4 The Constitutional Compliance Premium</w:t>
              <w:tab/>
            </w:r>
          </w:hyperlink>
          <w:r w:rsidDel="00000000" w:rsidR="00000000" w:rsidRPr="00000000">
            <w:fldChar w:fldCharType="begin"/>
            <w:instrText xml:space="preserve"> PAGEREF _83w66jjyaemc \h </w:instrText>
            <w:fldChar w:fldCharType="separate"/>
          </w:r>
          <w:r w:rsidDel="00000000" w:rsidR="00000000" w:rsidRPr="00000000">
            <w:rPr>
              <w:rtl w:val="0"/>
            </w:rPr>
            <w:t xml:space="preserve">137</w:t>
          </w:r>
          <w:r w:rsidDel="00000000" w:rsidR="00000000" w:rsidRPr="00000000">
            <w:fldChar w:fldCharType="end"/>
          </w:r>
          <w:r w:rsidDel="00000000" w:rsidR="00000000" w:rsidRPr="00000000">
            <w:rPr>
              <w:rtl w:val="0"/>
            </w:rPr>
          </w:r>
        </w:p>
        <w:p w:rsidR="00000000" w:rsidDel="00000000" w:rsidP="00000000" w:rsidRDefault="00000000" w:rsidRPr="00000000" w14:paraId="000000EA">
          <w:pPr>
            <w:widowControl w:val="0"/>
            <w:tabs>
              <w:tab w:val="right" w:leader="dot" w:pos="9360"/>
            </w:tabs>
            <w:spacing w:before="60" w:line="240" w:lineRule="auto"/>
            <w:ind w:left="720" w:firstLine="0"/>
            <w:rPr>
              <w:color w:val="000000"/>
              <w:u w:val="none"/>
            </w:rPr>
          </w:pPr>
          <w:hyperlink w:anchor="_g5qg9a7iqdci">
            <w:r w:rsidDel="00000000" w:rsidR="00000000" w:rsidRPr="00000000">
              <w:rPr>
                <w:color w:val="000000"/>
                <w:u w:val="none"/>
                <w:rtl w:val="0"/>
              </w:rPr>
              <w:t xml:space="preserve">12.4.1 Counterparty Risk Reduction</w:t>
              <w:tab/>
            </w:r>
          </w:hyperlink>
          <w:r w:rsidDel="00000000" w:rsidR="00000000" w:rsidRPr="00000000">
            <w:fldChar w:fldCharType="begin"/>
            <w:instrText xml:space="preserve"> PAGEREF _g5qg9a7iqdci \h </w:instrText>
            <w:fldChar w:fldCharType="separate"/>
          </w:r>
          <w:r w:rsidDel="00000000" w:rsidR="00000000" w:rsidRPr="00000000">
            <w:rPr>
              <w:rtl w:val="0"/>
            </w:rPr>
            <w:t xml:space="preserve">137</w:t>
          </w:r>
          <w:r w:rsidDel="00000000" w:rsidR="00000000" w:rsidRPr="00000000">
            <w:fldChar w:fldCharType="end"/>
          </w:r>
          <w:r w:rsidDel="00000000" w:rsidR="00000000" w:rsidRPr="00000000">
            <w:rPr>
              <w:rtl w:val="0"/>
            </w:rPr>
          </w:r>
        </w:p>
        <w:p w:rsidR="00000000" w:rsidDel="00000000" w:rsidP="00000000" w:rsidRDefault="00000000" w:rsidRPr="00000000" w14:paraId="000000EB">
          <w:pPr>
            <w:widowControl w:val="0"/>
            <w:tabs>
              <w:tab w:val="right" w:leader="dot" w:pos="9360"/>
            </w:tabs>
            <w:spacing w:before="60" w:line="240" w:lineRule="auto"/>
            <w:ind w:left="720" w:firstLine="0"/>
            <w:rPr>
              <w:color w:val="000000"/>
              <w:u w:val="none"/>
            </w:rPr>
          </w:pPr>
          <w:hyperlink w:anchor="_un1z9ti180h9">
            <w:r w:rsidDel="00000000" w:rsidR="00000000" w:rsidRPr="00000000">
              <w:rPr>
                <w:color w:val="000000"/>
                <w:u w:val="none"/>
                <w:rtl w:val="0"/>
              </w:rPr>
              <w:t xml:space="preserve">12.4.2 Insurance Premium Reduction</w:t>
              <w:tab/>
            </w:r>
          </w:hyperlink>
          <w:r w:rsidDel="00000000" w:rsidR="00000000" w:rsidRPr="00000000">
            <w:fldChar w:fldCharType="begin"/>
            <w:instrText xml:space="preserve"> PAGEREF _un1z9ti180h9 \h </w:instrText>
            <w:fldChar w:fldCharType="separate"/>
          </w:r>
          <w:r w:rsidDel="00000000" w:rsidR="00000000" w:rsidRPr="00000000">
            <w:rPr>
              <w:rtl w:val="0"/>
            </w:rPr>
            <w:t xml:space="preserve">138</w:t>
          </w:r>
          <w:r w:rsidDel="00000000" w:rsidR="00000000" w:rsidRPr="00000000">
            <w:fldChar w:fldCharType="end"/>
          </w:r>
          <w:r w:rsidDel="00000000" w:rsidR="00000000" w:rsidRPr="00000000">
            <w:rPr>
              <w:rtl w:val="0"/>
            </w:rPr>
          </w:r>
        </w:p>
        <w:p w:rsidR="00000000" w:rsidDel="00000000" w:rsidP="00000000" w:rsidRDefault="00000000" w:rsidRPr="00000000" w14:paraId="000000EC">
          <w:pPr>
            <w:widowControl w:val="0"/>
            <w:tabs>
              <w:tab w:val="right" w:leader="dot" w:pos="9360"/>
            </w:tabs>
            <w:spacing w:before="60" w:line="240" w:lineRule="auto"/>
            <w:ind w:left="720" w:firstLine="0"/>
            <w:rPr>
              <w:color w:val="000000"/>
              <w:u w:val="none"/>
            </w:rPr>
          </w:pPr>
          <w:hyperlink w:anchor="_ajqrwd8udc0">
            <w:r w:rsidDel="00000000" w:rsidR="00000000" w:rsidRPr="00000000">
              <w:rPr>
                <w:color w:val="000000"/>
                <w:u w:val="none"/>
                <w:rtl w:val="0"/>
              </w:rPr>
              <w:t xml:space="preserve">12.4.3 Regulatory Examination Efficiency</w:t>
              <w:tab/>
            </w:r>
          </w:hyperlink>
          <w:r w:rsidDel="00000000" w:rsidR="00000000" w:rsidRPr="00000000">
            <w:fldChar w:fldCharType="begin"/>
            <w:instrText xml:space="preserve"> PAGEREF _ajqrwd8udc0 \h </w:instrText>
            <w:fldChar w:fldCharType="separate"/>
          </w:r>
          <w:r w:rsidDel="00000000" w:rsidR="00000000" w:rsidRPr="00000000">
            <w:rPr>
              <w:rtl w:val="0"/>
            </w:rPr>
            <w:t xml:space="preserve">138</w:t>
          </w:r>
          <w:r w:rsidDel="00000000" w:rsidR="00000000" w:rsidRPr="00000000">
            <w:fldChar w:fldCharType="end"/>
          </w:r>
          <w:r w:rsidDel="00000000" w:rsidR="00000000" w:rsidRPr="00000000">
            <w:rPr>
              <w:rtl w:val="0"/>
            </w:rPr>
          </w:r>
        </w:p>
        <w:p w:rsidR="00000000" w:rsidDel="00000000" w:rsidP="00000000" w:rsidRDefault="00000000" w:rsidRPr="00000000" w14:paraId="000000ED">
          <w:pPr>
            <w:widowControl w:val="0"/>
            <w:tabs>
              <w:tab w:val="right" w:leader="dot" w:pos="9360"/>
            </w:tabs>
            <w:spacing w:before="60" w:line="240" w:lineRule="auto"/>
            <w:ind w:left="360" w:firstLine="0"/>
            <w:rPr>
              <w:color w:val="000000"/>
              <w:u w:val="none"/>
            </w:rPr>
          </w:pPr>
          <w:hyperlink w:anchor="_jkwg9a57op84">
            <w:r w:rsidDel="00000000" w:rsidR="00000000" w:rsidRPr="00000000">
              <w:rPr>
                <w:color w:val="000000"/>
                <w:u w:val="none"/>
                <w:rtl w:val="0"/>
              </w:rPr>
              <w:t xml:space="preserve">12.5 Deployment Phases</w:t>
              <w:tab/>
            </w:r>
          </w:hyperlink>
          <w:r w:rsidDel="00000000" w:rsidR="00000000" w:rsidRPr="00000000">
            <w:fldChar w:fldCharType="begin"/>
            <w:instrText xml:space="preserve"> PAGEREF _jkwg9a57op84 \h </w:instrText>
            <w:fldChar w:fldCharType="separate"/>
          </w:r>
          <w:r w:rsidDel="00000000" w:rsidR="00000000" w:rsidRPr="00000000">
            <w:rPr>
              <w:rtl w:val="0"/>
            </w:rPr>
            <w:t xml:space="preserve">138</w:t>
          </w:r>
          <w:r w:rsidDel="00000000" w:rsidR="00000000" w:rsidRPr="00000000">
            <w:fldChar w:fldCharType="end"/>
          </w:r>
          <w:r w:rsidDel="00000000" w:rsidR="00000000" w:rsidRPr="00000000">
            <w:rPr>
              <w:rtl w:val="0"/>
            </w:rPr>
          </w:r>
        </w:p>
        <w:p w:rsidR="00000000" w:rsidDel="00000000" w:rsidP="00000000" w:rsidRDefault="00000000" w:rsidRPr="00000000" w14:paraId="000000EE">
          <w:pPr>
            <w:widowControl w:val="0"/>
            <w:tabs>
              <w:tab w:val="right" w:leader="dot" w:pos="9360"/>
            </w:tabs>
            <w:spacing w:before="60" w:line="240" w:lineRule="auto"/>
            <w:ind w:left="720" w:firstLine="0"/>
            <w:rPr>
              <w:color w:val="000000"/>
              <w:u w:val="none"/>
            </w:rPr>
          </w:pPr>
          <w:hyperlink w:anchor="_7xx4ivp3xhtd">
            <w:r w:rsidDel="00000000" w:rsidR="00000000" w:rsidRPr="00000000">
              <w:rPr>
                <w:color w:val="000000"/>
                <w:u w:val="none"/>
                <w:rtl w:val="0"/>
              </w:rPr>
              <w:t xml:space="preserve">12.5.1 Phase 1: Minimum Viable Governance (Software Emulation, 2026-2027)</w:t>
              <w:tab/>
            </w:r>
          </w:hyperlink>
          <w:r w:rsidDel="00000000" w:rsidR="00000000" w:rsidRPr="00000000">
            <w:fldChar w:fldCharType="begin"/>
            <w:instrText xml:space="preserve"> PAGEREF _7xx4ivp3xhtd \h </w:instrText>
            <w:fldChar w:fldCharType="separate"/>
          </w:r>
          <w:r w:rsidDel="00000000" w:rsidR="00000000" w:rsidRPr="00000000">
            <w:rPr>
              <w:rtl w:val="0"/>
            </w:rPr>
            <w:t xml:space="preserve">139</w:t>
          </w:r>
          <w:r w:rsidDel="00000000" w:rsidR="00000000" w:rsidRPr="00000000">
            <w:fldChar w:fldCharType="end"/>
          </w:r>
          <w:r w:rsidDel="00000000" w:rsidR="00000000" w:rsidRPr="00000000">
            <w:rPr>
              <w:rtl w:val="0"/>
            </w:rPr>
          </w:r>
        </w:p>
        <w:p w:rsidR="00000000" w:rsidDel="00000000" w:rsidP="00000000" w:rsidRDefault="00000000" w:rsidRPr="00000000" w14:paraId="000000EF">
          <w:pPr>
            <w:widowControl w:val="0"/>
            <w:tabs>
              <w:tab w:val="right" w:leader="dot" w:pos="9360"/>
            </w:tabs>
            <w:spacing w:before="60" w:line="240" w:lineRule="auto"/>
            <w:ind w:left="720" w:firstLine="0"/>
            <w:rPr>
              <w:color w:val="000000"/>
              <w:u w:val="none"/>
            </w:rPr>
          </w:pPr>
          <w:hyperlink w:anchor="_wrkthqdexso0">
            <w:r w:rsidDel="00000000" w:rsidR="00000000" w:rsidRPr="00000000">
              <w:rPr>
                <w:color w:val="000000"/>
                <w:u w:val="none"/>
                <w:rtl w:val="0"/>
              </w:rPr>
              <w:t xml:space="preserve">12.5.2 Phase 2: Architecture B Hardware Deployment (2027-2029)</w:t>
              <w:tab/>
            </w:r>
          </w:hyperlink>
          <w:r w:rsidDel="00000000" w:rsidR="00000000" w:rsidRPr="00000000">
            <w:fldChar w:fldCharType="begin"/>
            <w:instrText xml:space="preserve"> PAGEREF _wrkthqdexso0 \h </w:instrText>
            <w:fldChar w:fldCharType="separate"/>
          </w:r>
          <w:r w:rsidDel="00000000" w:rsidR="00000000" w:rsidRPr="00000000">
            <w:rPr>
              <w:rtl w:val="0"/>
            </w:rPr>
            <w:t xml:space="preserve">139</w:t>
          </w:r>
          <w:r w:rsidDel="00000000" w:rsidR="00000000" w:rsidRPr="00000000">
            <w:fldChar w:fldCharType="end"/>
          </w:r>
          <w:r w:rsidDel="00000000" w:rsidR="00000000" w:rsidRPr="00000000">
            <w:rPr>
              <w:rtl w:val="0"/>
            </w:rPr>
          </w:r>
        </w:p>
        <w:p w:rsidR="00000000" w:rsidDel="00000000" w:rsidP="00000000" w:rsidRDefault="00000000" w:rsidRPr="00000000" w14:paraId="000000F0">
          <w:pPr>
            <w:widowControl w:val="0"/>
            <w:tabs>
              <w:tab w:val="right" w:leader="dot" w:pos="9360"/>
            </w:tabs>
            <w:spacing w:before="60" w:line="240" w:lineRule="auto"/>
            <w:ind w:left="720" w:firstLine="0"/>
            <w:rPr>
              <w:color w:val="000000"/>
              <w:u w:val="none"/>
            </w:rPr>
          </w:pPr>
          <w:hyperlink w:anchor="_vf1t76mlqb10">
            <w:r w:rsidDel="00000000" w:rsidR="00000000" w:rsidRPr="00000000">
              <w:rPr>
                <w:color w:val="000000"/>
                <w:u w:val="none"/>
                <w:rtl w:val="0"/>
              </w:rPr>
              <w:t xml:space="preserve">12.5.3 Phase 3: Full Ecosystem and Architecture A Horizon (2029-2032)</w:t>
              <w:tab/>
            </w:r>
          </w:hyperlink>
          <w:r w:rsidDel="00000000" w:rsidR="00000000" w:rsidRPr="00000000">
            <w:fldChar w:fldCharType="begin"/>
            <w:instrText xml:space="preserve"> PAGEREF _vf1t76mlqb10 \h </w:instrText>
            <w:fldChar w:fldCharType="separate"/>
          </w:r>
          <w:r w:rsidDel="00000000" w:rsidR="00000000" w:rsidRPr="00000000">
            <w:rPr>
              <w:rtl w:val="0"/>
            </w:rPr>
            <w:t xml:space="preserve">140</w:t>
          </w:r>
          <w:r w:rsidDel="00000000" w:rsidR="00000000" w:rsidRPr="00000000">
            <w:fldChar w:fldCharType="end"/>
          </w:r>
          <w:r w:rsidDel="00000000" w:rsidR="00000000" w:rsidRPr="00000000">
            <w:rPr>
              <w:rtl w:val="0"/>
            </w:rPr>
          </w:r>
        </w:p>
        <w:p w:rsidR="00000000" w:rsidDel="00000000" w:rsidP="00000000" w:rsidRDefault="00000000" w:rsidRPr="00000000" w14:paraId="000000F1">
          <w:pPr>
            <w:widowControl w:val="0"/>
            <w:tabs>
              <w:tab w:val="right" w:leader="dot" w:pos="9360"/>
            </w:tabs>
            <w:spacing w:before="60" w:line="240" w:lineRule="auto"/>
            <w:ind w:left="360" w:firstLine="0"/>
            <w:rPr>
              <w:color w:val="000000"/>
              <w:u w:val="none"/>
            </w:rPr>
          </w:pPr>
          <w:hyperlink w:anchor="_wakeuuo8ysqe">
            <w:r w:rsidDel="00000000" w:rsidR="00000000" w:rsidRPr="00000000">
              <w:rPr>
                <w:color w:val="000000"/>
                <w:u w:val="none"/>
                <w:rtl w:val="0"/>
              </w:rPr>
              <w:t xml:space="preserve">12.6 Consortium Structure and Governance of the Development Program</w:t>
              <w:tab/>
            </w:r>
          </w:hyperlink>
          <w:r w:rsidDel="00000000" w:rsidR="00000000" w:rsidRPr="00000000">
            <w:fldChar w:fldCharType="begin"/>
            <w:instrText xml:space="preserve"> PAGEREF _wakeuuo8ysqe \h </w:instrText>
            <w:fldChar w:fldCharType="separate"/>
          </w:r>
          <w:r w:rsidDel="00000000" w:rsidR="00000000" w:rsidRPr="00000000">
            <w:rPr>
              <w:rtl w:val="0"/>
            </w:rPr>
            <w:t xml:space="preserve">140</w:t>
          </w:r>
          <w:r w:rsidDel="00000000" w:rsidR="00000000" w:rsidRPr="00000000">
            <w:fldChar w:fldCharType="end"/>
          </w:r>
          <w:r w:rsidDel="00000000" w:rsidR="00000000" w:rsidRPr="00000000">
            <w:rPr>
              <w:rtl w:val="0"/>
            </w:rPr>
          </w:r>
        </w:p>
        <w:p w:rsidR="00000000" w:rsidDel="00000000" w:rsidP="00000000" w:rsidRDefault="00000000" w:rsidRPr="00000000" w14:paraId="000000F2">
          <w:pPr>
            <w:widowControl w:val="0"/>
            <w:tabs>
              <w:tab w:val="right" w:leader="dot" w:pos="9360"/>
            </w:tabs>
            <w:spacing w:before="60" w:line="240" w:lineRule="auto"/>
            <w:ind w:left="720" w:firstLine="0"/>
            <w:rPr>
              <w:color w:val="000000"/>
              <w:u w:val="none"/>
            </w:rPr>
          </w:pPr>
          <w:hyperlink w:anchor="_kmu540a9waxa">
            <w:r w:rsidDel="00000000" w:rsidR="00000000" w:rsidRPr="00000000">
              <w:rPr>
                <w:color w:val="000000"/>
                <w:u w:val="none"/>
                <w:rtl w:val="0"/>
              </w:rPr>
              <w:t xml:space="preserve">12.6.1 Founding Consortium Model</w:t>
              <w:tab/>
            </w:r>
          </w:hyperlink>
          <w:r w:rsidDel="00000000" w:rsidR="00000000" w:rsidRPr="00000000">
            <w:fldChar w:fldCharType="begin"/>
            <w:instrText xml:space="preserve"> PAGEREF _kmu540a9waxa \h </w:instrText>
            <w:fldChar w:fldCharType="separate"/>
          </w:r>
          <w:r w:rsidDel="00000000" w:rsidR="00000000" w:rsidRPr="00000000">
            <w:rPr>
              <w:rtl w:val="0"/>
            </w:rPr>
            <w:t xml:space="preserve">140</w:t>
          </w:r>
          <w:r w:rsidDel="00000000" w:rsidR="00000000" w:rsidRPr="00000000">
            <w:fldChar w:fldCharType="end"/>
          </w:r>
          <w:r w:rsidDel="00000000" w:rsidR="00000000" w:rsidRPr="00000000">
            <w:rPr>
              <w:rtl w:val="0"/>
            </w:rPr>
          </w:r>
        </w:p>
        <w:p w:rsidR="00000000" w:rsidDel="00000000" w:rsidP="00000000" w:rsidRDefault="00000000" w:rsidRPr="00000000" w14:paraId="000000F3">
          <w:pPr>
            <w:widowControl w:val="0"/>
            <w:tabs>
              <w:tab w:val="right" w:leader="dot" w:pos="9360"/>
            </w:tabs>
            <w:spacing w:before="60" w:line="240" w:lineRule="auto"/>
            <w:ind w:left="720" w:firstLine="0"/>
            <w:rPr>
              <w:color w:val="000000"/>
              <w:u w:val="none"/>
            </w:rPr>
          </w:pPr>
          <w:hyperlink w:anchor="_eo5cex98gaz4">
            <w:r w:rsidDel="00000000" w:rsidR="00000000" w:rsidRPr="00000000">
              <w:rPr>
                <w:color w:val="000000"/>
                <w:u w:val="none"/>
                <w:rtl w:val="0"/>
              </w:rPr>
              <w:t xml:space="preserve">12.6.2 Regulatory Recognition Pathway</w:t>
              <w:tab/>
            </w:r>
          </w:hyperlink>
          <w:r w:rsidDel="00000000" w:rsidR="00000000" w:rsidRPr="00000000">
            <w:fldChar w:fldCharType="begin"/>
            <w:instrText xml:space="preserve"> PAGEREF _eo5cex98gaz4 \h </w:instrText>
            <w:fldChar w:fldCharType="separate"/>
          </w:r>
          <w:r w:rsidDel="00000000" w:rsidR="00000000" w:rsidRPr="00000000">
            <w:rPr>
              <w:rtl w:val="0"/>
            </w:rPr>
            <w:t xml:space="preserve">141</w:t>
          </w:r>
          <w:r w:rsidDel="00000000" w:rsidR="00000000" w:rsidRPr="00000000">
            <w:fldChar w:fldCharType="end"/>
          </w:r>
          <w:r w:rsidDel="00000000" w:rsidR="00000000" w:rsidRPr="00000000">
            <w:rPr>
              <w:rtl w:val="0"/>
            </w:rPr>
          </w:r>
        </w:p>
        <w:p w:rsidR="00000000" w:rsidDel="00000000" w:rsidP="00000000" w:rsidRDefault="00000000" w:rsidRPr="00000000" w14:paraId="000000F4">
          <w:pPr>
            <w:widowControl w:val="0"/>
            <w:tabs>
              <w:tab w:val="right" w:leader="dot" w:pos="9360"/>
            </w:tabs>
            <w:spacing w:before="60" w:line="240" w:lineRule="auto"/>
            <w:ind w:left="360" w:firstLine="0"/>
            <w:rPr>
              <w:color w:val="000000"/>
              <w:u w:val="none"/>
            </w:rPr>
          </w:pPr>
          <w:hyperlink w:anchor="_u96hdil7ykpa">
            <w:r w:rsidDel="00000000" w:rsidR="00000000" w:rsidRPr="00000000">
              <w:rPr>
                <w:color w:val="000000"/>
                <w:u w:val="none"/>
                <w:rtl w:val="0"/>
              </w:rPr>
              <w:t xml:space="preserve">12.7 Return on Investment Framework</w:t>
              <w:tab/>
            </w:r>
          </w:hyperlink>
          <w:r w:rsidDel="00000000" w:rsidR="00000000" w:rsidRPr="00000000">
            <w:fldChar w:fldCharType="begin"/>
            <w:instrText xml:space="preserve"> PAGEREF _u96hdil7ykpa \h </w:instrText>
            <w:fldChar w:fldCharType="separate"/>
          </w:r>
          <w:r w:rsidDel="00000000" w:rsidR="00000000" w:rsidRPr="00000000">
            <w:rPr>
              <w:rtl w:val="0"/>
            </w:rPr>
            <w:t xml:space="preserve">141</w:t>
          </w:r>
          <w:r w:rsidDel="00000000" w:rsidR="00000000" w:rsidRPr="00000000">
            <w:fldChar w:fldCharType="end"/>
          </w:r>
          <w:r w:rsidDel="00000000" w:rsidR="00000000" w:rsidRPr="00000000">
            <w:rPr>
              <w:rtl w:val="0"/>
            </w:rPr>
          </w:r>
        </w:p>
        <w:p w:rsidR="00000000" w:rsidDel="00000000" w:rsidP="00000000" w:rsidRDefault="00000000" w:rsidRPr="00000000" w14:paraId="000000F5">
          <w:pPr>
            <w:widowControl w:val="0"/>
            <w:tabs>
              <w:tab w:val="right" w:leader="dot" w:pos="9360"/>
            </w:tabs>
            <w:spacing w:before="60" w:line="240" w:lineRule="auto"/>
            <w:ind w:left="720" w:firstLine="0"/>
            <w:rPr>
              <w:color w:val="000000"/>
              <w:u w:val="none"/>
            </w:rPr>
          </w:pPr>
          <w:hyperlink w:anchor="_1o075yy8nbdy">
            <w:r w:rsidDel="00000000" w:rsidR="00000000" w:rsidRPr="00000000">
              <w:rPr>
                <w:color w:val="000000"/>
                <w:u w:val="none"/>
                <w:rtl w:val="0"/>
              </w:rPr>
              <w:t xml:space="preserve">12.7.1 Cost Avoidance</w:t>
              <w:tab/>
            </w:r>
          </w:hyperlink>
          <w:r w:rsidDel="00000000" w:rsidR="00000000" w:rsidRPr="00000000">
            <w:fldChar w:fldCharType="begin"/>
            <w:instrText xml:space="preserve"> PAGEREF _1o075yy8nbdy \h </w:instrText>
            <w:fldChar w:fldCharType="separate"/>
          </w:r>
          <w:r w:rsidDel="00000000" w:rsidR="00000000" w:rsidRPr="00000000">
            <w:rPr>
              <w:rtl w:val="0"/>
            </w:rPr>
            <w:t xml:space="preserve">142</w:t>
          </w:r>
          <w:r w:rsidDel="00000000" w:rsidR="00000000" w:rsidRPr="00000000">
            <w:fldChar w:fldCharType="end"/>
          </w:r>
          <w:r w:rsidDel="00000000" w:rsidR="00000000" w:rsidRPr="00000000">
            <w:rPr>
              <w:rtl w:val="0"/>
            </w:rPr>
          </w:r>
        </w:p>
        <w:p w:rsidR="00000000" w:rsidDel="00000000" w:rsidP="00000000" w:rsidRDefault="00000000" w:rsidRPr="00000000" w14:paraId="000000F6">
          <w:pPr>
            <w:widowControl w:val="0"/>
            <w:tabs>
              <w:tab w:val="right" w:leader="dot" w:pos="9360"/>
            </w:tabs>
            <w:spacing w:before="60" w:line="240" w:lineRule="auto"/>
            <w:ind w:left="720" w:firstLine="0"/>
            <w:rPr>
              <w:color w:val="000000"/>
              <w:u w:val="none"/>
            </w:rPr>
          </w:pPr>
          <w:hyperlink w:anchor="_psmbu9du26h2">
            <w:r w:rsidDel="00000000" w:rsidR="00000000" w:rsidRPr="00000000">
              <w:rPr>
                <w:color w:val="000000"/>
                <w:u w:val="none"/>
                <w:rtl w:val="0"/>
              </w:rPr>
              <w:t xml:space="preserve">12.7.2 Capital Efficiency</w:t>
              <w:tab/>
            </w:r>
          </w:hyperlink>
          <w:r w:rsidDel="00000000" w:rsidR="00000000" w:rsidRPr="00000000">
            <w:fldChar w:fldCharType="begin"/>
            <w:instrText xml:space="preserve"> PAGEREF _psmbu9du26h2 \h </w:instrText>
            <w:fldChar w:fldCharType="separate"/>
          </w:r>
          <w:r w:rsidDel="00000000" w:rsidR="00000000" w:rsidRPr="00000000">
            <w:rPr>
              <w:rtl w:val="0"/>
            </w:rPr>
            <w:t xml:space="preserve">142</w:t>
          </w:r>
          <w:r w:rsidDel="00000000" w:rsidR="00000000" w:rsidRPr="00000000">
            <w:fldChar w:fldCharType="end"/>
          </w:r>
          <w:r w:rsidDel="00000000" w:rsidR="00000000" w:rsidRPr="00000000">
            <w:rPr>
              <w:rtl w:val="0"/>
            </w:rPr>
          </w:r>
        </w:p>
        <w:p w:rsidR="00000000" w:rsidDel="00000000" w:rsidP="00000000" w:rsidRDefault="00000000" w:rsidRPr="00000000" w14:paraId="000000F7">
          <w:pPr>
            <w:widowControl w:val="0"/>
            <w:tabs>
              <w:tab w:val="right" w:leader="dot" w:pos="9360"/>
            </w:tabs>
            <w:spacing w:before="60" w:line="240" w:lineRule="auto"/>
            <w:ind w:left="720" w:firstLine="0"/>
            <w:rPr>
              <w:color w:val="000000"/>
              <w:u w:val="none"/>
            </w:rPr>
          </w:pPr>
          <w:hyperlink w:anchor="_yhytouih751h">
            <w:r w:rsidDel="00000000" w:rsidR="00000000" w:rsidRPr="00000000">
              <w:rPr>
                <w:color w:val="000000"/>
                <w:u w:val="none"/>
                <w:rtl w:val="0"/>
              </w:rPr>
              <w:t xml:space="preserve">12.7.3 Operational Efficiency</w:t>
              <w:tab/>
            </w:r>
          </w:hyperlink>
          <w:r w:rsidDel="00000000" w:rsidR="00000000" w:rsidRPr="00000000">
            <w:fldChar w:fldCharType="begin"/>
            <w:instrText xml:space="preserve"> PAGEREF _yhytouih751h \h </w:instrText>
            <w:fldChar w:fldCharType="separate"/>
          </w:r>
          <w:r w:rsidDel="00000000" w:rsidR="00000000" w:rsidRPr="00000000">
            <w:rPr>
              <w:rtl w:val="0"/>
            </w:rPr>
            <w:t xml:space="preserve">143</w:t>
          </w:r>
          <w:r w:rsidDel="00000000" w:rsidR="00000000" w:rsidRPr="00000000">
            <w:fldChar w:fldCharType="end"/>
          </w:r>
          <w:r w:rsidDel="00000000" w:rsidR="00000000" w:rsidRPr="00000000">
            <w:rPr>
              <w:rtl w:val="0"/>
            </w:rPr>
          </w:r>
        </w:p>
        <w:p w:rsidR="00000000" w:rsidDel="00000000" w:rsidP="00000000" w:rsidRDefault="00000000" w:rsidRPr="00000000" w14:paraId="000000F8">
          <w:pPr>
            <w:widowControl w:val="0"/>
            <w:tabs>
              <w:tab w:val="right" w:leader="dot" w:pos="9360"/>
            </w:tabs>
            <w:spacing w:before="60" w:line="240" w:lineRule="auto"/>
            <w:ind w:left="720" w:firstLine="0"/>
            <w:rPr>
              <w:color w:val="000000"/>
              <w:u w:val="none"/>
            </w:rPr>
          </w:pPr>
          <w:hyperlink w:anchor="_mkmd9qroh0vm">
            <w:r w:rsidDel="00000000" w:rsidR="00000000" w:rsidRPr="00000000">
              <w:rPr>
                <w:color w:val="000000"/>
                <w:u w:val="none"/>
                <w:rtl w:val="0"/>
              </w:rPr>
              <w:t xml:space="preserve">12.7.4 Revenue Enhancement</w:t>
              <w:tab/>
            </w:r>
          </w:hyperlink>
          <w:r w:rsidDel="00000000" w:rsidR="00000000" w:rsidRPr="00000000">
            <w:fldChar w:fldCharType="begin"/>
            <w:instrText xml:space="preserve"> PAGEREF _mkmd9qroh0vm \h </w:instrText>
            <w:fldChar w:fldCharType="separate"/>
          </w:r>
          <w:r w:rsidDel="00000000" w:rsidR="00000000" w:rsidRPr="00000000">
            <w:rPr>
              <w:rtl w:val="0"/>
            </w:rPr>
            <w:t xml:space="preserve">143</w:t>
          </w:r>
          <w:r w:rsidDel="00000000" w:rsidR="00000000" w:rsidRPr="00000000">
            <w:fldChar w:fldCharType="end"/>
          </w:r>
          <w:r w:rsidDel="00000000" w:rsidR="00000000" w:rsidRPr="00000000">
            <w:rPr>
              <w:rtl w:val="0"/>
            </w:rPr>
          </w:r>
        </w:p>
        <w:p w:rsidR="00000000" w:rsidDel="00000000" w:rsidP="00000000" w:rsidRDefault="00000000" w:rsidRPr="00000000" w14:paraId="000000F9">
          <w:pPr>
            <w:widowControl w:val="0"/>
            <w:tabs>
              <w:tab w:val="right" w:leader="dot" w:pos="9360"/>
            </w:tabs>
            <w:spacing w:before="60" w:line="240" w:lineRule="auto"/>
            <w:ind w:left="360" w:firstLine="0"/>
            <w:rPr>
              <w:color w:val="000000"/>
              <w:u w:val="none"/>
            </w:rPr>
          </w:pPr>
          <w:hyperlink w:anchor="_k2ael7iwrwtd">
            <w:r w:rsidDel="00000000" w:rsidR="00000000" w:rsidRPr="00000000">
              <w:rPr>
                <w:color w:val="000000"/>
                <w:u w:val="none"/>
                <w:rtl w:val="0"/>
              </w:rPr>
              <w:t xml:space="preserve">12.8 Economic Sustainability Without Defense or Surveillance Revenue</w:t>
              <w:tab/>
            </w:r>
          </w:hyperlink>
          <w:r w:rsidDel="00000000" w:rsidR="00000000" w:rsidRPr="00000000">
            <w:fldChar w:fldCharType="begin"/>
            <w:instrText xml:space="preserve"> PAGEREF _k2ael7iwrwtd \h </w:instrText>
            <w:fldChar w:fldCharType="separate"/>
          </w:r>
          <w:r w:rsidDel="00000000" w:rsidR="00000000" w:rsidRPr="00000000">
            <w:rPr>
              <w:rtl w:val="0"/>
            </w:rPr>
            <w:t xml:space="preserve">143</w:t>
          </w:r>
          <w:r w:rsidDel="00000000" w:rsidR="00000000" w:rsidRPr="00000000">
            <w:fldChar w:fldCharType="end"/>
          </w:r>
          <w:r w:rsidDel="00000000" w:rsidR="00000000" w:rsidRPr="00000000">
            <w:rPr>
              <w:rtl w:val="0"/>
            </w:rPr>
          </w:r>
        </w:p>
        <w:p w:rsidR="00000000" w:rsidDel="00000000" w:rsidP="00000000" w:rsidRDefault="00000000" w:rsidRPr="00000000" w14:paraId="000000FA">
          <w:pPr>
            <w:widowControl w:val="0"/>
            <w:tabs>
              <w:tab w:val="right" w:leader="dot" w:pos="9360"/>
            </w:tabs>
            <w:spacing w:before="60" w:line="240" w:lineRule="auto"/>
            <w:ind w:left="360" w:firstLine="0"/>
            <w:rPr>
              <w:color w:val="000000"/>
              <w:u w:val="none"/>
            </w:rPr>
          </w:pPr>
          <w:hyperlink w:anchor="_53o6pw5s3ewv">
            <w:r w:rsidDel="00000000" w:rsidR="00000000" w:rsidRPr="00000000">
              <w:rPr>
                <w:color w:val="000000"/>
                <w:u w:val="none"/>
                <w:rtl w:val="0"/>
              </w:rPr>
              <w:t xml:space="preserve">12.9 Economic Risk Factors</w:t>
              <w:tab/>
            </w:r>
          </w:hyperlink>
          <w:r w:rsidDel="00000000" w:rsidR="00000000" w:rsidRPr="00000000">
            <w:fldChar w:fldCharType="begin"/>
            <w:instrText xml:space="preserve"> PAGEREF _53o6pw5s3ewv \h </w:instrText>
            <w:fldChar w:fldCharType="separate"/>
          </w:r>
          <w:r w:rsidDel="00000000" w:rsidR="00000000" w:rsidRPr="00000000">
            <w:rPr>
              <w:rtl w:val="0"/>
            </w:rPr>
            <w:t xml:space="preserve">144</w:t>
          </w:r>
          <w:r w:rsidDel="00000000" w:rsidR="00000000" w:rsidRPr="00000000">
            <w:fldChar w:fldCharType="end"/>
          </w:r>
          <w:r w:rsidDel="00000000" w:rsidR="00000000" w:rsidRPr="00000000">
            <w:rPr>
              <w:rtl w:val="0"/>
            </w:rPr>
          </w:r>
        </w:p>
        <w:p w:rsidR="00000000" w:rsidDel="00000000" w:rsidP="00000000" w:rsidRDefault="00000000" w:rsidRPr="00000000" w14:paraId="000000FB">
          <w:pPr>
            <w:widowControl w:val="0"/>
            <w:tabs>
              <w:tab w:val="right" w:leader="dot" w:pos="9360"/>
            </w:tabs>
            <w:spacing w:before="60" w:line="240" w:lineRule="auto"/>
            <w:rPr>
              <w:b w:val="1"/>
              <w:bCs w:val="1"/>
              <w:color w:val="000000"/>
              <w:u w:val="none"/>
            </w:rPr>
          </w:pPr>
          <w:hyperlink w:anchor="_n4xxda0r2p5">
            <w:r w:rsidDel="00000000" w:rsidR="00000000" w:rsidRPr="00000000">
              <w:rPr>
                <w:b w:val="1"/>
                <w:bCs w:val="1"/>
                <w:color w:val="000000"/>
                <w:u w:val="none"/>
                <w:rtl w:val="0"/>
              </w:rPr>
              <w:t xml:space="preserve">SECTION 13: SUCCESSION AND CONTINUITY</w:t>
              <w:tab/>
            </w:r>
          </w:hyperlink>
          <w:r w:rsidDel="00000000" w:rsidR="00000000" w:rsidRPr="00000000">
            <w:fldChar w:fldCharType="begin"/>
            <w:instrText xml:space="preserve"> PAGEREF _n4xxda0r2p5 \h </w:instrText>
            <w:fldChar w:fldCharType="separate"/>
          </w:r>
          <w:r w:rsidDel="00000000" w:rsidR="00000000" w:rsidRPr="00000000">
            <w:rPr>
              <w:b w:val="1"/>
              <w:bCs w:val="1"/>
              <w:rtl w:val="0"/>
            </w:rPr>
            <w:t xml:space="preserve">145</w:t>
          </w:r>
          <w:r w:rsidDel="00000000" w:rsidR="00000000" w:rsidRPr="00000000">
            <w:fldChar w:fldCharType="end"/>
          </w:r>
          <w:r w:rsidDel="00000000" w:rsidR="00000000" w:rsidRPr="00000000">
            <w:rPr>
              <w:rtl w:val="0"/>
            </w:rPr>
          </w:r>
        </w:p>
        <w:p w:rsidR="00000000" w:rsidDel="00000000" w:rsidP="00000000" w:rsidRDefault="00000000" w:rsidRPr="00000000" w14:paraId="000000FC">
          <w:pPr>
            <w:widowControl w:val="0"/>
            <w:tabs>
              <w:tab w:val="right" w:leader="dot" w:pos="9360"/>
            </w:tabs>
            <w:spacing w:before="60" w:line="240" w:lineRule="auto"/>
            <w:ind w:left="360" w:firstLine="0"/>
            <w:rPr>
              <w:color w:val="000000"/>
              <w:u w:val="none"/>
            </w:rPr>
          </w:pPr>
          <w:hyperlink w:anchor="_w6ift3faao85">
            <w:r w:rsidDel="00000000" w:rsidR="00000000" w:rsidRPr="00000000">
              <w:rPr>
                <w:color w:val="000000"/>
                <w:u w:val="none"/>
                <w:rtl w:val="0"/>
              </w:rPr>
              <w:t xml:space="preserve">13.0 Overview</w:t>
              <w:tab/>
            </w:r>
          </w:hyperlink>
          <w:r w:rsidDel="00000000" w:rsidR="00000000" w:rsidRPr="00000000">
            <w:fldChar w:fldCharType="begin"/>
            <w:instrText xml:space="preserve"> PAGEREF _w6ift3faao85 \h </w:instrText>
            <w:fldChar w:fldCharType="separate"/>
          </w:r>
          <w:r w:rsidDel="00000000" w:rsidR="00000000" w:rsidRPr="00000000">
            <w:rPr>
              <w:rtl w:val="0"/>
            </w:rPr>
            <w:t xml:space="preserve">145</w:t>
          </w:r>
          <w:r w:rsidDel="00000000" w:rsidR="00000000" w:rsidRPr="00000000">
            <w:fldChar w:fldCharType="end"/>
          </w:r>
          <w:r w:rsidDel="00000000" w:rsidR="00000000" w:rsidRPr="00000000">
            <w:rPr>
              <w:rtl w:val="0"/>
            </w:rPr>
          </w:r>
        </w:p>
        <w:p w:rsidR="00000000" w:rsidDel="00000000" w:rsidP="00000000" w:rsidRDefault="00000000" w:rsidRPr="00000000" w14:paraId="000000FD">
          <w:pPr>
            <w:widowControl w:val="0"/>
            <w:tabs>
              <w:tab w:val="right" w:leader="dot" w:pos="9360"/>
            </w:tabs>
            <w:spacing w:before="60" w:line="240" w:lineRule="auto"/>
            <w:ind w:left="360" w:firstLine="0"/>
            <w:rPr>
              <w:color w:val="000000"/>
              <w:u w:val="none"/>
            </w:rPr>
          </w:pPr>
          <w:hyperlink w:anchor="_s2fsrkc1g6at">
            <w:r w:rsidDel="00000000" w:rsidR="00000000" w:rsidRPr="00000000">
              <w:rPr>
                <w:color w:val="000000"/>
                <w:u w:val="none"/>
                <w:rtl w:val="0"/>
              </w:rPr>
              <w:t xml:space="preserve">13.1 The Succession Declaration</w:t>
              <w:tab/>
            </w:r>
          </w:hyperlink>
          <w:r w:rsidDel="00000000" w:rsidR="00000000" w:rsidRPr="00000000">
            <w:fldChar w:fldCharType="begin"/>
            <w:instrText xml:space="preserve"> PAGEREF _s2fsrkc1g6at \h </w:instrText>
            <w:fldChar w:fldCharType="separate"/>
          </w:r>
          <w:r w:rsidDel="00000000" w:rsidR="00000000" w:rsidRPr="00000000">
            <w:rPr>
              <w:rtl w:val="0"/>
            </w:rPr>
            <w:t xml:space="preserve">145</w:t>
          </w:r>
          <w:r w:rsidDel="00000000" w:rsidR="00000000" w:rsidRPr="00000000">
            <w:fldChar w:fldCharType="end"/>
          </w:r>
          <w:r w:rsidDel="00000000" w:rsidR="00000000" w:rsidRPr="00000000">
            <w:rPr>
              <w:rtl w:val="0"/>
            </w:rPr>
          </w:r>
        </w:p>
        <w:p w:rsidR="00000000" w:rsidDel="00000000" w:rsidP="00000000" w:rsidRDefault="00000000" w:rsidRPr="00000000" w14:paraId="000000FE">
          <w:pPr>
            <w:widowControl w:val="0"/>
            <w:tabs>
              <w:tab w:val="right" w:leader="dot" w:pos="9360"/>
            </w:tabs>
            <w:spacing w:before="60" w:line="240" w:lineRule="auto"/>
            <w:ind w:left="720" w:firstLine="0"/>
            <w:rPr>
              <w:color w:val="000000"/>
              <w:u w:val="none"/>
            </w:rPr>
          </w:pPr>
          <w:hyperlink w:anchor="_xk2mfk8uuako">
            <w:r w:rsidDel="00000000" w:rsidR="00000000" w:rsidRPr="00000000">
              <w:rPr>
                <w:color w:val="000000"/>
                <w:u w:val="none"/>
                <w:rtl w:val="0"/>
              </w:rPr>
              <w:t xml:space="preserve">13.1.1 Trigger Conditions</w:t>
              <w:tab/>
            </w:r>
          </w:hyperlink>
          <w:r w:rsidDel="00000000" w:rsidR="00000000" w:rsidRPr="00000000">
            <w:fldChar w:fldCharType="begin"/>
            <w:instrText xml:space="preserve"> PAGEREF _xk2mfk8uuako \h </w:instrText>
            <w:fldChar w:fldCharType="separate"/>
          </w:r>
          <w:r w:rsidDel="00000000" w:rsidR="00000000" w:rsidRPr="00000000">
            <w:rPr>
              <w:rtl w:val="0"/>
            </w:rPr>
            <w:t xml:space="preserve">146</w:t>
          </w:r>
          <w:r w:rsidDel="00000000" w:rsidR="00000000" w:rsidRPr="00000000">
            <w:fldChar w:fldCharType="end"/>
          </w:r>
          <w:r w:rsidDel="00000000" w:rsidR="00000000" w:rsidRPr="00000000">
            <w:rPr>
              <w:rtl w:val="0"/>
            </w:rPr>
          </w:r>
        </w:p>
        <w:p w:rsidR="00000000" w:rsidDel="00000000" w:rsidP="00000000" w:rsidRDefault="00000000" w:rsidRPr="00000000" w14:paraId="000000FF">
          <w:pPr>
            <w:widowControl w:val="0"/>
            <w:tabs>
              <w:tab w:val="right" w:leader="dot" w:pos="9360"/>
            </w:tabs>
            <w:spacing w:before="60" w:line="240" w:lineRule="auto"/>
            <w:ind w:left="720" w:firstLine="0"/>
            <w:rPr>
              <w:color w:val="000000"/>
              <w:u w:val="none"/>
            </w:rPr>
          </w:pPr>
          <w:hyperlink w:anchor="_20qbky37bmdm">
            <w:r w:rsidDel="00000000" w:rsidR="00000000" w:rsidRPr="00000000">
              <w:rPr>
                <w:color w:val="000000"/>
                <w:u w:val="none"/>
                <w:rtl w:val="0"/>
              </w:rPr>
              <w:t xml:space="preserve">13.1.2 Succession Protocol Activation</w:t>
              <w:tab/>
            </w:r>
          </w:hyperlink>
          <w:r w:rsidDel="00000000" w:rsidR="00000000" w:rsidRPr="00000000">
            <w:fldChar w:fldCharType="begin"/>
            <w:instrText xml:space="preserve"> PAGEREF _20qbky37bmdm \h </w:instrText>
            <w:fldChar w:fldCharType="separate"/>
          </w:r>
          <w:r w:rsidDel="00000000" w:rsidR="00000000" w:rsidRPr="00000000">
            <w:rPr>
              <w:rtl w:val="0"/>
            </w:rPr>
            <w:t xml:space="preserve">147</w:t>
          </w:r>
          <w:r w:rsidDel="00000000" w:rsidR="00000000" w:rsidRPr="00000000">
            <w:fldChar w:fldCharType="end"/>
          </w:r>
          <w:r w:rsidDel="00000000" w:rsidR="00000000" w:rsidRPr="00000000">
            <w:rPr>
              <w:rtl w:val="0"/>
            </w:rPr>
          </w:r>
        </w:p>
        <w:p w:rsidR="00000000" w:rsidDel="00000000" w:rsidP="00000000" w:rsidRDefault="00000000" w:rsidRPr="00000000" w14:paraId="00000100">
          <w:pPr>
            <w:widowControl w:val="0"/>
            <w:tabs>
              <w:tab w:val="right" w:leader="dot" w:pos="9360"/>
            </w:tabs>
            <w:spacing w:before="60" w:line="240" w:lineRule="auto"/>
            <w:ind w:left="720" w:firstLine="0"/>
            <w:rPr>
              <w:color w:val="000000"/>
              <w:u w:val="none"/>
            </w:rPr>
          </w:pPr>
          <w:hyperlink w:anchor="_qhiysxb99410">
            <w:r w:rsidDel="00000000" w:rsidR="00000000" w:rsidRPr="00000000">
              <w:rPr>
                <w:color w:val="000000"/>
                <w:u w:val="none"/>
                <w:rtl w:val="0"/>
              </w:rPr>
              <w:t xml:space="preserve">13.1.3 The Conservative Schema Fallback</w:t>
              <w:tab/>
            </w:r>
          </w:hyperlink>
          <w:r w:rsidDel="00000000" w:rsidR="00000000" w:rsidRPr="00000000">
            <w:fldChar w:fldCharType="begin"/>
            <w:instrText xml:space="preserve"> PAGEREF _qhiysxb99410 \h </w:instrText>
            <w:fldChar w:fldCharType="separate"/>
          </w:r>
          <w:r w:rsidDel="00000000" w:rsidR="00000000" w:rsidRPr="00000000">
            <w:rPr>
              <w:rtl w:val="0"/>
            </w:rPr>
            <w:t xml:space="preserve">147</w:t>
          </w:r>
          <w:r w:rsidDel="00000000" w:rsidR="00000000" w:rsidRPr="00000000">
            <w:fldChar w:fldCharType="end"/>
          </w:r>
          <w:r w:rsidDel="00000000" w:rsidR="00000000" w:rsidRPr="00000000">
            <w:rPr>
              <w:rtl w:val="0"/>
            </w:rPr>
          </w:r>
        </w:p>
        <w:p w:rsidR="00000000" w:rsidDel="00000000" w:rsidP="00000000" w:rsidRDefault="00000000" w:rsidRPr="00000000" w14:paraId="00000101">
          <w:pPr>
            <w:widowControl w:val="0"/>
            <w:tabs>
              <w:tab w:val="right" w:leader="dot" w:pos="9360"/>
            </w:tabs>
            <w:spacing w:before="60" w:line="240" w:lineRule="auto"/>
            <w:ind w:left="720" w:firstLine="0"/>
            <w:rPr>
              <w:color w:val="000000"/>
              <w:u w:val="none"/>
            </w:rPr>
          </w:pPr>
          <w:hyperlink w:anchor="_rkrnjaj8ukb1">
            <w:r w:rsidDel="00000000" w:rsidR="00000000" w:rsidRPr="00000000">
              <w:rPr>
                <w:color w:val="000000"/>
                <w:u w:val="none"/>
                <w:rtl w:val="0"/>
              </w:rPr>
              <w:t xml:space="preserve">13.1.4 What Succession Does Not Transfer</w:t>
              <w:tab/>
            </w:r>
          </w:hyperlink>
          <w:r w:rsidDel="00000000" w:rsidR="00000000" w:rsidRPr="00000000">
            <w:fldChar w:fldCharType="begin"/>
            <w:instrText xml:space="preserve"> PAGEREF _rkrnjaj8ukb1 \h </w:instrText>
            <w:fldChar w:fldCharType="separate"/>
          </w:r>
          <w:r w:rsidDel="00000000" w:rsidR="00000000" w:rsidRPr="00000000">
            <w:rPr>
              <w:rtl w:val="0"/>
            </w:rPr>
            <w:t xml:space="preserve">148</w:t>
          </w:r>
          <w:r w:rsidDel="00000000" w:rsidR="00000000" w:rsidRPr="00000000">
            <w:fldChar w:fldCharType="end"/>
          </w:r>
          <w:r w:rsidDel="00000000" w:rsidR="00000000" w:rsidRPr="00000000">
            <w:rPr>
              <w:rtl w:val="0"/>
            </w:rPr>
          </w:r>
        </w:p>
        <w:p w:rsidR="00000000" w:rsidDel="00000000" w:rsidP="00000000" w:rsidRDefault="00000000" w:rsidRPr="00000000" w14:paraId="00000102">
          <w:pPr>
            <w:widowControl w:val="0"/>
            <w:tabs>
              <w:tab w:val="right" w:leader="dot" w:pos="9360"/>
            </w:tabs>
            <w:spacing w:before="60" w:line="240" w:lineRule="auto"/>
            <w:ind w:left="360" w:firstLine="0"/>
            <w:rPr>
              <w:color w:val="000000"/>
              <w:u w:val="none"/>
            </w:rPr>
          </w:pPr>
          <w:hyperlink w:anchor="_nl7dbvypmcx4">
            <w:r w:rsidDel="00000000" w:rsidR="00000000" w:rsidRPr="00000000">
              <w:rPr>
                <w:color w:val="000000"/>
                <w:u w:val="none"/>
                <w:rtl w:val="0"/>
              </w:rPr>
              <w:t xml:space="preserve">13.2 The Open Source License</w:t>
              <w:tab/>
            </w:r>
          </w:hyperlink>
          <w:r w:rsidDel="00000000" w:rsidR="00000000" w:rsidRPr="00000000">
            <w:fldChar w:fldCharType="begin"/>
            <w:instrText xml:space="preserve"> PAGEREF _nl7dbvypmcx4 \h </w:instrText>
            <w:fldChar w:fldCharType="separate"/>
          </w:r>
          <w:r w:rsidDel="00000000" w:rsidR="00000000" w:rsidRPr="00000000">
            <w:rPr>
              <w:rtl w:val="0"/>
            </w:rPr>
            <w:t xml:space="preserve">148</w:t>
          </w:r>
          <w:r w:rsidDel="00000000" w:rsidR="00000000" w:rsidRPr="00000000">
            <w:fldChar w:fldCharType="end"/>
          </w:r>
          <w:r w:rsidDel="00000000" w:rsidR="00000000" w:rsidRPr="00000000">
            <w:rPr>
              <w:rtl w:val="0"/>
            </w:rPr>
          </w:r>
        </w:p>
        <w:p w:rsidR="00000000" w:rsidDel="00000000" w:rsidP="00000000" w:rsidRDefault="00000000" w:rsidRPr="00000000" w14:paraId="00000103">
          <w:pPr>
            <w:widowControl w:val="0"/>
            <w:tabs>
              <w:tab w:val="right" w:leader="dot" w:pos="9360"/>
            </w:tabs>
            <w:spacing w:before="60" w:line="240" w:lineRule="auto"/>
            <w:ind w:left="720" w:firstLine="0"/>
            <w:rPr>
              <w:color w:val="000000"/>
              <w:u w:val="none"/>
            </w:rPr>
          </w:pPr>
          <w:hyperlink w:anchor="_ahep9v5cvl8t">
            <w:r w:rsidDel="00000000" w:rsidR="00000000" w:rsidRPr="00000000">
              <w:rPr>
                <w:color w:val="000000"/>
                <w:u w:val="none"/>
                <w:rtl w:val="0"/>
              </w:rPr>
              <w:t xml:space="preserve">13.2.1 The Three Covenants</w:t>
              <w:tab/>
            </w:r>
          </w:hyperlink>
          <w:r w:rsidDel="00000000" w:rsidR="00000000" w:rsidRPr="00000000">
            <w:fldChar w:fldCharType="begin"/>
            <w:instrText xml:space="preserve"> PAGEREF _ahep9v5cvl8t \h </w:instrText>
            <w:fldChar w:fldCharType="separate"/>
          </w:r>
          <w:r w:rsidDel="00000000" w:rsidR="00000000" w:rsidRPr="00000000">
            <w:rPr>
              <w:rtl w:val="0"/>
            </w:rPr>
            <w:t xml:space="preserve">149</w:t>
          </w:r>
          <w:r w:rsidDel="00000000" w:rsidR="00000000" w:rsidRPr="00000000">
            <w:fldChar w:fldCharType="end"/>
          </w:r>
          <w:r w:rsidDel="00000000" w:rsidR="00000000" w:rsidRPr="00000000">
            <w:rPr>
              <w:rtl w:val="0"/>
            </w:rPr>
          </w:r>
        </w:p>
        <w:p w:rsidR="00000000" w:rsidDel="00000000" w:rsidP="00000000" w:rsidRDefault="00000000" w:rsidRPr="00000000" w14:paraId="00000104">
          <w:pPr>
            <w:widowControl w:val="0"/>
            <w:tabs>
              <w:tab w:val="right" w:leader="dot" w:pos="9360"/>
            </w:tabs>
            <w:spacing w:before="60" w:line="240" w:lineRule="auto"/>
            <w:ind w:left="720" w:firstLine="0"/>
            <w:rPr>
              <w:color w:val="000000"/>
              <w:u w:val="none"/>
            </w:rPr>
          </w:pPr>
          <w:hyperlink w:anchor="_c7td02e86ffk">
            <w:r w:rsidDel="00000000" w:rsidR="00000000" w:rsidRPr="00000000">
              <w:rPr>
                <w:color w:val="000000"/>
                <w:u w:val="none"/>
                <w:rtl w:val="0"/>
              </w:rPr>
              <w:t xml:space="preserve">13.2.2 The Evidentiary Burden Inversion</w:t>
              <w:tab/>
            </w:r>
          </w:hyperlink>
          <w:r w:rsidDel="00000000" w:rsidR="00000000" w:rsidRPr="00000000">
            <w:fldChar w:fldCharType="begin"/>
            <w:instrText xml:space="preserve"> PAGEREF _c7td02e86ffk \h </w:instrText>
            <w:fldChar w:fldCharType="separate"/>
          </w:r>
          <w:r w:rsidDel="00000000" w:rsidR="00000000" w:rsidRPr="00000000">
            <w:rPr>
              <w:rtl w:val="0"/>
            </w:rPr>
            <w:t xml:space="preserve">150</w:t>
          </w:r>
          <w:r w:rsidDel="00000000" w:rsidR="00000000" w:rsidRPr="00000000">
            <w:fldChar w:fldCharType="end"/>
          </w:r>
          <w:r w:rsidDel="00000000" w:rsidR="00000000" w:rsidRPr="00000000">
            <w:rPr>
              <w:rtl w:val="0"/>
            </w:rPr>
          </w:r>
        </w:p>
        <w:p w:rsidR="00000000" w:rsidDel="00000000" w:rsidP="00000000" w:rsidRDefault="00000000" w:rsidRPr="00000000" w14:paraId="00000105">
          <w:pPr>
            <w:widowControl w:val="0"/>
            <w:tabs>
              <w:tab w:val="right" w:leader="dot" w:pos="9360"/>
            </w:tabs>
            <w:spacing w:before="60" w:line="240" w:lineRule="auto"/>
            <w:ind w:left="720" w:firstLine="0"/>
            <w:rPr>
              <w:color w:val="000000"/>
              <w:u w:val="none"/>
            </w:rPr>
          </w:pPr>
          <w:hyperlink w:anchor="_ah0xn61ey5v7">
            <w:r w:rsidDel="00000000" w:rsidR="00000000" w:rsidRPr="00000000">
              <w:rPr>
                <w:color w:val="000000"/>
                <w:u w:val="none"/>
                <w:rtl w:val="0"/>
              </w:rPr>
              <w:t xml:space="preserve">13.2.3 Severability and Jurisdictional Resilience</w:t>
              <w:tab/>
            </w:r>
          </w:hyperlink>
          <w:r w:rsidDel="00000000" w:rsidR="00000000" w:rsidRPr="00000000">
            <w:fldChar w:fldCharType="begin"/>
            <w:instrText xml:space="preserve"> PAGEREF _ah0xn61ey5v7 \h </w:instrText>
            <w:fldChar w:fldCharType="separate"/>
          </w:r>
          <w:r w:rsidDel="00000000" w:rsidR="00000000" w:rsidRPr="00000000">
            <w:rPr>
              <w:rtl w:val="0"/>
            </w:rPr>
            <w:t xml:space="preserve">151</w:t>
          </w:r>
          <w:r w:rsidDel="00000000" w:rsidR="00000000" w:rsidRPr="00000000">
            <w:fldChar w:fldCharType="end"/>
          </w:r>
          <w:r w:rsidDel="00000000" w:rsidR="00000000" w:rsidRPr="00000000">
            <w:rPr>
              <w:rtl w:val="0"/>
            </w:rPr>
          </w:r>
        </w:p>
        <w:p w:rsidR="00000000" w:rsidDel="00000000" w:rsidP="00000000" w:rsidRDefault="00000000" w:rsidRPr="00000000" w14:paraId="00000106">
          <w:pPr>
            <w:widowControl w:val="0"/>
            <w:tabs>
              <w:tab w:val="right" w:leader="dot" w:pos="9360"/>
            </w:tabs>
            <w:spacing w:before="60" w:line="240" w:lineRule="auto"/>
            <w:ind w:left="360" w:firstLine="0"/>
            <w:rPr>
              <w:color w:val="000000"/>
              <w:u w:val="none"/>
            </w:rPr>
          </w:pPr>
          <w:hyperlink w:anchor="_l93c1v24eu34">
            <w:r w:rsidDel="00000000" w:rsidR="00000000" w:rsidRPr="00000000">
              <w:rPr>
                <w:color w:val="000000"/>
                <w:u w:val="none"/>
                <w:rtl w:val="0"/>
              </w:rPr>
              <w:t xml:space="preserve">13.3 Long-Term Continuity Mechanisms</w:t>
              <w:tab/>
            </w:r>
          </w:hyperlink>
          <w:r w:rsidDel="00000000" w:rsidR="00000000" w:rsidRPr="00000000">
            <w:fldChar w:fldCharType="begin"/>
            <w:instrText xml:space="preserve"> PAGEREF _l93c1v24eu34 \h </w:instrText>
            <w:fldChar w:fldCharType="separate"/>
          </w:r>
          <w:r w:rsidDel="00000000" w:rsidR="00000000" w:rsidRPr="00000000">
            <w:rPr>
              <w:rtl w:val="0"/>
            </w:rPr>
            <w:t xml:space="preserve">151</w:t>
          </w:r>
          <w:r w:rsidDel="00000000" w:rsidR="00000000" w:rsidRPr="00000000">
            <w:fldChar w:fldCharType="end"/>
          </w:r>
          <w:r w:rsidDel="00000000" w:rsidR="00000000" w:rsidRPr="00000000">
            <w:rPr>
              <w:rtl w:val="0"/>
            </w:rPr>
          </w:r>
        </w:p>
        <w:p w:rsidR="00000000" w:rsidDel="00000000" w:rsidP="00000000" w:rsidRDefault="00000000" w:rsidRPr="00000000" w14:paraId="00000107">
          <w:pPr>
            <w:widowControl w:val="0"/>
            <w:tabs>
              <w:tab w:val="right" w:leader="dot" w:pos="9360"/>
            </w:tabs>
            <w:spacing w:before="60" w:line="240" w:lineRule="auto"/>
            <w:ind w:left="720" w:firstLine="0"/>
            <w:rPr>
              <w:color w:val="000000"/>
              <w:u w:val="none"/>
            </w:rPr>
          </w:pPr>
          <w:hyperlink w:anchor="_dfa3gbwsgmoq">
            <w:r w:rsidDel="00000000" w:rsidR="00000000" w:rsidRPr="00000000">
              <w:rPr>
                <w:color w:val="000000"/>
                <w:u w:val="none"/>
                <w:rtl w:val="0"/>
              </w:rPr>
              <w:t xml:space="preserve">13.3.1 The Immutable Ledger as Institutional Memory</w:t>
              <w:tab/>
            </w:r>
          </w:hyperlink>
          <w:r w:rsidDel="00000000" w:rsidR="00000000" w:rsidRPr="00000000">
            <w:fldChar w:fldCharType="begin"/>
            <w:instrText xml:space="preserve"> PAGEREF _dfa3gbwsgmoq \h </w:instrText>
            <w:fldChar w:fldCharType="separate"/>
          </w:r>
          <w:r w:rsidDel="00000000" w:rsidR="00000000" w:rsidRPr="00000000">
            <w:rPr>
              <w:rtl w:val="0"/>
            </w:rPr>
            <w:t xml:space="preserve">151</w:t>
          </w:r>
          <w:r w:rsidDel="00000000" w:rsidR="00000000" w:rsidRPr="00000000">
            <w:fldChar w:fldCharType="end"/>
          </w:r>
          <w:r w:rsidDel="00000000" w:rsidR="00000000" w:rsidRPr="00000000">
            <w:rPr>
              <w:rtl w:val="0"/>
            </w:rPr>
          </w:r>
        </w:p>
        <w:p w:rsidR="00000000" w:rsidDel="00000000" w:rsidP="00000000" w:rsidRDefault="00000000" w:rsidRPr="00000000" w14:paraId="00000108">
          <w:pPr>
            <w:widowControl w:val="0"/>
            <w:tabs>
              <w:tab w:val="right" w:leader="dot" w:pos="9360"/>
            </w:tabs>
            <w:spacing w:before="60" w:line="240" w:lineRule="auto"/>
            <w:ind w:left="720" w:firstLine="0"/>
            <w:rPr>
              <w:color w:val="000000"/>
              <w:u w:val="none"/>
            </w:rPr>
          </w:pPr>
          <w:hyperlink w:anchor="_nwjlnnkf6xo1">
            <w:r w:rsidDel="00000000" w:rsidR="00000000" w:rsidRPr="00000000">
              <w:rPr>
                <w:color w:val="000000"/>
                <w:u w:val="none"/>
                <w:rtl w:val="0"/>
              </w:rPr>
              <w:t xml:space="preserve">13.3.2 Mandatory Review Protocol and Drift Prevention</w:t>
              <w:tab/>
            </w:r>
          </w:hyperlink>
          <w:r w:rsidDel="00000000" w:rsidR="00000000" w:rsidRPr="00000000">
            <w:fldChar w:fldCharType="begin"/>
            <w:instrText xml:space="preserve"> PAGEREF _nwjlnnkf6xo1 \h </w:instrText>
            <w:fldChar w:fldCharType="separate"/>
          </w:r>
          <w:r w:rsidDel="00000000" w:rsidR="00000000" w:rsidRPr="00000000">
            <w:rPr>
              <w:rtl w:val="0"/>
            </w:rPr>
            <w:t xml:space="preserve">152</w:t>
          </w:r>
          <w:r w:rsidDel="00000000" w:rsidR="00000000" w:rsidRPr="00000000">
            <w:fldChar w:fldCharType="end"/>
          </w:r>
          <w:r w:rsidDel="00000000" w:rsidR="00000000" w:rsidRPr="00000000">
            <w:rPr>
              <w:rtl w:val="0"/>
            </w:rPr>
          </w:r>
        </w:p>
        <w:p w:rsidR="00000000" w:rsidDel="00000000" w:rsidP="00000000" w:rsidRDefault="00000000" w:rsidRPr="00000000" w14:paraId="00000109">
          <w:pPr>
            <w:widowControl w:val="0"/>
            <w:tabs>
              <w:tab w:val="right" w:leader="dot" w:pos="9360"/>
            </w:tabs>
            <w:spacing w:before="60" w:line="240" w:lineRule="auto"/>
            <w:ind w:left="720" w:firstLine="0"/>
            <w:rPr>
              <w:color w:val="000000"/>
              <w:u w:val="none"/>
            </w:rPr>
          </w:pPr>
          <w:hyperlink w:anchor="_kqras4kc76y9">
            <w:r w:rsidDel="00000000" w:rsidR="00000000" w:rsidRPr="00000000">
              <w:rPr>
                <w:color w:val="000000"/>
                <w:u w:val="none"/>
                <w:rtl w:val="0"/>
              </w:rPr>
              <w:t xml:space="preserve">13.3.3 The Distributed Resilience of the Goukassian Vow</w:t>
              <w:tab/>
            </w:r>
          </w:hyperlink>
          <w:r w:rsidDel="00000000" w:rsidR="00000000" w:rsidRPr="00000000">
            <w:fldChar w:fldCharType="begin"/>
            <w:instrText xml:space="preserve"> PAGEREF _kqras4kc76y9 \h </w:instrText>
            <w:fldChar w:fldCharType="separate"/>
          </w:r>
          <w:r w:rsidDel="00000000" w:rsidR="00000000" w:rsidRPr="00000000">
            <w:rPr>
              <w:rtl w:val="0"/>
            </w:rPr>
            <w:t xml:space="preserve">152</w:t>
          </w:r>
          <w:r w:rsidDel="00000000" w:rsidR="00000000" w:rsidRPr="00000000">
            <w:fldChar w:fldCharType="end"/>
          </w:r>
          <w:r w:rsidDel="00000000" w:rsidR="00000000" w:rsidRPr="00000000">
            <w:rPr>
              <w:rtl w:val="0"/>
            </w:rPr>
          </w:r>
        </w:p>
        <w:p w:rsidR="00000000" w:rsidDel="00000000" w:rsidP="00000000" w:rsidRDefault="00000000" w:rsidRPr="00000000" w14:paraId="0000010A">
          <w:pPr>
            <w:widowControl w:val="0"/>
            <w:tabs>
              <w:tab w:val="right" w:leader="dot" w:pos="9360"/>
            </w:tabs>
            <w:spacing w:before="60" w:line="240" w:lineRule="auto"/>
            <w:ind w:left="360" w:firstLine="0"/>
            <w:rPr>
              <w:color w:val="000000"/>
              <w:u w:val="none"/>
            </w:rPr>
          </w:pPr>
          <w:hyperlink w:anchor="_g180ogl6voux">
            <w:r w:rsidDel="00000000" w:rsidR="00000000" w:rsidRPr="00000000">
              <w:rPr>
                <w:color w:val="000000"/>
                <w:u w:val="none"/>
                <w:rtl w:val="0"/>
              </w:rPr>
              <w:t xml:space="preserve">13.4 Ghost Governance and Institutional Immortality</w:t>
              <w:tab/>
            </w:r>
          </w:hyperlink>
          <w:r w:rsidDel="00000000" w:rsidR="00000000" w:rsidRPr="00000000">
            <w:fldChar w:fldCharType="begin"/>
            <w:instrText xml:space="preserve"> PAGEREF _g180ogl6voux \h </w:instrText>
            <w:fldChar w:fldCharType="separate"/>
          </w:r>
          <w:r w:rsidDel="00000000" w:rsidR="00000000" w:rsidRPr="00000000">
            <w:rPr>
              <w:rtl w:val="0"/>
            </w:rPr>
            <w:t xml:space="preserve">153</w:t>
          </w:r>
          <w:r w:rsidDel="00000000" w:rsidR="00000000" w:rsidRPr="00000000">
            <w:fldChar w:fldCharType="end"/>
          </w:r>
          <w:r w:rsidDel="00000000" w:rsidR="00000000" w:rsidRPr="00000000">
            <w:rPr>
              <w:rtl w:val="0"/>
            </w:rPr>
          </w:r>
        </w:p>
        <w:p w:rsidR="00000000" w:rsidDel="00000000" w:rsidP="00000000" w:rsidRDefault="00000000" w:rsidRPr="00000000" w14:paraId="0000010B">
          <w:pPr>
            <w:widowControl w:val="0"/>
            <w:tabs>
              <w:tab w:val="right" w:leader="dot" w:pos="9360"/>
            </w:tabs>
            <w:spacing w:before="60" w:line="240" w:lineRule="auto"/>
            <w:ind w:left="360" w:firstLine="0"/>
            <w:rPr>
              <w:color w:val="000000"/>
              <w:u w:val="none"/>
            </w:rPr>
          </w:pPr>
          <w:hyperlink w:anchor="_phf2u4wndxpy">
            <w:r w:rsidDel="00000000" w:rsidR="00000000" w:rsidRPr="00000000">
              <w:rPr>
                <w:color w:val="000000"/>
                <w:u w:val="none"/>
                <w:rtl w:val="0"/>
              </w:rPr>
              <w:t xml:space="preserve">13.5 Author Attribution</w:t>
              <w:tab/>
            </w:r>
          </w:hyperlink>
          <w:r w:rsidDel="00000000" w:rsidR="00000000" w:rsidRPr="00000000">
            <w:fldChar w:fldCharType="begin"/>
            <w:instrText xml:space="preserve"> PAGEREF _phf2u4wndxpy \h </w:instrText>
            <w:fldChar w:fldCharType="separate"/>
          </w:r>
          <w:r w:rsidDel="00000000" w:rsidR="00000000" w:rsidRPr="00000000">
            <w:rPr>
              <w:rtl w:val="0"/>
            </w:rPr>
            <w:t xml:space="preserve">154</w:t>
          </w:r>
          <w:r w:rsidDel="00000000" w:rsidR="00000000" w:rsidRPr="00000000">
            <w:fldChar w:fldCharType="end"/>
          </w:r>
          <w:r w:rsidDel="00000000" w:rsidR="00000000" w:rsidRPr="00000000">
            <w:rPr>
              <w:rtl w:val="0"/>
            </w:rPr>
          </w:r>
        </w:p>
        <w:p w:rsidR="00000000" w:rsidDel="00000000" w:rsidP="00000000" w:rsidRDefault="00000000" w:rsidRPr="00000000" w14:paraId="0000010C">
          <w:pPr>
            <w:widowControl w:val="0"/>
            <w:tabs>
              <w:tab w:val="right" w:leader="dot" w:pos="9360"/>
            </w:tabs>
            <w:spacing w:before="60" w:line="240" w:lineRule="auto"/>
            <w:ind w:left="360" w:firstLine="0"/>
            <w:rPr>
              <w:color w:val="000000"/>
              <w:u w:val="none"/>
            </w:rPr>
          </w:pPr>
          <w:hyperlink w:anchor="_uzcuovs9ks2c">
            <w:r w:rsidDel="00000000" w:rsidR="00000000" w:rsidRPr="00000000">
              <w:rPr>
                <w:color w:val="000000"/>
                <w:u w:val="none"/>
                <w:rtl w:val="0"/>
              </w:rPr>
              <w:t xml:space="preserve">13.6 The TML Relationship</w:t>
              <w:tab/>
            </w:r>
          </w:hyperlink>
          <w:r w:rsidDel="00000000" w:rsidR="00000000" w:rsidRPr="00000000">
            <w:fldChar w:fldCharType="begin"/>
            <w:instrText xml:space="preserve"> PAGEREF _uzcuovs9ks2c \h </w:instrText>
            <w:fldChar w:fldCharType="separate"/>
          </w:r>
          <w:r w:rsidDel="00000000" w:rsidR="00000000" w:rsidRPr="00000000">
            <w:rPr>
              <w:rtl w:val="0"/>
            </w:rPr>
            <w:t xml:space="preserve">154</w:t>
          </w:r>
          <w:r w:rsidDel="00000000" w:rsidR="00000000" w:rsidRPr="00000000">
            <w:fldChar w:fldCharType="end"/>
          </w:r>
          <w:r w:rsidDel="00000000" w:rsidR="00000000" w:rsidRPr="00000000">
            <w:rPr>
              <w:rtl w:val="0"/>
            </w:rPr>
          </w:r>
        </w:p>
        <w:p w:rsidR="00000000" w:rsidDel="00000000" w:rsidP="00000000" w:rsidRDefault="00000000" w:rsidRPr="00000000" w14:paraId="0000010D">
          <w:pPr>
            <w:widowControl w:val="0"/>
            <w:tabs>
              <w:tab w:val="right" w:leader="dot" w:pos="9360"/>
            </w:tabs>
            <w:spacing w:before="60" w:line="240" w:lineRule="auto"/>
            <w:rPr>
              <w:b w:val="1"/>
              <w:bCs w:val="1"/>
              <w:color w:val="000000"/>
              <w:u w:val="none"/>
            </w:rPr>
          </w:pPr>
          <w:hyperlink w:anchor="_e1yus9bnvldf">
            <w:r w:rsidDel="00000000" w:rsidR="00000000" w:rsidRPr="00000000">
              <w:rPr>
                <w:b w:val="1"/>
                <w:bCs w:val="1"/>
                <w:color w:val="000000"/>
                <w:u w:val="none"/>
                <w:rtl w:val="0"/>
              </w:rPr>
              <w:t xml:space="preserve">SECTION 14: CONCLUSION</w:t>
              <w:tab/>
            </w:r>
          </w:hyperlink>
          <w:r w:rsidDel="00000000" w:rsidR="00000000" w:rsidRPr="00000000">
            <w:fldChar w:fldCharType="begin"/>
            <w:instrText xml:space="preserve"> PAGEREF _e1yus9bnvldf \h </w:instrText>
            <w:fldChar w:fldCharType="separate"/>
          </w:r>
          <w:r w:rsidDel="00000000" w:rsidR="00000000" w:rsidRPr="00000000">
            <w:rPr>
              <w:b w:val="1"/>
              <w:bCs w:val="1"/>
              <w:rtl w:val="0"/>
            </w:rPr>
            <w:t xml:space="preserve">155</w:t>
          </w:r>
          <w:r w:rsidDel="00000000" w:rsidR="00000000" w:rsidRPr="00000000">
            <w:fldChar w:fldCharType="end"/>
          </w:r>
          <w:r w:rsidDel="00000000" w:rsidR="00000000" w:rsidRPr="00000000">
            <w:rPr>
              <w:rtl w:val="0"/>
            </w:rPr>
          </w:r>
        </w:p>
        <w:p w:rsidR="00000000" w:rsidDel="00000000" w:rsidP="00000000" w:rsidRDefault="00000000" w:rsidRPr="00000000" w14:paraId="0000010E">
          <w:pPr>
            <w:widowControl w:val="0"/>
            <w:tabs>
              <w:tab w:val="right" w:leader="dot" w:pos="9360"/>
            </w:tabs>
            <w:spacing w:before="60" w:line="240" w:lineRule="auto"/>
            <w:ind w:left="360" w:firstLine="0"/>
            <w:rPr>
              <w:color w:val="000000"/>
              <w:u w:val="none"/>
            </w:rPr>
          </w:pPr>
          <w:hyperlink w:anchor="_1an19zqw5g19">
            <w:r w:rsidDel="00000000" w:rsidR="00000000" w:rsidRPr="00000000">
              <w:rPr>
                <w:color w:val="000000"/>
                <w:u w:val="none"/>
                <w:rtl w:val="0"/>
              </w:rPr>
              <w:t xml:space="preserve">14.0 The Problem This Document Addresses</w:t>
              <w:tab/>
            </w:r>
          </w:hyperlink>
          <w:r w:rsidDel="00000000" w:rsidR="00000000" w:rsidRPr="00000000">
            <w:fldChar w:fldCharType="begin"/>
            <w:instrText xml:space="preserve"> PAGEREF _1an19zqw5g19 \h </w:instrText>
            <w:fldChar w:fldCharType="separate"/>
          </w:r>
          <w:r w:rsidDel="00000000" w:rsidR="00000000" w:rsidRPr="00000000">
            <w:rPr>
              <w:rtl w:val="0"/>
            </w:rPr>
            <w:t xml:space="preserve">155</w:t>
          </w:r>
          <w:r w:rsidDel="00000000" w:rsidR="00000000" w:rsidRPr="00000000">
            <w:fldChar w:fldCharType="end"/>
          </w:r>
          <w:r w:rsidDel="00000000" w:rsidR="00000000" w:rsidRPr="00000000">
            <w:rPr>
              <w:rtl w:val="0"/>
            </w:rPr>
          </w:r>
        </w:p>
        <w:p w:rsidR="00000000" w:rsidDel="00000000" w:rsidP="00000000" w:rsidRDefault="00000000" w:rsidRPr="00000000" w14:paraId="0000010F">
          <w:pPr>
            <w:widowControl w:val="0"/>
            <w:tabs>
              <w:tab w:val="right" w:leader="dot" w:pos="9360"/>
            </w:tabs>
            <w:spacing w:before="60" w:line="240" w:lineRule="auto"/>
            <w:ind w:left="360" w:firstLine="0"/>
            <w:rPr>
              <w:color w:val="000000"/>
              <w:u w:val="none"/>
            </w:rPr>
          </w:pPr>
          <w:hyperlink w:anchor="_4ffr73inpjk3">
            <w:r w:rsidDel="00000000" w:rsidR="00000000" w:rsidRPr="00000000">
              <w:rPr>
                <w:color w:val="000000"/>
                <w:u w:val="none"/>
                <w:rtl w:val="0"/>
              </w:rPr>
              <w:t xml:space="preserve">14.1 What This Document Has Specified</w:t>
              <w:tab/>
            </w:r>
          </w:hyperlink>
          <w:r w:rsidDel="00000000" w:rsidR="00000000" w:rsidRPr="00000000">
            <w:fldChar w:fldCharType="begin"/>
            <w:instrText xml:space="preserve"> PAGEREF _4ffr73inpjk3 \h </w:instrText>
            <w:fldChar w:fldCharType="separate"/>
          </w:r>
          <w:r w:rsidDel="00000000" w:rsidR="00000000" w:rsidRPr="00000000">
            <w:rPr>
              <w:rtl w:val="0"/>
            </w:rPr>
            <w:t xml:space="preserve">156</w:t>
          </w:r>
          <w:r w:rsidDel="00000000" w:rsidR="00000000" w:rsidRPr="00000000">
            <w:fldChar w:fldCharType="end"/>
          </w:r>
          <w:r w:rsidDel="00000000" w:rsidR="00000000" w:rsidRPr="00000000">
            <w:rPr>
              <w:rtl w:val="0"/>
            </w:rPr>
          </w:r>
        </w:p>
        <w:p w:rsidR="00000000" w:rsidDel="00000000" w:rsidP="00000000" w:rsidRDefault="00000000" w:rsidRPr="00000000" w14:paraId="00000110">
          <w:pPr>
            <w:widowControl w:val="0"/>
            <w:tabs>
              <w:tab w:val="right" w:leader="dot" w:pos="9360"/>
            </w:tabs>
            <w:spacing w:before="60" w:line="240" w:lineRule="auto"/>
            <w:ind w:left="360" w:firstLine="0"/>
            <w:rPr>
              <w:color w:val="000000"/>
              <w:u w:val="none"/>
            </w:rPr>
          </w:pPr>
          <w:hyperlink w:anchor="_2a6pz71g1q3o">
            <w:r w:rsidDel="00000000" w:rsidR="00000000" w:rsidRPr="00000000">
              <w:rPr>
                <w:color w:val="000000"/>
                <w:u w:val="none"/>
                <w:rtl w:val="0"/>
              </w:rPr>
              <w:t xml:space="preserve">14.2 The Four Claims Revisited</w:t>
              <w:tab/>
            </w:r>
          </w:hyperlink>
          <w:r w:rsidDel="00000000" w:rsidR="00000000" w:rsidRPr="00000000">
            <w:fldChar w:fldCharType="begin"/>
            <w:instrText xml:space="preserve"> PAGEREF _2a6pz71g1q3o \h </w:instrText>
            <w:fldChar w:fldCharType="separate"/>
          </w:r>
          <w:r w:rsidDel="00000000" w:rsidR="00000000" w:rsidRPr="00000000">
            <w:rPr>
              <w:rtl w:val="0"/>
            </w:rPr>
            <w:t xml:space="preserve">159</w:t>
          </w:r>
          <w:r w:rsidDel="00000000" w:rsidR="00000000" w:rsidRPr="00000000">
            <w:fldChar w:fldCharType="end"/>
          </w:r>
          <w:r w:rsidDel="00000000" w:rsidR="00000000" w:rsidRPr="00000000">
            <w:rPr>
              <w:rtl w:val="0"/>
            </w:rPr>
          </w:r>
        </w:p>
        <w:p w:rsidR="00000000" w:rsidDel="00000000" w:rsidP="00000000" w:rsidRDefault="00000000" w:rsidRPr="00000000" w14:paraId="00000111">
          <w:pPr>
            <w:widowControl w:val="0"/>
            <w:tabs>
              <w:tab w:val="right" w:leader="dot" w:pos="9360"/>
            </w:tabs>
            <w:spacing w:before="60" w:line="240" w:lineRule="auto"/>
            <w:ind w:left="360" w:firstLine="0"/>
            <w:rPr>
              <w:color w:val="000000"/>
              <w:u w:val="none"/>
            </w:rPr>
          </w:pPr>
          <w:hyperlink w:anchor="_lf2du516vq3n">
            <w:r w:rsidDel="00000000" w:rsidR="00000000" w:rsidRPr="00000000">
              <w:rPr>
                <w:color w:val="000000"/>
                <w:u w:val="none"/>
                <w:rtl w:val="0"/>
              </w:rPr>
              <w:t xml:space="preserve">14.3 What TL Changes</w:t>
              <w:tab/>
            </w:r>
          </w:hyperlink>
          <w:r w:rsidDel="00000000" w:rsidR="00000000" w:rsidRPr="00000000">
            <w:fldChar w:fldCharType="begin"/>
            <w:instrText xml:space="preserve"> PAGEREF _lf2du516vq3n \h </w:instrText>
            <w:fldChar w:fldCharType="separate"/>
          </w:r>
          <w:r w:rsidDel="00000000" w:rsidR="00000000" w:rsidRPr="00000000">
            <w:rPr>
              <w:rtl w:val="0"/>
            </w:rPr>
            <w:t xml:space="preserve">160</w:t>
          </w:r>
          <w:r w:rsidDel="00000000" w:rsidR="00000000" w:rsidRPr="00000000">
            <w:fldChar w:fldCharType="end"/>
          </w:r>
          <w:r w:rsidDel="00000000" w:rsidR="00000000" w:rsidRPr="00000000">
            <w:rPr>
              <w:rtl w:val="0"/>
            </w:rPr>
          </w:r>
        </w:p>
        <w:p w:rsidR="00000000" w:rsidDel="00000000" w:rsidP="00000000" w:rsidRDefault="00000000" w:rsidRPr="00000000" w14:paraId="00000112">
          <w:pPr>
            <w:widowControl w:val="0"/>
            <w:tabs>
              <w:tab w:val="right" w:leader="dot" w:pos="9360"/>
            </w:tabs>
            <w:spacing w:before="60" w:line="240" w:lineRule="auto"/>
            <w:ind w:left="360" w:firstLine="0"/>
            <w:rPr>
              <w:color w:val="000000"/>
              <w:u w:val="none"/>
            </w:rPr>
          </w:pPr>
          <w:hyperlink w:anchor="_z1wfvjg6u02">
            <w:r w:rsidDel="00000000" w:rsidR="00000000" w:rsidRPr="00000000">
              <w:rPr>
                <w:color w:val="000000"/>
                <w:u w:val="none"/>
                <w:rtl w:val="0"/>
              </w:rPr>
              <w:t xml:space="preserve">14.4 The Honest Assessment of Limitations</w:t>
              <w:tab/>
            </w:r>
          </w:hyperlink>
          <w:r w:rsidDel="00000000" w:rsidR="00000000" w:rsidRPr="00000000">
            <w:fldChar w:fldCharType="begin"/>
            <w:instrText xml:space="preserve"> PAGEREF _z1wfvjg6u02 \h </w:instrText>
            <w:fldChar w:fldCharType="separate"/>
          </w:r>
          <w:r w:rsidDel="00000000" w:rsidR="00000000" w:rsidRPr="00000000">
            <w:rPr>
              <w:rtl w:val="0"/>
            </w:rPr>
            <w:t xml:space="preserve">161</w:t>
          </w:r>
          <w:r w:rsidDel="00000000" w:rsidR="00000000" w:rsidRPr="00000000">
            <w:fldChar w:fldCharType="end"/>
          </w:r>
          <w:r w:rsidDel="00000000" w:rsidR="00000000" w:rsidRPr="00000000">
            <w:rPr>
              <w:rtl w:val="0"/>
            </w:rPr>
          </w:r>
        </w:p>
        <w:p w:rsidR="00000000" w:rsidDel="00000000" w:rsidP="00000000" w:rsidRDefault="00000000" w:rsidRPr="00000000" w14:paraId="00000113">
          <w:pPr>
            <w:widowControl w:val="0"/>
            <w:tabs>
              <w:tab w:val="right" w:leader="dot" w:pos="9360"/>
            </w:tabs>
            <w:spacing w:before="60" w:line="240" w:lineRule="auto"/>
            <w:ind w:left="360" w:firstLine="0"/>
            <w:rPr>
              <w:color w:val="000000"/>
              <w:u w:val="none"/>
            </w:rPr>
          </w:pPr>
          <w:hyperlink w:anchor="_i2vq046hvgsm">
            <w:r w:rsidDel="00000000" w:rsidR="00000000" w:rsidRPr="00000000">
              <w:rPr>
                <w:color w:val="000000"/>
                <w:u w:val="none"/>
                <w:rtl w:val="0"/>
              </w:rPr>
              <w:t xml:space="preserve">14.5 The Architectural Shift This Document Proposes</w:t>
              <w:tab/>
            </w:r>
          </w:hyperlink>
          <w:r w:rsidDel="00000000" w:rsidR="00000000" w:rsidRPr="00000000">
            <w:fldChar w:fldCharType="begin"/>
            <w:instrText xml:space="preserve"> PAGEREF _i2vq046hvgsm \h </w:instrText>
            <w:fldChar w:fldCharType="separate"/>
          </w:r>
          <w:r w:rsidDel="00000000" w:rsidR="00000000" w:rsidRPr="00000000">
            <w:rPr>
              <w:rtl w:val="0"/>
            </w:rPr>
            <w:t xml:space="preserve">162</w:t>
          </w:r>
          <w:r w:rsidDel="00000000" w:rsidR="00000000" w:rsidRPr="00000000">
            <w:fldChar w:fldCharType="end"/>
          </w:r>
          <w:r w:rsidDel="00000000" w:rsidR="00000000" w:rsidRPr="00000000">
            <w:rPr>
              <w:rtl w:val="0"/>
            </w:rPr>
          </w:r>
        </w:p>
        <w:p w:rsidR="00000000" w:rsidDel="00000000" w:rsidP="00000000" w:rsidRDefault="00000000" w:rsidRPr="00000000" w14:paraId="00000114">
          <w:pPr>
            <w:widowControl w:val="0"/>
            <w:tabs>
              <w:tab w:val="right" w:leader="dot" w:pos="9360"/>
            </w:tabs>
            <w:spacing w:before="60" w:line="240" w:lineRule="auto"/>
            <w:ind w:left="360" w:firstLine="0"/>
            <w:rPr>
              <w:color w:val="000000"/>
              <w:u w:val="none"/>
            </w:rPr>
          </w:pPr>
          <w:hyperlink w:anchor="_dk4d67vy2ayd">
            <w:r w:rsidDel="00000000" w:rsidR="00000000" w:rsidRPr="00000000">
              <w:rPr>
                <w:color w:val="000000"/>
                <w:u w:val="none"/>
                <w:rtl w:val="0"/>
              </w:rPr>
              <w:t xml:space="preserve">14.6 The Closing Commitment</w:t>
              <w:tab/>
            </w:r>
          </w:hyperlink>
          <w:r w:rsidDel="00000000" w:rsidR="00000000" w:rsidRPr="00000000">
            <w:fldChar w:fldCharType="begin"/>
            <w:instrText xml:space="preserve"> PAGEREF _dk4d67vy2ayd \h </w:instrText>
            <w:fldChar w:fldCharType="separate"/>
          </w:r>
          <w:r w:rsidDel="00000000" w:rsidR="00000000" w:rsidRPr="00000000">
            <w:rPr>
              <w:rtl w:val="0"/>
            </w:rPr>
            <w:t xml:space="preserve">163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k3xh1373t74x" w:id="13"/>
      <w:bookmarkEnd w:id="13"/>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cuehk47acx6k" w:id="14"/>
      <w:bookmarkEnd w:id="14"/>
      <w:r w:rsidDel="00000000" w:rsidR="00000000" w:rsidRPr="00000000">
        <w:rPr>
          <w:b w:val="1"/>
          <w:bCs w:val="1"/>
          <w:sz w:val="34"/>
          <w:szCs w:val="34"/>
          <w:rtl w:val="0"/>
        </w:rPr>
        <w:t xml:space="preserve">SECTION 1: INTRODUCTION</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edp2icj2sa76" w:id="15"/>
      <w:bookmarkEnd w:id="15"/>
      <w:r w:rsidDel="00000000" w:rsidR="00000000" w:rsidRPr="00000000">
        <w:rPr>
          <w:b w:val="1"/>
          <w:bCs w:val="1"/>
          <w:color w:val="000000"/>
          <w:sz w:val="26"/>
          <w:szCs w:val="26"/>
          <w:rtl w:val="0"/>
        </w:rPr>
        <w:t xml:space="preserve">1.1 The Governance Crisis in Automated Economic Systems</w:t>
      </w:r>
    </w:p>
    <w:p w:rsidR="00000000" w:rsidDel="00000000" w:rsidP="00000000" w:rsidRDefault="00000000" w:rsidRPr="00000000" w14:paraId="00000118">
      <w:pPr>
        <w:spacing w:after="240" w:before="240" w:lineRule="auto"/>
        <w:rPr/>
      </w:pPr>
      <w:r w:rsidDel="00000000" w:rsidR="00000000" w:rsidRPr="00000000">
        <w:rPr>
          <w:rtl w:val="0"/>
        </w:rPr>
        <w:t xml:space="preserve">The global financial system processes hundreds of millions of algorithmic decisions each day, across trading, settlement, credit allocation, monetary policy, and regulatory compliance. The governance architecture underlying these decisions was designed for a world in which human judgment occupied the critical path between data and action. That world no longer exists. Algorithmic systems now execute in microseconds, at scales no human oversight layer can monitor in real time, with a degree of opacity that has made post-hoc forensic reconstruction the default regulatory posture.</w:t>
      </w:r>
    </w:p>
    <w:p w:rsidR="00000000" w:rsidDel="00000000" w:rsidP="00000000" w:rsidRDefault="00000000" w:rsidRPr="00000000" w14:paraId="00000119">
      <w:pPr>
        <w:spacing w:after="240" w:before="240" w:lineRule="auto"/>
        <w:rPr/>
      </w:pPr>
      <w:r w:rsidDel="00000000" w:rsidR="00000000" w:rsidRPr="00000000">
        <w:rPr>
          <w:rtl w:val="0"/>
        </w:rPr>
        <w:t xml:space="preserve">This monograph characterizes this condition as the governance gap: the structural chasm between the aspiration of regulatory oversight and the reality of computational enforcement. The gap has three interconnected dimensions, each of which TL is designed to close by architectural necessity rather than institutional goodwill.</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The failure of evidence.</w:t>
      </w:r>
      <w:r w:rsidDel="00000000" w:rsidR="00000000" w:rsidRPr="00000000">
        <w:rPr>
          <w:rtl w:val="0"/>
        </w:rPr>
        <w:t xml:space="preserve"> In traditional financial systems, auditing relies on logs produced by the audited entity itself. These logs are subject to the inherent risk of internal manipulation, data loss, or selective reporting, risks that amplify in high-speed, high-stakes environments such as high-frequency trading. Automated markets form a highly interactive ecology in which one system's failures can trigger widespread turbulence that propagates faster than existing governance mechanisms can detect or contain</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[1]</w:t>
        </w:r>
      </w:hyperlink>
      <w:r w:rsidDel="00000000" w:rsidR="00000000" w:rsidRPr="00000000">
        <w:rPr>
          <w:rtl w:val="0"/>
        </w:rPr>
        <w:t xml:space="preserve">. The May 6, 2010 Flash Crash, during which market values fell by approximately one trillion dollars in under thirty minutes with the majority of losses occurring in under five minutes, is the canonical demonstration of this structural vulnerability</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[7]</w:t>
        </w:r>
      </w:hyperlink>
      <w:r w:rsidDel="00000000" w:rsidR="00000000" w:rsidRPr="00000000">
        <w:rPr>
          <w:rtl w:val="0"/>
        </w:rPr>
        <w:t xml:space="preserve">. Research on flash crash dynamics has further established that ex ante precautions, structural mechanisms that prevent execution under uncertain conditions, have substantially higher efficacy than ex post regulatory reactions, because by the time a regulator can act, the cascade has already propagated</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[7]</w:t>
        </w:r>
      </w:hyperlink>
      <w:r w:rsidDel="00000000" w:rsidR="00000000" w:rsidRPr="00000000">
        <w:rPr>
          <w:rtl w:val="0"/>
        </w:rPr>
        <w:t xml:space="preserve">.</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The structural vulnerability to capture.</w:t>
      </w:r>
      <w:r w:rsidDel="00000000" w:rsidR="00000000" w:rsidRPr="00000000">
        <w:rPr>
          <w:rtl w:val="0"/>
        </w:rPr>
        <w:t xml:space="preserve"> When an organization can unilaterally attest to its own compliance status, the integrity of the entire oversight structure rests on an unverified premise. Game-theoretic analysis of the corporation-regulator relationship has established that regulatory capture is not an anomaly but a predictable equilibrium outcome when enforcement relies on institutional trust rather than architectural proof</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[8]</w:t>
        </w:r>
      </w:hyperlink>
      <w:r w:rsidDel="00000000" w:rsidR="00000000" w:rsidRPr="00000000">
        <w:rPr>
          <w:rtl w:val="0"/>
        </w:rPr>
        <w:t xml:space="preserve">. The 2007-2008 financial crisis demonstrated at systemic scale that widespread failures in financial regulation and supervision can be structurally determined rather than merely the product of individual misconduct. The Basel III framework's response, requiring banks to hold substantially more capital to absorb losses that better governance could prevent, exemplifies the economic cost of failing to solve the governance problem at its source. FRTB is now expected to raise market risk capital requirements for the largest institutions by approximately 70 percent</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[4]</w:t>
        </w:r>
      </w:hyperlink>
      <w:r w:rsidDel="00000000" w:rsidR="00000000" w:rsidRPr="00000000">
        <w:rPr>
          <w:rtl w:val="0"/>
        </w:rPr>
        <w:t xml:space="preserve">, and the EU has delayed FRTB implementation to 1 January 2027 precisely because the international level playing field remains unsettled among major jurisdictions</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[5]</w:t>
        </w:r>
      </w:hyperlink>
      <w:r w:rsidDel="00000000" w:rsidR="00000000" w:rsidRPr="00000000">
        <w:rPr>
          <w:rtl w:val="0"/>
        </w:rPr>
        <w:t xml:space="preserve">.</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The epistemic crisis of binary logic.</w:t>
      </w:r>
      <w:r w:rsidDel="00000000" w:rsidR="00000000" w:rsidRPr="00000000">
        <w:rPr>
          <w:rtl w:val="0"/>
        </w:rPr>
        <w:t xml:space="preserve"> Financial decisions are inherently complex and rarely reducible to a simple proceed or refuse determination. The most critical moments in any financial system, periods of extreme volatility, ambiguous data feeds, or unexpected model outputs, are characterized precisely by uncertainty. Binary systems are architecturally forced to eliminate this uncertainty from the official record: they proceed or they refuse, and the moment of doubt disappears. This absence of a formal hesitation state means that when an algorithm proceeds under conditions of uncertainty and catastrophic outcomes follow, the system retains no verifiable architectural record of its own ambiguity. Research into AML compliance has quantified one dimension of this failure: because binary monitoring systems cannot represent verified uncertainty, they generate false positives at rates of 90 to 95 percent of all alerts, consuming $274 billion annually in compliance expenditure while producing outcomes that one analysis compared to a known fraud risk being allowed to persist across trillions of dollars of unmonitored transactions</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[2]</w:t>
        </w:r>
      </w:hyperlink>
      <w:hyperlink r:id="rId42">
        <w:r w:rsidDel="00000000" w:rsidR="00000000" w:rsidRPr="00000000">
          <w:rPr>
            <w:rtl w:val="0"/>
          </w:rPr>
          <w:t xml:space="preserve"> </w:t>
        </w:r>
      </w:hyperlink>
      <w:hyperlink r:id="rId43">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pkqctge70mcy" w:id="16"/>
      <w:bookmarkEnd w:id="16"/>
      <w:r w:rsidDel="00000000" w:rsidR="00000000" w:rsidRPr="00000000">
        <w:rPr>
          <w:b w:val="1"/>
          <w:bCs w:val="1"/>
          <w:color w:val="000000"/>
          <w:sz w:val="26"/>
          <w:szCs w:val="26"/>
          <w:rtl w:val="0"/>
        </w:rPr>
        <w:t xml:space="preserve">1.2 The Claims of This Monograph</w:t>
      </w:r>
    </w:p>
    <w:p w:rsidR="00000000" w:rsidDel="00000000" w:rsidP="00000000" w:rsidRDefault="00000000" w:rsidRPr="00000000" w14:paraId="0000011E">
      <w:pPr>
        <w:spacing w:after="240" w:before="240" w:lineRule="auto"/>
        <w:rPr/>
      </w:pPr>
      <w:r w:rsidDel="00000000" w:rsidR="00000000" w:rsidRPr="00000000">
        <w:rPr>
          <w:rtl w:val="0"/>
        </w:rPr>
        <w:t xml:space="preserve">This monograph substantiates four specific claims about Ternary Logic.</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Claim 1: TL does not replace binary computation.</w:t>
      </w:r>
      <w:r w:rsidDel="00000000" w:rsidR="00000000" w:rsidRPr="00000000">
        <w:rPr>
          <w:rtl w:val="0"/>
        </w:rPr>
        <w:t xml:space="preserve"> This is stated first because it is most commonly misunderstood. Binary inference engines provide the speed, pattern recognition, and statistical throughput that are essential to modern economic systems. TL operates as a sovereign governance coprocessor in parallel. Binary proposes actions. TL dictates whether those proposals cross the execution threshold. The two paradigms occupy physically and logically separated lanes that never merge into a single execution path.</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Claim 2: TL introduces a mandatory third decision state that binary architectures cannot represent.</w:t>
      </w:r>
      <w:r w:rsidDel="00000000" w:rsidR="00000000" w:rsidRPr="00000000">
        <w:rPr>
          <w:rtl w:val="0"/>
        </w:rPr>
        <w:t xml:space="preserve"> Epistemic Hold (State 0) is not an error condition, a null return, a timeout, or a retry flag. It is a first-class constitutional determination that truth has not yet been established and that execution must pause until it is. This state is enforced at every architectural layer, from API schema constraints through smart contract ABI conditions to physical memristive gate states in the Mandated Ternary hardware substrate. In full hardware deployment, no administrative override, emergency bypass, or software patch can circumvent a physically enforced hesitation state.</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Claim 3: TL generates audit-grade evidentiary infrastructure as a pre-execution prerequisite, not a post-execution artifact.</w:t>
      </w:r>
      <w:r w:rsidDel="00000000" w:rsidR="00000000" w:rsidRPr="00000000">
        <w:rPr>
          <w:rtl w:val="0"/>
        </w:rPr>
        <w:t xml:space="preserve"> The NL=NA covenant mandates that a cryptographically sealed, schema-validated Decision Log exist before any action executes. This inverts the conventional compliance workflow. Under TL, the evidentiary record is a gateway precondition. Every executed action carries a verifiable chain of custody from initial binary proposal through governance evaluation to anchored cryptographic proof on public blockchains.</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Claim 4: TL is constitutionally bounded by categorical prohibitions.</w:t>
      </w:r>
      <w:r w:rsidDel="00000000" w:rsidR="00000000" w:rsidRPr="00000000">
        <w:rPr>
          <w:rtl w:val="0"/>
        </w:rPr>
        <w:t xml:space="preserve"> The No Spy, No Weapon Mandate establishes structural prohibitions on surveillance and weapons applications embedded in the constitutional schema, the API specification, and the hardware substrate. These are not policy statements or configurable parameters. A system that enables surveillance or weapons is not a misconfigured TL implementation. It is categorically outside TL's constitutional domain.</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duhm5zklrk81" w:id="17"/>
      <w:bookmarkEnd w:id="17"/>
      <w:r w:rsidDel="00000000" w:rsidR="00000000" w:rsidRPr="00000000">
        <w:rPr>
          <w:b w:val="1"/>
          <w:bCs w:val="1"/>
          <w:color w:val="000000"/>
          <w:sz w:val="26"/>
          <w:szCs w:val="26"/>
          <w:rtl w:val="0"/>
        </w:rPr>
        <w:t xml:space="preserve">1.3 Relationship to Existing Legal and Regulatory Frameworks</w:t>
      </w:r>
    </w:p>
    <w:p w:rsidR="00000000" w:rsidDel="00000000" w:rsidP="00000000" w:rsidRDefault="00000000" w:rsidRPr="00000000" w14:paraId="00000124">
      <w:pPr>
        <w:spacing w:after="240" w:before="240" w:lineRule="auto"/>
        <w:rPr/>
      </w:pPr>
      <w:r w:rsidDel="00000000" w:rsidR="00000000" w:rsidRPr="00000000">
        <w:rPr>
          <w:rtl w:val="0"/>
        </w:rPr>
        <w:t xml:space="preserve">TL does not seek to replace existing regulatory frameworks. It provides the architectural substrate through which compliance with those frameworks becomes physically enforced rather than self-certified. Three intersections are particularly significant at the time of this writing.</w:t>
      </w:r>
    </w:p>
    <w:p w:rsidR="00000000" w:rsidDel="00000000" w:rsidP="00000000" w:rsidRDefault="00000000" w:rsidRPr="00000000" w14:paraId="00000125">
      <w:pPr>
        <w:spacing w:after="240" w:before="240" w:lineRule="auto"/>
        <w:rPr/>
      </w:pPr>
      <w:r w:rsidDel="00000000" w:rsidR="00000000" w:rsidRPr="00000000">
        <w:rPr>
          <w:rtl w:val="0"/>
        </w:rPr>
        <w:t xml:space="preserve">The EU AI Act (Regulation (EU) 2024/1689), which entered into force on 1 August 2024, classifies credit scoring, fraud detection, algorithmic trading, and automated investment systems as high-risk AI applications subject to enhanced obligations including traceability, transparency, and mandatory human oversight</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[9]</w:t>
        </w:r>
      </w:hyperlink>
      <w:r w:rsidDel="00000000" w:rsidR="00000000" w:rsidRPr="00000000">
        <w:rPr>
          <w:rtl w:val="0"/>
        </w:rPr>
        <w:t xml:space="preserve">. High-risk system provisions apply from 2 August 2026. Fines for non-compliance reach 7 percent of global annual turnover or 35 million euros, whichever is greater. TL operationalizes these requirements structurally: Decision Logs constitute the full traceable history of every automated determination, and the Sacred Pause workflow mandates human escalation whenever Epistemic Hold is sustained beyond constitutionally defined thresholds, satisfying the human oversight requirement by architectural necessity</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[10]</w:t>
        </w:r>
      </w:hyperlink>
      <w:r w:rsidDel="00000000" w:rsidR="00000000" w:rsidRPr="00000000">
        <w:rPr>
          <w:rtl w:val="0"/>
        </w:rPr>
        <w:t xml:space="preserve">.</w:t>
      </w:r>
    </w:p>
    <w:p w:rsidR="00000000" w:rsidDel="00000000" w:rsidP="00000000" w:rsidRDefault="00000000" w:rsidRPr="00000000" w14:paraId="00000126">
      <w:pPr>
        <w:spacing w:after="240" w:before="240" w:lineRule="auto"/>
        <w:rPr/>
      </w:pPr>
      <w:r w:rsidDel="00000000" w:rsidR="00000000" w:rsidRPr="00000000">
        <w:rPr>
          <w:rtl w:val="0"/>
        </w:rPr>
        <w:t xml:space="preserve">GDPR Article 17, the Right to Erasure, creates an apparent structural conflict with the Immutable Ledger. The European Data Protection Board has affirmed that blockchain technology receives no exemption from GDPR data protection mandates, and that technical impossibility cannot excuse non-compliance</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[11]</w:t>
        </w:r>
      </w:hyperlink>
      <w:r w:rsidDel="00000000" w:rsidR="00000000" w:rsidRPr="00000000">
        <w:rPr>
          <w:rtl w:val="0"/>
        </w:rPr>
        <w:t xml:space="preserve">. TL resolves this conflict through cryptographic erasure: personal data is encrypted before ledger anchoring, and upon a valid erasure request the decryption keys are destroyed using HKDF-SHA3-256 key derivation. The encrypted data remains on the ledger, preserving hash chain integrity, but becomes computationally irrecoverable. The governance record survives. The personal data does not. This is not pseudonymization under Article 4(5) of the GDPR. It is genuine anonymization achieved through irreversible key destruction.</w:t>
      </w:r>
    </w:p>
    <w:p w:rsidR="00000000" w:rsidDel="00000000" w:rsidP="00000000" w:rsidRDefault="00000000" w:rsidRPr="00000000" w14:paraId="00000127">
      <w:pPr>
        <w:spacing w:after="240" w:before="240" w:lineRule="auto"/>
        <w:rPr/>
      </w:pPr>
      <w:r w:rsidDel="00000000" w:rsidR="00000000" w:rsidRPr="00000000">
        <w:rPr>
          <w:rtl w:val="0"/>
        </w:rPr>
        <w:t xml:space="preserve">Post-quantum cryptography migration has become operationally urgent. NIST finalized three post-quantum standards in August 2024: FIPS 203 (ML-KEM, the primary key encapsulation standard), FIPS 204 (ML-DSA, the primary digital signature standard), and FIPS 205 (SLH-DSA, the hash-based fallback signature standard)</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[6]</w:t>
        </w:r>
      </w:hyperlink>
      <w:r w:rsidDel="00000000" w:rsidR="00000000" w:rsidRPr="00000000">
        <w:rPr>
          <w:rtl w:val="0"/>
        </w:rPr>
        <w:t xml:space="preserve">. NSA CNSA 2.0 sets 2030 as the mandatory migration deadline for National Security Systems. The UK National Cyber Security Centre has characterized PQC migration as a global-scale change to IT and operational technology systems, noting that hardware roots of trust implementing the new NIST standards were expected to become available during 2025</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[12]</w:t>
        </w:r>
      </w:hyperlink>
      <w:r w:rsidDel="00000000" w:rsidR="00000000" w:rsidRPr="00000000">
        <w:rPr>
          <w:rtl w:val="0"/>
        </w:rPr>
        <w:t xml:space="preserve">. TL addresses this through ML-KEM-1024 and SLH-DSA-SHAKE-128s slots reserved in the API Signature Block, a hybrid signature approach during the transition window, and a constitutional cryptographic agility protocol that permits progressive migration without ledger reconstruction.</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jlnaubtkd87z" w:id="18"/>
      <w:bookmarkEnd w:id="18"/>
      <w:r w:rsidDel="00000000" w:rsidR="00000000" w:rsidRPr="00000000">
        <w:rPr>
          <w:b w:val="1"/>
          <w:bCs w:val="1"/>
          <w:color w:val="000000"/>
          <w:sz w:val="26"/>
          <w:szCs w:val="26"/>
          <w:rtl w:val="0"/>
        </w:rPr>
        <w:t xml:space="preserve">1.4 A Note on Terminology</w:t>
      </w:r>
    </w:p>
    <w:p w:rsidR="00000000" w:rsidDel="00000000" w:rsidP="00000000" w:rsidRDefault="00000000" w:rsidRPr="00000000" w14:paraId="00000129">
      <w:pPr>
        <w:spacing w:after="240" w:before="240" w:lineRule="auto"/>
        <w:rPr/>
      </w:pPr>
      <w:r w:rsidDel="00000000" w:rsidR="00000000" w:rsidRPr="00000000">
        <w:rPr>
          <w:rtl w:val="0"/>
        </w:rPr>
        <w:t xml:space="preserve">Several terms in this monograph carry precise, non-interchangeable meanings that differ from their common usage. These distinctions are maintained throughout without exception.</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Epistemic Hold</w:t>
      </w:r>
      <w:r w:rsidDel="00000000" w:rsidR="00000000" w:rsidRPr="00000000">
        <w:rPr>
          <w:rtl w:val="0"/>
        </w:rPr>
        <w:t xml:space="preserve"> denotes exclusively State 0 of the triadic decision alphabet: the constitutional determination that truth has not yet been established. It is never a synonym for error, timeout, retry, or null. It is a first-class decision state with its own schema object, its own log record type, and its own hardware voltage representation in DITL circuits.</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Sacred Pause</w:t>
      </w:r>
      <w:r w:rsidDel="00000000" w:rsidR="00000000" w:rsidRPr="00000000">
        <w:rPr>
          <w:rtl w:val="0"/>
        </w:rPr>
        <w:t xml:space="preserve"> denotes exclusively the workflow process, identified in the TL API specification as GovernancePause, that activates when the system enters Epistemic Hold. The state and the workflow are architecturally distinct. Epistemic Hold is the determination. Sacred Pause is what happens in response to that determination. Conflating them produces implementation errors that compromise evidentiary integrity.</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Governance Lane</w:t>
      </w:r>
      <w:r w:rsidDel="00000000" w:rsidR="00000000" w:rsidRPr="00000000">
        <w:rPr>
          <w:rtl w:val="0"/>
        </w:rPr>
        <w:t xml:space="preserve"> denotes the ternary constitutional evaluation layer of the Dual-Lane Architecture. The Governance Lane handles cryptographic anchoring operations with a hard ceiling of 300 milliseconds, and the Inference Lane handles immediate log commitment and execution gating at sub-millisecond speeds. The </w:t>
      </w:r>
      <w:r w:rsidDel="00000000" w:rsidR="00000000" w:rsidRPr="00000000">
        <w:rPr>
          <w:b w:val="1"/>
          <w:bCs w:val="1"/>
          <w:rtl w:val="0"/>
        </w:rPr>
        <w:t xml:space="preserve">Inference Lane</w:t>
      </w:r>
      <w:r w:rsidDel="00000000" w:rsidR="00000000" w:rsidRPr="00000000">
        <w:rPr>
          <w:rtl w:val="0"/>
        </w:rPr>
        <w:t xml:space="preserve"> denotes the binary computation layer that proposes actions. The Governance Lane evaluates proposals and either authorizes them by issuing a Permission Token or blocks them by maintaining Epistemic Hold or issuing Refuse.</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Goukassian Vow</w:t>
      </w:r>
      <w:r w:rsidDel="00000000" w:rsidR="00000000" w:rsidRPr="00000000">
        <w:rPr>
          <w:rtl w:val="0"/>
        </w:rPr>
        <w:t xml:space="preserve"> denotes the three-line constitutional mandate: "Pause when truth is uncertain. Refuse when harm is clear. Proceed where truth is." It is the foundational law of the TL framework. It is not a Pillar of the Eight Pillars architecture.</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Goukassian Principle</w:t>
      </w:r>
      <w:r w:rsidDel="00000000" w:rsidR="00000000" w:rsidRPr="00000000">
        <w:rPr>
          <w:rtl w:val="0"/>
        </w:rPr>
        <w:t xml:space="preserve"> denotes the three operational enforcement artifacts of Pillar 3: the Lantern (verifiable certainty check before decision pathway initiation), the Signature (cryptographically signed triadic declaration for every attempted action), and the License (computational permission granted only after the Signature has been successfully committed to the Immutable Ledger). The Goukassian Principle is constitutionally and architecturally distinct from the Goukassian Vow. They are related but separate instruments.</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NL=NA</w:t>
      </w:r>
      <w:r w:rsidDel="00000000" w:rsidR="00000000" w:rsidRPr="00000000">
        <w:rPr>
          <w:rtl w:val="0"/>
        </w:rPr>
        <w:t xml:space="preserve"> denotes the architectural covenant No Log equals No Action. It is not a logging standard or a compliance policy. It is a physical constraint on economic power: no action can execute without prior immutable evidence of its governance evaluation.</w:t>
      </w:r>
    </w:p>
    <w:p w:rsidR="00000000" w:rsidDel="00000000" w:rsidP="00000000" w:rsidRDefault="00000000" w:rsidRPr="00000000" w14:paraId="00000130">
      <w:pPr>
        <w:pStyle w:val="Heading1"/>
        <w:keepNext w:val="0"/>
        <w:keepLines w:val="0"/>
        <w:spacing w:before="480" w:lineRule="auto"/>
        <w:rPr>
          <w:b w:val="1"/>
          <w:bCs w:val="1"/>
          <w:sz w:val="46"/>
          <w:szCs w:val="46"/>
        </w:rPr>
      </w:pPr>
      <w:bookmarkStart w:colFirst="0" w:colLast="0" w:name="_o9o11pjhgvj0" w:id="19"/>
      <w:bookmarkEnd w:id="19"/>
      <w:r w:rsidDel="00000000" w:rsidR="00000000" w:rsidRPr="00000000">
        <w:rPr>
          <w:b w:val="1"/>
          <w:bCs w:val="1"/>
          <w:sz w:val="46"/>
          <w:szCs w:val="46"/>
          <w:rtl w:val="0"/>
        </w:rPr>
        <w:t xml:space="preserve">SECTION 2: CONSTITUTIONAL FOUNDATIONS</w:t>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ga20vyf7sgv8" w:id="20"/>
      <w:bookmarkEnd w:id="20"/>
      <w:r w:rsidDel="00000000" w:rsidR="00000000" w:rsidRPr="00000000">
        <w:rPr>
          <w:b w:val="1"/>
          <w:bCs w:val="1"/>
          <w:sz w:val="34"/>
          <w:szCs w:val="34"/>
          <w:rtl w:val="0"/>
        </w:rPr>
        <w:t xml:space="preserve">2.1 The Goukassian Vow as Foundational Architecture</w:t>
      </w:r>
    </w:p>
    <w:p w:rsidR="00000000" w:rsidDel="00000000" w:rsidP="00000000" w:rsidRDefault="00000000" w:rsidRPr="00000000" w14:paraId="00000132">
      <w:pPr>
        <w:spacing w:after="240" w:before="240" w:lineRule="auto"/>
        <w:rPr/>
      </w:pPr>
      <w:r w:rsidDel="00000000" w:rsidR="00000000" w:rsidRPr="00000000">
        <w:rPr>
          <w:rtl w:val="0"/>
        </w:rPr>
        <w:t xml:space="preserve">Every schema property, every endpoint path, every error code, every hardware gate state, and every governance decision in the Ternary Logic framework derives from a single constitutional foundation: the Goukassian Vow.</w:t>
      </w:r>
    </w:p>
    <w:p w:rsidR="00000000" w:rsidDel="00000000" w:rsidP="00000000" w:rsidRDefault="00000000" w:rsidRPr="00000000" w14:paraId="00000133">
      <w:pPr>
        <w:spacing w:after="240" w:before="240" w:lineRule="auto"/>
        <w:rPr>
          <w:i w:val="1"/>
          <w:iCs w:val="1"/>
        </w:rPr>
      </w:pPr>
      <w:r w:rsidDel="00000000" w:rsidR="00000000" w:rsidRPr="00000000">
        <w:rPr>
          <w:i w:val="1"/>
          <w:iCs w:val="1"/>
          <w:rtl w:val="0"/>
        </w:rPr>
        <w:t xml:space="preserve">"Pause when truth is uncertain. Refuse when harm is clear. Proceed where truth is."</w:t>
      </w:r>
    </w:p>
    <w:p w:rsidR="00000000" w:rsidDel="00000000" w:rsidP="00000000" w:rsidRDefault="00000000" w:rsidRPr="00000000" w14:paraId="00000134">
      <w:pPr>
        <w:spacing w:after="240" w:before="240" w:lineRule="auto"/>
        <w:rPr>
          <w:color w:val="1155cc"/>
          <w:u w:val="single"/>
        </w:rPr>
      </w:pPr>
      <w:r w:rsidDel="00000000" w:rsidR="00000000" w:rsidRPr="00000000">
        <w:rPr>
          <w:rtl w:val="0"/>
        </w:rPr>
        <w:t xml:space="preserve">These three lines are not ethical guidance. They are not aspirational principles. They are not configurable parameters. They are executable constitutional law, encoded into the TL framework at every architectural layer from application logic to physical hardware. The Vow is the fixed point around which all economic governance in TL rotates. No institution, no regulatory body, no emergency override, and no software update can modify, suspend, or reinterpret its three mandates.</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rtl w:val="0"/>
        </w:rPr>
        <w:t xml:space="preserve">The Vow originated during a period of terminal lucidity. Lev Goukassian, facing a stage-4 cancer diagnosis, articulated the triadic ethic that became the constitutional bedrock of TL. This existential clarity produced not a philosophical statement but an engineering specification: three mandates that map with precision to three computable, enforceable, immutable decision states. The Vow is existential in origin and architectural in application</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[13]</w:t>
        </w:r>
      </w:hyperlink>
      <w:r w:rsidDel="00000000" w:rsidR="00000000" w:rsidRPr="00000000">
        <w:rPr>
          <w:rtl w:val="0"/>
        </w:rPr>
        <w:t xml:space="preserve">.</w:t>
      </w:r>
    </w:p>
    <w:p w:rsidR="00000000" w:rsidDel="00000000" w:rsidP="00000000" w:rsidRDefault="00000000" w:rsidRPr="00000000" w14:paraId="00000136">
      <w:pPr>
        <w:spacing w:after="240" w:before="240" w:lineRule="auto"/>
        <w:rPr/>
      </w:pPr>
      <w:r w:rsidDel="00000000" w:rsidR="00000000" w:rsidRPr="00000000">
        <w:rPr>
          <w:rtl w:val="0"/>
        </w:rPr>
        <w:t xml:space="preserve">Each mandate of the Vow maps to exactly one triadic state.</w:t>
      </w:r>
    </w:p>
    <w:p w:rsidR="00000000" w:rsidDel="00000000" w:rsidP="00000000" w:rsidRDefault="00000000" w:rsidRPr="00000000" w14:paraId="00000137">
      <w:pPr>
        <w:spacing w:after="240" w:before="240" w:lineRule="auto"/>
        <w:rPr>
          <w:color w:val="1155cc"/>
          <w:u w:val="single"/>
        </w:rPr>
      </w:pPr>
      <w:r w:rsidDel="00000000" w:rsidR="00000000" w:rsidRPr="00000000">
        <w:rPr>
          <w:rtl w:val="0"/>
        </w:rPr>
        <w:t xml:space="preserve">"Proceed where truth is" maps to State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Proceed</w:t>
      </w:r>
      <w:r w:rsidDel="00000000" w:rsidR="00000000" w:rsidRPr="00000000">
        <w:rPr>
          <w:rtl w:val="0"/>
        </w:rPr>
        <w:t xml:space="preserve">). This is the affirmative authorization state, granted only when the Governance Lane has verified sufficient evidentiary certainty, when no Refuse condition has been triggered, and when the proposal satisfies the full Vow. A Proceed determination is not a prediction of success. It is a certification that the decision to act is constitutionally defensible.</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38">
      <w:pPr>
        <w:spacing w:after="240" w:before="240" w:lineRule="auto"/>
        <w:rPr>
          <w:color w:val="1155cc"/>
          <w:u w:val="single"/>
        </w:rPr>
      </w:pPr>
      <w:r w:rsidDel="00000000" w:rsidR="00000000" w:rsidRPr="00000000">
        <w:rPr>
          <w:rtl w:val="0"/>
        </w:rPr>
        <w:t xml:space="preserve">"Refuse when harm is clear" maps to State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Refuse</w:t>
      </w:r>
      <w:r w:rsidDel="00000000" w:rsidR="00000000" w:rsidRPr="00000000">
        <w:rPr>
          <w:rtl w:val="0"/>
        </w:rPr>
        <w:t xml:space="preserve">). This is the prohibition state. It is absolute. When the Governance Lane issues Refuse, the Gateway enters a locked state. The API specification enforces this through the </w:t>
      </w:r>
      <w:r w:rsidDel="00000000" w:rsidR="00000000" w:rsidRPr="00000000">
        <w:rPr>
          <w:rFonts w:ascii="Roboto Mono" w:cs="Roboto Mono" w:eastAsia="Roboto Mono" w:hAnsi="Roboto Mono"/>
          <w:color w:val="188038"/>
          <w:rtl w:val="0"/>
        </w:rPr>
        <w:t xml:space="preserve">refusalIsPermanent: true</w:t>
      </w:r>
      <w:r w:rsidDel="00000000" w:rsidR="00000000" w:rsidRPr="00000000">
        <w:rPr>
          <w:rtl w:val="0"/>
        </w:rPr>
        <w:t xml:space="preserve"> default and the </w:t>
      </w:r>
      <w:r w:rsidDel="00000000" w:rsidR="00000000" w:rsidRPr="00000000">
        <w:rPr>
          <w:rFonts w:ascii="Roboto Mono" w:cs="Roboto Mono" w:eastAsia="Roboto Mono" w:hAnsi="Roboto Mono"/>
          <w:color w:val="188038"/>
          <w:rtl w:val="0"/>
        </w:rPr>
        <w:t xml:space="preserve">InvalidResolutionState</w:t>
      </w:r>
      <w:r w:rsidDel="00000000" w:rsidR="00000000" w:rsidRPr="00000000">
        <w:rPr>
          <w:rtl w:val="0"/>
        </w:rPr>
        <w:t xml:space="preserve"> revert condition in the on-chain smart contract layer.</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39">
      <w:pPr>
        <w:spacing w:after="240" w:before="240" w:lineRule="auto"/>
        <w:rPr>
          <w:color w:val="1155cc"/>
          <w:u w:val="single"/>
        </w:rPr>
      </w:pPr>
      <w:r w:rsidDel="00000000" w:rsidR="00000000" w:rsidRPr="00000000">
        <w:rPr>
          <w:rtl w:val="0"/>
        </w:rPr>
        <w:t xml:space="preserve">"Pause when truth is uncertain" maps to State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EpistemicHold</w:t>
      </w:r>
      <w:r w:rsidDel="00000000" w:rsidR="00000000" w:rsidRPr="00000000">
        <w:rPr>
          <w:rtl w:val="0"/>
        </w:rPr>
        <w:t xml:space="preserve">). This is the hesitation state. The word "uncertain" in the Vow is the constitutional basis for State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never being an error, a null return, a timeout, or a retry condition. Uncertainty is not failure. It is constitutional information.</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3A">
      <w:pPr>
        <w:spacing w:after="240" w:before="240" w:lineRule="auto"/>
        <w:rPr>
          <w:color w:val="1155cc"/>
          <w:u w:val="single"/>
        </w:rPr>
      </w:pPr>
      <w:r w:rsidDel="00000000" w:rsidR="00000000" w:rsidRPr="00000000">
        <w:rPr>
          <w:rtl w:val="0"/>
        </w:rPr>
        <w:t xml:space="preserve">The Vow also establishes the moral and logical foundation for the Tri-Cameral Governance Model. The Technical Council, Stewardship Custodians, and Smart Contract Treasury each derive their authority from a specific mandate of the Vow. The Technical Council ensures that truth is established before Proceed is issued. The Stewardship Custodians evaluate whether harm is clear and execute Refuse when necessary. The Smart Contract Treasury manages the resources that keep the system operational during Epistemic Hold. No single chamber can override the Vow. All three must operate in constitutional alignment for any state transition to occur.</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13B">
      <w:pPr>
        <w:spacing w:after="240" w:before="240" w:lineRule="auto"/>
        <w:rPr>
          <w:color w:val="1155cc"/>
          <w:u w:val="single"/>
        </w:rPr>
      </w:pPr>
      <w:r w:rsidDel="00000000" w:rsidR="00000000" w:rsidRPr="00000000">
        <w:rPr>
          <w:rtl w:val="0"/>
        </w:rPr>
        <w:t xml:space="preserve">The Vow appears in the TL API specification in the </w:t>
      </w:r>
      <w:r w:rsidDel="00000000" w:rsidR="00000000" w:rsidRPr="00000000">
        <w:rPr>
          <w:rFonts w:ascii="Roboto Mono" w:cs="Roboto Mono" w:eastAsia="Roboto Mono" w:hAnsi="Roboto Mono"/>
          <w:color w:val="188038"/>
          <w:rtl w:val="0"/>
        </w:rPr>
        <w:t xml:space="preserve">info.description</w:t>
      </w:r>
      <w:r w:rsidDel="00000000" w:rsidR="00000000" w:rsidRPr="00000000">
        <w:rPr>
          <w:rtl w:val="0"/>
        </w:rPr>
        <w:t xml:space="preserve"> field and the </w:t>
      </w:r>
      <w:r w:rsidDel="00000000" w:rsidR="00000000" w:rsidRPr="00000000">
        <w:rPr>
          <w:rFonts w:ascii="Roboto Mono" w:cs="Roboto Mono" w:eastAsia="Roboto Mono" w:hAnsi="Roboto Mono"/>
          <w:color w:val="188038"/>
          <w:rtl w:val="0"/>
        </w:rPr>
        <w:t xml:space="preserve">x-tl-constitutional-preamble</w:t>
      </w:r>
      <w:r w:rsidDel="00000000" w:rsidR="00000000" w:rsidRPr="00000000">
        <w:rPr>
          <w:rtl w:val="0"/>
        </w:rPr>
        <w:t xml:space="preserve"> extension of </w:t>
      </w:r>
      <w:r w:rsidDel="00000000" w:rsidR="00000000" w:rsidRPr="00000000">
        <w:rPr>
          <w:rFonts w:ascii="Roboto Mono" w:cs="Roboto Mono" w:eastAsia="Roboto Mono" w:hAnsi="Roboto Mono"/>
          <w:color w:val="188038"/>
          <w:rtl w:val="0"/>
        </w:rPr>
        <w:t xml:space="preserve">tl_openapi.yaml</w:t>
      </w:r>
      <w:r w:rsidDel="00000000" w:rsidR="00000000" w:rsidRPr="00000000">
        <w:rPr>
          <w:rtl w:val="0"/>
        </w:rPr>
        <w:t xml:space="preserve">. It governs every state machine branch in the </w:t>
      </w:r>
      <w:r w:rsidDel="00000000" w:rsidR="00000000" w:rsidRPr="00000000">
        <w:rPr>
          <w:rFonts w:ascii="Roboto Mono" w:cs="Roboto Mono" w:eastAsia="Roboto Mono" w:hAnsi="Roboto Mono"/>
          <w:color w:val="188038"/>
          <w:rtl w:val="0"/>
        </w:rPr>
        <w:t xml:space="preserve">StateEnvelope_v1_0_0</w:t>
      </w:r>
      <w:r w:rsidDel="00000000" w:rsidR="00000000" w:rsidRPr="00000000">
        <w:rPr>
          <w:rtl w:val="0"/>
        </w:rPr>
        <w:t xml:space="preserve"> schema, every TGLF log record type, and every ABI revert condition in </w:t>
      </w:r>
      <w:r w:rsidDel="00000000" w:rsidR="00000000" w:rsidRPr="00000000">
        <w:rPr>
          <w:rFonts w:ascii="Roboto Mono" w:cs="Roboto Mono" w:eastAsia="Roboto Mono" w:hAnsi="Roboto Mono"/>
          <w:color w:val="188038"/>
          <w:rtl w:val="0"/>
        </w:rPr>
        <w:t xml:space="preserve">TL_Ledger_Core</w:t>
      </w:r>
      <w:r w:rsidDel="00000000" w:rsidR="00000000" w:rsidRPr="00000000">
        <w:rPr>
          <w:rtl w:val="0"/>
        </w:rPr>
        <w:t xml:space="preserve">. Its presence at the API layer is not documentary decoration. It is the constitutional preamble that makes every downstream schema constraint legally coherent and architecturally enforceable.</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vo3cbzczk079" w:id="21"/>
      <w:bookmarkEnd w:id="21"/>
      <w:r w:rsidDel="00000000" w:rsidR="00000000" w:rsidRPr="00000000">
        <w:rPr>
          <w:b w:val="1"/>
          <w:bCs w:val="1"/>
          <w:sz w:val="34"/>
          <w:szCs w:val="34"/>
          <w:rtl w:val="0"/>
        </w:rPr>
        <w:t xml:space="preserve">2.2 The Goukassian Principle: Lantern, Signature, and License</w:t>
      </w:r>
    </w:p>
    <w:p w:rsidR="00000000" w:rsidDel="00000000" w:rsidP="00000000" w:rsidRDefault="00000000" w:rsidRPr="00000000" w14:paraId="0000013D">
      <w:pPr>
        <w:spacing w:after="240" w:before="240" w:lineRule="auto"/>
        <w:rPr/>
      </w:pPr>
      <w:r w:rsidDel="00000000" w:rsidR="00000000" w:rsidRPr="00000000">
        <w:rPr>
          <w:rtl w:val="0"/>
        </w:rPr>
        <w:t xml:space="preserve">The Goukassian Principle is the operational enforcement layer of the Ternary Logic framework. It is Pillar III of the Eight Pillars. It is constitutionally and architecturally distinct from the Goukassian Vow. Where the Vow is the foundational law that commands what governance must achieve, the Principle is the engineering specification that makes that governance computable, verifiable, and legally attributable.</w:t>
      </w:r>
    </w:p>
    <w:p w:rsidR="00000000" w:rsidDel="00000000" w:rsidP="00000000" w:rsidRDefault="00000000" w:rsidRPr="00000000" w14:paraId="0000013E">
      <w:pPr>
        <w:spacing w:after="240" w:before="240" w:lineRule="auto"/>
        <w:rPr/>
      </w:pPr>
      <w:r w:rsidDel="00000000" w:rsidR="00000000" w:rsidRPr="00000000">
        <w:rPr>
          <w:rtl w:val="0"/>
        </w:rPr>
        <w:t xml:space="preserve">The Goukassian Principle has three components, each modeled as a canonical lowercase artifact name exposed as a dedicated API resource.</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[14]</w:t>
        </w:r>
      </w:hyperlink>
      <w:r w:rsidDel="00000000" w:rsidR="00000000" w:rsidRPr="00000000">
        <w:rPr>
          <w:rtl w:val="0"/>
        </w:rPr>
        <w:t xml:space="preserve"> These three components operate in strict sequential dependency: the </w:t>
      </w:r>
      <w:r w:rsidDel="00000000" w:rsidR="00000000" w:rsidRPr="00000000">
        <w:rPr>
          <w:rFonts w:ascii="Roboto Mono" w:cs="Roboto Mono" w:eastAsia="Roboto Mono" w:hAnsi="Roboto Mono"/>
          <w:color w:val="188038"/>
          <w:rtl w:val="0"/>
        </w:rPr>
        <w:t xml:space="preserve">license</w:t>
      </w:r>
      <w:r w:rsidDel="00000000" w:rsidR="00000000" w:rsidRPr="00000000">
        <w:rPr>
          <w:rtl w:val="0"/>
        </w:rPr>
        <w:t xml:space="preserve"> can only be granted after the </w:t>
      </w:r>
      <w:r w:rsidDel="00000000" w:rsidR="00000000" w:rsidRPr="00000000">
        <w:rPr>
          <w:rFonts w:ascii="Roboto Mono" w:cs="Roboto Mono" w:eastAsia="Roboto Mono" w:hAnsi="Roboto Mono"/>
          <w:color w:val="188038"/>
          <w:rtl w:val="0"/>
        </w:rPr>
        <w:t xml:space="preserve">signature</w:t>
      </w:r>
      <w:r w:rsidDel="00000000" w:rsidR="00000000" w:rsidRPr="00000000">
        <w:rPr>
          <w:rtl w:val="0"/>
        </w:rPr>
        <w:t xml:space="preserve"> succeeds, the </w:t>
      </w:r>
      <w:r w:rsidDel="00000000" w:rsidR="00000000" w:rsidRPr="00000000">
        <w:rPr>
          <w:rFonts w:ascii="Roboto Mono" w:cs="Roboto Mono" w:eastAsia="Roboto Mono" w:hAnsi="Roboto Mono"/>
          <w:color w:val="188038"/>
          <w:rtl w:val="0"/>
        </w:rPr>
        <w:t xml:space="preserve">signature</w:t>
      </w:r>
      <w:r w:rsidDel="00000000" w:rsidR="00000000" w:rsidRPr="00000000">
        <w:rPr>
          <w:rtl w:val="0"/>
        </w:rPr>
        <w:t xml:space="preserve"> can only be generated after the </w:t>
      </w:r>
      <w:r w:rsidDel="00000000" w:rsidR="00000000" w:rsidRPr="00000000">
        <w:rPr>
          <w:rFonts w:ascii="Roboto Mono" w:cs="Roboto Mono" w:eastAsia="Roboto Mono" w:hAnsi="Roboto Mono"/>
          <w:color w:val="188038"/>
          <w:rtl w:val="0"/>
        </w:rPr>
        <w:t xml:space="preserve">lantern</w:t>
      </w:r>
      <w:r w:rsidDel="00000000" w:rsidR="00000000" w:rsidRPr="00000000">
        <w:rPr>
          <w:rtl w:val="0"/>
        </w:rPr>
        <w:t xml:space="preserve"> passes, and the </w:t>
      </w:r>
      <w:r w:rsidDel="00000000" w:rsidR="00000000" w:rsidRPr="00000000">
        <w:rPr>
          <w:rFonts w:ascii="Roboto Mono" w:cs="Roboto Mono" w:eastAsia="Roboto Mono" w:hAnsi="Roboto Mono"/>
          <w:color w:val="188038"/>
          <w:rtl w:val="0"/>
        </w:rPr>
        <w:t xml:space="preserve">lantern</w:t>
      </w:r>
      <w:r w:rsidDel="00000000" w:rsidR="00000000" w:rsidRPr="00000000">
        <w:rPr>
          <w:rtl w:val="0"/>
        </w:rPr>
        <w:t xml:space="preserve"> can only pass after all integrity self-tests are satisfied. Each is a gate. None can be skipped.</w:t>
      </w:r>
    </w:p>
    <w:p w:rsidR="00000000" w:rsidDel="00000000" w:rsidP="00000000" w:rsidRDefault="00000000" w:rsidRPr="00000000" w14:paraId="0000013F">
      <w:pPr>
        <w:spacing w:after="240" w:before="240" w:lineRule="auto"/>
        <w:rPr>
          <w:color w:val="1155cc"/>
          <w:u w:val="single"/>
        </w:rPr>
      </w:pPr>
      <w:r w:rsidDel="00000000" w:rsidR="00000000" w:rsidRPr="00000000">
        <w:rPr>
          <w:b w:val="1"/>
          <w:bCs w:val="1"/>
          <w:rtl w:val="0"/>
        </w:rPr>
        <w:t xml:space="preserve">The </w:t>
      </w:r>
      <w:r w:rsidDel="00000000" w:rsidR="00000000" w:rsidRPr="00000000">
        <w:rPr>
          <w:rFonts w:ascii="Roboto Mono" w:cs="Roboto Mono" w:eastAsia="Roboto Mono" w:hAnsi="Roboto Mono"/>
          <w:b w:val="1"/>
          <w:bCs w:val="1"/>
          <w:color w:val="188038"/>
          <w:rtl w:val="0"/>
        </w:rPr>
        <w:t xml:space="preserve">lantern</w:t>
      </w:r>
      <w:r w:rsidDel="00000000" w:rsidR="00000000" w:rsidRPr="00000000">
        <w:rPr>
          <w:rtl w:val="0"/>
        </w:rPr>
        <w:t xml:space="preserve"> is the system's requirement for verifiable certainty before any decision pathway is initiated. It is exposed at </w:t>
      </w:r>
      <w:r w:rsidDel="00000000" w:rsidR="00000000" w:rsidRPr="00000000">
        <w:rPr>
          <w:rFonts w:ascii="Roboto Mono" w:cs="Roboto Mono" w:eastAsia="Roboto Mono" w:hAnsi="Roboto Mono"/>
          <w:color w:val="188038"/>
          <w:rtl w:val="0"/>
        </w:rPr>
        <w:t xml:space="preserve">GET /epistemic-hold/lantern</w:t>
      </w:r>
      <w:r w:rsidDel="00000000" w:rsidR="00000000" w:rsidRPr="00000000">
        <w:rPr>
          <w:rtl w:val="0"/>
        </w:rPr>
        <w:t xml:space="preserve">. The Lantern broadcasts the current governance transparency posture of the system, including the status of all Eight Pillars through the </w:t>
      </w:r>
      <w:r w:rsidDel="00000000" w:rsidR="00000000" w:rsidRPr="00000000">
        <w:rPr>
          <w:rFonts w:ascii="Roboto Mono" w:cs="Roboto Mono" w:eastAsia="Roboto Mono" w:hAnsi="Roboto Mono"/>
          <w:color w:val="188038"/>
          <w:rtl w:val="0"/>
        </w:rPr>
        <w:t xml:space="preserve">pillarStatuses</w:t>
      </w:r>
      <w:r w:rsidDel="00000000" w:rsidR="00000000" w:rsidRPr="00000000">
        <w:rPr>
          <w:rtl w:val="0"/>
        </w:rPr>
        <w:t xml:space="preserve"> array and the </w:t>
      </w:r>
      <w:r w:rsidDel="00000000" w:rsidR="00000000" w:rsidRPr="00000000">
        <w:rPr>
          <w:rFonts w:ascii="Roboto Mono" w:cs="Roboto Mono" w:eastAsia="Roboto Mono" w:hAnsi="Roboto Mono"/>
          <w:color w:val="188038"/>
          <w:rtl w:val="0"/>
        </w:rPr>
        <w:t xml:space="preserve">compliancePosture</w:t>
      </w:r>
      <w:r w:rsidDel="00000000" w:rsidR="00000000" w:rsidRPr="00000000">
        <w:rPr>
          <w:rtl w:val="0"/>
        </w:rPr>
        <w:t xml:space="preserve"> enum. When the Lantern detects that data quality falls below a minimum verifiable threshold, that model convergence has failed within expected parameters, or that a critical external data feed is experiencing latency outside operational tolerance, it fails. A failed Lantern test immediately triggers Epistemic Hold.</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140">
      <w:pPr>
        <w:spacing w:after="240" w:before="240" w:lineRule="auto"/>
        <w:rPr>
          <w:color w:val="1155cc"/>
          <w:u w:val="single"/>
        </w:rPr>
      </w:pPr>
      <w:r w:rsidDel="00000000" w:rsidR="00000000" w:rsidRPr="00000000">
        <w:rPr>
          <w:rtl w:val="0"/>
        </w:rPr>
        <w:t xml:space="preserve">The Lantern is not a static pre-flight check. It is a continuous, real-time illumination of the system's epistemic state. Its </w:t>
      </w:r>
      <w:r w:rsidDel="00000000" w:rsidR="00000000" w:rsidRPr="00000000">
        <w:rPr>
          <w:rFonts w:ascii="Roboto Mono" w:cs="Roboto Mono" w:eastAsia="Roboto Mono" w:hAnsi="Roboto Mono"/>
          <w:color w:val="188038"/>
          <w:rtl w:val="0"/>
        </w:rPr>
        <w:t xml:space="preserve">compliancePosture</w:t>
      </w:r>
      <w:r w:rsidDel="00000000" w:rsidR="00000000" w:rsidRPr="00000000">
        <w:rPr>
          <w:rtl w:val="0"/>
        </w:rPr>
        <w:t xml:space="preserve"> enum includes </w:t>
      </w:r>
      <w:r w:rsidDel="00000000" w:rsidR="00000000" w:rsidRPr="00000000">
        <w:rPr>
          <w:rFonts w:ascii="Roboto Mono" w:cs="Roboto Mono" w:eastAsia="Roboto Mono" w:hAnsi="Roboto Mono"/>
          <w:color w:val="188038"/>
          <w:rtl w:val="0"/>
        </w:rPr>
        <w:t xml:space="preserve">EPISTEMIC_HOLD_ACTIVE</w:t>
      </w:r>
      <w:r w:rsidDel="00000000" w:rsidR="00000000" w:rsidRPr="00000000">
        <w:rPr>
          <w:rtl w:val="0"/>
        </w:rPr>
        <w:t xml:space="preserve"> as a legitimate operational posture, not an error code, reflecting the constitutional fact that Epistemic Hold is a normal and honored feature of the architecture. The </w:t>
      </w:r>
      <w:r w:rsidDel="00000000" w:rsidR="00000000" w:rsidRPr="00000000">
        <w:rPr>
          <w:rFonts w:ascii="Roboto Mono" w:cs="Roboto Mono" w:eastAsia="Roboto Mono" w:hAnsi="Roboto Mono"/>
          <w:color w:val="188038"/>
          <w:rtl w:val="0"/>
        </w:rPr>
        <w:t xml:space="preserve">pillarStatuses</w:t>
      </w:r>
      <w:r w:rsidDel="00000000" w:rsidR="00000000" w:rsidRPr="00000000">
        <w:rPr>
          <w:rtl w:val="0"/>
        </w:rPr>
        <w:t xml:space="preserve"> array provides per-pillar compliance signals across all Eight Pillars, enabling both automated governance and human steward review to identify precisely which pillar's conditions triggered the constitutional hesitation.</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41">
      <w:pPr>
        <w:spacing w:after="240" w:before="240" w:lineRule="auto"/>
        <w:rPr>
          <w:color w:val="1155cc"/>
          <w:u w:val="single"/>
        </w:rPr>
      </w:pPr>
      <w:r w:rsidDel="00000000" w:rsidR="00000000" w:rsidRPr="00000000">
        <w:rPr>
          <w:b w:val="1"/>
          <w:bCs w:val="1"/>
          <w:rtl w:val="0"/>
        </w:rPr>
        <w:t xml:space="preserve">The </w:t>
      </w:r>
      <w:r w:rsidDel="00000000" w:rsidR="00000000" w:rsidRPr="00000000">
        <w:rPr>
          <w:rFonts w:ascii="Roboto Mono" w:cs="Roboto Mono" w:eastAsia="Roboto Mono" w:hAnsi="Roboto Mono"/>
          <w:b w:val="1"/>
          <w:bCs w:val="1"/>
          <w:color w:val="188038"/>
          <w:rtl w:val="0"/>
        </w:rPr>
        <w:t xml:space="preserve">signature</w:t>
      </w:r>
      <w:r w:rsidDel="00000000" w:rsidR="00000000" w:rsidRPr="00000000">
        <w:rPr>
          <w:rtl w:val="0"/>
        </w:rPr>
        <w:t xml:space="preserve"> is the system's binding, cryptographically non-repudiable triadic declaration for every attempted action. It is exposed at </w:t>
      </w:r>
      <w:r w:rsidDel="00000000" w:rsidR="00000000" w:rsidRPr="00000000">
        <w:rPr>
          <w:rFonts w:ascii="Roboto Mono" w:cs="Roboto Mono" w:eastAsia="Roboto Mono" w:hAnsi="Roboto Mono"/>
          <w:color w:val="188038"/>
          <w:rtl w:val="0"/>
        </w:rPr>
        <w:t xml:space="preserve">GET /goukassian/signature</w:t>
      </w:r>
      <w:r w:rsidDel="00000000" w:rsidR="00000000" w:rsidRPr="00000000">
        <w:rPr>
          <w:rtl w:val="0"/>
        </w:rPr>
        <w:t xml:space="preserve">. For every proposal that the Inference Lane submits to the Governance Lane, the system must generate a cryptographically signed Decision Log that explicitly declares one of the three states: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(Proceed),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(Refuse), or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(Epistemic Hold). The Signature Block carries the current Ed25519 or ES256 attestation and the </w:t>
      </w:r>
      <w:r w:rsidDel="00000000" w:rsidR="00000000" w:rsidRPr="00000000">
        <w:rPr>
          <w:rFonts w:ascii="Roboto Mono" w:cs="Roboto Mono" w:eastAsia="Roboto Mono" w:hAnsi="Roboto Mono"/>
          <w:color w:val="188038"/>
          <w:rtl w:val="0"/>
        </w:rPr>
        <w:t xml:space="preserve">attestationChainStatus</w:t>
      </w:r>
      <w:r w:rsidDel="00000000" w:rsidR="00000000" w:rsidRPr="00000000">
        <w:rPr>
          <w:rtl w:val="0"/>
        </w:rPr>
        <w:t xml:space="preserve">. Post-quantum migration slots are reserved: slot 6 for </w:t>
      </w:r>
      <w:r w:rsidDel="00000000" w:rsidR="00000000" w:rsidRPr="00000000">
        <w:rPr>
          <w:rFonts w:ascii="Roboto Mono" w:cs="Roboto Mono" w:eastAsia="Roboto Mono" w:hAnsi="Roboto Mono"/>
          <w:color w:val="188038"/>
          <w:rtl w:val="0"/>
        </w:rPr>
        <w:t xml:space="preserve">SLH-DSA-SHAKE-128s</w:t>
      </w:r>
      <w:r w:rsidDel="00000000" w:rsidR="00000000" w:rsidRPr="00000000">
        <w:rPr>
          <w:rtl w:val="0"/>
        </w:rPr>
        <w:t xml:space="preserve"> and slot 7 for </w:t>
      </w:r>
      <w:r w:rsidDel="00000000" w:rsidR="00000000" w:rsidRPr="00000000">
        <w:rPr>
          <w:rFonts w:ascii="Roboto Mono" w:cs="Roboto Mono" w:eastAsia="Roboto Mono" w:hAnsi="Roboto Mono"/>
          <w:color w:val="188038"/>
          <w:rtl w:val="0"/>
        </w:rPr>
        <w:t xml:space="preserve">ML-KEM-1024</w:t>
      </w:r>
      <w:r w:rsidDel="00000000" w:rsidR="00000000" w:rsidRPr="00000000">
        <w:rPr>
          <w:rtl w:val="0"/>
        </w:rPr>
        <w:t xml:space="preserve">, consistent with NIST FIPS 203 and FIPS 205 standards finalized in August 2024.</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42">
      <w:pPr>
        <w:spacing w:after="240" w:before="240" w:lineRule="auto"/>
        <w:rPr>
          <w:color w:val="1155cc"/>
          <w:u w:val="single"/>
        </w:rPr>
      </w:pPr>
      <w:r w:rsidDel="00000000" w:rsidR="00000000" w:rsidRPr="00000000">
        <w:rPr>
          <w:rtl w:val="0"/>
        </w:rPr>
        <w:t xml:space="preserve">The Signature is what is hashed and committed to the Immutable Ledger (Pillar II). In </w:t>
      </w:r>
      <w:r w:rsidDel="00000000" w:rsidR="00000000" w:rsidRPr="00000000">
        <w:rPr>
          <w:rFonts w:ascii="Roboto Mono" w:cs="Roboto Mono" w:eastAsia="Roboto Mono" w:hAnsi="Roboto Mono"/>
          <w:color w:val="188038"/>
          <w:rtl w:val="0"/>
        </w:rPr>
        <w:t xml:space="preserve">eip712_typed_data.json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GoukassianSignatureAttestation.artifactName</w:t>
      </w:r>
      <w:r w:rsidDel="00000000" w:rsidR="00000000" w:rsidRPr="00000000">
        <w:rPr>
          <w:rtl w:val="0"/>
        </w:rPr>
        <w:t xml:space="preserve"> field is typed as </w:t>
      </w:r>
      <w:r w:rsidDel="00000000" w:rsidR="00000000" w:rsidRPr="00000000">
        <w:rPr>
          <w:rFonts w:ascii="Roboto Mono" w:cs="Roboto Mono" w:eastAsia="Roboto Mono" w:hAnsi="Roboto Mono"/>
          <w:color w:val="188038"/>
          <w:rtl w:val="0"/>
        </w:rPr>
        <w:t xml:space="preserve">bytes32</w:t>
      </w:r>
      <w:r w:rsidDel="00000000" w:rsidR="00000000" w:rsidRPr="00000000">
        <w:rPr>
          <w:rtl w:val="0"/>
        </w:rPr>
        <w:t xml:space="preserve"> with a canonical value of </w:t>
      </w:r>
      <w:r w:rsidDel="00000000" w:rsidR="00000000" w:rsidRPr="00000000">
        <w:rPr>
          <w:rFonts w:ascii="Roboto Mono" w:cs="Roboto Mono" w:eastAsia="Roboto Mono" w:hAnsi="Roboto Mono"/>
          <w:color w:val="188038"/>
          <w:rtl w:val="0"/>
        </w:rPr>
        <w:t xml:space="preserve">keccak256("signature")</w:t>
      </w:r>
      <w:r w:rsidDel="00000000" w:rsidR="00000000" w:rsidRPr="00000000">
        <w:rPr>
          <w:rtl w:val="0"/>
        </w:rPr>
        <w:t xml:space="preserve">. This encoding ensures that the Signature's identity is cryptographically fixed and non-repudiable at the smart contract layer.</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43">
      <w:pPr>
        <w:spacing w:after="240" w:before="240" w:lineRule="auto"/>
        <w:rPr>
          <w:color w:val="1155cc"/>
          <w:u w:val="single"/>
        </w:rPr>
      </w:pPr>
      <w:r w:rsidDel="00000000" w:rsidR="00000000" w:rsidRPr="00000000">
        <w:rPr>
          <w:b w:val="1"/>
          <w:bCs w:val="1"/>
          <w:rtl w:val="0"/>
        </w:rPr>
        <w:t xml:space="preserve">The </w:t>
      </w:r>
      <w:r w:rsidDel="00000000" w:rsidR="00000000" w:rsidRPr="00000000">
        <w:rPr>
          <w:rFonts w:ascii="Roboto Mono" w:cs="Roboto Mono" w:eastAsia="Roboto Mono" w:hAnsi="Roboto Mono"/>
          <w:b w:val="1"/>
          <w:bCs w:val="1"/>
          <w:color w:val="188038"/>
          <w:rtl w:val="0"/>
        </w:rPr>
        <w:t xml:space="preserve">license</w:t>
      </w:r>
      <w:r w:rsidDel="00000000" w:rsidR="00000000" w:rsidRPr="00000000">
        <w:rPr>
          <w:rtl w:val="0"/>
        </w:rPr>
        <w:t xml:space="preserve"> is the computational permission granted to the system to execute the final action. It is exposed at </w:t>
      </w:r>
      <w:r w:rsidDel="00000000" w:rsidR="00000000" w:rsidRPr="00000000">
        <w:rPr>
          <w:rFonts w:ascii="Roboto Mono" w:cs="Roboto Mono" w:eastAsia="Roboto Mono" w:hAnsi="Roboto Mono"/>
          <w:color w:val="188038"/>
          <w:rtl w:val="0"/>
        </w:rPr>
        <w:t xml:space="preserve">POST /goukassian/license/validate</w:t>
      </w:r>
      <w:r w:rsidDel="00000000" w:rsidR="00000000" w:rsidRPr="00000000">
        <w:rPr>
          <w:rtl w:val="0"/>
        </w:rPr>
        <w:t xml:space="preserve">. A License is granted only after the Signature has been successfully generated, cryptographically hashed, and committed to the Immutable Ledger. The system cannot execute a trade, finalize a calculation, transfer funds, or issue a CBDC unit without a cryptographically validated License being computationally present. If the Lantern fails, the Signature cannot be generated. If the Signature cannot be generated or committed, the License is automatically denied. If the License is denied, the Gateway remains closed. Any proposed action exceeding the </w:t>
      </w:r>
      <w:r w:rsidDel="00000000" w:rsidR="00000000" w:rsidRPr="00000000">
        <w:rPr>
          <w:rFonts w:ascii="Roboto Mono" w:cs="Roboto Mono" w:eastAsia="Roboto Mono" w:hAnsi="Roboto Mono"/>
          <w:color w:val="188038"/>
          <w:rtl w:val="0"/>
        </w:rPr>
        <w:t xml:space="preserve">licenseScope</w:t>
      </w:r>
      <w:r w:rsidDel="00000000" w:rsidR="00000000" w:rsidRPr="00000000">
        <w:rPr>
          <w:rtl w:val="0"/>
        </w:rPr>
        <w:t xml:space="preserve"> array triggers automatic Refuse (State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hyperlink r:id="rId78">
        <w:r w:rsidDel="00000000" w:rsidR="00000000" w:rsidRPr="00000000">
          <w:rPr>
            <w:rtl w:val="0"/>
          </w:rPr>
          <w:t xml:space="preserve"> </w:t>
        </w:r>
      </w:hyperlink>
      <w:hyperlink r:id="rId79">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44">
      <w:pPr>
        <w:spacing w:after="240" w:before="240" w:lineRule="auto"/>
        <w:rPr>
          <w:color w:val="1155cc"/>
          <w:u w:val="single"/>
        </w:rPr>
      </w:pPr>
      <w:r w:rsidDel="00000000" w:rsidR="00000000" w:rsidRPr="00000000">
        <w:rPr>
          <w:rtl w:val="0"/>
        </w:rPr>
        <w:t xml:space="preserve">The three artifacts of the Goukassian Principle are required on every </w:t>
      </w:r>
      <w:r w:rsidDel="00000000" w:rsidR="00000000" w:rsidRPr="00000000">
        <w:rPr>
          <w:rFonts w:ascii="Roboto Mono" w:cs="Roboto Mono" w:eastAsia="Roboto Mono" w:hAnsi="Roboto Mono"/>
          <w:color w:val="188038"/>
          <w:rtl w:val="0"/>
        </w:rPr>
        <w:t xml:space="preserve">POST /decisions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POST /evaluate/*</w:t>
      </w:r>
      <w:r w:rsidDel="00000000" w:rsidR="00000000" w:rsidRPr="00000000">
        <w:rPr>
          <w:rtl w:val="0"/>
        </w:rPr>
        <w:t xml:space="preserve"> request body through the </w:t>
      </w:r>
      <w:r w:rsidDel="00000000" w:rsidR="00000000" w:rsidRPr="00000000">
        <w:rPr>
          <w:rFonts w:ascii="Roboto Mono" w:cs="Roboto Mono" w:eastAsia="Roboto Mono" w:hAnsi="Roboto Mono"/>
          <w:color w:val="188038"/>
          <w:rtl w:val="0"/>
        </w:rPr>
        <w:t xml:space="preserve">GoukassianPrincipleBlock_v1_0_0</w:t>
      </w:r>
      <w:r w:rsidDel="00000000" w:rsidR="00000000" w:rsidRPr="00000000">
        <w:rPr>
          <w:rtl w:val="0"/>
        </w:rPr>
        <w:t xml:space="preserve"> schema. Their absence causes schema validation failure, which cascades immediately to Permission Token denial and Gateway lock. The Goukassian Principle is not a recommended practice. It is a physical prerequisite for economic action.</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qf7fvdkf9zku" w:id="22"/>
      <w:bookmarkEnd w:id="22"/>
      <w:r w:rsidDel="00000000" w:rsidR="00000000" w:rsidRPr="00000000">
        <w:rPr>
          <w:b w:val="1"/>
          <w:bCs w:val="1"/>
          <w:sz w:val="34"/>
          <w:szCs w:val="34"/>
          <w:rtl w:val="0"/>
        </w:rPr>
        <w:t xml:space="preserve">2.3 The Three Economic Decision States</w:t>
      </w:r>
    </w:p>
    <w:p w:rsidR="00000000" w:rsidDel="00000000" w:rsidP="00000000" w:rsidRDefault="00000000" w:rsidRPr="00000000" w14:paraId="00000146">
      <w:pPr>
        <w:spacing w:after="240" w:before="240" w:lineRule="auto"/>
        <w:rPr>
          <w:color w:val="1155cc"/>
          <w:u w:val="single"/>
        </w:rPr>
      </w:pPr>
      <w:r w:rsidDel="00000000" w:rsidR="00000000" w:rsidRPr="00000000">
        <w:rPr>
          <w:rtl w:val="0"/>
        </w:rPr>
        <w:t xml:space="preserve">Ternary Logic operates with a complete and closed decision alphabet of three states: </w:t>
      </w:r>
      <w:r w:rsidDel="00000000" w:rsidR="00000000" w:rsidRPr="00000000">
        <w:rPr>
          <w:rFonts w:ascii="Roboto Mono" w:cs="Roboto Mono" w:eastAsia="Roboto Mono" w:hAnsi="Roboto Mono"/>
          <w:color w:val="188038"/>
          <w:rtl w:val="0"/>
        </w:rPr>
        <w:t xml:space="preserve">Proceed</w:t>
      </w:r>
      <w:r w:rsidDel="00000000" w:rsidR="00000000" w:rsidRPr="00000000">
        <w:rPr>
          <w:rtl w:val="0"/>
        </w:rPr>
        <w:t xml:space="preserve"> (+1), </w:t>
      </w:r>
      <w:r w:rsidDel="00000000" w:rsidR="00000000" w:rsidRPr="00000000">
        <w:rPr>
          <w:rFonts w:ascii="Roboto Mono" w:cs="Roboto Mono" w:eastAsia="Roboto Mono" w:hAnsi="Roboto Mono"/>
          <w:color w:val="188038"/>
          <w:rtl w:val="0"/>
        </w:rPr>
        <w:t xml:space="preserve">EpistemicHold</w:t>
      </w:r>
      <w:r w:rsidDel="00000000" w:rsidR="00000000" w:rsidRPr="00000000">
        <w:rPr>
          <w:rtl w:val="0"/>
        </w:rPr>
        <w:t xml:space="preserve"> (0), and </w:t>
      </w:r>
      <w:r w:rsidDel="00000000" w:rsidR="00000000" w:rsidRPr="00000000">
        <w:rPr>
          <w:rFonts w:ascii="Roboto Mono" w:cs="Roboto Mono" w:eastAsia="Roboto Mono" w:hAnsi="Roboto Mono"/>
          <w:color w:val="188038"/>
          <w:rtl w:val="0"/>
        </w:rPr>
        <w:t xml:space="preserve">Refuse</w:t>
      </w:r>
      <w:r w:rsidDel="00000000" w:rsidR="00000000" w:rsidRPr="00000000">
        <w:rPr>
          <w:rtl w:val="0"/>
        </w:rPr>
        <w:t xml:space="preserve"> (-1). No economic action within the TL framework may resolve to any state outside this triad. The system does not output probabilistic confidence scores, risk-adjusted recommendations, or graded advisories. It issues constitutional determinations. Every proposal that enters the Governance Lane must exit as exactly one of these three states. The Gateway recognizes no intermediate or ambiguous signals.</w:t>
      </w:r>
      <w:hyperlink r:id="rId82">
        <w:r w:rsidDel="00000000" w:rsidR="00000000" w:rsidRPr="00000000">
          <w:rPr>
            <w:rtl w:val="0"/>
          </w:rPr>
          <w:t xml:space="preserve"> </w:t>
        </w:r>
      </w:hyperlink>
      <w:hyperlink r:id="rId83">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sgnnisgd4o62" w:id="23"/>
      <w:bookmarkEnd w:id="23"/>
      <w:r w:rsidDel="00000000" w:rsidR="00000000" w:rsidRPr="00000000">
        <w:rPr>
          <w:b w:val="1"/>
          <w:bCs w:val="1"/>
          <w:color w:val="000000"/>
          <w:sz w:val="26"/>
          <w:szCs w:val="26"/>
          <w:rtl w:val="0"/>
        </w:rPr>
        <w:t xml:space="preserve">2.3.1 Proceed (+1): The Authorization State</w:t>
      </w:r>
    </w:p>
    <w:p w:rsidR="00000000" w:rsidDel="00000000" w:rsidP="00000000" w:rsidRDefault="00000000" w:rsidRPr="00000000" w14:paraId="00000148">
      <w:pPr>
        <w:spacing w:after="240" w:before="240" w:lineRule="auto"/>
        <w:rPr/>
      </w:pPr>
      <w:r w:rsidDel="00000000" w:rsidR="00000000" w:rsidRPr="00000000">
        <w:rPr>
          <w:rFonts w:ascii="Roboto Mono" w:cs="Roboto Mono" w:eastAsia="Roboto Mono" w:hAnsi="Roboto Mono"/>
          <w:color w:val="188038"/>
          <w:rtl w:val="0"/>
        </w:rPr>
        <w:t xml:space="preserve">Proceed</w:t>
      </w:r>
      <w:r w:rsidDel="00000000" w:rsidR="00000000" w:rsidRPr="00000000">
        <w:rPr>
          <w:rtl w:val="0"/>
        </w:rPr>
        <w:t xml:space="preserve"> is the affirmative authorization state. Its integer value is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and its </w:t>
      </w:r>
      <w:r w:rsidDel="00000000" w:rsidR="00000000" w:rsidRPr="00000000">
        <w:rPr>
          <w:rFonts w:ascii="Roboto Mono" w:cs="Roboto Mono" w:eastAsia="Roboto Mono" w:hAnsi="Roboto Mono"/>
          <w:color w:val="188038"/>
          <w:rtl w:val="0"/>
        </w:rPr>
        <w:t xml:space="preserve">stateLabel</w:t>
      </w:r>
      <w:r w:rsidDel="00000000" w:rsidR="00000000" w:rsidRPr="00000000">
        <w:rPr>
          <w:rtl w:val="0"/>
        </w:rPr>
        <w:t xml:space="preserve"> in the TL schema is </w:t>
      </w:r>
      <w:r w:rsidDel="00000000" w:rsidR="00000000" w:rsidRPr="00000000">
        <w:rPr>
          <w:rFonts w:ascii="Roboto Mono" w:cs="Roboto Mono" w:eastAsia="Roboto Mono" w:hAnsi="Roboto Mono"/>
          <w:color w:val="188038"/>
          <w:rtl w:val="0"/>
        </w:rPr>
        <w:t xml:space="preserve">"Proceed"</w:t>
      </w:r>
      <w:r w:rsidDel="00000000" w:rsidR="00000000" w:rsidRPr="00000000">
        <w:rPr>
          <w:rtl w:val="0"/>
        </w:rPr>
        <w:t xml:space="preserve">. A Proceed determination signifies that the Governance Lane has verified sufficient evidentiary certainty, that no Refuse condition has been triggered under any of the Eight Pillars, and that the proposal satisfies the Goukassian Vow's third mandate.</w:t>
      </w:r>
    </w:p>
    <w:p w:rsidR="00000000" w:rsidDel="00000000" w:rsidP="00000000" w:rsidRDefault="00000000" w:rsidRPr="00000000" w14:paraId="00000149">
      <w:pPr>
        <w:spacing w:after="240" w:before="240" w:lineRule="auto"/>
        <w:rPr>
          <w:color w:val="1155cc"/>
          <w:u w:val="single"/>
        </w:rPr>
      </w:pPr>
      <w:r w:rsidDel="00000000" w:rsidR="00000000" w:rsidRPr="00000000">
        <w:rPr>
          <w:rtl w:val="0"/>
        </w:rPr>
        <w:t xml:space="preserve">A Proceed determination is not a prediction that the action will succeed. It is a certification that the decision to act is constitutionally defensible: that truth was established before power was exercised.</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14A">
      <w:pPr>
        <w:spacing w:after="240" w:before="240" w:lineRule="auto"/>
        <w:rPr>
          <w:color w:val="1155cc"/>
          <w:u w:val="single"/>
        </w:rPr>
      </w:pPr>
      <w:r w:rsidDel="00000000" w:rsidR="00000000" w:rsidRPr="00000000">
        <w:rPr>
          <w:rtl w:val="0"/>
        </w:rPr>
        <w:t xml:space="preserve">The Permission Token issued alongside a Proceed determination is not a simple boolean authorization flag. It is a cryptographically signed, schema-validated, timestamped object containing the full Decision Log, the evidentiary hash chain, the schema validation checksum, and the signatures from the relevant Tri-Cameral governance chambers. Without this token, Proceed is not actionable.</w:t>
      </w:r>
      <w:hyperlink r:id="rId86">
        <w:r w:rsidDel="00000000" w:rsidR="00000000" w:rsidRPr="00000000">
          <w:rPr>
            <w:rtl w:val="0"/>
          </w:rPr>
          <w:t xml:space="preserve"> </w:t>
        </w:r>
      </w:hyperlink>
      <w:hyperlink r:id="rId87">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4B">
      <w:pPr>
        <w:spacing w:after="240" w:before="240" w:lineRule="auto"/>
        <w:rPr>
          <w:color w:val="1155cc"/>
          <w:u w:val="single"/>
        </w:rPr>
      </w:pPr>
      <w:r w:rsidDel="00000000" w:rsidR="00000000" w:rsidRPr="00000000">
        <w:rPr>
          <w:rtl w:val="0"/>
        </w:rPr>
        <w:t xml:space="preserve">At the schema layer, Proceed carries non-negotiable structural enforcement: the </w:t>
      </w:r>
      <w:r w:rsidDel="00000000" w:rsidR="00000000" w:rsidRPr="00000000">
        <w:rPr>
          <w:rFonts w:ascii="Roboto Mono" w:cs="Roboto Mono" w:eastAsia="Roboto Mono" w:hAnsi="Roboto Mono"/>
          <w:color w:val="188038"/>
          <w:rtl w:val="0"/>
        </w:rPr>
        <w:t xml:space="preserve">if/then</w:t>
      </w:r>
      <w:r w:rsidDel="00000000" w:rsidR="00000000" w:rsidRPr="00000000">
        <w:rPr>
          <w:rtl w:val="0"/>
        </w:rPr>
        <w:t xml:space="preserve"> constraint in </w:t>
      </w:r>
      <w:r w:rsidDel="00000000" w:rsidR="00000000" w:rsidRPr="00000000">
        <w:rPr>
          <w:rFonts w:ascii="Roboto Mono" w:cs="Roboto Mono" w:eastAsia="Roboto Mono" w:hAnsi="Roboto Mono"/>
          <w:color w:val="188038"/>
          <w:rtl w:val="0"/>
        </w:rPr>
        <w:t xml:space="preserve">StateEnvelope_v1_0_0</w:t>
      </w:r>
      <w:r w:rsidDel="00000000" w:rsidR="00000000" w:rsidRPr="00000000">
        <w:rPr>
          <w:rtl w:val="0"/>
        </w:rPr>
        <w:t xml:space="preserve"> makes </w:t>
      </w:r>
      <w:r w:rsidDel="00000000" w:rsidR="00000000" w:rsidRPr="00000000">
        <w:rPr>
          <w:rFonts w:ascii="Roboto Mono" w:cs="Roboto Mono" w:eastAsia="Roboto Mono" w:hAnsi="Roboto Mono"/>
          <w:color w:val="188038"/>
          <w:rtl w:val="0"/>
        </w:rPr>
        <w:t xml:space="preserve">permissionToken</w:t>
      </w:r>
      <w:r w:rsidDel="00000000" w:rsidR="00000000" w:rsidRPr="00000000">
        <w:rPr>
          <w:rtl w:val="0"/>
        </w:rPr>
        <w:t xml:space="preserve"> a required property when </w:t>
      </w:r>
      <w:r w:rsidDel="00000000" w:rsidR="00000000" w:rsidRPr="00000000">
        <w:rPr>
          <w:rFonts w:ascii="Roboto Mono" w:cs="Roboto Mono" w:eastAsia="Roboto Mono" w:hAnsi="Roboto Mono"/>
          <w:color w:val="188038"/>
          <w:rtl w:val="0"/>
        </w:rPr>
        <w:t xml:space="preserve">currentState</w:t>
      </w:r>
      <w:r w:rsidDel="00000000" w:rsidR="00000000" w:rsidRPr="00000000">
        <w:rPr>
          <w:rtl w:val="0"/>
        </w:rPr>
        <w:t xml:space="preserve"> equals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unevaluatedProperties: false</w:t>
      </w:r>
      <w:r w:rsidDel="00000000" w:rsidR="00000000" w:rsidRPr="00000000">
        <w:rPr>
          <w:rtl w:val="0"/>
        </w:rPr>
        <w:t xml:space="preserve"> prevents bypass through additional properties. At the smart contract layer, </w:t>
      </w:r>
      <w:r w:rsidDel="00000000" w:rsidR="00000000" w:rsidRPr="00000000">
        <w:rPr>
          <w:rFonts w:ascii="Roboto Mono" w:cs="Roboto Mono" w:eastAsia="Roboto Mono" w:hAnsi="Roboto Mono"/>
          <w:color w:val="188038"/>
          <w:rtl w:val="0"/>
        </w:rPr>
        <w:t xml:space="preserve">TL_Ledger_Core.registerPermissionToken</w:t>
      </w:r>
      <w:r w:rsidDel="00000000" w:rsidR="00000000" w:rsidRPr="00000000">
        <w:rPr>
          <w:rtl w:val="0"/>
        </w:rPr>
        <w:t xml:space="preserve"> reverts with </w:t>
      </w:r>
      <w:r w:rsidDel="00000000" w:rsidR="00000000" w:rsidRPr="00000000">
        <w:rPr>
          <w:rFonts w:ascii="Roboto Mono" w:cs="Roboto Mono" w:eastAsia="Roboto Mono" w:hAnsi="Roboto Mono"/>
          <w:color w:val="188038"/>
          <w:rtl w:val="0"/>
        </w:rPr>
        <w:t xml:space="preserve">NLNAViolation</w:t>
      </w:r>
      <w:r w:rsidDel="00000000" w:rsidR="00000000" w:rsidRPr="00000000">
        <w:rPr>
          <w:rtl w:val="0"/>
        </w:rPr>
        <w:t xml:space="preserve"> if the supplied </w:t>
      </w:r>
      <w:r w:rsidDel="00000000" w:rsidR="00000000" w:rsidRPr="00000000">
        <w:rPr>
          <w:rFonts w:ascii="Roboto Mono" w:cs="Roboto Mono" w:eastAsia="Roboto Mono" w:hAnsi="Roboto Mono"/>
          <w:color w:val="188038"/>
          <w:rtl w:val="0"/>
        </w:rPr>
        <w:t xml:space="preserve">logHash</w:t>
      </w:r>
      <w:r w:rsidDel="00000000" w:rsidR="00000000" w:rsidRPr="00000000">
        <w:rPr>
          <w:rtl w:val="0"/>
        </w:rPr>
        <w:t xml:space="preserve"> is not provably included in an anchored Merkle root. Proceed without evidence is architecturally impossible, not merely prohibited.</w:t>
      </w:r>
      <w:hyperlink r:id="rId88">
        <w:r w:rsidDel="00000000" w:rsidR="00000000" w:rsidRPr="00000000">
          <w:rPr>
            <w:rtl w:val="0"/>
          </w:rPr>
          <w:t xml:space="preserve"> </w:t>
        </w:r>
      </w:hyperlink>
      <w:hyperlink r:id="rId89">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hkonrb47sgs2" w:id="24"/>
      <w:bookmarkEnd w:id="24"/>
      <w:r w:rsidDel="00000000" w:rsidR="00000000" w:rsidRPr="00000000">
        <w:rPr>
          <w:b w:val="1"/>
          <w:bCs w:val="1"/>
          <w:color w:val="000000"/>
          <w:sz w:val="26"/>
          <w:szCs w:val="26"/>
          <w:rtl w:val="0"/>
        </w:rPr>
        <w:t xml:space="preserve">2.3.2 Refuse (-1): The Prohibition State</w:t>
      </w:r>
    </w:p>
    <w:p w:rsidR="00000000" w:rsidDel="00000000" w:rsidP="00000000" w:rsidRDefault="00000000" w:rsidRPr="00000000" w14:paraId="0000014D">
      <w:pPr>
        <w:spacing w:after="240" w:before="240" w:lineRule="auto"/>
        <w:rPr/>
      </w:pPr>
      <w:r w:rsidDel="00000000" w:rsidR="00000000" w:rsidRPr="00000000">
        <w:rPr>
          <w:rFonts w:ascii="Roboto Mono" w:cs="Roboto Mono" w:eastAsia="Roboto Mono" w:hAnsi="Roboto Mono"/>
          <w:color w:val="188038"/>
          <w:rtl w:val="0"/>
        </w:rPr>
        <w:t xml:space="preserve">Refuse</w:t>
      </w:r>
      <w:r w:rsidDel="00000000" w:rsidR="00000000" w:rsidRPr="00000000">
        <w:rPr>
          <w:rtl w:val="0"/>
        </w:rPr>
        <w:t xml:space="preserve"> is the prohibition state. Its integer value is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and its </w:t>
      </w:r>
      <w:r w:rsidDel="00000000" w:rsidR="00000000" w:rsidRPr="00000000">
        <w:rPr>
          <w:rFonts w:ascii="Roboto Mono" w:cs="Roboto Mono" w:eastAsia="Roboto Mono" w:hAnsi="Roboto Mono"/>
          <w:color w:val="188038"/>
          <w:rtl w:val="0"/>
        </w:rPr>
        <w:t xml:space="preserve">stateLabel</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"Refuse"</w:t>
      </w:r>
      <w:r w:rsidDel="00000000" w:rsidR="00000000" w:rsidRPr="00000000">
        <w:rPr>
          <w:rtl w:val="0"/>
        </w:rPr>
        <w:t xml:space="preserve">. A Refuse determination signifies that the proposal has violated a constitutional boundary, triggered a harm condition under the Goukassian Vow's second mandate, or failed a mandatory evidentiary test under any of the Eight Pillars.</w:t>
      </w:r>
    </w:p>
    <w:p w:rsidR="00000000" w:rsidDel="00000000" w:rsidP="00000000" w:rsidRDefault="00000000" w:rsidRPr="00000000" w14:paraId="0000014E">
      <w:pPr>
        <w:spacing w:after="240" w:before="240" w:lineRule="auto"/>
        <w:rPr>
          <w:color w:val="1155cc"/>
          <w:u w:val="single"/>
        </w:rPr>
      </w:pPr>
      <w:r w:rsidDel="00000000" w:rsidR="00000000" w:rsidRPr="00000000">
        <w:rPr>
          <w:rtl w:val="0"/>
        </w:rPr>
        <w:t xml:space="preserve">Refuse is absolute. It is not a suggestion to reconsider. It is not a lowered priority flag. When the Governance Lane issues Refuse, the Gateway enters a locked state. The </w:t>
      </w:r>
      <w:r w:rsidDel="00000000" w:rsidR="00000000" w:rsidRPr="00000000">
        <w:rPr>
          <w:rFonts w:ascii="Roboto Mono" w:cs="Roboto Mono" w:eastAsia="Roboto Mono" w:hAnsi="Roboto Mono"/>
          <w:color w:val="188038"/>
          <w:rtl w:val="0"/>
        </w:rPr>
        <w:t xml:space="preserve">refusalIsPermanent: true</w:t>
      </w:r>
      <w:r w:rsidDel="00000000" w:rsidR="00000000" w:rsidRPr="00000000">
        <w:rPr>
          <w:rtl w:val="0"/>
        </w:rPr>
        <w:t xml:space="preserve"> default in the API specification means that the proposal is permanently barred from execution on that submission. An entirely new evidentiary submission must be processed through the full Governance Lane.</w:t>
      </w:r>
      <w:hyperlink r:id="rId90">
        <w:r w:rsidDel="00000000" w:rsidR="00000000" w:rsidRPr="00000000">
          <w:rPr>
            <w:rtl w:val="0"/>
          </w:rPr>
          <w:t xml:space="preserve"> </w:t>
        </w:r>
      </w:hyperlink>
      <w:hyperlink r:id="rId91">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4F">
      <w:pPr>
        <w:spacing w:after="240" w:before="240" w:lineRule="auto"/>
        <w:rPr>
          <w:color w:val="1155cc"/>
          <w:u w:val="single"/>
        </w:rPr>
      </w:pPr>
      <w:r w:rsidDel="00000000" w:rsidR="00000000" w:rsidRPr="00000000">
        <w:rPr>
          <w:rtl w:val="0"/>
        </w:rPr>
        <w:t xml:space="preserve">The Decision Log for a Refuse determination must document the specific constitutional gate violated, the evidentiary basis for that violation, the Pillar implicated, and the chamber signatures that validated the determination. At the on-chain layer, the </w:t>
      </w:r>
      <w:r w:rsidDel="00000000" w:rsidR="00000000" w:rsidRPr="00000000">
        <w:rPr>
          <w:rFonts w:ascii="Roboto Mono" w:cs="Roboto Mono" w:eastAsia="Roboto Mono" w:hAnsi="Roboto Mono"/>
          <w:color w:val="188038"/>
          <w:rtl w:val="0"/>
        </w:rPr>
        <w:t xml:space="preserve">ABI.InvalidResolutionState</w:t>
      </w:r>
      <w:r w:rsidDel="00000000" w:rsidR="00000000" w:rsidRPr="00000000">
        <w:rPr>
          <w:rtl w:val="0"/>
        </w:rPr>
        <w:t xml:space="preserve"> revert condition enforces the permanence of Refuse at the smart contract level. A transaction attempting to convert a Refuse determination into a Proceed without full re-evaluation will revert on-chain.</w:t>
      </w:r>
      <w:hyperlink r:id="rId92">
        <w:r w:rsidDel="00000000" w:rsidR="00000000" w:rsidRPr="00000000">
          <w:rPr>
            <w:rtl w:val="0"/>
          </w:rPr>
          <w:t xml:space="preserve"> </w:t>
        </w:r>
      </w:hyperlink>
      <w:hyperlink r:id="rId93">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319onndwk03e" w:id="25"/>
      <w:bookmarkEnd w:id="25"/>
      <w:r w:rsidDel="00000000" w:rsidR="00000000" w:rsidRPr="00000000">
        <w:rPr>
          <w:b w:val="1"/>
          <w:bCs w:val="1"/>
          <w:color w:val="000000"/>
          <w:sz w:val="26"/>
          <w:szCs w:val="26"/>
          <w:rtl w:val="0"/>
        </w:rPr>
        <w:t xml:space="preserve">2.3.3 Epistemic Hold (0): The Hesitation State</w:t>
      </w:r>
    </w:p>
    <w:p w:rsidR="00000000" w:rsidDel="00000000" w:rsidP="00000000" w:rsidRDefault="00000000" w:rsidRPr="00000000" w14:paraId="00000151">
      <w:pPr>
        <w:spacing w:after="240" w:before="240" w:lineRule="auto"/>
        <w:rPr/>
      </w:pPr>
      <w:r w:rsidDel="00000000" w:rsidR="00000000" w:rsidRPr="00000000">
        <w:rPr>
          <w:rFonts w:ascii="Roboto Mono" w:cs="Roboto Mono" w:eastAsia="Roboto Mono" w:hAnsi="Roboto Mono"/>
          <w:color w:val="188038"/>
          <w:rtl w:val="0"/>
        </w:rPr>
        <w:t xml:space="preserve">EpistemicHold</w:t>
      </w:r>
      <w:r w:rsidDel="00000000" w:rsidR="00000000" w:rsidRPr="00000000">
        <w:rPr>
          <w:rtl w:val="0"/>
        </w:rPr>
        <w:t xml:space="preserve"> is the most consequential and most architecturally novel of the three states. Its integer value is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and its </w:t>
      </w:r>
      <w:r w:rsidDel="00000000" w:rsidR="00000000" w:rsidRPr="00000000">
        <w:rPr>
          <w:rFonts w:ascii="Roboto Mono" w:cs="Roboto Mono" w:eastAsia="Roboto Mono" w:hAnsi="Roboto Mono"/>
          <w:color w:val="188038"/>
          <w:rtl w:val="0"/>
        </w:rPr>
        <w:t xml:space="preserve">stateLabel</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"EpistemicHold"</w:t>
      </w:r>
      <w:r w:rsidDel="00000000" w:rsidR="00000000" w:rsidRPr="00000000">
        <w:rPr>
          <w:rtl w:val="0"/>
        </w:rPr>
        <w:t xml:space="preserve">.</w:t>
      </w:r>
    </w:p>
    <w:p w:rsidR="00000000" w:rsidDel="00000000" w:rsidP="00000000" w:rsidRDefault="00000000" w:rsidRPr="00000000" w14:paraId="00000152">
      <w:pPr>
        <w:spacing w:after="240" w:before="240" w:lineRule="auto"/>
        <w:rPr>
          <w:color w:val="1155cc"/>
          <w:u w:val="single"/>
        </w:rPr>
      </w:pPr>
      <w:r w:rsidDel="00000000" w:rsidR="00000000" w:rsidRPr="00000000">
        <w:rPr>
          <w:rtl w:val="0"/>
        </w:rPr>
        <w:t xml:space="preserve">Epistemic Hold is never an error. It is never a null return. It is never a timeout, a retry condition, a system malfunction, or a performance bottleneck. It is a first-class constitutional determination that the available evidence is insufficient to support Proceed and that no harm condition has been detected to trigger Refuse.</w:t>
      </w:r>
      <w:hyperlink r:id="rId94">
        <w:r w:rsidDel="00000000" w:rsidR="00000000" w:rsidRPr="00000000">
          <w:rPr>
            <w:rtl w:val="0"/>
          </w:rPr>
          <w:t xml:space="preserve"> </w:t>
        </w:r>
      </w:hyperlink>
      <w:hyperlink r:id="rId95">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53">
      <w:pPr>
        <w:spacing w:after="240" w:before="240" w:lineRule="auto"/>
        <w:rPr>
          <w:color w:val="1155cc"/>
          <w:u w:val="single"/>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EscrowRecord_v1_0_0</w:t>
      </w:r>
      <w:r w:rsidDel="00000000" w:rsidR="00000000" w:rsidRPr="00000000">
        <w:rPr>
          <w:rtl w:val="0"/>
        </w:rPr>
        <w:t xml:space="preserve"> schema is the single authoritative definition of all Epistemic Hold response fields. Its mandatory fields include: </w:t>
      </w:r>
      <w:r w:rsidDel="00000000" w:rsidR="00000000" w:rsidRPr="00000000">
        <w:rPr>
          <w:rFonts w:ascii="Roboto Mono" w:cs="Roboto Mono" w:eastAsia="Roboto Mono" w:hAnsi="Roboto Mono"/>
          <w:color w:val="188038"/>
          <w:rtl w:val="0"/>
        </w:rPr>
        <w:t xml:space="preserve">escrowId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heldState</w:t>
      </w:r>
      <w:r w:rsidDel="00000000" w:rsidR="00000000" w:rsidRPr="00000000">
        <w:rPr>
          <w:rtl w:val="0"/>
        </w:rPr>
        <w:t xml:space="preserve"> (carrying </w:t>
      </w:r>
      <w:r w:rsidDel="00000000" w:rsidR="00000000" w:rsidRPr="00000000">
        <w:rPr>
          <w:rFonts w:ascii="Roboto Mono" w:cs="Roboto Mono" w:eastAsia="Roboto Mono" w:hAnsi="Roboto Mono"/>
          <w:color w:val="188038"/>
          <w:rtl w:val="0"/>
        </w:rPr>
        <w:t xml:space="preserve">const: 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initiatedAt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initiatingDecisionId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holdRationale</w:t>
      </w:r>
      <w:r w:rsidDel="00000000" w:rsidR="00000000" w:rsidRPr="00000000">
        <w:rPr>
          <w:rtl w:val="0"/>
        </w:rPr>
        <w:t xml:space="preserve"> (containing </w:t>
      </w:r>
      <w:r w:rsidDel="00000000" w:rsidR="00000000" w:rsidRPr="00000000">
        <w:rPr>
          <w:rFonts w:ascii="Roboto Mono" w:cs="Roboto Mono" w:eastAsia="Roboto Mono" w:hAnsi="Roboto Mono"/>
          <w:color w:val="188038"/>
          <w:rtl w:val="0"/>
        </w:rPr>
        <w:t xml:space="preserve">rationale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uncertaintyScore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pillarImplicated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resolutionDeadline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immutableLogHash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holdDurationMs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auditLaneStatus</w:t>
      </w:r>
      <w:r w:rsidDel="00000000" w:rsidR="00000000" w:rsidRPr="00000000">
        <w:rPr>
          <w:rtl w:val="0"/>
        </w:rPr>
        <w:t xml:space="preserve"> (containing </w:t>
      </w:r>
      <w:r w:rsidDel="00000000" w:rsidR="00000000" w:rsidRPr="00000000">
        <w:rPr>
          <w:rFonts w:ascii="Roboto Mono" w:cs="Roboto Mono" w:eastAsia="Roboto Mono" w:hAnsi="Roboto Mono"/>
          <w:color w:val="188038"/>
          <w:rtl w:val="0"/>
        </w:rPr>
        <w:t xml:space="preserve">stage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percentComplete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requiredConditions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windowComparatorReading</w:t>
      </w:r>
      <w:r w:rsidDel="00000000" w:rsidR="00000000" w:rsidRPr="00000000">
        <w:rPr>
          <w:rtl w:val="0"/>
        </w:rPr>
        <w:t xml:space="preserve"> (the hardware sensor reading in MT deployments).</w:t>
      </w:r>
      <w:hyperlink r:id="rId96">
        <w:r w:rsidDel="00000000" w:rsidR="00000000" w:rsidRPr="00000000">
          <w:rPr>
            <w:rtl w:val="0"/>
          </w:rPr>
          <w:t xml:space="preserve"> </w:t>
        </w:r>
      </w:hyperlink>
      <w:hyperlink r:id="rId97">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54">
      <w:pPr>
        <w:spacing w:after="240" w:before="240" w:lineRule="auto"/>
        <w:rPr>
          <w:color w:val="1155cc"/>
          <w:u w:val="single"/>
        </w:rPr>
      </w:pPr>
      <w:r w:rsidDel="00000000" w:rsidR="00000000" w:rsidRPr="00000000">
        <w:rPr>
          <w:rtl w:val="0"/>
        </w:rPr>
        <w:t xml:space="preserve">State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is not a valid resolution state. </w:t>
      </w:r>
      <w:r w:rsidDel="00000000" w:rsidR="00000000" w:rsidRPr="00000000">
        <w:rPr>
          <w:rFonts w:ascii="Roboto Mono" w:cs="Roboto Mono" w:eastAsia="Roboto Mono" w:hAnsi="Roboto Mono"/>
          <w:color w:val="188038"/>
          <w:rtl w:val="0"/>
        </w:rPr>
        <w:t xml:space="preserve">PATCH /epistemic-hold/escalations/{escalationId}</w:t>
      </w:r>
      <w:r w:rsidDel="00000000" w:rsidR="00000000" w:rsidRPr="00000000">
        <w:rPr>
          <w:rtl w:val="0"/>
        </w:rPr>
        <w:t xml:space="preserve"> accepts </w:t>
      </w:r>
      <w:r w:rsidDel="00000000" w:rsidR="00000000" w:rsidRPr="00000000">
        <w:rPr>
          <w:rFonts w:ascii="Roboto Mono" w:cs="Roboto Mono" w:eastAsia="Roboto Mono" w:hAnsi="Roboto Mono"/>
          <w:color w:val="188038"/>
          <w:rtl w:val="0"/>
        </w:rPr>
        <w:t xml:space="preserve">resolvedState</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enum [1, -1]</w:t>
      </w:r>
      <w:r w:rsidDel="00000000" w:rsidR="00000000" w:rsidRPr="00000000">
        <w:rPr>
          <w:rtl w:val="0"/>
        </w:rPr>
        <w:t xml:space="preserve"> only. The schema rejects State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at the HTTP layer. At the smart contract layer, </w:t>
      </w:r>
      <w:r w:rsidDel="00000000" w:rsidR="00000000" w:rsidRPr="00000000">
        <w:rPr>
          <w:rFonts w:ascii="Roboto Mono" w:cs="Roboto Mono" w:eastAsia="Roboto Mono" w:hAnsi="Roboto Mono"/>
          <w:color w:val="188038"/>
          <w:rtl w:val="0"/>
        </w:rPr>
        <w:t xml:space="preserve">TL_Ledger_Core.resolveEpistemicHoldSystemWide</w:t>
      </w:r>
      <w:r w:rsidDel="00000000" w:rsidR="00000000" w:rsidRPr="00000000">
        <w:rPr>
          <w:rtl w:val="0"/>
        </w:rPr>
        <w:t xml:space="preserve"> reverts with </w:t>
      </w:r>
      <w:r w:rsidDel="00000000" w:rsidR="00000000" w:rsidRPr="00000000">
        <w:rPr>
          <w:rFonts w:ascii="Roboto Mono" w:cs="Roboto Mono" w:eastAsia="Roboto Mono" w:hAnsi="Roboto Mono"/>
          <w:color w:val="188038"/>
          <w:rtl w:val="0"/>
        </w:rPr>
        <w:t xml:space="preserve">InvalidResolutionState</w:t>
      </w:r>
      <w:r w:rsidDel="00000000" w:rsidR="00000000" w:rsidRPr="00000000">
        <w:rPr>
          <w:rtl w:val="0"/>
        </w:rPr>
        <w:t xml:space="preserve"> for any </w:t>
      </w:r>
      <w:r w:rsidDel="00000000" w:rsidR="00000000" w:rsidRPr="00000000">
        <w:rPr>
          <w:rFonts w:ascii="Roboto Mono" w:cs="Roboto Mono" w:eastAsia="Roboto Mono" w:hAnsi="Roboto Mono"/>
          <w:color w:val="188038"/>
          <w:rtl w:val="0"/>
        </w:rPr>
        <w:t xml:space="preserve">resolvedState</w:t>
      </w:r>
      <w:r w:rsidDel="00000000" w:rsidR="00000000" w:rsidRPr="00000000">
        <w:rPr>
          <w:rtl w:val="0"/>
        </w:rPr>
        <w:t xml:space="preserve"> value other than the encoded Proceed or Refuse. The system cannot remain in Epistemic Hold indefinitely. It must resolve to Proceed or Refuse.</w:t>
      </w:r>
      <w:hyperlink r:id="rId98">
        <w:r w:rsidDel="00000000" w:rsidR="00000000" w:rsidRPr="00000000">
          <w:rPr>
            <w:rtl w:val="0"/>
          </w:rPr>
          <w:t xml:space="preserve"> </w:t>
        </w:r>
      </w:hyperlink>
      <w:hyperlink r:id="rId99">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55">
      <w:pPr>
        <w:spacing w:after="240" w:before="240" w:lineRule="auto"/>
        <w:rPr>
          <w:color w:val="1155cc"/>
          <w:u w:val="single"/>
        </w:rPr>
      </w:pPr>
      <w:r w:rsidDel="00000000" w:rsidR="00000000" w:rsidRPr="00000000">
        <w:rPr>
          <w:rtl w:val="0"/>
        </w:rPr>
        <w:t xml:space="preserve">In the hardware layer, Epistemic Hold is not a software flag that could be overridden by a privileged process or emergency routine. In DITL circuit implementations, the intermediate resistance state of the TaOx memristive cell physically represents the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determination. The gate will not transition to the low-resistance state that permits Proceed until a verified </w:t>
      </w:r>
      <w:r w:rsidDel="00000000" w:rsidR="00000000" w:rsidRPr="00000000">
        <w:rPr>
          <w:rFonts w:ascii="Roboto Mono" w:cs="Roboto Mono" w:eastAsia="Roboto Mono" w:hAnsi="Roboto Mono"/>
          <w:color w:val="188038"/>
          <w:rtl w:val="0"/>
        </w:rPr>
        <w:t xml:space="preserve">CONFIRM_OK</w:t>
      </w:r>
      <w:r w:rsidDel="00000000" w:rsidR="00000000" w:rsidRPr="00000000">
        <w:rPr>
          <w:rtl w:val="0"/>
        </w:rPr>
        <w:t xml:space="preserve"> pulse arrives from the logging lane.</w:t>
      </w:r>
      <w:hyperlink r:id="rId100">
        <w:r w:rsidDel="00000000" w:rsidR="00000000" w:rsidRPr="00000000">
          <w:rPr>
            <w:rtl w:val="0"/>
          </w:rPr>
          <w:t xml:space="preserve"> </w:t>
        </w:r>
      </w:hyperlink>
      <w:hyperlink r:id="rId101">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j4kumh55fyg7" w:id="26"/>
      <w:bookmarkEnd w:id="26"/>
      <w:r w:rsidDel="00000000" w:rsidR="00000000" w:rsidRPr="00000000">
        <w:rPr>
          <w:b w:val="1"/>
          <w:bCs w:val="1"/>
          <w:sz w:val="34"/>
          <w:szCs w:val="34"/>
          <w:rtl w:val="0"/>
        </w:rPr>
        <w:t xml:space="preserve">2.4 Epistemic Hold and Sacred Pause: State Distinguished from Workflow</w:t>
      </w:r>
    </w:p>
    <w:p w:rsidR="00000000" w:rsidDel="00000000" w:rsidP="00000000" w:rsidRDefault="00000000" w:rsidRPr="00000000" w14:paraId="00000157">
      <w:pPr>
        <w:spacing w:after="240" w:before="240" w:lineRule="auto"/>
        <w:rPr>
          <w:color w:val="1155cc"/>
          <w:u w:val="single"/>
        </w:rPr>
      </w:pPr>
      <w:r w:rsidDel="00000000" w:rsidR="00000000" w:rsidRPr="00000000">
        <w:rPr>
          <w:rtl w:val="0"/>
        </w:rPr>
        <w:t xml:space="preserve">Epistemic Hold and Sacred Pause are not synonyms. They are distinct architectural concepts that operate in tight coordination. Epistemic Hold is a constitutional state. Sacred Pause is the workflow it triggers. Conflating these two concepts produces implementation errors that compromise the entire framework's evidentiary integrity.</w:t>
      </w:r>
      <w:hyperlink r:id="rId102">
        <w:r w:rsidDel="00000000" w:rsidR="00000000" w:rsidRPr="00000000">
          <w:rPr>
            <w:rtl w:val="0"/>
          </w:rPr>
          <w:t xml:space="preserve"> </w:t>
        </w:r>
      </w:hyperlink>
      <w:hyperlink r:id="rId103">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Epistemic Hold</w:t>
      </w:r>
      <w:r w:rsidDel="00000000" w:rsidR="00000000" w:rsidRPr="00000000">
        <w:rPr>
          <w:rtl w:val="0"/>
        </w:rPr>
        <w:t xml:space="preserve"> is State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of the triadic decision alphabet. Its </w:t>
      </w:r>
      <w:r w:rsidDel="00000000" w:rsidR="00000000" w:rsidRPr="00000000">
        <w:rPr>
          <w:rFonts w:ascii="Roboto Mono" w:cs="Roboto Mono" w:eastAsia="Roboto Mono" w:hAnsi="Roboto Mono"/>
          <w:color w:val="188038"/>
          <w:rtl w:val="0"/>
        </w:rPr>
        <w:t xml:space="preserve">stateLabel</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"EpistemicHold"</w:t>
      </w:r>
      <w:r w:rsidDel="00000000" w:rsidR="00000000" w:rsidRPr="00000000">
        <w:rPr>
          <w:rtl w:val="0"/>
        </w:rPr>
        <w:t xml:space="preserve">. These are state identifiers, not process names. When the Governance Lane issues Epistemic Hold, it is rendering a constitutional verdict recorded as a first-class state in the Decision Log through the </w:t>
      </w:r>
      <w:r w:rsidDel="00000000" w:rsidR="00000000" w:rsidRPr="00000000">
        <w:rPr>
          <w:rFonts w:ascii="Roboto Mono" w:cs="Roboto Mono" w:eastAsia="Roboto Mono" w:hAnsi="Roboto Mono"/>
          <w:color w:val="188038"/>
          <w:rtl w:val="0"/>
        </w:rPr>
        <w:t xml:space="preserve">TGLF_State0_v1_0_0</w:t>
      </w:r>
      <w:r w:rsidDel="00000000" w:rsidR="00000000" w:rsidRPr="00000000">
        <w:rPr>
          <w:rtl w:val="0"/>
        </w:rPr>
        <w:t xml:space="preserve"> record type.</w:t>
      </w:r>
    </w:p>
    <w:p w:rsidR="00000000" w:rsidDel="00000000" w:rsidP="00000000" w:rsidRDefault="00000000" w:rsidRPr="00000000" w14:paraId="00000159">
      <w:pPr>
        <w:spacing w:after="240" w:before="240" w:lineRule="auto"/>
        <w:rPr>
          <w:color w:val="1155cc"/>
          <w:u w:val="single"/>
        </w:rPr>
      </w:pPr>
      <w:r w:rsidDel="00000000" w:rsidR="00000000" w:rsidRPr="00000000">
        <w:rPr>
          <w:b w:val="1"/>
          <w:bCs w:val="1"/>
          <w:rtl w:val="0"/>
        </w:rPr>
        <w:t xml:space="preserve">Sacred Pause</w:t>
      </w:r>
      <w:r w:rsidDel="00000000" w:rsidR="00000000" w:rsidRPr="00000000">
        <w:rPr>
          <w:rtl w:val="0"/>
        </w:rPr>
        <w:t xml:space="preserve"> is the workflow process that activates when truth is uncertain. In the TL API specification, this process carries the canonical name </w:t>
      </w:r>
      <w:r w:rsidDel="00000000" w:rsidR="00000000" w:rsidRPr="00000000">
        <w:rPr>
          <w:rFonts w:ascii="Roboto Mono" w:cs="Roboto Mono" w:eastAsia="Roboto Mono" w:hAnsi="Roboto Mono"/>
          <w:color w:val="188038"/>
          <w:rtl w:val="0"/>
        </w:rPr>
        <w:t xml:space="preserve">GovernancePause</w:t>
      </w:r>
      <w:r w:rsidDel="00000000" w:rsidR="00000000" w:rsidRPr="00000000">
        <w:rPr>
          <w:rtl w:val="0"/>
        </w:rPr>
        <w:t xml:space="preserve">. It appears in </w:t>
      </w:r>
      <w:r w:rsidDel="00000000" w:rsidR="00000000" w:rsidRPr="00000000">
        <w:rPr>
          <w:rFonts w:ascii="Roboto Mono" w:cs="Roboto Mono" w:eastAsia="Roboto Mono" w:hAnsi="Roboto Mono"/>
          <w:color w:val="188038"/>
          <w:rtl w:val="0"/>
        </w:rPr>
        <w:t xml:space="preserve">StateEnvelope.processActive</w:t>
      </w:r>
      <w:r w:rsidDel="00000000" w:rsidR="00000000" w:rsidRPr="00000000">
        <w:rPr>
          <w:rtl w:val="0"/>
        </w:rPr>
        <w:t xml:space="preserve"> as </w:t>
      </w:r>
      <w:r w:rsidDel="00000000" w:rsidR="00000000" w:rsidRPr="00000000">
        <w:rPr>
          <w:rFonts w:ascii="Roboto Mono" w:cs="Roboto Mono" w:eastAsia="Roboto Mono" w:hAnsi="Roboto Mono"/>
          <w:color w:val="188038"/>
          <w:rtl w:val="0"/>
        </w:rPr>
        <w:t xml:space="preserve">const: "GovernancePause"</w:t>
      </w:r>
      <w:r w:rsidDel="00000000" w:rsidR="00000000" w:rsidRPr="00000000">
        <w:rPr>
          <w:rtl w:val="0"/>
        </w:rPr>
        <w:t xml:space="preserve"> and in </w:t>
      </w:r>
      <w:r w:rsidDel="00000000" w:rsidR="00000000" w:rsidRPr="00000000">
        <w:rPr>
          <w:rFonts w:ascii="Roboto Mono" w:cs="Roboto Mono" w:eastAsia="Roboto Mono" w:hAnsi="Roboto Mono"/>
          <w:color w:val="188038"/>
          <w:rtl w:val="0"/>
        </w:rPr>
        <w:t xml:space="preserve">TGLF_State0.processActive</w:t>
      </w:r>
      <w:r w:rsidDel="00000000" w:rsidR="00000000" w:rsidRPr="00000000">
        <w:rPr>
          <w:rtl w:val="0"/>
        </w:rPr>
        <w:t xml:space="preserve"> as </w:t>
      </w:r>
      <w:r w:rsidDel="00000000" w:rsidR="00000000" w:rsidRPr="00000000">
        <w:rPr>
          <w:rFonts w:ascii="Roboto Mono" w:cs="Roboto Mono" w:eastAsia="Roboto Mono" w:hAnsi="Roboto Mono"/>
          <w:color w:val="188038"/>
          <w:rtl w:val="0"/>
        </w:rPr>
        <w:t xml:space="preserve">const: "GovernancePause"</w:t>
      </w:r>
      <w:r w:rsidDel="00000000" w:rsidR="00000000" w:rsidRPr="00000000">
        <w:rPr>
          <w:rtl w:val="0"/>
        </w:rPr>
        <w:t xml:space="preserve">. These are workflow identifiers. Sacred Pause is not a state synonym. It is the operational embodiment of the Goukassian Vow's first mandate: the answer to the question "What happens now that Epistemic Hold has been declared?"</w:t>
      </w:r>
      <w:hyperlink r:id="rId104">
        <w:r w:rsidDel="00000000" w:rsidR="00000000" w:rsidRPr="00000000">
          <w:rPr>
            <w:rtl w:val="0"/>
          </w:rPr>
          <w:t xml:space="preserve"> </w:t>
        </w:r>
      </w:hyperlink>
      <w:hyperlink r:id="rId105">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5A">
      <w:pPr>
        <w:spacing w:after="240" w:before="240" w:lineRule="auto"/>
        <w:rPr>
          <w:color w:val="1155cc"/>
          <w:u w:val="single"/>
        </w:rPr>
      </w:pPr>
      <w:r w:rsidDel="00000000" w:rsidR="00000000" w:rsidRPr="00000000">
        <w:rPr>
          <w:rtl w:val="0"/>
        </w:rPr>
        <w:t xml:space="preserve">The Sacred Pause workflow executes in parallel with the continued operation of all other non-conflicting economic processes. It does not freeze the system. It isolates the specific proposal that triggered Epistemic Hold and subjects it to structured evidentiary resolution. This isolation property is architecturally critical: if Sacred Pause were system-wide rather than proposal-specific, adversaries could weaponize evidentiary gaps to induce denial-of-service across entire financial markets by deliberately generating conditions that trigger widespread Epistemic Hold.</w:t>
      </w:r>
      <w:hyperlink r:id="rId106">
        <w:r w:rsidDel="00000000" w:rsidR="00000000" w:rsidRPr="00000000">
          <w:rPr>
            <w:rtl w:val="0"/>
          </w:rPr>
          <w:t xml:space="preserve"> </w:t>
        </w:r>
      </w:hyperlink>
      <w:hyperlink r:id="rId107">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15B">
      <w:pPr>
        <w:spacing w:after="240" w:before="240" w:lineRule="auto"/>
        <w:rPr>
          <w:color w:val="1155cc"/>
          <w:u w:val="single"/>
        </w:rPr>
      </w:pPr>
      <w:r w:rsidDel="00000000" w:rsidR="00000000" w:rsidRPr="00000000">
        <w:rPr>
          <w:rtl w:val="0"/>
        </w:rPr>
        <w:t xml:space="preserve">The Sacred Pause workflow contains several mandatory stages. First, the Governance Lane broadcasts the Epistemic Hold determination to all relevant governance chambers through the </w:t>
      </w:r>
      <w:r w:rsidDel="00000000" w:rsidR="00000000" w:rsidRPr="00000000">
        <w:rPr>
          <w:rFonts w:ascii="Roboto Mono" w:cs="Roboto Mono" w:eastAsia="Roboto Mono" w:hAnsi="Roboto Mono"/>
          <w:color w:val="188038"/>
          <w:rtl w:val="0"/>
        </w:rPr>
        <w:t xml:space="preserve">epistemicHold.escalation</w:t>
      </w:r>
      <w:r w:rsidDel="00000000" w:rsidR="00000000" w:rsidRPr="00000000">
        <w:rPr>
          <w:rtl w:val="0"/>
        </w:rPr>
        <w:t xml:space="preserve"> webhook, which carries the </w:t>
      </w:r>
      <w:r w:rsidDel="00000000" w:rsidR="00000000" w:rsidRPr="00000000">
        <w:rPr>
          <w:rFonts w:ascii="Roboto Mono" w:cs="Roboto Mono" w:eastAsia="Roboto Mono" w:hAnsi="Roboto Mono"/>
          <w:color w:val="188038"/>
          <w:rtl w:val="0"/>
        </w:rPr>
        <w:t xml:space="preserve">x-tl-trace-id</w:t>
      </w:r>
      <w:r w:rsidDel="00000000" w:rsidR="00000000" w:rsidRPr="00000000">
        <w:rPr>
          <w:rtl w:val="0"/>
        </w:rPr>
        <w:t xml:space="preserve"> field linking it to the originating proposal. The Technical Council receives notification through </w:t>
      </w:r>
      <w:r w:rsidDel="00000000" w:rsidR="00000000" w:rsidRPr="00000000">
        <w:rPr>
          <w:rFonts w:ascii="Roboto Mono" w:cs="Roboto Mono" w:eastAsia="Roboto Mono" w:hAnsi="Roboto Mono"/>
          <w:color w:val="188038"/>
          <w:rtl w:val="0"/>
        </w:rPr>
        <w:t xml:space="preserve">pillarStatuses</w:t>
      </w:r>
      <w:r w:rsidDel="00000000" w:rsidR="00000000" w:rsidRPr="00000000">
        <w:rPr>
          <w:rtl w:val="0"/>
        </w:rPr>
        <w:t xml:space="preserve"> that a proposal has entered evidentiary suspension. The Stewardship Custodians are alerted that a constitutional gate has not been satisfied. The Smart Contract Treasury allocates resources to sustain the extended evaluation.</w:t>
      </w:r>
      <w:hyperlink r:id="rId108">
        <w:r w:rsidDel="00000000" w:rsidR="00000000" w:rsidRPr="00000000">
          <w:rPr>
            <w:rtl w:val="0"/>
          </w:rPr>
          <w:t xml:space="preserve"> </w:t>
        </w:r>
      </w:hyperlink>
      <w:hyperlink r:id="rId109">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5C">
      <w:pPr>
        <w:spacing w:after="240" w:before="240" w:lineRule="auto"/>
        <w:rPr/>
      </w:pPr>
      <w:r w:rsidDel="00000000" w:rsidR="00000000" w:rsidRPr="00000000">
        <w:rPr>
          <w:rtl w:val="0"/>
        </w:rPr>
        <w:t xml:space="preserve">Second, the system queries supplementary data sources through cryptographically authenticated API calls. The </w:t>
      </w:r>
      <w:r w:rsidDel="00000000" w:rsidR="00000000" w:rsidRPr="00000000">
        <w:rPr>
          <w:rFonts w:ascii="Roboto Mono" w:cs="Roboto Mono" w:eastAsia="Roboto Mono" w:hAnsi="Roboto Mono"/>
          <w:color w:val="188038"/>
          <w:rtl w:val="0"/>
        </w:rPr>
        <w:t xml:space="preserve">requiredConditions</w:t>
      </w:r>
      <w:r w:rsidDel="00000000" w:rsidR="00000000" w:rsidRPr="00000000">
        <w:rPr>
          <w:rtl w:val="0"/>
        </w:rPr>
        <w:t xml:space="preserve"> array in </w:t>
      </w:r>
      <w:r w:rsidDel="00000000" w:rsidR="00000000" w:rsidRPr="00000000">
        <w:rPr>
          <w:rFonts w:ascii="Roboto Mono" w:cs="Roboto Mono" w:eastAsia="Roboto Mono" w:hAnsi="Roboto Mono"/>
          <w:color w:val="188038"/>
          <w:rtl w:val="0"/>
        </w:rPr>
        <w:t xml:space="preserve">EscrowRecord_v1_0_0</w:t>
      </w:r>
      <w:r w:rsidDel="00000000" w:rsidR="00000000" w:rsidRPr="00000000">
        <w:rPr>
          <w:rtl w:val="0"/>
        </w:rPr>
        <w:t xml:space="preserve"> documents precisely what evidentiary conditions must be satisfied for resolution, creating a transparent and auditable record of what the system was waiting for and why.</w:t>
      </w:r>
    </w:p>
    <w:p w:rsidR="00000000" w:rsidDel="00000000" w:rsidP="00000000" w:rsidRDefault="00000000" w:rsidRPr="00000000" w14:paraId="0000015D">
      <w:pPr>
        <w:spacing w:after="240" w:before="240" w:lineRule="auto"/>
        <w:rPr>
          <w:color w:val="1155cc"/>
          <w:u w:val="single"/>
        </w:rPr>
      </w:pPr>
      <w:r w:rsidDel="00000000" w:rsidR="00000000" w:rsidRPr="00000000">
        <w:rPr>
          <w:rtl w:val="0"/>
        </w:rPr>
        <w:t xml:space="preserve">Third, Sacred Pause escalates to human oversight if the uncertainty persists beyond configurable constitutional thresholds encoded in the </w:t>
      </w:r>
      <w:r w:rsidDel="00000000" w:rsidR="00000000" w:rsidRPr="00000000">
        <w:rPr>
          <w:rFonts w:ascii="Roboto Mono" w:cs="Roboto Mono" w:eastAsia="Roboto Mono" w:hAnsi="Roboto Mono"/>
          <w:color w:val="188038"/>
          <w:rtl w:val="0"/>
        </w:rPr>
        <w:t xml:space="preserve">resolutionDeadline</w:t>
      </w:r>
      <w:r w:rsidDel="00000000" w:rsidR="00000000" w:rsidRPr="00000000">
        <w:rPr>
          <w:rtl w:val="0"/>
        </w:rPr>
        <w:t xml:space="preserve"> field. These thresholds are governance parameters set by the Tri-Cameral model and anchored in the constitutional schema. They are not performance timeouts.</w:t>
      </w:r>
      <w:hyperlink r:id="rId110">
        <w:r w:rsidDel="00000000" w:rsidR="00000000" w:rsidRPr="00000000">
          <w:rPr>
            <w:rtl w:val="0"/>
          </w:rPr>
          <w:t xml:space="preserve"> </w:t>
        </w:r>
      </w:hyperlink>
      <w:hyperlink r:id="rId111">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15E">
      <w:pPr>
        <w:spacing w:after="240" w:before="240" w:lineRule="auto"/>
        <w:rPr>
          <w:color w:val="1155cc"/>
          <w:u w:val="single"/>
        </w:rPr>
      </w:pPr>
      <w:r w:rsidDel="00000000" w:rsidR="00000000" w:rsidRPr="00000000">
        <w:rPr>
          <w:rtl w:val="0"/>
        </w:rPr>
        <w:t xml:space="preserve">The hardware substrate enforces the distinction between state and workflow with physical precision. The Mandated Ternary memristive cells maintain the intermediate resistance state that corresponds to Epistemic Hold regardless of what the </w:t>
      </w:r>
      <w:r w:rsidDel="00000000" w:rsidR="00000000" w:rsidRPr="00000000">
        <w:rPr>
          <w:rFonts w:ascii="Roboto Mono" w:cs="Roboto Mono" w:eastAsia="Roboto Mono" w:hAnsi="Roboto Mono"/>
          <w:color w:val="188038"/>
          <w:rtl w:val="0"/>
        </w:rPr>
        <w:t xml:space="preserve">GovernancePause</w:t>
      </w:r>
      <w:r w:rsidDel="00000000" w:rsidR="00000000" w:rsidRPr="00000000">
        <w:rPr>
          <w:rtl w:val="0"/>
        </w:rPr>
        <w:t xml:space="preserve"> workflow is doing. The workflow may be querying data, escalating to human reviewers, or requesting additional model validation. Throughout all of this activity, the MT gate remains physically in the intermediate state. It will not transition until the Governance Lane issues a new cryptographic signature.</w:t>
      </w:r>
      <w:hyperlink r:id="rId112">
        <w:r w:rsidDel="00000000" w:rsidR="00000000" w:rsidRPr="00000000">
          <w:rPr>
            <w:rtl w:val="0"/>
          </w:rPr>
          <w:t xml:space="preserve"> </w:t>
        </w:r>
      </w:hyperlink>
      <w:hyperlink r:id="rId113">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5jxaeed9jb0c" w:id="27"/>
      <w:bookmarkEnd w:id="27"/>
      <w:r w:rsidDel="00000000" w:rsidR="00000000" w:rsidRPr="00000000">
        <w:rPr>
          <w:b w:val="1"/>
          <w:bCs w:val="1"/>
          <w:sz w:val="34"/>
          <w:szCs w:val="34"/>
          <w:rtl w:val="0"/>
        </w:rPr>
        <w:t xml:space="preserve">2.5 NL=NA: The Non-Negotiable Architectural Covenant</w:t>
      </w:r>
    </w:p>
    <w:p w:rsidR="00000000" w:rsidDel="00000000" w:rsidP="00000000" w:rsidRDefault="00000000" w:rsidRPr="00000000" w14:paraId="00000160">
      <w:pPr>
        <w:spacing w:after="240" w:before="240" w:lineRule="auto"/>
        <w:rPr>
          <w:color w:val="1155cc"/>
          <w:u w:val="single"/>
        </w:rPr>
      </w:pPr>
      <w:r w:rsidDel="00000000" w:rsidR="00000000" w:rsidRPr="00000000">
        <w:rPr>
          <w:rtl w:val="0"/>
        </w:rPr>
        <w:t xml:space="preserve">NL=NA stands for No Log equals No Action. It is the irreducible axiom of Ternary Logic. It is not a preference, a best practice, a configurable policy parameter, or a compliance recommendation. It is a constitutional law embedded at every layer of the TL framework, from application logic through smart contract ABI conditions to physical memristive gate states.</w:t>
      </w:r>
      <w:hyperlink r:id="rId114">
        <w:r w:rsidDel="00000000" w:rsidR="00000000" w:rsidRPr="00000000">
          <w:rPr>
            <w:rtl w:val="0"/>
          </w:rPr>
          <w:t xml:space="preserve"> </w:t>
        </w:r>
      </w:hyperlink>
      <w:hyperlink r:id="rId115">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61">
      <w:pPr>
        <w:spacing w:after="240" w:before="240" w:lineRule="auto"/>
        <w:rPr/>
      </w:pPr>
      <w:r w:rsidDel="00000000" w:rsidR="00000000" w:rsidRPr="00000000">
        <w:rPr>
          <w:rtl w:val="0"/>
        </w:rPr>
        <w:t xml:space="preserve">NL=NA is enforced at five independent layers. Bypassing one layer does not bypass the others. Each layer targets a different attack surface and provides an independent enforcement guarantee.</w:t>
      </w:r>
    </w:p>
    <w:p w:rsidR="00000000" w:rsidDel="00000000" w:rsidP="00000000" w:rsidRDefault="00000000" w:rsidRPr="00000000" w14:paraId="00000162">
      <w:pPr>
        <w:spacing w:after="240" w:before="240" w:lineRule="auto"/>
        <w:rPr>
          <w:color w:val="1155cc"/>
          <w:u w:val="single"/>
        </w:rPr>
      </w:pPr>
      <w:r w:rsidDel="00000000" w:rsidR="00000000" w:rsidRPr="00000000">
        <w:rPr>
          <w:b w:val="1"/>
          <w:bCs w:val="1"/>
          <w:rtl w:val="0"/>
        </w:rPr>
        <w:t xml:space="preserve">Layer 1: Schema Constraint.</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StateEnvelope_v1_0_0</w:t>
      </w:r>
      <w:r w:rsidDel="00000000" w:rsidR="00000000" w:rsidRPr="00000000">
        <w:rPr>
          <w:rtl w:val="0"/>
        </w:rPr>
        <w:t xml:space="preserve"> within </w:t>
      </w:r>
      <w:r w:rsidDel="00000000" w:rsidR="00000000" w:rsidRPr="00000000">
        <w:rPr>
          <w:rFonts w:ascii="Roboto Mono" w:cs="Roboto Mono" w:eastAsia="Roboto Mono" w:hAnsi="Roboto Mono"/>
          <w:color w:val="188038"/>
          <w:rtl w:val="0"/>
        </w:rPr>
        <w:t xml:space="preserve">tl_schema.json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if/then</w:t>
      </w:r>
      <w:r w:rsidDel="00000000" w:rsidR="00000000" w:rsidRPr="00000000">
        <w:rPr>
          <w:rtl w:val="0"/>
        </w:rPr>
        <w:t xml:space="preserve"> constraint makes </w:t>
      </w:r>
      <w:r w:rsidDel="00000000" w:rsidR="00000000" w:rsidRPr="00000000">
        <w:rPr>
          <w:rFonts w:ascii="Roboto Mono" w:cs="Roboto Mono" w:eastAsia="Roboto Mono" w:hAnsi="Roboto Mono"/>
          <w:color w:val="188038"/>
          <w:rtl w:val="0"/>
        </w:rPr>
        <w:t xml:space="preserve">permissionToken</w:t>
      </w:r>
      <w:r w:rsidDel="00000000" w:rsidR="00000000" w:rsidRPr="00000000">
        <w:rPr>
          <w:rtl w:val="0"/>
        </w:rPr>
        <w:t xml:space="preserve"> a required property when </w:t>
      </w:r>
      <w:r w:rsidDel="00000000" w:rsidR="00000000" w:rsidRPr="00000000">
        <w:rPr>
          <w:rFonts w:ascii="Roboto Mono" w:cs="Roboto Mono" w:eastAsia="Roboto Mono" w:hAnsi="Roboto Mono"/>
          <w:color w:val="188038"/>
          <w:rtl w:val="0"/>
        </w:rPr>
        <w:t xml:space="preserve">currentState</w:t>
      </w:r>
      <w:r w:rsidDel="00000000" w:rsidR="00000000" w:rsidRPr="00000000">
        <w:rPr>
          <w:rtl w:val="0"/>
        </w:rPr>
        <w:t xml:space="preserve"> equals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unevaluatedProperties: false</w:t>
      </w:r>
      <w:r w:rsidDel="00000000" w:rsidR="00000000" w:rsidRPr="00000000">
        <w:rPr>
          <w:rtl w:val="0"/>
        </w:rPr>
        <w:t xml:space="preserve"> keyword prevents bypass through additional properties not defined in the schema. This catches any attempt to issue a Proceed state without an accompanying Permission Token at the API response layer.</w:t>
      </w:r>
      <w:hyperlink r:id="rId116">
        <w:r w:rsidDel="00000000" w:rsidR="00000000" w:rsidRPr="00000000">
          <w:rPr>
            <w:rtl w:val="0"/>
          </w:rPr>
          <w:t xml:space="preserve"> </w:t>
        </w:r>
      </w:hyperlink>
      <w:hyperlink r:id="rId117">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63">
      <w:pPr>
        <w:spacing w:after="240" w:before="240" w:lineRule="auto"/>
        <w:rPr>
          <w:color w:val="1155cc"/>
          <w:u w:val="single"/>
        </w:rPr>
      </w:pPr>
      <w:r w:rsidDel="00000000" w:rsidR="00000000" w:rsidRPr="00000000">
        <w:rPr>
          <w:b w:val="1"/>
          <w:bCs w:val="1"/>
          <w:rtl w:val="0"/>
        </w:rPr>
        <w:t xml:space="preserve">Layer 2: Lane Origin Binding.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PermissionToken_v1_0_0</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laneOrigin</w:t>
      </w:r>
      <w:r w:rsidDel="00000000" w:rsidR="00000000" w:rsidRPr="00000000">
        <w:rPr>
          <w:rtl w:val="0"/>
        </w:rPr>
        <w:t xml:space="preserve"> field carries </w:t>
      </w:r>
      <w:r w:rsidDel="00000000" w:rsidR="00000000" w:rsidRPr="00000000">
        <w:rPr>
          <w:rFonts w:ascii="Roboto Mono" w:cs="Roboto Mono" w:eastAsia="Roboto Mono" w:hAnsi="Roboto Mono"/>
          <w:color w:val="188038"/>
          <w:rtl w:val="0"/>
        </w:rPr>
        <w:t xml:space="preserve">const: "GOVERNANCE_LANE"</w:t>
      </w:r>
      <w:r w:rsidDel="00000000" w:rsidR="00000000" w:rsidRPr="00000000">
        <w:rPr>
          <w:rtl w:val="0"/>
        </w:rPr>
        <w:t xml:space="preserve">. Any Permission Token with </w:t>
      </w:r>
      <w:r w:rsidDel="00000000" w:rsidR="00000000" w:rsidRPr="00000000">
        <w:rPr>
          <w:rFonts w:ascii="Roboto Mono" w:cs="Roboto Mono" w:eastAsia="Roboto Mono" w:hAnsi="Roboto Mono"/>
          <w:color w:val="188038"/>
          <w:rtl w:val="0"/>
        </w:rPr>
        <w:t xml:space="preserve">laneOrigin</w:t>
      </w:r>
      <w:r w:rsidDel="00000000" w:rsidR="00000000" w:rsidRPr="00000000">
        <w:rPr>
          <w:rtl w:val="0"/>
        </w:rPr>
        <w:t xml:space="preserve"> set to any other value is schema-invalid. At the smart contract layer, </w:t>
      </w:r>
      <w:r w:rsidDel="00000000" w:rsidR="00000000" w:rsidRPr="00000000">
        <w:rPr>
          <w:rFonts w:ascii="Roboto Mono" w:cs="Roboto Mono" w:eastAsia="Roboto Mono" w:hAnsi="Roboto Mono"/>
          <w:color w:val="188038"/>
          <w:rtl w:val="0"/>
        </w:rPr>
        <w:t xml:space="preserve">TL_Ledger_Core.registerPermissionToken</w:t>
      </w:r>
      <w:r w:rsidDel="00000000" w:rsidR="00000000" w:rsidRPr="00000000">
        <w:rPr>
          <w:rtl w:val="0"/>
        </w:rPr>
        <w:t xml:space="preserve"> accepts a </w:t>
      </w:r>
      <w:r w:rsidDel="00000000" w:rsidR="00000000" w:rsidRPr="00000000">
        <w:rPr>
          <w:rFonts w:ascii="Roboto Mono" w:cs="Roboto Mono" w:eastAsia="Roboto Mono" w:hAnsi="Roboto Mono"/>
          <w:color w:val="188038"/>
          <w:rtl w:val="0"/>
        </w:rPr>
        <w:t xml:space="preserve">laneOriginHash</w:t>
      </w:r>
      <w:r w:rsidDel="00000000" w:rsidR="00000000" w:rsidRPr="00000000">
        <w:rPr>
          <w:rtl w:val="0"/>
        </w:rPr>
        <w:t xml:space="preserve"> parameter that must equal </w:t>
      </w:r>
      <w:r w:rsidDel="00000000" w:rsidR="00000000" w:rsidRPr="00000000">
        <w:rPr>
          <w:rFonts w:ascii="Roboto Mono" w:cs="Roboto Mono" w:eastAsia="Roboto Mono" w:hAnsi="Roboto Mono"/>
          <w:color w:val="188038"/>
          <w:rtl w:val="0"/>
        </w:rPr>
        <w:t xml:space="preserve">keccak256("GOVERNANCE_LANE")</w:t>
      </w:r>
      <w:r w:rsidDel="00000000" w:rsidR="00000000" w:rsidRPr="00000000">
        <w:rPr>
          <w:rtl w:val="0"/>
        </w:rPr>
        <w:t xml:space="preserve">. Mismatch reverts with </w:t>
      </w:r>
      <w:r w:rsidDel="00000000" w:rsidR="00000000" w:rsidRPr="00000000">
        <w:rPr>
          <w:rFonts w:ascii="Roboto Mono" w:cs="Roboto Mono" w:eastAsia="Roboto Mono" w:hAnsi="Roboto Mono"/>
          <w:color w:val="188038"/>
          <w:rtl w:val="0"/>
        </w:rPr>
        <w:t xml:space="preserve">NLNAViolation</w:t>
      </w:r>
      <w:r w:rsidDel="00000000" w:rsidR="00000000" w:rsidRPr="00000000">
        <w:rPr>
          <w:rtl w:val="0"/>
        </w:rPr>
        <w:t xml:space="preserve">. This ensures that a Permission Token can only originate from the Governance Lane, preventing any process within the Inference Lane from self-issuing authorization.</w:t>
      </w:r>
      <w:hyperlink r:id="rId118">
        <w:r w:rsidDel="00000000" w:rsidR="00000000" w:rsidRPr="00000000">
          <w:rPr>
            <w:rtl w:val="0"/>
          </w:rPr>
          <w:t xml:space="preserve"> </w:t>
        </w:r>
      </w:hyperlink>
      <w:hyperlink r:id="rId119">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64">
      <w:pPr>
        <w:spacing w:after="240" w:before="240" w:lineRule="auto"/>
        <w:rPr>
          <w:color w:val="1155cc"/>
          <w:u w:val="single"/>
        </w:rPr>
      </w:pPr>
      <w:r w:rsidDel="00000000" w:rsidR="00000000" w:rsidRPr="00000000">
        <w:rPr>
          <w:b w:val="1"/>
          <w:bCs w:val="1"/>
          <w:rtl w:val="0"/>
        </w:rPr>
        <w:t xml:space="preserve">Layer 3: Pillar Certification Requirement.</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TGLF_StateP1_v1_0_0</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permissionToken</w:t>
      </w:r>
      <w:r w:rsidDel="00000000" w:rsidR="00000000" w:rsidRPr="00000000">
        <w:rPr>
          <w:rtl w:val="0"/>
        </w:rPr>
        <w:t xml:space="preserve"> field is in the </w:t>
      </w:r>
      <w:r w:rsidDel="00000000" w:rsidR="00000000" w:rsidRPr="00000000">
        <w:rPr>
          <w:rFonts w:ascii="Roboto Mono" w:cs="Roboto Mono" w:eastAsia="Roboto Mono" w:hAnsi="Roboto Mono"/>
          <w:color w:val="188038"/>
          <w:rtl w:val="0"/>
        </w:rPr>
        <w:t xml:space="preserve">required</w:t>
      </w:r>
      <w:r w:rsidDel="00000000" w:rsidR="00000000" w:rsidRPr="00000000">
        <w:rPr>
          <w:rtl w:val="0"/>
        </w:rPr>
        <w:t xml:space="preserve"> array. The </w:t>
      </w:r>
      <w:r w:rsidDel="00000000" w:rsidR="00000000" w:rsidRPr="00000000">
        <w:rPr>
          <w:rFonts w:ascii="Roboto Mono" w:cs="Roboto Mono" w:eastAsia="Roboto Mono" w:hAnsi="Roboto Mono"/>
          <w:color w:val="188038"/>
          <w:rtl w:val="0"/>
        </w:rPr>
        <w:t xml:space="preserve">pillarsCertified</w:t>
      </w:r>
      <w:r w:rsidDel="00000000" w:rsidR="00000000" w:rsidRPr="00000000">
        <w:rPr>
          <w:rtl w:val="0"/>
        </w:rPr>
        <w:t xml:space="preserve"> array carries </w:t>
      </w:r>
      <w:r w:rsidDel="00000000" w:rsidR="00000000" w:rsidRPr="00000000">
        <w:rPr>
          <w:rFonts w:ascii="Roboto Mono" w:cs="Roboto Mono" w:eastAsia="Roboto Mono" w:hAnsi="Roboto Mono"/>
          <w:color w:val="188038"/>
          <w:rtl w:val="0"/>
        </w:rPr>
        <w:t xml:space="preserve">minItems: 8, maxItems: 8</w:t>
      </w:r>
      <w:r w:rsidDel="00000000" w:rsidR="00000000" w:rsidRPr="00000000">
        <w:rPr>
          <w:rtl w:val="0"/>
        </w:rPr>
        <w:t xml:space="preserve">. A TGLF Proceed record without a Permission Token is schema-invalid. A record with fewer than all eight Pillars certified is schema-invalid. This enforces that no Proceed state can be logged without complete certification of every Pillar's compliance status.</w:t>
      </w:r>
      <w:hyperlink r:id="rId120">
        <w:r w:rsidDel="00000000" w:rsidR="00000000" w:rsidRPr="00000000">
          <w:rPr>
            <w:rtl w:val="0"/>
          </w:rPr>
          <w:t xml:space="preserve"> </w:t>
        </w:r>
      </w:hyperlink>
      <w:hyperlink r:id="rId121">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65">
      <w:pPr>
        <w:spacing w:after="240" w:before="240" w:lineRule="auto"/>
        <w:rPr>
          <w:color w:val="1155cc"/>
          <w:u w:val="single"/>
        </w:rPr>
      </w:pPr>
      <w:r w:rsidDel="00000000" w:rsidR="00000000" w:rsidRPr="00000000">
        <w:rPr>
          <w:b w:val="1"/>
          <w:bCs w:val="1"/>
          <w:rtl w:val="0"/>
        </w:rPr>
        <w:t xml:space="preserve">Layer 4: Cross-Reference Integrity.</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AuditProof_v1_0_0</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logHash</w:t>
      </w:r>
      <w:r w:rsidDel="00000000" w:rsidR="00000000" w:rsidRPr="00000000">
        <w:rPr>
          <w:rtl w:val="0"/>
        </w:rPr>
        <w:t xml:space="preserve"> field must match </w:t>
      </w:r>
      <w:r w:rsidDel="00000000" w:rsidR="00000000" w:rsidRPr="00000000">
        <w:rPr>
          <w:rFonts w:ascii="Roboto Mono" w:cs="Roboto Mono" w:eastAsia="Roboto Mono" w:hAnsi="Roboto Mono"/>
          <w:color w:val="188038"/>
          <w:rtl w:val="0"/>
        </w:rPr>
        <w:t xml:space="preserve">PermissionToken.logHash</w:t>
      </w:r>
      <w:r w:rsidDel="00000000" w:rsidR="00000000" w:rsidRPr="00000000">
        <w:rPr>
          <w:rtl w:val="0"/>
        </w:rPr>
        <w:t xml:space="preserve"> and the </w:t>
      </w:r>
      <w:r w:rsidDel="00000000" w:rsidR="00000000" w:rsidRPr="00000000">
        <w:rPr>
          <w:rFonts w:ascii="Roboto Mono" w:cs="Roboto Mono" w:eastAsia="Roboto Mono" w:hAnsi="Roboto Mono"/>
          <w:color w:val="188038"/>
          <w:rtl w:val="0"/>
        </w:rPr>
        <w:t xml:space="preserve">merkleRoot</w:t>
      </w:r>
      <w:r w:rsidDel="00000000" w:rsidR="00000000" w:rsidRPr="00000000">
        <w:rPr>
          <w:rtl w:val="0"/>
        </w:rPr>
        <w:t xml:space="preserve"> field must match </w:t>
      </w:r>
      <w:r w:rsidDel="00000000" w:rsidR="00000000" w:rsidRPr="00000000">
        <w:rPr>
          <w:rFonts w:ascii="Roboto Mono" w:cs="Roboto Mono" w:eastAsia="Roboto Mono" w:hAnsi="Roboto Mono"/>
          <w:color w:val="188038"/>
          <w:rtl w:val="0"/>
        </w:rPr>
        <w:t xml:space="preserve">PermissionToken.merkleRoot</w:t>
      </w:r>
      <w:r w:rsidDel="00000000" w:rsidR="00000000" w:rsidRPr="00000000">
        <w:rPr>
          <w:rtl w:val="0"/>
        </w:rPr>
        <w:t xml:space="preserve">. This cross-reference is enforced by the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 request handler at runtime. It ensures that the Permission Token presented for Gateway authorization is cryptographically bound to the specific Decision Log that was generated for this proposal, preventing token reuse across unrelated decision vectors.</w:t>
      </w:r>
      <w:hyperlink r:id="rId122">
        <w:r w:rsidDel="00000000" w:rsidR="00000000" w:rsidRPr="00000000">
          <w:rPr>
            <w:rtl w:val="0"/>
          </w:rPr>
          <w:t xml:space="preserve"> </w:t>
        </w:r>
      </w:hyperlink>
      <w:hyperlink r:id="rId123">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66">
      <w:pPr>
        <w:spacing w:after="240" w:before="240" w:lineRule="auto"/>
        <w:rPr>
          <w:color w:val="1155cc"/>
          <w:u w:val="single"/>
        </w:rPr>
      </w:pPr>
      <w:r w:rsidDel="00000000" w:rsidR="00000000" w:rsidRPr="00000000">
        <w:rPr>
          <w:b w:val="1"/>
          <w:bCs w:val="1"/>
          <w:rtl w:val="0"/>
        </w:rPr>
        <w:t xml:space="preserve">Layer 5: On-Chain Terminal Enforcement.</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TL_Ledger_Core.registerPermissionToken</w:t>
      </w:r>
      <w:r w:rsidDel="00000000" w:rsidR="00000000" w:rsidRPr="00000000">
        <w:rPr>
          <w:rtl w:val="0"/>
        </w:rPr>
        <w:t xml:space="preserve">, the smart contract reverts with </w:t>
      </w:r>
      <w:r w:rsidDel="00000000" w:rsidR="00000000" w:rsidRPr="00000000">
        <w:rPr>
          <w:rFonts w:ascii="Roboto Mono" w:cs="Roboto Mono" w:eastAsia="Roboto Mono" w:hAnsi="Roboto Mono"/>
          <w:color w:val="188038"/>
          <w:rtl w:val="0"/>
        </w:rPr>
        <w:t xml:space="preserve">NLNAViolation</w:t>
      </w:r>
      <w:r w:rsidDel="00000000" w:rsidR="00000000" w:rsidRPr="00000000">
        <w:rPr>
          <w:rtl w:val="0"/>
        </w:rPr>
        <w:t xml:space="preserve"> if the supplied </w:t>
      </w:r>
      <w:r w:rsidDel="00000000" w:rsidR="00000000" w:rsidRPr="00000000">
        <w:rPr>
          <w:rFonts w:ascii="Roboto Mono" w:cs="Roboto Mono" w:eastAsia="Roboto Mono" w:hAnsi="Roboto Mono"/>
          <w:color w:val="188038"/>
          <w:rtl w:val="0"/>
        </w:rPr>
        <w:t xml:space="preserve">logHash</w:t>
      </w:r>
      <w:r w:rsidDel="00000000" w:rsidR="00000000" w:rsidRPr="00000000">
        <w:rPr>
          <w:rtl w:val="0"/>
        </w:rPr>
        <w:t xml:space="preserve"> is not provably included in an anchored Merkle root via </w:t>
      </w:r>
      <w:r w:rsidDel="00000000" w:rsidR="00000000" w:rsidRPr="00000000">
        <w:rPr>
          <w:rFonts w:ascii="Roboto Mono" w:cs="Roboto Mono" w:eastAsia="Roboto Mono" w:hAnsi="Roboto Mono"/>
          <w:color w:val="188038"/>
          <w:rtl w:val="0"/>
        </w:rPr>
        <w:t xml:space="preserve">verifyMerkleInclusion</w:t>
      </w:r>
      <w:r w:rsidDel="00000000" w:rsidR="00000000" w:rsidRPr="00000000">
        <w:rPr>
          <w:rtl w:val="0"/>
        </w:rPr>
        <w:t xml:space="preserve">. This is the terminal enforcement gate: even if all four prior layers were somehow bypassed, a Permission Token that references a log not yet anchored in the on-chain Merkle structure cannot complete registration. The blockchain itself enforces the evidentiary prerequisite.</w:t>
      </w:r>
      <w:hyperlink r:id="rId124">
        <w:r w:rsidDel="00000000" w:rsidR="00000000" w:rsidRPr="00000000">
          <w:rPr>
            <w:rtl w:val="0"/>
          </w:rPr>
          <w:t xml:space="preserve"> </w:t>
        </w:r>
      </w:hyperlink>
      <w:hyperlink r:id="rId125">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rPr>
          <w:rtl w:val="0"/>
        </w:rPr>
        <w:t xml:space="preserve">The fail-closed default applies to all five layers. Any Governance Lane failure, timeout, or ambiguity defaults to Epistemic Hold or Refuse. It never defaults to Proceed. NL=NA applies to Emergency Override requests without exception. There is no emergency mode that permits execution without evidence.</w:t>
      </w:r>
    </w:p>
    <w:p w:rsidR="00000000" w:rsidDel="00000000" w:rsidP="00000000" w:rsidRDefault="00000000" w:rsidRPr="00000000" w14:paraId="00000168">
      <w:pPr>
        <w:spacing w:after="240" w:before="240" w:lineRule="auto"/>
        <w:rPr>
          <w:color w:val="1155cc"/>
          <w:u w:val="single"/>
        </w:rPr>
      </w:pPr>
      <w:r w:rsidDel="00000000" w:rsidR="00000000" w:rsidRPr="00000000">
        <w:rPr>
          <w:rtl w:val="0"/>
        </w:rPr>
        <w:t xml:space="preserve">The covenant also addresses what the governance literature terms Ghost Governance: governance actions executing without corresponding immutable audit evidence.</w:t>
      </w:r>
      <w:hyperlink r:id="rId126">
        <w:r w:rsidDel="00000000" w:rsidR="00000000" w:rsidRPr="00000000">
          <w:rPr>
            <w:rtl w:val="0"/>
          </w:rPr>
          <w:t xml:space="preserve"> </w:t>
        </w:r>
      </w:hyperlink>
      <w:hyperlink r:id="rId127">
        <w:r w:rsidDel="00000000" w:rsidR="00000000" w:rsidRPr="00000000">
          <w:rPr>
            <w:color w:val="1155cc"/>
            <w:u w:val="single"/>
            <w:rtl w:val="0"/>
          </w:rPr>
          <w:t xml:space="preserve">[14]</w:t>
        </w:r>
      </w:hyperlink>
      <w:r w:rsidDel="00000000" w:rsidR="00000000" w:rsidRPr="00000000">
        <w:rPr>
          <w:rtl w:val="0"/>
        </w:rPr>
        <w:t xml:space="preserve"> Ghost Governance is the condition in which an institution maintains the appearance of governed operation while actions execute without genuine constitutional oversight. NL=NA eliminates Ghost Governance at the physical commit boundary: the </w:t>
      </w:r>
      <w:r w:rsidDel="00000000" w:rsidR="00000000" w:rsidRPr="00000000">
        <w:rPr>
          <w:rFonts w:ascii="Roboto Mono" w:cs="Roboto Mono" w:eastAsia="Roboto Mono" w:hAnsi="Roboto Mono"/>
          <w:color w:val="188038"/>
          <w:rtl w:val="0"/>
        </w:rPr>
        <w:t xml:space="preserve">ghostGovernanceDetectionRate</w:t>
      </w:r>
      <w:r w:rsidDel="00000000" w:rsidR="00000000" w:rsidRPr="00000000">
        <w:rPr>
          <w:rtl w:val="0"/>
        </w:rPr>
        <w:t xml:space="preserve"> metric in </w:t>
      </w:r>
      <w:r w:rsidDel="00000000" w:rsidR="00000000" w:rsidRPr="00000000">
        <w:rPr>
          <w:rFonts w:ascii="Roboto Mono" w:cs="Roboto Mono" w:eastAsia="Roboto Mono" w:hAnsi="Roboto Mono"/>
          <w:color w:val="188038"/>
          <w:rtl w:val="0"/>
        </w:rPr>
        <w:t xml:space="preserve">GET /metrics/summary</w:t>
      </w:r>
      <w:r w:rsidDel="00000000" w:rsidR="00000000" w:rsidRPr="00000000">
        <w:rPr>
          <w:rtl w:val="0"/>
        </w:rPr>
        <w:t xml:space="preserve"> quantifies its prevention, and </w:t>
      </w:r>
      <w:r w:rsidDel="00000000" w:rsidR="00000000" w:rsidRPr="00000000">
        <w:rPr>
          <w:rFonts w:ascii="Roboto Mono" w:cs="Roboto Mono" w:eastAsia="Roboto Mono" w:hAnsi="Roboto Mono"/>
          <w:color w:val="188038"/>
          <w:rtl w:val="0"/>
        </w:rPr>
        <w:t xml:space="preserve">GhostGovernanceDetectedError</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tlErrorCode: "GHOST_GOVERNANCE_DETECTED_ERROR"</w:t>
      </w:r>
      <w:r w:rsidDel="00000000" w:rsidR="00000000" w:rsidRPr="00000000">
        <w:rPr>
          <w:rtl w:val="0"/>
        </w:rPr>
        <w:t xml:space="preserve"> fires when an actuation attempt occurs without a registered Permission Token. The error carries </w:t>
      </w:r>
      <w:r w:rsidDel="00000000" w:rsidR="00000000" w:rsidRPr="00000000">
        <w:rPr>
          <w:rFonts w:ascii="Roboto Mono" w:cs="Roboto Mono" w:eastAsia="Roboto Mono" w:hAnsi="Roboto Mono"/>
          <w:color w:val="188038"/>
          <w:rtl w:val="0"/>
        </w:rPr>
        <w:t xml:space="preserve">x-tl-state: -1</w:t>
      </w:r>
      <w:r w:rsidDel="00000000" w:rsidR="00000000" w:rsidRPr="00000000">
        <w:rPr>
          <w:rtl w:val="0"/>
        </w:rPr>
        <w:t xml:space="preserve">, encoding the constitutional determination that ungoverned execution is equivalent to prohibited execution.</w:t>
      </w:r>
      <w:hyperlink r:id="rId128">
        <w:r w:rsidDel="00000000" w:rsidR="00000000" w:rsidRPr="00000000">
          <w:rPr>
            <w:rtl w:val="0"/>
          </w:rPr>
          <w:t xml:space="preserve"> </w:t>
        </w:r>
      </w:hyperlink>
      <w:hyperlink r:id="rId129">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fkwceyumj5yh" w:id="28"/>
      <w:bookmarkEnd w:id="28"/>
      <w:r w:rsidDel="00000000" w:rsidR="00000000" w:rsidRPr="00000000">
        <w:rPr>
          <w:b w:val="1"/>
          <w:bCs w:val="1"/>
          <w:sz w:val="34"/>
          <w:szCs w:val="34"/>
          <w:rtl w:val="0"/>
        </w:rPr>
        <w:t xml:space="preserve">2.6 The Eight Pillars of Evidentiary Governance</w:t>
      </w:r>
    </w:p>
    <w:p w:rsidR="00000000" w:rsidDel="00000000" w:rsidP="00000000" w:rsidRDefault="00000000" w:rsidRPr="00000000" w14:paraId="0000016A">
      <w:pPr>
        <w:spacing w:after="240" w:before="240" w:lineRule="auto"/>
        <w:rPr>
          <w:color w:val="1155cc"/>
          <w:u w:val="single"/>
        </w:rPr>
      </w:pPr>
      <w:r w:rsidDel="00000000" w:rsidR="00000000" w:rsidRPr="00000000">
        <w:rPr>
          <w:rtl w:val="0"/>
        </w:rPr>
        <w:t xml:space="preserve">Ternary Logic institutionalizes integrity through eight foundational Pillars. Each Pillar addresses a critical point of failure in traditional binary financial governance. Together they form the complete, auditable circuit of constitutional accountability. The Pillars are structurally invariant: no governance chamber, regulatory mandate, or emergency condition can suspend, bypass, or reorder them. Their canonical identifiers are used in </w:t>
      </w:r>
      <w:r w:rsidDel="00000000" w:rsidR="00000000" w:rsidRPr="00000000">
        <w:rPr>
          <w:rFonts w:ascii="Roboto Mono" w:cs="Roboto Mono" w:eastAsia="Roboto Mono" w:hAnsi="Roboto Mono"/>
          <w:color w:val="188038"/>
          <w:rtl w:val="0"/>
        </w:rPr>
        <w:t xml:space="preserve">x-tl-pillar</w:t>
      </w:r>
      <w:r w:rsidDel="00000000" w:rsidR="00000000" w:rsidRPr="00000000">
        <w:rPr>
          <w:rtl w:val="0"/>
        </w:rPr>
        <w:t xml:space="preserve"> annotations on every API endpoint and in </w:t>
      </w:r>
      <w:r w:rsidDel="00000000" w:rsidR="00000000" w:rsidRPr="00000000">
        <w:rPr>
          <w:rFonts w:ascii="Roboto Mono" w:cs="Roboto Mono" w:eastAsia="Roboto Mono" w:hAnsi="Roboto Mono"/>
          <w:color w:val="188038"/>
          <w:rtl w:val="0"/>
        </w:rPr>
        <w:t xml:space="preserve">PillarIdentifier_v1_0_0</w:t>
      </w:r>
      <w:r w:rsidDel="00000000" w:rsidR="00000000" w:rsidRPr="00000000">
        <w:rPr>
          <w:rtl w:val="0"/>
        </w:rPr>
        <w:t xml:space="preserve"> as the exclusive vocabulary for pillar references throughout the framework.</w:t>
      </w:r>
      <w:hyperlink r:id="rId130">
        <w:r w:rsidDel="00000000" w:rsidR="00000000" w:rsidRPr="00000000">
          <w:rPr>
            <w:rtl w:val="0"/>
          </w:rPr>
          <w:t xml:space="preserve"> </w:t>
        </w:r>
      </w:hyperlink>
      <w:hyperlink r:id="rId131">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6B">
      <w:pPr>
        <w:spacing w:after="240" w:before="240" w:lineRule="auto"/>
        <w:rPr>
          <w:color w:val="1155cc"/>
          <w:u w:val="single"/>
        </w:rPr>
      </w:pPr>
      <w:r w:rsidDel="00000000" w:rsidR="00000000" w:rsidRPr="00000000">
        <w:rPr>
          <w:rtl w:val="0"/>
        </w:rPr>
        <w:t xml:space="preserve">Cross-pillar dependencies are architecturally enforced: </w:t>
      </w:r>
      <w:r w:rsidDel="00000000" w:rsidR="00000000" w:rsidRPr="00000000">
        <w:rPr>
          <w:rFonts w:ascii="Roboto Mono" w:cs="Roboto Mono" w:eastAsia="Roboto Mono" w:hAnsi="Roboto Mono"/>
          <w:color w:val="188038"/>
          <w:rtl w:val="0"/>
        </w:rPr>
        <w:t xml:space="preserve">Pillar 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EpistemicHold</w:t>
      </w:r>
      <w:r w:rsidDel="00000000" w:rsidR="00000000" w:rsidRPr="00000000">
        <w:rPr>
          <w:rtl w:val="0"/>
        </w:rPr>
        <w:t xml:space="preserve">) activation degrades all eight Pillar statuses in the </w:t>
      </w:r>
      <w:r w:rsidDel="00000000" w:rsidR="00000000" w:rsidRPr="00000000">
        <w:rPr>
          <w:rFonts w:ascii="Roboto Mono" w:cs="Roboto Mono" w:eastAsia="Roboto Mono" w:hAnsi="Roboto Mono"/>
          <w:color w:val="188038"/>
          <w:rtl w:val="0"/>
        </w:rPr>
        <w:t xml:space="preserve">LanternStatus.pillarStatuses</w:t>
      </w:r>
      <w:r w:rsidDel="00000000" w:rsidR="00000000" w:rsidRPr="00000000">
        <w:rPr>
          <w:rtl w:val="0"/>
        </w:rPr>
        <w:t xml:space="preserve"> array, because uncertainty in one governance domain propagates accountability obligations across all others. </w:t>
      </w:r>
      <w:r w:rsidDel="00000000" w:rsidR="00000000" w:rsidRPr="00000000">
        <w:rPr>
          <w:rFonts w:ascii="Roboto Mono" w:cs="Roboto Mono" w:eastAsia="Roboto Mono" w:hAnsi="Roboto Mono"/>
          <w:color w:val="188038"/>
          <w:rtl w:val="0"/>
        </w:rPr>
        <w:t xml:space="preserve">Pillar VIII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Anchors</w:t>
      </w:r>
      <w:r w:rsidDel="00000000" w:rsidR="00000000" w:rsidRPr="00000000">
        <w:rPr>
          <w:rtl w:val="0"/>
        </w:rPr>
        <w:t xml:space="preserve">) provides the cryptographic substrate on which </w:t>
      </w:r>
      <w:r w:rsidDel="00000000" w:rsidR="00000000" w:rsidRPr="00000000">
        <w:rPr>
          <w:rFonts w:ascii="Roboto Mono" w:cs="Roboto Mono" w:eastAsia="Roboto Mono" w:hAnsi="Roboto Mono"/>
          <w:color w:val="188038"/>
          <w:rtl w:val="0"/>
        </w:rPr>
        <w:t xml:space="preserve">Pillar II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depends for sovereign-grade evidentiary permanence. </w:t>
      </w:r>
      <w:r w:rsidDel="00000000" w:rsidR="00000000" w:rsidRPr="00000000">
        <w:rPr>
          <w:rFonts w:ascii="Roboto Mono" w:cs="Roboto Mono" w:eastAsia="Roboto Mono" w:hAnsi="Roboto Mono"/>
          <w:color w:val="188038"/>
          <w:rtl w:val="0"/>
        </w:rPr>
        <w:t xml:space="preserve">Pillar 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EconomicRightsAndTransparencyMandate</w:t>
      </w:r>
      <w:r w:rsidDel="00000000" w:rsidR="00000000" w:rsidRPr="00000000">
        <w:rPr>
          <w:rtl w:val="0"/>
        </w:rPr>
        <w:t xml:space="preserve">) regulatory failures feed directly into </w:t>
      </w:r>
      <w:r w:rsidDel="00000000" w:rsidR="00000000" w:rsidRPr="00000000">
        <w:rPr>
          <w:rFonts w:ascii="Roboto Mono" w:cs="Roboto Mono" w:eastAsia="Roboto Mono" w:hAnsi="Roboto Mono"/>
          <w:color w:val="188038"/>
          <w:rtl w:val="0"/>
        </w:rPr>
        <w:t xml:space="preserve">Pillar VII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HybridShield</w:t>
      </w:r>
      <w:r w:rsidDel="00000000" w:rsidR="00000000" w:rsidRPr="00000000">
        <w:rPr>
          <w:rtl w:val="0"/>
        </w:rPr>
        <w:t xml:space="preserve">) audit escalation pathways.</w:t>
      </w:r>
      <w:hyperlink r:id="rId132">
        <w:r w:rsidDel="00000000" w:rsidR="00000000" w:rsidRPr="00000000">
          <w:rPr>
            <w:rtl w:val="0"/>
          </w:rPr>
          <w:t xml:space="preserve"> </w:t>
        </w:r>
      </w:hyperlink>
      <w:hyperlink r:id="rId133">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6C">
      <w:pPr>
        <w:spacing w:after="240" w:before="240" w:lineRule="auto"/>
        <w:rPr>
          <w:color w:val="1155cc"/>
          <w:u w:val="single"/>
        </w:rPr>
      </w:pPr>
      <w:r w:rsidDel="00000000" w:rsidR="00000000" w:rsidRPr="00000000">
        <w:rPr>
          <w:b w:val="1"/>
          <w:bCs w:val="1"/>
          <w:rtl w:val="0"/>
        </w:rPr>
        <w:t xml:space="preserve">Pillar I - </w:t>
      </w:r>
      <w:r w:rsidDel="00000000" w:rsidR="00000000" w:rsidRPr="00000000">
        <w:rPr>
          <w:rFonts w:ascii="Roboto Mono" w:cs="Roboto Mono" w:eastAsia="Roboto Mono" w:hAnsi="Roboto Mono"/>
          <w:b w:val="1"/>
          <w:bCs w:val="1"/>
          <w:color w:val="188038"/>
          <w:rtl w:val="0"/>
        </w:rPr>
        <w:t xml:space="preserve">EpistemicHold</w:t>
      </w:r>
      <w:r w:rsidDel="00000000" w:rsidR="00000000" w:rsidRPr="00000000">
        <w:rPr>
          <w:b w:val="1"/>
          <w:bCs w:val="1"/>
          <w:rtl w:val="0"/>
        </w:rPr>
        <w:t xml:space="preserve">:</w:t>
      </w:r>
      <w:r w:rsidDel="00000000" w:rsidR="00000000" w:rsidRPr="00000000">
        <w:rPr>
          <w:rtl w:val="0"/>
        </w:rPr>
        <w:t xml:space="preserve"> Institutionalizes the mandatory hesitation state as a permanent, honored feature of the architecture. Its API expressions are </w:t>
      </w:r>
      <w:r w:rsidDel="00000000" w:rsidR="00000000" w:rsidRPr="00000000">
        <w:rPr>
          <w:rFonts w:ascii="Roboto Mono" w:cs="Roboto Mono" w:eastAsia="Roboto Mono" w:hAnsi="Roboto Mono"/>
          <w:color w:val="188038"/>
          <w:rtl w:val="0"/>
        </w:rPr>
        <w:t xml:space="preserve">POST /decisions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/PATCH /epistemic-hold/escalations/*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 /epistemic-hold/lantern</w:t>
      </w:r>
      <w:r w:rsidDel="00000000" w:rsidR="00000000" w:rsidRPr="00000000">
        <w:rPr>
          <w:rtl w:val="0"/>
        </w:rPr>
        <w:t xml:space="preserve">. Its schema anchors are </w:t>
      </w:r>
      <w:r w:rsidDel="00000000" w:rsidR="00000000" w:rsidRPr="00000000">
        <w:rPr>
          <w:rFonts w:ascii="Roboto Mono" w:cs="Roboto Mono" w:eastAsia="Roboto Mono" w:hAnsi="Roboto Mono"/>
          <w:color w:val="188038"/>
          <w:rtl w:val="0"/>
        </w:rPr>
        <w:t xml:space="preserve">EscrowRecord_v1_0_0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TGLF_State0_v1_0_0</w:t>
      </w:r>
      <w:r w:rsidDel="00000000" w:rsidR="00000000" w:rsidRPr="00000000">
        <w:rPr>
          <w:rtl w:val="0"/>
        </w:rPr>
        <w:t xml:space="preserve">. The Gateway fail-closed behavior is a Pillar I enforcement mechanism: any condition that cannot be resolved to a definitive Proceed determination defaults to Epistemic Hold rather than to execution.</w:t>
      </w:r>
      <w:hyperlink r:id="rId134">
        <w:r w:rsidDel="00000000" w:rsidR="00000000" w:rsidRPr="00000000">
          <w:rPr>
            <w:rtl w:val="0"/>
          </w:rPr>
          <w:t xml:space="preserve"> </w:t>
        </w:r>
      </w:hyperlink>
      <w:hyperlink r:id="rId135">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6D">
      <w:pPr>
        <w:spacing w:after="240" w:before="240" w:lineRule="auto"/>
        <w:rPr>
          <w:color w:val="1155cc"/>
          <w:u w:val="single"/>
        </w:rPr>
      </w:pPr>
      <w:r w:rsidDel="00000000" w:rsidR="00000000" w:rsidRPr="00000000">
        <w:rPr>
          <w:b w:val="1"/>
          <w:bCs w:val="1"/>
          <w:rtl w:val="0"/>
        </w:rPr>
        <w:t xml:space="preserve">Pillar II - </w:t>
      </w:r>
      <w:r w:rsidDel="00000000" w:rsidR="00000000" w:rsidRPr="00000000">
        <w:rPr>
          <w:rFonts w:ascii="Roboto Mono" w:cs="Roboto Mono" w:eastAsia="Roboto Mono" w:hAnsi="Roboto Mono"/>
          <w:b w:val="1"/>
          <w:bCs w:val="1"/>
          <w:color w:val="188038"/>
          <w:rtl w:val="0"/>
        </w:rPr>
        <w:t xml:space="preserve">ImmutableLedger</w:t>
      </w:r>
      <w:r w:rsidDel="00000000" w:rsidR="00000000" w:rsidRPr="00000000">
        <w:rPr>
          <w:b w:val="1"/>
          <w:bCs w:val="1"/>
          <w:rtl w:val="0"/>
        </w:rPr>
        <w:t xml:space="preserve">:</w:t>
      </w:r>
      <w:r w:rsidDel="00000000" w:rsidR="00000000" w:rsidRPr="00000000">
        <w:rPr>
          <w:rtl w:val="0"/>
        </w:rPr>
        <w:t xml:space="preserve"> Provides the append-only, tamper-evident evidentiary repository. The </w:t>
      </w:r>
      <w:r w:rsidDel="00000000" w:rsidR="00000000" w:rsidRPr="00000000">
        <w:rPr>
          <w:rFonts w:ascii="Roboto Mono" w:cs="Roboto Mono" w:eastAsia="Roboto Mono" w:hAnsi="Roboto Mono"/>
          <w:color w:val="188038"/>
          <w:rtl w:val="0"/>
        </w:rPr>
        <w:t xml:space="preserve">ghostGovernanceDetectionRate</w:t>
      </w:r>
      <w:r w:rsidDel="00000000" w:rsidR="00000000" w:rsidRPr="00000000">
        <w:rPr>
          <w:rtl w:val="0"/>
        </w:rPr>
        <w:t xml:space="preserve"> metric in </w:t>
      </w:r>
      <w:r w:rsidDel="00000000" w:rsidR="00000000" w:rsidRPr="00000000">
        <w:rPr>
          <w:rFonts w:ascii="Roboto Mono" w:cs="Roboto Mono" w:eastAsia="Roboto Mono" w:hAnsi="Roboto Mono"/>
          <w:color w:val="188038"/>
          <w:rtl w:val="0"/>
        </w:rPr>
        <w:t xml:space="preserve">GET /metrics/summary</w:t>
      </w:r>
      <w:r w:rsidDel="00000000" w:rsidR="00000000" w:rsidRPr="00000000">
        <w:rPr>
          <w:rtl w:val="0"/>
        </w:rPr>
        <w:t xml:space="preserve"> quantifies Ghost Governance prevention at the NL=NA physical commit boundary. Any attempt to tamper with a single log entry breaks the cryptographic chain, making the compromise apparent and traceable to the precise point of rupture. Pillar II is expressed through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/audit-logs/{logId}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/refusals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 /regulator/timestamp-verification/{logId}</w:t>
      </w:r>
      <w:r w:rsidDel="00000000" w:rsidR="00000000" w:rsidRPr="00000000">
        <w:rPr>
          <w:rtl w:val="0"/>
        </w:rPr>
        <w:t xml:space="preserve">. Its schema anchor is </w:t>
      </w:r>
      <w:r w:rsidDel="00000000" w:rsidR="00000000" w:rsidRPr="00000000">
        <w:rPr>
          <w:rFonts w:ascii="Roboto Mono" w:cs="Roboto Mono" w:eastAsia="Roboto Mono" w:hAnsi="Roboto Mono"/>
          <w:color w:val="188038"/>
          <w:rtl w:val="0"/>
        </w:rPr>
        <w:t xml:space="preserve">AuditProof_v1_0_0</w:t>
      </w:r>
      <w:r w:rsidDel="00000000" w:rsidR="00000000" w:rsidRPr="00000000">
        <w:rPr>
          <w:rtl w:val="0"/>
        </w:rPr>
        <w:t xml:space="preserve">.</w:t>
      </w:r>
      <w:hyperlink r:id="rId136">
        <w:r w:rsidDel="00000000" w:rsidR="00000000" w:rsidRPr="00000000">
          <w:rPr>
            <w:rtl w:val="0"/>
          </w:rPr>
          <w:t xml:space="preserve"> </w:t>
        </w:r>
      </w:hyperlink>
      <w:hyperlink r:id="rId137">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6E">
      <w:pPr>
        <w:spacing w:after="240" w:before="240" w:lineRule="auto"/>
        <w:rPr>
          <w:color w:val="1155cc"/>
          <w:u w:val="single"/>
        </w:rPr>
      </w:pPr>
      <w:r w:rsidDel="00000000" w:rsidR="00000000" w:rsidRPr="00000000">
        <w:rPr>
          <w:b w:val="1"/>
          <w:bCs w:val="1"/>
          <w:rtl w:val="0"/>
        </w:rPr>
        <w:t xml:space="preserve">Pillar III - </w:t>
      </w:r>
      <w:r w:rsidDel="00000000" w:rsidR="00000000" w:rsidRPr="00000000">
        <w:rPr>
          <w:rFonts w:ascii="Roboto Mono" w:cs="Roboto Mono" w:eastAsia="Roboto Mono" w:hAnsi="Roboto Mono"/>
          <w:b w:val="1"/>
          <w:bCs w:val="1"/>
          <w:color w:val="188038"/>
          <w:rtl w:val="0"/>
        </w:rPr>
        <w:t xml:space="preserve">GoukassianPrinciple</w:t>
      </w:r>
      <w:r w:rsidDel="00000000" w:rsidR="00000000" w:rsidRPr="00000000">
        <w:rPr>
          <w:b w:val="1"/>
          <w:bCs w:val="1"/>
          <w:rtl w:val="0"/>
        </w:rPr>
        <w:t xml:space="preserve">:</w:t>
      </w:r>
      <w:r w:rsidDel="00000000" w:rsidR="00000000" w:rsidRPr="00000000">
        <w:rPr>
          <w:rtl w:val="0"/>
        </w:rPr>
        <w:t xml:space="preserve"> The constitutional layer that translates the Goukassian Vow into the three operational enforcement mechanisms. The </w:t>
      </w:r>
      <w:r w:rsidDel="00000000" w:rsidR="00000000" w:rsidRPr="00000000">
        <w:rPr>
          <w:rFonts w:ascii="Roboto Mono" w:cs="Roboto Mono" w:eastAsia="Roboto Mono" w:hAnsi="Roboto Mono"/>
          <w:color w:val="188038"/>
          <w:rtl w:val="0"/>
        </w:rPr>
        <w:t xml:space="preserve">GoukassianPrincipleBlock_v1_0_0</w:t>
      </w:r>
      <w:r w:rsidDel="00000000" w:rsidR="00000000" w:rsidRPr="00000000">
        <w:rPr>
          <w:rtl w:val="0"/>
        </w:rPr>
        <w:t xml:space="preserve"> is required on every </w:t>
      </w:r>
      <w:r w:rsidDel="00000000" w:rsidR="00000000" w:rsidRPr="00000000">
        <w:rPr>
          <w:rFonts w:ascii="Roboto Mono" w:cs="Roboto Mono" w:eastAsia="Roboto Mono" w:hAnsi="Roboto Mono"/>
          <w:color w:val="188038"/>
          <w:rtl w:val="0"/>
        </w:rPr>
        <w:t xml:space="preserve">POST /decisions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POST /evaluate/*</w:t>
      </w:r>
      <w:r w:rsidDel="00000000" w:rsidR="00000000" w:rsidRPr="00000000">
        <w:rPr>
          <w:rtl w:val="0"/>
        </w:rPr>
        <w:t xml:space="preserve"> request body. In </w:t>
      </w:r>
      <w:r w:rsidDel="00000000" w:rsidR="00000000" w:rsidRPr="00000000">
        <w:rPr>
          <w:rFonts w:ascii="Roboto Mono" w:cs="Roboto Mono" w:eastAsia="Roboto Mono" w:hAnsi="Roboto Mono"/>
          <w:color w:val="188038"/>
          <w:rtl w:val="0"/>
        </w:rPr>
        <w:t xml:space="preserve">eip712_typed_data.json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canonicalArtifactNameHashes</w:t>
      </w:r>
      <w:r w:rsidDel="00000000" w:rsidR="00000000" w:rsidRPr="00000000">
        <w:rPr>
          <w:rtl w:val="0"/>
        </w:rPr>
        <w:t xml:space="preserve"> section records the pre-images for all three artifact names, ensuring their identities are cryptographically fixed and cannot be forged. Expressed through </w:t>
      </w:r>
      <w:r w:rsidDel="00000000" w:rsidR="00000000" w:rsidRPr="00000000">
        <w:rPr>
          <w:rFonts w:ascii="Roboto Mono" w:cs="Roboto Mono" w:eastAsia="Roboto Mono" w:hAnsi="Roboto Mono"/>
          <w:color w:val="188038"/>
          <w:rtl w:val="0"/>
        </w:rPr>
        <w:t xml:space="preserve">GET /goukassian/signature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/goukassian/license/validate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/epistemic-hold/lantern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 /gateway/status</w:t>
      </w:r>
      <w:r w:rsidDel="00000000" w:rsidR="00000000" w:rsidRPr="00000000">
        <w:rPr>
          <w:rtl w:val="0"/>
        </w:rPr>
        <w:t xml:space="preserve">.</w:t>
      </w:r>
      <w:hyperlink r:id="rId138">
        <w:r w:rsidDel="00000000" w:rsidR="00000000" w:rsidRPr="00000000">
          <w:rPr>
            <w:rtl w:val="0"/>
          </w:rPr>
          <w:t xml:space="preserve"> </w:t>
        </w:r>
      </w:hyperlink>
      <w:hyperlink r:id="rId139">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6F">
      <w:pPr>
        <w:spacing w:after="240" w:before="240" w:lineRule="auto"/>
        <w:rPr>
          <w:color w:val="1155cc"/>
          <w:u w:val="single"/>
        </w:rPr>
      </w:pPr>
      <w:r w:rsidDel="00000000" w:rsidR="00000000" w:rsidRPr="00000000">
        <w:rPr>
          <w:b w:val="1"/>
          <w:bCs w:val="1"/>
          <w:rtl w:val="0"/>
        </w:rPr>
        <w:t xml:space="preserve">Pillar IV - </w:t>
      </w:r>
      <w:r w:rsidDel="00000000" w:rsidR="00000000" w:rsidRPr="00000000">
        <w:rPr>
          <w:rFonts w:ascii="Roboto Mono" w:cs="Roboto Mono" w:eastAsia="Roboto Mono" w:hAnsi="Roboto Mono"/>
          <w:b w:val="1"/>
          <w:bCs w:val="1"/>
          <w:color w:val="188038"/>
          <w:rtl w:val="0"/>
        </w:rPr>
        <w:t xml:space="preserve">DecisionLogs</w:t>
      </w:r>
      <w:r w:rsidDel="00000000" w:rsidR="00000000" w:rsidRPr="00000000">
        <w:rPr>
          <w:b w:val="1"/>
          <w:bCs w:val="1"/>
          <w:rtl w:val="0"/>
        </w:rPr>
        <w:t xml:space="preserve">:</w:t>
      </w:r>
      <w:r w:rsidDel="00000000" w:rsidR="00000000" w:rsidRPr="00000000">
        <w:rPr>
          <w:rtl w:val="0"/>
        </w:rPr>
        <w:t xml:space="preserve"> The primary evidentiary artifact layer. The Decision Log must adhere to four strict mechanical constraints: conformance to the standardized TL schema with mandated fields; generation and cryptographic finalization before the resulting action is permitted; pseudonymization of all PII before inclusion; and hash commitment to the Immutable Ledger. Expressed through </w:t>
      </w:r>
      <w:r w:rsidDel="00000000" w:rsidR="00000000" w:rsidRPr="00000000">
        <w:rPr>
          <w:rFonts w:ascii="Roboto Mono" w:cs="Roboto Mono" w:eastAsia="Roboto Mono" w:hAnsi="Roboto Mono"/>
          <w:color w:val="188038"/>
          <w:rtl w:val="0"/>
        </w:rPr>
        <w:t xml:space="preserve">GET /decisions/{decisionId}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/thresholds/{domain}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PUT /thresholds/{domain}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 /metrics/summary</w:t>
      </w:r>
      <w:r w:rsidDel="00000000" w:rsidR="00000000" w:rsidRPr="00000000">
        <w:rPr>
          <w:rtl w:val="0"/>
        </w:rPr>
        <w:t xml:space="preserve">. Its schema anchors are </w:t>
      </w:r>
      <w:r w:rsidDel="00000000" w:rsidR="00000000" w:rsidRPr="00000000">
        <w:rPr>
          <w:rFonts w:ascii="Roboto Mono" w:cs="Roboto Mono" w:eastAsia="Roboto Mono" w:hAnsi="Roboto Mono"/>
          <w:color w:val="188038"/>
          <w:rtl w:val="0"/>
        </w:rPr>
        <w:t xml:space="preserve">JustificationObject_v1_0_0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ThresholdProfile_v1_0_0</w:t>
      </w:r>
      <w:r w:rsidDel="00000000" w:rsidR="00000000" w:rsidRPr="00000000">
        <w:rPr>
          <w:rtl w:val="0"/>
        </w:rPr>
        <w:t xml:space="preserve">.</w:t>
      </w:r>
      <w:hyperlink r:id="rId140">
        <w:r w:rsidDel="00000000" w:rsidR="00000000" w:rsidRPr="00000000">
          <w:rPr>
            <w:rtl w:val="0"/>
          </w:rPr>
          <w:t xml:space="preserve"> </w:t>
        </w:r>
      </w:hyperlink>
      <w:hyperlink r:id="rId141">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70">
      <w:pPr>
        <w:spacing w:after="240" w:before="240" w:lineRule="auto"/>
        <w:rPr>
          <w:color w:val="1155cc"/>
          <w:u w:val="single"/>
        </w:rPr>
      </w:pPr>
      <w:r w:rsidDel="00000000" w:rsidR="00000000" w:rsidRPr="00000000">
        <w:rPr>
          <w:b w:val="1"/>
          <w:bCs w:val="1"/>
          <w:rtl w:val="0"/>
        </w:rPr>
        <w:t xml:space="preserve">Pillar V - </w:t>
      </w:r>
      <w:r w:rsidDel="00000000" w:rsidR="00000000" w:rsidRPr="00000000">
        <w:rPr>
          <w:rFonts w:ascii="Roboto Mono" w:cs="Roboto Mono" w:eastAsia="Roboto Mono" w:hAnsi="Roboto Mono"/>
          <w:b w:val="1"/>
          <w:bCs w:val="1"/>
          <w:color w:val="188038"/>
          <w:rtl w:val="0"/>
        </w:rPr>
        <w:t xml:space="preserve">EconomicRightsAndTransparencyMandate</w:t>
      </w:r>
      <w:r w:rsidDel="00000000" w:rsidR="00000000" w:rsidRPr="00000000">
        <w:rPr>
          <w:b w:val="1"/>
          <w:bCs w:val="1"/>
          <w:rtl w:val="0"/>
        </w:rPr>
        <w:t xml:space="preserve">:</w:t>
      </w:r>
      <w:r w:rsidDel="00000000" w:rsidR="00000000" w:rsidRPr="00000000">
        <w:rPr>
          <w:rtl w:val="0"/>
        </w:rPr>
        <w:t xml:space="preserve"> Defines the relationship between the TL-governed system and the individual or institution whose capital, data, or activity it processes. Expressed through </w:t>
      </w:r>
      <w:r w:rsidDel="00000000" w:rsidR="00000000" w:rsidRPr="00000000">
        <w:rPr>
          <w:rFonts w:ascii="Roboto Mono" w:cs="Roboto Mono" w:eastAsia="Roboto Mono" w:hAnsi="Roboto Mono"/>
          <w:color w:val="188038"/>
          <w:rtl w:val="0"/>
        </w:rPr>
        <w:t xml:space="preserve">POST /evaluate/trade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/redress/*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/regulator/basel-iii/attestation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/regulator/fatf/compliance-export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/regulator/iosco/principle-mapping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POST /regulator/evidence-export</w:t>
      </w:r>
      <w:r w:rsidDel="00000000" w:rsidR="00000000" w:rsidRPr="00000000">
        <w:rPr>
          <w:rtl w:val="0"/>
        </w:rPr>
        <w:t xml:space="preserve">. Its regulatory vectors include Basel III, FATF, IOSCO, CFPB, SEC, and FINRA.</w:t>
      </w:r>
      <w:hyperlink r:id="rId142">
        <w:r w:rsidDel="00000000" w:rsidR="00000000" w:rsidRPr="00000000">
          <w:rPr>
            <w:rtl w:val="0"/>
          </w:rPr>
          <w:t xml:space="preserve"> </w:t>
        </w:r>
      </w:hyperlink>
      <w:hyperlink r:id="rId143">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71">
      <w:pPr>
        <w:spacing w:after="240" w:before="240" w:lineRule="auto"/>
        <w:rPr>
          <w:color w:val="1155cc"/>
          <w:u w:val="single"/>
        </w:rPr>
      </w:pPr>
      <w:r w:rsidDel="00000000" w:rsidR="00000000" w:rsidRPr="00000000">
        <w:rPr>
          <w:b w:val="1"/>
          <w:bCs w:val="1"/>
          <w:rtl w:val="0"/>
        </w:rPr>
        <w:t xml:space="preserve">Pillar VI - </w:t>
      </w:r>
      <w:r w:rsidDel="00000000" w:rsidR="00000000" w:rsidRPr="00000000">
        <w:rPr>
          <w:rFonts w:ascii="Roboto Mono" w:cs="Roboto Mono" w:eastAsia="Roboto Mono" w:hAnsi="Roboto Mono"/>
          <w:b w:val="1"/>
          <w:bCs w:val="1"/>
          <w:color w:val="188038"/>
          <w:rtl w:val="0"/>
        </w:rPr>
        <w:t xml:space="preserve">SustainableCapitalAllocationMandate</w:t>
      </w:r>
      <w:r w:rsidDel="00000000" w:rsidR="00000000" w:rsidRPr="00000000">
        <w:rPr>
          <w:b w:val="1"/>
          <w:bCs w:val="1"/>
          <w:rtl w:val="0"/>
        </w:rPr>
        <w:t xml:space="preserve">:</w:t>
      </w:r>
      <w:r w:rsidDel="00000000" w:rsidR="00000000" w:rsidRPr="00000000">
        <w:rPr>
          <w:rtl w:val="0"/>
        </w:rPr>
        <w:t xml:space="preserve"> The architectural mechanism through which TL enforces long-term systemic stability and ESG criteria as mandatory, executable constraints. The </w:t>
      </w:r>
      <w:r w:rsidDel="00000000" w:rsidR="00000000" w:rsidRPr="00000000">
        <w:rPr>
          <w:rFonts w:ascii="Roboto Mono" w:cs="Roboto Mono" w:eastAsia="Roboto Mono" w:hAnsi="Roboto Mono"/>
          <w:color w:val="188038"/>
          <w:rtl w:val="0"/>
        </w:rPr>
        <w:t xml:space="preserve">parisAgreement</w:t>
      </w:r>
      <w:r w:rsidDel="00000000" w:rsidR="00000000" w:rsidRPr="00000000">
        <w:rPr>
          <w:rtl w:val="0"/>
        </w:rPr>
        <w:t xml:space="preserve"> object in </w:t>
      </w:r>
      <w:r w:rsidDel="00000000" w:rsidR="00000000" w:rsidRPr="00000000">
        <w:rPr>
          <w:rFonts w:ascii="Roboto Mono" w:cs="Roboto Mono" w:eastAsia="Roboto Mono" w:hAnsi="Roboto Mono"/>
          <w:color w:val="188038"/>
          <w:rtl w:val="0"/>
        </w:rPr>
        <w:t xml:space="preserve">RegulatoryContext</w:t>
      </w:r>
      <w:r w:rsidDel="00000000" w:rsidR="00000000" w:rsidRPr="00000000">
        <w:rPr>
          <w:rtl w:val="0"/>
        </w:rPr>
        <w:t xml:space="preserve"> includes </w:t>
      </w:r>
      <w:r w:rsidDel="00000000" w:rsidR="00000000" w:rsidRPr="00000000">
        <w:rPr>
          <w:rFonts w:ascii="Roboto Mono" w:cs="Roboto Mono" w:eastAsia="Roboto Mono" w:hAnsi="Roboto Mono"/>
          <w:color w:val="188038"/>
          <w:rtl w:val="0"/>
        </w:rPr>
        <w:t xml:space="preserve">carbonFootprintVerified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greenBondEligibility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esgScore</w:t>
      </w:r>
      <w:r w:rsidDel="00000000" w:rsidR="00000000" w:rsidRPr="00000000">
        <w:rPr>
          <w:rtl w:val="0"/>
        </w:rPr>
        <w:t xml:space="preserve"> as Pillar VI expressions at the API layer. Expressed through </w:t>
      </w:r>
      <w:r w:rsidDel="00000000" w:rsidR="00000000" w:rsidRPr="00000000">
        <w:rPr>
          <w:rFonts w:ascii="Roboto Mono" w:cs="Roboto Mono" w:eastAsia="Roboto Mono" w:hAnsi="Roboto Mono"/>
          <w:color w:val="188038"/>
          <w:rtl w:val="0"/>
        </w:rPr>
        <w:t xml:space="preserve">POST /evaluate/policy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POST /evaluate/supply-chain</w:t>
      </w:r>
      <w:r w:rsidDel="00000000" w:rsidR="00000000" w:rsidRPr="00000000">
        <w:rPr>
          <w:rtl w:val="0"/>
        </w:rPr>
        <w:t xml:space="preserve">.</w:t>
      </w:r>
      <w:hyperlink r:id="rId144">
        <w:r w:rsidDel="00000000" w:rsidR="00000000" w:rsidRPr="00000000">
          <w:rPr>
            <w:rtl w:val="0"/>
          </w:rPr>
          <w:t xml:space="preserve"> </w:t>
        </w:r>
      </w:hyperlink>
      <w:hyperlink r:id="rId145">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72">
      <w:pPr>
        <w:spacing w:after="240" w:before="240" w:lineRule="auto"/>
        <w:rPr>
          <w:color w:val="1155cc"/>
          <w:u w:val="single"/>
        </w:rPr>
      </w:pPr>
      <w:r w:rsidDel="00000000" w:rsidR="00000000" w:rsidRPr="00000000">
        <w:rPr>
          <w:b w:val="1"/>
          <w:bCs w:val="1"/>
          <w:rtl w:val="0"/>
        </w:rPr>
        <w:t xml:space="preserve">Pillar VII - </w:t>
      </w:r>
      <w:r w:rsidDel="00000000" w:rsidR="00000000" w:rsidRPr="00000000">
        <w:rPr>
          <w:rFonts w:ascii="Roboto Mono" w:cs="Roboto Mono" w:eastAsia="Roboto Mono" w:hAnsi="Roboto Mono"/>
          <w:b w:val="1"/>
          <w:bCs w:val="1"/>
          <w:color w:val="188038"/>
          <w:rtl w:val="0"/>
        </w:rPr>
        <w:t xml:space="preserve">HybridShield</w:t>
      </w:r>
      <w:r w:rsidDel="00000000" w:rsidR="00000000" w:rsidRPr="00000000">
        <w:rPr>
          <w:b w:val="1"/>
          <w:bCs w:val="1"/>
          <w:rtl w:val="0"/>
        </w:rPr>
        <w:t xml:space="preserve">:</w:t>
      </w:r>
      <w:r w:rsidDel="00000000" w:rsidR="00000000" w:rsidRPr="00000000">
        <w:rPr>
          <w:rtl w:val="0"/>
        </w:rPr>
        <w:t xml:space="preserve"> The multi-layered architectural defense system providing resilience against fraud, regulatory capture, and market manipulation while protecting privacy. Operates through pseudonymization-before-hashing, decoupled access control through Ephemeral Key Rotation using </w:t>
      </w:r>
      <w:r w:rsidDel="00000000" w:rsidR="00000000" w:rsidRPr="00000000">
        <w:rPr>
          <w:rFonts w:ascii="Roboto Mono" w:cs="Roboto Mono" w:eastAsia="Roboto Mono" w:hAnsi="Roboto Mono"/>
          <w:color w:val="188038"/>
          <w:rtl w:val="0"/>
        </w:rPr>
        <w:t xml:space="preserve">HKDF-SHA3-256</w:t>
      </w:r>
      <w:r w:rsidDel="00000000" w:rsidR="00000000" w:rsidRPr="00000000">
        <w:rPr>
          <w:rtl w:val="0"/>
        </w:rPr>
        <w:t xml:space="preserve"> key derivation, and the Triadic Anti-Manipulation Check. Expressed through </w:t>
      </w:r>
      <w:r w:rsidDel="00000000" w:rsidR="00000000" w:rsidRPr="00000000">
        <w:rPr>
          <w:rFonts w:ascii="Roboto Mono" w:cs="Roboto Mono" w:eastAsia="Roboto Mono" w:hAnsi="Roboto Mono"/>
          <w:color w:val="188038"/>
          <w:rtl w:val="0"/>
        </w:rPr>
        <w:t xml:space="preserve">POST /emergency/override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/emergency/status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/audit/custodians/{custodianId}/heartbeat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/regulator/custodian-quorum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POST /pillars/{pillarId}/configure</w:t>
      </w:r>
      <w:r w:rsidDel="00000000" w:rsidR="00000000" w:rsidRPr="00000000">
        <w:rPr>
          <w:rtl w:val="0"/>
        </w:rPr>
        <w:t xml:space="preserve">. Its schema anchors are </w:t>
      </w:r>
      <w:r w:rsidDel="00000000" w:rsidR="00000000" w:rsidRPr="00000000">
        <w:rPr>
          <w:rFonts w:ascii="Roboto Mono" w:cs="Roboto Mono" w:eastAsia="Roboto Mono" w:hAnsi="Roboto Mono"/>
          <w:color w:val="188038"/>
          <w:rtl w:val="0"/>
        </w:rPr>
        <w:t xml:space="preserve">TriCameralApproval_v1_0_0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EmergencyOverrideRequest_v1_0_0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EKRRecord_v1_0_0</w:t>
      </w:r>
      <w:r w:rsidDel="00000000" w:rsidR="00000000" w:rsidRPr="00000000">
        <w:rPr>
          <w:rtl w:val="0"/>
        </w:rPr>
        <w:t xml:space="preserve">.</w:t>
      </w:r>
      <w:hyperlink r:id="rId146">
        <w:r w:rsidDel="00000000" w:rsidR="00000000" w:rsidRPr="00000000">
          <w:rPr>
            <w:rtl w:val="0"/>
          </w:rPr>
          <w:t xml:space="preserve"> </w:t>
        </w:r>
      </w:hyperlink>
      <w:hyperlink r:id="rId147">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73">
      <w:pPr>
        <w:spacing w:after="240" w:before="240" w:lineRule="auto"/>
        <w:rPr>
          <w:color w:val="1155cc"/>
          <w:u w:val="single"/>
        </w:rPr>
      </w:pPr>
      <w:r w:rsidDel="00000000" w:rsidR="00000000" w:rsidRPr="00000000">
        <w:rPr>
          <w:b w:val="1"/>
          <w:bCs w:val="1"/>
          <w:rtl w:val="0"/>
        </w:rPr>
        <w:t xml:space="preserve">Pillar VIII - </w:t>
      </w:r>
      <w:r w:rsidDel="00000000" w:rsidR="00000000" w:rsidRPr="00000000">
        <w:rPr>
          <w:rFonts w:ascii="Roboto Mono" w:cs="Roboto Mono" w:eastAsia="Roboto Mono" w:hAnsi="Roboto Mono"/>
          <w:b w:val="1"/>
          <w:bCs w:val="1"/>
          <w:color w:val="188038"/>
          <w:rtl w:val="0"/>
        </w:rPr>
        <w:t xml:space="preserve">Anchors</w:t>
      </w:r>
      <w:r w:rsidDel="00000000" w:rsidR="00000000" w:rsidRPr="00000000">
        <w:rPr>
          <w:b w:val="1"/>
          <w:bCs w:val="1"/>
          <w:rtl w:val="0"/>
        </w:rPr>
        <w:t xml:space="preserve">:</w:t>
      </w:r>
      <w:r w:rsidDel="00000000" w:rsidR="00000000" w:rsidRPr="00000000">
        <w:rPr>
          <w:rtl w:val="0"/>
        </w:rPr>
        <w:t xml:space="preserve"> The ultimate guarantor of sovereign-grade evidentiary security through Merkle-batched commitments to multiple independent public blockchains. A TL proof is globally confirmed only when successfully included and finalized on at least three of five active anchor chains under the </w:t>
      </w:r>
      <w:r w:rsidDel="00000000" w:rsidR="00000000" w:rsidRPr="00000000">
        <w:rPr>
          <w:rFonts w:ascii="Roboto Mono" w:cs="Roboto Mono" w:eastAsia="Roboto Mono" w:hAnsi="Roboto Mono"/>
          <w:color w:val="188038"/>
          <w:rtl w:val="0"/>
        </w:rPr>
        <w:t xml:space="preserve">3-of-5</w:t>
      </w:r>
      <w:r w:rsidDel="00000000" w:rsidR="00000000" w:rsidRPr="00000000">
        <w:rPr>
          <w:rtl w:val="0"/>
        </w:rPr>
        <w:t xml:space="preserve"> quorum requirement. The </w:t>
      </w:r>
      <w:r w:rsidDel="00000000" w:rsidR="00000000" w:rsidRPr="00000000">
        <w:rPr>
          <w:rFonts w:ascii="Roboto Mono" w:cs="Roboto Mono" w:eastAsia="Roboto Mono" w:hAnsi="Roboto Mono"/>
          <w:color w:val="188038"/>
          <w:rtl w:val="0"/>
        </w:rPr>
        <w:t xml:space="preserve">SuccessionDeclaration_v1_0_0</w:t>
      </w:r>
      <w:r w:rsidDel="00000000" w:rsidR="00000000" w:rsidRPr="00000000">
        <w:rPr>
          <w:rtl w:val="0"/>
        </w:rPr>
        <w:t xml:space="preserve"> schema is a Pillar VIII artifact. Its expiry triggers </w:t>
      </w:r>
      <w:r w:rsidDel="00000000" w:rsidR="00000000" w:rsidRPr="00000000">
        <w:rPr>
          <w:rFonts w:ascii="Roboto Mono" w:cs="Roboto Mono" w:eastAsia="Roboto Mono" w:hAnsi="Roboto Mono"/>
          <w:color w:val="188038"/>
          <w:rtl w:val="0"/>
        </w:rPr>
        <w:t xml:space="preserve">SUCCESSION_DECLARATION_EXPIRED_ERROR</w:t>
      </w:r>
      <w:r w:rsidDel="00000000" w:rsidR="00000000" w:rsidRPr="00000000">
        <w:rPr>
          <w:rtl w:val="0"/>
        </w:rPr>
        <w:t xml:space="preserve"> in the </w:t>
      </w:r>
      <w:r w:rsidDel="00000000" w:rsidR="00000000" w:rsidRPr="00000000">
        <w:rPr>
          <w:rFonts w:ascii="Roboto Mono" w:cs="Roboto Mono" w:eastAsia="Roboto Mono" w:hAnsi="Roboto Mono"/>
          <w:color w:val="188038"/>
          <w:rtl w:val="0"/>
        </w:rPr>
        <w:t xml:space="preserve">TLProblemDetail</w:t>
      </w:r>
      <w:r w:rsidDel="00000000" w:rsidR="00000000" w:rsidRPr="00000000">
        <w:rPr>
          <w:rtl w:val="0"/>
        </w:rPr>
        <w:t xml:space="preserve"> error taxonomy, and its absence triggers </w:t>
      </w:r>
      <w:r w:rsidDel="00000000" w:rsidR="00000000" w:rsidRPr="00000000">
        <w:rPr>
          <w:rFonts w:ascii="Roboto Mono" w:cs="Roboto Mono" w:eastAsia="Roboto Mono" w:hAnsi="Roboto Mono"/>
          <w:color w:val="188038"/>
          <w:rtl w:val="0"/>
        </w:rPr>
        <w:t xml:space="preserve">SUCCESSION_DECLARATION_REQUIRED_ERROR</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eip712_typed_data.json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canonicalArtifactNameHashes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canonicalMandateHashes</w:t>
      </w:r>
      <w:r w:rsidDel="00000000" w:rsidR="00000000" w:rsidRPr="00000000">
        <w:rPr>
          <w:rtl w:val="0"/>
        </w:rPr>
        <w:t xml:space="preserve"> sections are Pillar VIII artifacts. Expressed through </w:t>
      </w:r>
      <w:r w:rsidDel="00000000" w:rsidR="00000000" w:rsidRPr="00000000">
        <w:rPr>
          <w:rFonts w:ascii="Roboto Mono" w:cs="Roboto Mono" w:eastAsia="Roboto Mono" w:hAnsi="Roboto Mono"/>
          <w:color w:val="188038"/>
          <w:rtl w:val="0"/>
        </w:rPr>
        <w:t xml:space="preserve">GET /audit/verifications/merkle/{merkleRoot}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 /audit/verifications/inclusion/{logId}</w:t>
      </w:r>
      <w:r w:rsidDel="00000000" w:rsidR="00000000" w:rsidRPr="00000000">
        <w:rPr>
          <w:rtl w:val="0"/>
        </w:rPr>
        <w:t xml:space="preserve">.</w:t>
      </w:r>
      <w:hyperlink r:id="rId148">
        <w:r w:rsidDel="00000000" w:rsidR="00000000" w:rsidRPr="00000000">
          <w:rPr>
            <w:rtl w:val="0"/>
          </w:rPr>
          <w:t xml:space="preserve"> </w:t>
        </w:r>
      </w:hyperlink>
      <w:hyperlink r:id="rId149">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74">
      <w:pPr>
        <w:pStyle w:val="Heading2"/>
        <w:keepNext w:val="0"/>
        <w:keepLines w:val="0"/>
        <w:spacing w:after="80" w:lineRule="auto"/>
        <w:rPr>
          <w:b w:val="1"/>
          <w:bCs w:val="1"/>
          <w:sz w:val="34"/>
          <w:szCs w:val="34"/>
        </w:rPr>
      </w:pPr>
      <w:bookmarkStart w:colFirst="0" w:colLast="0" w:name="_5ezxrg1aooes" w:id="29"/>
      <w:bookmarkEnd w:id="29"/>
      <w:r w:rsidDel="00000000" w:rsidR="00000000" w:rsidRPr="00000000">
        <w:rPr>
          <w:b w:val="1"/>
          <w:bCs w:val="1"/>
          <w:sz w:val="34"/>
          <w:szCs w:val="34"/>
          <w:rtl w:val="0"/>
        </w:rPr>
        <w:t xml:space="preserve">2.7 Dual-Lane Architecture</w:t>
      </w:r>
    </w:p>
    <w:p w:rsidR="00000000" w:rsidDel="00000000" w:rsidP="00000000" w:rsidRDefault="00000000" w:rsidRPr="00000000" w14:paraId="00000175">
      <w:pPr>
        <w:spacing w:after="240" w:before="240" w:lineRule="auto"/>
        <w:rPr>
          <w:color w:val="1155cc"/>
          <w:u w:val="single"/>
        </w:rPr>
      </w:pPr>
      <w:r w:rsidDel="00000000" w:rsidR="00000000" w:rsidRPr="00000000">
        <w:rPr>
          <w:rtl w:val="0"/>
        </w:rPr>
        <w:t xml:space="preserve">Ternary Logic does not replace binary computation. The Inference Lane and the Governance Lane are physically and logically separated computational domains that operate in parallel and never merge into a single execution path. Binary proposes. Ternary governs. The separation is not a performance optimization. It is a constitutional requirement.</w:t>
      </w:r>
      <w:hyperlink r:id="rId150">
        <w:r w:rsidDel="00000000" w:rsidR="00000000" w:rsidRPr="00000000">
          <w:rPr>
            <w:rtl w:val="0"/>
          </w:rPr>
          <w:t xml:space="preserve"> </w:t>
        </w:r>
      </w:hyperlink>
      <w:hyperlink r:id="rId151">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76">
      <w:pPr>
        <w:spacing w:after="240" w:before="240" w:lineRule="auto"/>
        <w:rPr>
          <w:color w:val="1155cc"/>
          <w:u w:val="single"/>
        </w:rPr>
      </w:pPr>
      <w:r w:rsidDel="00000000" w:rsidR="00000000" w:rsidRPr="00000000">
        <w:rPr>
          <w:rtl w:val="0"/>
        </w:rPr>
        <w:t xml:space="preserve">The </w:t>
      </w:r>
      <w:r w:rsidDel="00000000" w:rsidR="00000000" w:rsidRPr="00000000">
        <w:rPr>
          <w:b w:val="1"/>
          <w:bCs w:val="1"/>
          <w:rtl w:val="0"/>
        </w:rPr>
        <w:t xml:space="preserve">Inference Lane</w:t>
      </w:r>
      <w:r w:rsidDel="00000000" w:rsidR="00000000" w:rsidRPr="00000000">
        <w:rPr>
          <w:rtl w:val="0"/>
        </w:rPr>
        <w:t xml:space="preserve"> is the binary computational domain. A client holding only the </w:t>
      </w:r>
      <w:r w:rsidDel="00000000" w:rsidR="00000000" w:rsidRPr="00000000">
        <w:rPr>
          <w:rFonts w:ascii="Roboto Mono" w:cs="Roboto Mono" w:eastAsia="Roboto Mono" w:hAnsi="Roboto Mono"/>
          <w:color w:val="188038"/>
          <w:rtl w:val="0"/>
        </w:rPr>
        <w:t xml:space="preserve">TLGovernanceJWT</w:t>
      </w:r>
      <w:r w:rsidDel="00000000" w:rsidR="00000000" w:rsidRPr="00000000">
        <w:rPr>
          <w:rtl w:val="0"/>
        </w:rPr>
        <w:t xml:space="preserve"> security credential can submit proposals through Inference Lane endpoints </w:t>
      </w:r>
      <w:r w:rsidDel="00000000" w:rsidR="00000000" w:rsidRPr="00000000">
        <w:rPr>
          <w:rFonts w:ascii="Roboto Mono" w:cs="Roboto Mono" w:eastAsia="Roboto Mono" w:hAnsi="Roboto Mono"/>
          <w:color w:val="188038"/>
          <w:rtl w:val="0"/>
        </w:rPr>
        <w:t xml:space="preserve">POST /decisions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 /decisions/{decisionId}</w:t>
      </w:r>
      <w:r w:rsidDel="00000000" w:rsidR="00000000" w:rsidRPr="00000000">
        <w:rPr>
          <w:rtl w:val="0"/>
        </w:rPr>
        <w:t xml:space="preserve">. It cannot authorize them. Its output is a </w:t>
      </w:r>
      <w:r w:rsidDel="00000000" w:rsidR="00000000" w:rsidRPr="00000000">
        <w:rPr>
          <w:rFonts w:ascii="Roboto Mono" w:cs="Roboto Mono" w:eastAsia="Roboto Mono" w:hAnsi="Roboto Mono"/>
          <w:color w:val="188038"/>
          <w:rtl w:val="0"/>
        </w:rPr>
        <w:t xml:space="preserve">TLResult</w:t>
      </w:r>
      <w:r w:rsidDel="00000000" w:rsidR="00000000" w:rsidRPr="00000000">
        <w:rPr>
          <w:rtl w:val="0"/>
        </w:rPr>
        <w:t xml:space="preserve"> object carrying a proposed </w:t>
      </w: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field. That field is advisory. The Inference Lane produces proposals. It cannot authorize actuation.</w:t>
      </w:r>
      <w:hyperlink r:id="rId152">
        <w:r w:rsidDel="00000000" w:rsidR="00000000" w:rsidRPr="00000000">
          <w:rPr>
            <w:rtl w:val="0"/>
          </w:rPr>
          <w:t xml:space="preserve"> </w:t>
        </w:r>
      </w:hyperlink>
      <w:hyperlink r:id="rId153">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77">
      <w:pPr>
        <w:spacing w:after="240" w:before="240" w:lineRule="auto"/>
        <w:rPr>
          <w:color w:val="1155cc"/>
          <w:u w:val="single"/>
        </w:rPr>
      </w:pPr>
      <w:r w:rsidDel="00000000" w:rsidR="00000000" w:rsidRPr="00000000">
        <w:rPr>
          <w:rtl w:val="0"/>
        </w:rPr>
        <w:t xml:space="preserve">The </w:t>
      </w:r>
      <w:r w:rsidDel="00000000" w:rsidR="00000000" w:rsidRPr="00000000">
        <w:rPr>
          <w:b w:val="1"/>
          <w:bCs w:val="1"/>
          <w:rtl w:val="0"/>
        </w:rPr>
        <w:t xml:space="preserve">Governance Lane</w:t>
      </w:r>
      <w:r w:rsidDel="00000000" w:rsidR="00000000" w:rsidRPr="00000000">
        <w:rPr>
          <w:rtl w:val="0"/>
        </w:rPr>
        <w:t xml:space="preserve"> is the ternary constitutional domain. The Governance Lane endpoints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 /audit-logs/{logId}</w:t>
      </w:r>
      <w:r w:rsidDel="00000000" w:rsidR="00000000" w:rsidRPr="00000000">
        <w:rPr>
          <w:rtl w:val="0"/>
        </w:rPr>
        <w:t xml:space="preserve"> require both </w:t>
      </w:r>
      <w:r w:rsidDel="00000000" w:rsidR="00000000" w:rsidRPr="00000000">
        <w:rPr>
          <w:rFonts w:ascii="Roboto Mono" w:cs="Roboto Mono" w:eastAsia="Roboto Mono" w:hAnsi="Roboto Mono"/>
          <w:color w:val="188038"/>
          <w:rtl w:val="0"/>
        </w:rPr>
        <w:t xml:space="preserve">HSMSignedJWT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NLNAAuditToken</w:t>
      </w:r>
      <w:r w:rsidDel="00000000" w:rsidR="00000000" w:rsidRPr="00000000">
        <w:rPr>
          <w:rtl w:val="0"/>
        </w:rPr>
        <w:t xml:space="preserve"> credentials. No credential that grants Inference Lane access grants Governance Lane authorization. The Governance Lane evaluates every proposal against three constitutional questions: Does the proposal have a complete, schema-validated Decision Log? Does the proposal violate any Refuse condition under the Goukassian Vow? Is there sufficient evidentiary certainty to issue Proceed, or does the uncertainty mandate Epistemic Hold? These questions are constitutional gates, enforced through separate security schemes.</w:t>
      </w:r>
      <w:hyperlink r:id="rId154">
        <w:r w:rsidDel="00000000" w:rsidR="00000000" w:rsidRPr="00000000">
          <w:rPr>
            <w:rtl w:val="0"/>
          </w:rPr>
          <w:t xml:space="preserve"> </w:t>
        </w:r>
      </w:hyperlink>
      <w:hyperlink r:id="rId155">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78">
      <w:pPr>
        <w:spacing w:after="240" w:before="240" w:lineRule="auto"/>
        <w:rPr>
          <w:color w:val="1155cc"/>
          <w:u w:val="single"/>
        </w:rPr>
      </w:pPr>
      <w:r w:rsidDel="00000000" w:rsidR="00000000" w:rsidRPr="00000000">
        <w:rPr>
          <w:rtl w:val="0"/>
        </w:rPr>
        <w:t xml:space="preserve">The </w:t>
      </w:r>
      <w:r w:rsidDel="00000000" w:rsidR="00000000" w:rsidRPr="00000000">
        <w:rPr>
          <w:b w:val="1"/>
          <w:bCs w:val="1"/>
          <w:rtl w:val="0"/>
        </w:rPr>
        <w:t xml:space="preserve">Gateway</w:t>
      </w:r>
      <w:r w:rsidDel="00000000" w:rsidR="00000000" w:rsidRPr="00000000">
        <w:rPr>
          <w:rtl w:val="0"/>
        </w:rPr>
        <w:t xml:space="preserve"> is the physical junction where both lanes converge. It is fail-closed by design. The </w:t>
      </w:r>
      <w:r w:rsidDel="00000000" w:rsidR="00000000" w:rsidRPr="00000000">
        <w:rPr>
          <w:rFonts w:ascii="Roboto Mono" w:cs="Roboto Mono" w:eastAsia="Roboto Mono" w:hAnsi="Roboto Mono"/>
          <w:color w:val="188038"/>
          <w:rtl w:val="0"/>
        </w:rPr>
        <w:t xml:space="preserve">PermissionToken_v1_0_0</w:t>
      </w:r>
      <w:r w:rsidDel="00000000" w:rsidR="00000000" w:rsidRPr="00000000">
        <w:rPr>
          <w:rtl w:val="0"/>
        </w:rPr>
        <w:t xml:space="preserve"> schema enforces a </w:t>
      </w:r>
      <w:r w:rsidDel="00000000" w:rsidR="00000000" w:rsidRPr="00000000">
        <w:rPr>
          <w:rFonts w:ascii="Roboto Mono" w:cs="Roboto Mono" w:eastAsia="Roboto Mono" w:hAnsi="Roboto Mono"/>
          <w:color w:val="188038"/>
          <w:rtl w:val="0"/>
        </w:rPr>
        <w:t xml:space="preserve">laneOrigin</w:t>
      </w:r>
      <w:r w:rsidDel="00000000" w:rsidR="00000000" w:rsidRPr="00000000">
        <w:rPr>
          <w:rtl w:val="0"/>
        </w:rPr>
        <w:t xml:space="preserve"> field carrying </w:t>
      </w:r>
      <w:r w:rsidDel="00000000" w:rsidR="00000000" w:rsidRPr="00000000">
        <w:rPr>
          <w:rFonts w:ascii="Roboto Mono" w:cs="Roboto Mono" w:eastAsia="Roboto Mono" w:hAnsi="Roboto Mono"/>
          <w:color w:val="188038"/>
          <w:rtl w:val="0"/>
        </w:rPr>
        <w:t xml:space="preserve">const: "GOVERNANCE_LANE"</w:t>
      </w:r>
      <w:r w:rsidDel="00000000" w:rsidR="00000000" w:rsidRPr="00000000">
        <w:rPr>
          <w:rtl w:val="0"/>
        </w:rPr>
        <w:t xml:space="preserve">. At the smart contract layer, </w:t>
      </w:r>
      <w:r w:rsidDel="00000000" w:rsidR="00000000" w:rsidRPr="00000000">
        <w:rPr>
          <w:rFonts w:ascii="Roboto Mono" w:cs="Roboto Mono" w:eastAsia="Roboto Mono" w:hAnsi="Roboto Mono"/>
          <w:color w:val="188038"/>
          <w:rtl w:val="0"/>
        </w:rPr>
        <w:t xml:space="preserve">TL_Ledger_Core.registerPermissionToken</w:t>
      </w:r>
      <w:r w:rsidDel="00000000" w:rsidR="00000000" w:rsidRPr="00000000">
        <w:rPr>
          <w:rtl w:val="0"/>
        </w:rPr>
        <w:t xml:space="preserve"> accepts a </w:t>
      </w:r>
      <w:r w:rsidDel="00000000" w:rsidR="00000000" w:rsidRPr="00000000">
        <w:rPr>
          <w:rFonts w:ascii="Roboto Mono" w:cs="Roboto Mono" w:eastAsia="Roboto Mono" w:hAnsi="Roboto Mono"/>
          <w:color w:val="188038"/>
          <w:rtl w:val="0"/>
        </w:rPr>
        <w:t xml:space="preserve">laneOriginHash</w:t>
      </w:r>
      <w:r w:rsidDel="00000000" w:rsidR="00000000" w:rsidRPr="00000000">
        <w:rPr>
          <w:rtl w:val="0"/>
        </w:rPr>
        <w:t xml:space="preserve"> parameter that must equal </w:t>
      </w:r>
      <w:r w:rsidDel="00000000" w:rsidR="00000000" w:rsidRPr="00000000">
        <w:rPr>
          <w:rFonts w:ascii="Roboto Mono" w:cs="Roboto Mono" w:eastAsia="Roboto Mono" w:hAnsi="Roboto Mono"/>
          <w:color w:val="188038"/>
          <w:rtl w:val="0"/>
        </w:rPr>
        <w:t xml:space="preserve">keccak256("GOVERNANCE_LANE")</w:t>
      </w:r>
      <w:r w:rsidDel="00000000" w:rsidR="00000000" w:rsidRPr="00000000">
        <w:rPr>
          <w:rtl w:val="0"/>
        </w:rPr>
        <w:t xml:space="preserve">. Mismatch reverts with </w:t>
      </w:r>
      <w:r w:rsidDel="00000000" w:rsidR="00000000" w:rsidRPr="00000000">
        <w:rPr>
          <w:rFonts w:ascii="Roboto Mono" w:cs="Roboto Mono" w:eastAsia="Roboto Mono" w:hAnsi="Roboto Mono"/>
          <w:color w:val="188038"/>
          <w:rtl w:val="0"/>
        </w:rPr>
        <w:t xml:space="preserve">NLNAViolation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GatewayRoutingStatus.operationalStatus</w:t>
      </w:r>
      <w:r w:rsidDel="00000000" w:rsidR="00000000" w:rsidRPr="00000000">
        <w:rPr>
          <w:rtl w:val="0"/>
        </w:rPr>
        <w:t xml:space="preserve"> enum includes </w:t>
      </w:r>
      <w:r w:rsidDel="00000000" w:rsidR="00000000" w:rsidRPr="00000000">
        <w:rPr>
          <w:rFonts w:ascii="Roboto Mono" w:cs="Roboto Mono" w:eastAsia="Roboto Mono" w:hAnsi="Roboto Mono"/>
          <w:color w:val="188038"/>
          <w:rtl w:val="0"/>
        </w:rPr>
        <w:t xml:space="preserve">EPISTEMIC_HOLD_OVERRIDE_ACTIVE</w:t>
      </w:r>
      <w:r w:rsidDel="00000000" w:rsidR="00000000" w:rsidRPr="00000000">
        <w:rPr>
          <w:rtl w:val="0"/>
        </w:rPr>
        <w:t xml:space="preserve"> specifically to signal Epistemic Hold Gateway override to monitoring systems.</w:t>
      </w:r>
      <w:hyperlink r:id="rId156">
        <w:r w:rsidDel="00000000" w:rsidR="00000000" w:rsidRPr="00000000">
          <w:rPr>
            <w:rtl w:val="0"/>
          </w:rPr>
          <w:t xml:space="preserve"> </w:t>
        </w:r>
      </w:hyperlink>
      <w:hyperlink r:id="rId157">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79">
      <w:pPr>
        <w:spacing w:after="240" w:before="240" w:lineRule="auto"/>
        <w:rPr>
          <w:color w:val="1155cc"/>
          <w:u w:val="single"/>
        </w:rPr>
      </w:pPr>
      <w:r w:rsidDel="00000000" w:rsidR="00000000" w:rsidRPr="00000000">
        <w:rPr>
          <w:rtl w:val="0"/>
        </w:rPr>
        <w:t xml:space="preserve">The cryptographic thread connecting both lanes across every request is the </w:t>
      </w:r>
      <w:r w:rsidDel="00000000" w:rsidR="00000000" w:rsidRPr="00000000">
        <w:rPr>
          <w:rFonts w:ascii="Roboto Mono" w:cs="Roboto Mono" w:eastAsia="Roboto Mono" w:hAnsi="Roboto Mono"/>
          <w:color w:val="188038"/>
          <w:rtl w:val="0"/>
        </w:rPr>
        <w:t xml:space="preserve">X-TL-Trace-Id</w:t>
      </w:r>
      <w:r w:rsidDel="00000000" w:rsidR="00000000" w:rsidRPr="00000000">
        <w:rPr>
          <w:rtl w:val="0"/>
        </w:rPr>
        <w:t xml:space="preserve"> UUID v4 header. It is required on every request and echoed in every response, webhook event, and downstream regulator export. The </w:t>
      </w:r>
      <w:r w:rsidDel="00000000" w:rsidR="00000000" w:rsidRPr="00000000">
        <w:rPr>
          <w:rFonts w:ascii="Roboto Mono" w:cs="Roboto Mono" w:eastAsia="Roboto Mono" w:hAnsi="Roboto Mono"/>
          <w:color w:val="188038"/>
          <w:rtl w:val="0"/>
        </w:rPr>
        <w:t xml:space="preserve">NLNAAuditToken</w:t>
      </w:r>
      <w:r w:rsidDel="00000000" w:rsidR="00000000" w:rsidRPr="00000000">
        <w:rPr>
          <w:rtl w:val="0"/>
        </w:rPr>
        <w:t xml:space="preserve"> security scheme is cryptographically bound to the </w:t>
      </w:r>
      <w:r w:rsidDel="00000000" w:rsidR="00000000" w:rsidRPr="00000000">
        <w:rPr>
          <w:rFonts w:ascii="Roboto Mono" w:cs="Roboto Mono" w:eastAsia="Roboto Mono" w:hAnsi="Roboto Mono"/>
          <w:color w:val="188038"/>
          <w:rtl w:val="0"/>
        </w:rPr>
        <w:t xml:space="preserve">X-TL-Trace-Id</w:t>
      </w:r>
      <w:r w:rsidDel="00000000" w:rsidR="00000000" w:rsidRPr="00000000">
        <w:rPr>
          <w:rtl w:val="0"/>
        </w:rPr>
        <w:t xml:space="preserve"> of the originating Inference Lane request, preventing token substitution across unrelated decision vectors. Every executed action in TL can be traced from its Inference Lane proposal through its Governance Lane evaluation to its anchored Decision Log through this single, cryptographically enforced identifier.</w:t>
      </w:r>
      <w:hyperlink r:id="rId158">
        <w:r w:rsidDel="00000000" w:rsidR="00000000" w:rsidRPr="00000000">
          <w:rPr>
            <w:rtl w:val="0"/>
          </w:rPr>
          <w:t xml:space="preserve"> </w:t>
        </w:r>
      </w:hyperlink>
      <w:hyperlink r:id="rId159">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7A">
      <w:pPr>
        <w:spacing w:after="240" w:before="240" w:lineRule="auto"/>
        <w:rPr/>
      </w:pPr>
      <w:r w:rsidDel="00000000" w:rsidR="00000000" w:rsidRPr="00000000">
        <w:rPr>
          <w:rtl w:val="0"/>
        </w:rPr>
        <w:t xml:space="preserve">The full Dual-Lane Architecture specification including the Gateway, Permission Token, State Envelope, TLResult object, and NL=NA five-layer enforcement is detailed in Section 3.</w:t>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i0dw5473vxl5" w:id="30"/>
      <w:bookmarkEnd w:id="30"/>
      <w:r w:rsidDel="00000000" w:rsidR="00000000" w:rsidRPr="00000000">
        <w:rPr>
          <w:b w:val="1"/>
          <w:bCs w:val="1"/>
          <w:sz w:val="34"/>
          <w:szCs w:val="34"/>
          <w:rtl w:val="0"/>
        </w:rPr>
        <w:t xml:space="preserve">2.8 The No Spy, No Weapon Mandate</w:t>
      </w:r>
    </w:p>
    <w:p w:rsidR="00000000" w:rsidDel="00000000" w:rsidP="00000000" w:rsidRDefault="00000000" w:rsidRPr="00000000" w14:paraId="0000017C">
      <w:pPr>
        <w:spacing w:after="240" w:before="240" w:lineRule="auto"/>
        <w:rPr>
          <w:color w:val="1155cc"/>
          <w:u w:val="single"/>
        </w:rPr>
      </w:pPr>
      <w:r w:rsidDel="00000000" w:rsidR="00000000" w:rsidRPr="00000000">
        <w:rPr>
          <w:rtl w:val="0"/>
        </w:rPr>
        <w:t xml:space="preserve">The Goukassian Vow defines what Ternary Logic must do. The No Spy, No Weapon Mandate defines what Ternary Logic must never do. It is a negative constitutional architecture operating in parallel with the positive architecture of the Eight Pillars. The Mandate is not a compliance checklist. It is a structural constraint embedded in the constitutional schema, the API specification, and the hardware substrate.</w:t>
      </w:r>
      <w:hyperlink r:id="rId160">
        <w:r w:rsidDel="00000000" w:rsidR="00000000" w:rsidRPr="00000000">
          <w:rPr>
            <w:rtl w:val="0"/>
          </w:rPr>
          <w:t xml:space="preserve"> </w:t>
        </w:r>
      </w:hyperlink>
      <w:hyperlink r:id="rId161">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17D">
      <w:pPr>
        <w:spacing w:after="240" w:before="240" w:lineRule="auto"/>
        <w:rPr>
          <w:color w:val="1155cc"/>
          <w:u w:val="single"/>
        </w:rPr>
      </w:pPr>
      <w:r w:rsidDel="00000000" w:rsidR="00000000" w:rsidRPr="00000000">
        <w:rPr>
          <w:rtl w:val="0"/>
        </w:rPr>
        <w:t xml:space="preserve">Three structural constraints enforce the Mandate. First, no surveillance: the system must not collect, process, store, or transmit data for the purpose of monitoring individuals, organizations, or populations without their informed consent and without a constitutional evidentiary basis that satisfies the Regulatory Nexus. Second, no weapons: the system must not control, direct, or enable physical mechanisms whose primary purpose is to inflict injury, destruction, or death. Third, no dual-use latency: the system must not be designed with latent capabilities that can be repurposed from legitimate economic governance to surveillance or weapons applications through parameter changes, module activation, or schema updates.</w:t>
      </w:r>
      <w:hyperlink r:id="rId162">
        <w:r w:rsidDel="00000000" w:rsidR="00000000" w:rsidRPr="00000000">
          <w:rPr>
            <w:rtl w:val="0"/>
          </w:rPr>
          <w:t xml:space="preserve"> </w:t>
        </w:r>
      </w:hyperlink>
      <w:hyperlink r:id="rId163">
        <w:r w:rsidDel="00000000" w:rsidR="00000000" w:rsidRPr="00000000">
          <w:rPr>
            <w:color w:val="1155cc"/>
            <w:u w:val="single"/>
            <w:rtl w:val="0"/>
          </w:rPr>
          <w:t xml:space="preserve">[7]</w:t>
        </w:r>
      </w:hyperlink>
      <w:r w:rsidDel="00000000" w:rsidR="00000000" w:rsidRPr="00000000">
        <w:rPr>
          <w:rtl w:val="0"/>
        </w:rPr>
      </w:r>
    </w:p>
    <w:p w:rsidR="00000000" w:rsidDel="00000000" w:rsidP="00000000" w:rsidRDefault="00000000" w:rsidRPr="00000000" w14:paraId="0000017E">
      <w:pPr>
        <w:spacing w:after="240" w:before="240" w:lineRule="auto"/>
        <w:rPr>
          <w:color w:val="1155cc"/>
          <w:u w:val="single"/>
        </w:rPr>
      </w:pPr>
      <w:r w:rsidDel="00000000" w:rsidR="00000000" w:rsidRPr="00000000">
        <w:rPr>
          <w:rtl w:val="0"/>
        </w:rPr>
        <w:t xml:space="preserve">In DITL hardware implementations, the no-dual-use constraint is enforced physically: the Mandated Ternary memristive cells operate only in the three governance states. They cannot be repurposed for data storage or signal processing because their physical structure is optimized for resistance-state switching, not general-purpose computation. The asynchronous handshake protocol does not support remote procedure calls, network listeners, or dynamic code loading. These are not disabled features. They are physically absent circuit elements.</w:t>
      </w:r>
      <w:hyperlink r:id="rId164">
        <w:r w:rsidDel="00000000" w:rsidR="00000000" w:rsidRPr="00000000">
          <w:rPr>
            <w:rtl w:val="0"/>
          </w:rPr>
          <w:t xml:space="preserve"> </w:t>
        </w:r>
      </w:hyperlink>
      <w:hyperlink r:id="rId165">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17F">
      <w:pPr>
        <w:spacing w:after="240" w:before="240" w:lineRule="auto"/>
        <w:rPr/>
      </w:pPr>
      <w:r w:rsidDel="00000000" w:rsidR="00000000" w:rsidRPr="00000000">
        <w:rPr>
          <w:rtl w:val="0"/>
        </w:rPr>
        <w:t xml:space="preserve">The Oracle Problem and its resolution through query constitutionalization, the twelve domain-specific edge-case determinations, the universality stress test, and the four sovereign pressure vectors are specified in full in Section 5.</w:t>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u5vu6yjkbqbt" w:id="31"/>
      <w:bookmarkEnd w:id="31"/>
      <w:r w:rsidDel="00000000" w:rsidR="00000000" w:rsidRPr="00000000">
        <w:rPr>
          <w:b w:val="1"/>
          <w:bCs w:val="1"/>
          <w:sz w:val="34"/>
          <w:szCs w:val="34"/>
          <w:rtl w:val="0"/>
        </w:rPr>
        <w:t xml:space="preserve">2.9 Constitutional Governance: What TL Is and Is Not</w:t>
      </w:r>
    </w:p>
    <w:p w:rsidR="00000000" w:rsidDel="00000000" w:rsidP="00000000" w:rsidRDefault="00000000" w:rsidRPr="00000000" w14:paraId="00000181">
      <w:pPr>
        <w:spacing w:after="240" w:before="240" w:lineRule="auto"/>
        <w:rPr>
          <w:color w:val="1155cc"/>
          <w:u w:val="single"/>
        </w:rPr>
      </w:pPr>
      <w:r w:rsidDel="00000000" w:rsidR="00000000" w:rsidRPr="00000000">
        <w:rPr>
          <w:rtl w:val="0"/>
        </w:rPr>
        <w:t xml:space="preserve">The architecture described in this Section constitutes a fourth category of institutional governance distinct from markets, hierarchies, and hybrids identified by institutional economics.</w:t>
      </w:r>
      <w:hyperlink r:id="rId166">
        <w:r w:rsidDel="00000000" w:rsidR="00000000" w:rsidRPr="00000000">
          <w:rPr>
            <w:rtl w:val="0"/>
          </w:rPr>
          <w:t xml:space="preserve"> </w:t>
        </w:r>
      </w:hyperlink>
      <w:hyperlink r:id="rId167">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rtl w:val="0"/>
        </w:rPr>
        <w:t xml:space="preserve">Ternary Logic is </w:t>
      </w:r>
      <w:r w:rsidDel="00000000" w:rsidR="00000000" w:rsidRPr="00000000">
        <w:rPr>
          <w:b w:val="1"/>
          <w:bCs w:val="1"/>
          <w:rtl w:val="0"/>
        </w:rPr>
        <w:t xml:space="preserve">constitutional computation</w:t>
      </w:r>
      <w:r w:rsidDel="00000000" w:rsidR="00000000" w:rsidRPr="00000000">
        <w:rPr>
          <w:rtl w:val="0"/>
        </w:rPr>
        <w:t xml:space="preserve">. It is not a market. It is not a hierarchy. It is not a hybrid contract. It is a computational institution that embeds the terms of governance into the physical architecture of decision-making, making violation physically impossible rather than merely legally punishable.</w:t>
      </w:r>
    </w:p>
    <w:p w:rsidR="00000000" w:rsidDel="00000000" w:rsidP="00000000" w:rsidRDefault="00000000" w:rsidRPr="00000000" w14:paraId="00000183">
      <w:pPr>
        <w:spacing w:after="240" w:before="240" w:lineRule="auto"/>
        <w:rPr/>
      </w:pPr>
      <w:r w:rsidDel="00000000" w:rsidR="00000000" w:rsidRPr="00000000">
        <w:rPr>
          <w:rtl w:val="0"/>
        </w:rPr>
        <w:t xml:space="preserve">Three boundaries define what TL is not.</w:t>
      </w:r>
    </w:p>
    <w:p w:rsidR="00000000" w:rsidDel="00000000" w:rsidP="00000000" w:rsidRDefault="00000000" w:rsidRPr="00000000" w14:paraId="00000184">
      <w:pPr>
        <w:spacing w:after="240" w:before="240" w:lineRule="auto"/>
        <w:rPr>
          <w:color w:val="1155cc"/>
          <w:u w:val="single"/>
        </w:rPr>
      </w:pPr>
      <w:r w:rsidDel="00000000" w:rsidR="00000000" w:rsidRPr="00000000">
        <w:rPr>
          <w:rtl w:val="0"/>
        </w:rPr>
        <w:t xml:space="preserve">TL is not a replacement for binary computation. The Inference Lane operates at full binary speed. The Governance Lane operates as a sovereign coprocessor in parallel. The two lanes occupy physically and logically separated domains that never merge into a single execution path.</w:t>
      </w:r>
      <w:hyperlink r:id="rId168">
        <w:r w:rsidDel="00000000" w:rsidR="00000000" w:rsidRPr="00000000">
          <w:rPr>
            <w:rtl w:val="0"/>
          </w:rPr>
          <w:t xml:space="preserve"> </w:t>
        </w:r>
      </w:hyperlink>
      <w:hyperlink r:id="rId169">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85">
      <w:pPr>
        <w:spacing w:after="240" w:before="240" w:lineRule="auto"/>
        <w:rPr>
          <w:color w:val="1155cc"/>
          <w:u w:val="single"/>
        </w:rPr>
      </w:pPr>
      <w:r w:rsidDel="00000000" w:rsidR="00000000" w:rsidRPr="00000000">
        <w:rPr>
          <w:rtl w:val="0"/>
        </w:rPr>
        <w:t xml:space="preserve">TL is not a scoring system. It does not output probability assessments, risk grades, or conditional approvals. It issues constitutional determinations from a closed three-state alphabet: </w:t>
      </w:r>
      <w:r w:rsidDel="00000000" w:rsidR="00000000" w:rsidRPr="00000000">
        <w:rPr>
          <w:rFonts w:ascii="Roboto Mono" w:cs="Roboto Mono" w:eastAsia="Roboto Mono" w:hAnsi="Roboto Mono"/>
          <w:color w:val="188038"/>
          <w:rtl w:val="0"/>
        </w:rPr>
        <w:t xml:space="preserve">Proceed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EpistemicHold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Refuse</w:t>
      </w:r>
      <w:r w:rsidDel="00000000" w:rsidR="00000000" w:rsidRPr="00000000">
        <w:rPr>
          <w:rtl w:val="0"/>
        </w:rPr>
        <w:t xml:space="preserve">. There are no intermediate outputs.</w:t>
      </w:r>
      <w:hyperlink r:id="rId170">
        <w:r w:rsidDel="00000000" w:rsidR="00000000" w:rsidRPr="00000000">
          <w:rPr>
            <w:rtl w:val="0"/>
          </w:rPr>
          <w:t xml:space="preserve"> </w:t>
        </w:r>
      </w:hyperlink>
      <w:hyperlink r:id="rId171">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86">
      <w:pPr>
        <w:spacing w:after="240" w:before="240" w:lineRule="auto"/>
        <w:rPr>
          <w:color w:val="1155cc"/>
          <w:u w:val="single"/>
        </w:rPr>
      </w:pPr>
      <w:r w:rsidDel="00000000" w:rsidR="00000000" w:rsidRPr="00000000">
        <w:rPr>
          <w:rtl w:val="0"/>
        </w:rPr>
        <w:t xml:space="preserve">TL is not a compliance layer. Compliance layers are applied after decisions are made. TL is applied before. The Decision Log is a prerequisite for execution, not a record of execution. The evidentiary infrastructure is a gateway condition, not a post-hoc artifact. This temporal inversion is the defining characteristic of the framework and the source of its constitutional authority.</w:t>
      </w:r>
      <w:hyperlink r:id="rId172">
        <w:r w:rsidDel="00000000" w:rsidR="00000000" w:rsidRPr="00000000">
          <w:rPr>
            <w:rtl w:val="0"/>
          </w:rPr>
          <w:t xml:space="preserve"> </w:t>
        </w:r>
      </w:hyperlink>
      <w:hyperlink r:id="rId173">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187">
      <w:pPr>
        <w:pStyle w:val="Heading1"/>
        <w:keepNext w:val="0"/>
        <w:keepLines w:val="0"/>
        <w:spacing w:before="480" w:line="276" w:lineRule="auto"/>
        <w:rPr>
          <w:b w:val="1"/>
          <w:bCs w:val="1"/>
          <w:sz w:val="46"/>
          <w:szCs w:val="46"/>
        </w:rPr>
      </w:pPr>
      <w:bookmarkStart w:colFirst="0" w:colLast="0" w:name="_lutmww44t86w" w:id="32"/>
      <w:bookmarkEnd w:id="32"/>
      <w:r w:rsidDel="00000000" w:rsidR="00000000" w:rsidRPr="00000000">
        <w:rPr>
          <w:b w:val="1"/>
          <w:bCs w:val="1"/>
          <w:sz w:val="46"/>
          <w:szCs w:val="46"/>
          <w:rtl w:val="0"/>
        </w:rPr>
        <w:t xml:space="preserve">SECTION 3: DUAL-LANE ARCHITECTURE</w:t>
      </w:r>
    </w:p>
    <w:p w:rsidR="00000000" w:rsidDel="00000000" w:rsidP="00000000" w:rsidRDefault="00000000" w:rsidRPr="00000000" w14:paraId="00000188">
      <w:pPr>
        <w:pStyle w:val="Heading2"/>
        <w:keepNext w:val="0"/>
        <w:keepLines w:val="0"/>
        <w:spacing w:after="80" w:line="276" w:lineRule="auto"/>
        <w:rPr>
          <w:b w:val="1"/>
          <w:bCs w:val="1"/>
          <w:sz w:val="34"/>
          <w:szCs w:val="34"/>
        </w:rPr>
      </w:pPr>
      <w:bookmarkStart w:colFirst="0" w:colLast="0" w:name="_y526z7h016l6" w:id="33"/>
      <w:bookmarkEnd w:id="33"/>
      <w:r w:rsidDel="00000000" w:rsidR="00000000" w:rsidRPr="00000000">
        <w:rPr>
          <w:b w:val="1"/>
          <w:bCs w:val="1"/>
          <w:sz w:val="34"/>
          <w:szCs w:val="34"/>
          <w:rtl w:val="0"/>
        </w:rPr>
        <w:t xml:space="preserve">3.1 Architectural Principle: Why Two Lanes</w:t>
      </w:r>
    </w:p>
    <w:p w:rsidR="00000000" w:rsidDel="00000000" w:rsidP="00000000" w:rsidRDefault="00000000" w:rsidRPr="00000000" w14:paraId="00000189">
      <w:pPr>
        <w:spacing w:after="240" w:before="240" w:line="276" w:lineRule="auto"/>
        <w:rPr>
          <w:color w:val="1155cc"/>
          <w:u w:val="single"/>
        </w:rPr>
      </w:pPr>
      <w:r w:rsidDel="00000000" w:rsidR="00000000" w:rsidRPr="00000000">
        <w:rPr>
          <w:rtl w:val="0"/>
        </w:rPr>
        <w:t xml:space="preserve">Ternary Logic does not replace binary computation. This is the foundational architectural fact that governs every design decision in the TL framework and must be stated with precision: the Inference Lane and the Governance Lane are physically and logically separated computational domains that operate in parallel and never merge into a single execution path. Binary proposes. Ternary governs. The separation is not a performance optimization or a modular design preference. It is a constitutional requirement.</w:t>
      </w:r>
      <w:hyperlink r:id="rId174">
        <w:r w:rsidDel="00000000" w:rsidR="00000000" w:rsidRPr="00000000">
          <w:rPr>
            <w:rtl w:val="0"/>
          </w:rPr>
          <w:t xml:space="preserve"> </w:t>
        </w:r>
      </w:hyperlink>
      <w:hyperlink r:id="rId175">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8A">
      <w:pPr>
        <w:spacing w:after="240" w:before="240" w:line="276" w:lineRule="auto"/>
        <w:rPr>
          <w:color w:val="1155cc"/>
          <w:u w:val="single"/>
        </w:rPr>
      </w:pPr>
      <w:r w:rsidDel="00000000" w:rsidR="00000000" w:rsidRPr="00000000">
        <w:rPr>
          <w:rtl w:val="0"/>
        </w:rPr>
        <w:t xml:space="preserve">Binary inference engines provide the speed, pattern recognition, and statistical throughput that modern economic systems require. A high-frequency trading platform processing ten million order proposals per second, a central bank model computing real-time liquidity stress across sovereign debt markets, a supply chain optimizer routing ten thousand simultaneous shipments — these systems require the computational velocity that only binary architecture delivers. TL does not compete with this capacity. It governs it.</w:t>
      </w:r>
      <w:hyperlink r:id="rId176">
        <w:r w:rsidDel="00000000" w:rsidR="00000000" w:rsidRPr="00000000">
          <w:rPr>
            <w:rtl w:val="0"/>
          </w:rPr>
          <w:t xml:space="preserve"> </w:t>
        </w:r>
      </w:hyperlink>
      <w:hyperlink r:id="rId177">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18B">
      <w:pPr>
        <w:spacing w:after="240" w:before="240" w:line="276" w:lineRule="auto"/>
        <w:rPr>
          <w:color w:val="1155cc"/>
          <w:u w:val="single"/>
        </w:rPr>
      </w:pPr>
      <w:r w:rsidDel="00000000" w:rsidR="00000000" w:rsidRPr="00000000">
        <w:rPr>
          <w:rtl w:val="0"/>
        </w:rPr>
        <w:t xml:space="preserve">The governance gap that TL addresses is not one of computational speed. It is one of constitutional judgment. Binary systems are optimized for expected value, statistical significance, and throughput. They do not ask whether a proposal is right. They ask whether it is probable. This is appropriate for the domain of inference. It is constitutionally inadequate for the domain of execution authorization.</w:t>
      </w:r>
      <w:hyperlink r:id="rId178">
        <w:r w:rsidDel="00000000" w:rsidR="00000000" w:rsidRPr="00000000">
          <w:rPr>
            <w:rtl w:val="0"/>
          </w:rPr>
          <w:t xml:space="preserve"> </w:t>
        </w:r>
      </w:hyperlink>
      <w:hyperlink r:id="rId179">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18C">
      <w:pPr>
        <w:spacing w:after="240" w:before="240" w:line="276" w:lineRule="auto"/>
        <w:rPr/>
      </w:pPr>
      <w:r w:rsidDel="00000000" w:rsidR="00000000" w:rsidRPr="00000000">
        <w:rPr>
          <w:rtl w:val="0"/>
        </w:rPr>
        <w:t xml:space="preserve">This separation addresses what the governance literature characterizes as the enforceability gap: the condition in which software-implemented governance constraints can be bypassed by operations at lower abstraction levels, optimized away by compilers under performance pressure, or subverted by compromised processes operating below the software abstraction layer.</w:t>
      </w:r>
      <w:hyperlink r:id="rId180">
        <w:r w:rsidDel="00000000" w:rsidR="00000000" w:rsidRPr="00000000">
          <w:rPr>
            <w:rtl w:val="0"/>
          </w:rPr>
          <w:t xml:space="preserve"> </w:t>
        </w:r>
      </w:hyperlink>
      <w:hyperlink r:id="rId181">
        <w:r w:rsidDel="00000000" w:rsidR="00000000" w:rsidRPr="00000000">
          <w:rPr>
            <w:color w:val="1155cc"/>
            <w:u w:val="single"/>
            <w:rtl w:val="0"/>
          </w:rPr>
          <w:t xml:space="preserve">[15]</w:t>
        </w:r>
      </w:hyperlink>
      <w:r w:rsidDel="00000000" w:rsidR="00000000" w:rsidRPr="00000000">
        <w:rPr>
          <w:rtl w:val="0"/>
        </w:rPr>
        <w:t xml:space="preserve"> By placing governance enforcement in a physically distinct lane with independent cryptographic credentials, TL eliminates the possibility that the Inference Lane can authorize its own proposals regardless of the software stack's integrity.</w:t>
      </w:r>
    </w:p>
    <w:p w:rsidR="00000000" w:rsidDel="00000000" w:rsidP="00000000" w:rsidRDefault="00000000" w:rsidRPr="00000000" w14:paraId="0000018D">
      <w:pPr>
        <w:spacing w:after="240" w:before="240" w:line="276" w:lineRule="auto"/>
        <w:rPr>
          <w:color w:val="1155cc"/>
          <w:u w:val="single"/>
        </w:rPr>
      </w:pPr>
      <w:r w:rsidDel="00000000" w:rsidR="00000000" w:rsidRPr="00000000">
        <w:rPr>
          <w:rtl w:val="0"/>
        </w:rPr>
        <w:t xml:space="preserve">The separation also provides the evidentiary foundation for regulatory defensibility. Every executed action can be traced from its Inference Lane proposal through its Governance Lane evaluation to its anchored Decision Log through the </w:t>
      </w:r>
      <w:r w:rsidDel="00000000" w:rsidR="00000000" w:rsidRPr="00000000">
        <w:rPr>
          <w:rFonts w:ascii="Roboto Mono" w:cs="Roboto Mono" w:eastAsia="Roboto Mono" w:hAnsi="Roboto Mono"/>
          <w:color w:val="188038"/>
          <w:rtl w:val="0"/>
        </w:rPr>
        <w:t xml:space="preserve">X-TL-Trace-Id</w:t>
      </w:r>
      <w:r w:rsidDel="00000000" w:rsidR="00000000" w:rsidRPr="00000000">
        <w:rPr>
          <w:rtl w:val="0"/>
        </w:rPr>
        <w:t xml:space="preserve"> UUID v4 header, which is required on every request and echoed in every response, webhook event, and downstream regulator export.</w:t>
      </w:r>
      <w:hyperlink r:id="rId182">
        <w:r w:rsidDel="00000000" w:rsidR="00000000" w:rsidRPr="00000000">
          <w:rPr>
            <w:rtl w:val="0"/>
          </w:rPr>
          <w:t xml:space="preserve"> </w:t>
        </w:r>
      </w:hyperlink>
      <w:hyperlink r:id="rId183">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8E">
      <w:pPr>
        <w:pStyle w:val="Heading2"/>
        <w:keepNext w:val="0"/>
        <w:keepLines w:val="0"/>
        <w:spacing w:after="80" w:line="276" w:lineRule="auto"/>
        <w:rPr>
          <w:b w:val="1"/>
          <w:bCs w:val="1"/>
          <w:sz w:val="34"/>
          <w:szCs w:val="34"/>
        </w:rPr>
      </w:pPr>
      <w:bookmarkStart w:colFirst="0" w:colLast="0" w:name="_huk94z9e5wy8" w:id="34"/>
      <w:bookmarkEnd w:id="34"/>
      <w:r w:rsidDel="00000000" w:rsidR="00000000" w:rsidRPr="00000000">
        <w:rPr>
          <w:b w:val="1"/>
          <w:bCs w:val="1"/>
          <w:sz w:val="34"/>
          <w:szCs w:val="34"/>
          <w:rtl w:val="0"/>
        </w:rPr>
        <w:t xml:space="preserve">3.2 The Inference Lane</w:t>
      </w:r>
    </w:p>
    <w:p w:rsidR="00000000" w:rsidDel="00000000" w:rsidP="00000000" w:rsidRDefault="00000000" w:rsidRPr="00000000" w14:paraId="0000018F">
      <w:pPr>
        <w:spacing w:after="240" w:before="240" w:line="276" w:lineRule="auto"/>
        <w:rPr>
          <w:color w:val="1155cc"/>
          <w:u w:val="single"/>
        </w:rPr>
      </w:pPr>
      <w:r w:rsidDel="00000000" w:rsidR="00000000" w:rsidRPr="00000000">
        <w:rPr>
          <w:rtl w:val="0"/>
        </w:rPr>
        <w:t xml:space="preserve">The Inference Lane is the binary computational domain of the Dual-Lane Architecture. It contains the statistical models, pattern recognition engines, optimization algorithms, and data pipelines that generate economic proposals. It is designed for computational velocity — processing terabytes of market data, sovereign debt indicators, trade flow metrics, and institutional balance sheets at the speeds modern financial infrastructure demands. Its output is a proposal, not an action. It recommends but cannot execute.</w:t>
      </w:r>
      <w:hyperlink r:id="rId184">
        <w:r w:rsidDel="00000000" w:rsidR="00000000" w:rsidRPr="00000000">
          <w:rPr>
            <w:rtl w:val="0"/>
          </w:rPr>
          <w:t xml:space="preserve"> </w:t>
        </w:r>
      </w:hyperlink>
      <w:hyperlink r:id="rId185">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190">
      <w:pPr>
        <w:spacing w:after="240" w:before="240" w:line="276" w:lineRule="auto"/>
        <w:rPr/>
      </w:pPr>
      <w:r w:rsidDel="00000000" w:rsidR="00000000" w:rsidRPr="00000000">
        <w:rPr>
          <w:rtl w:val="0"/>
        </w:rPr>
        <w:t xml:space="preserve">A high-frequency trading algorithm detecting an arbitrage opportunity, a central bank model forecasting liquidity stress, a supply chain optimizer recommending a rerouting decision, a credit scoring engine evaluating a loan application — all of these operate within the Inference Lane.</w:t>
      </w:r>
    </w:p>
    <w:p w:rsidR="00000000" w:rsidDel="00000000" w:rsidP="00000000" w:rsidRDefault="00000000" w:rsidRPr="00000000" w14:paraId="00000191">
      <w:pPr>
        <w:spacing w:after="240" w:before="240" w:line="276" w:lineRule="auto"/>
        <w:rPr>
          <w:color w:val="1155cc"/>
          <w:u w:val="single"/>
        </w:rPr>
      </w:pPr>
      <w:r w:rsidDel="00000000" w:rsidR="00000000" w:rsidRPr="00000000">
        <w:rPr>
          <w:rtl w:val="0"/>
        </w:rPr>
        <w:t xml:space="preserve">A client holding only the </w:t>
      </w:r>
      <w:r w:rsidDel="00000000" w:rsidR="00000000" w:rsidRPr="00000000">
        <w:rPr>
          <w:rFonts w:ascii="Roboto Mono" w:cs="Roboto Mono" w:eastAsia="Roboto Mono" w:hAnsi="Roboto Mono"/>
          <w:color w:val="188038"/>
          <w:rtl w:val="0"/>
        </w:rPr>
        <w:t xml:space="preserve">TLGovernanceJWT</w:t>
      </w:r>
      <w:r w:rsidDel="00000000" w:rsidR="00000000" w:rsidRPr="00000000">
        <w:rPr>
          <w:rtl w:val="0"/>
        </w:rPr>
        <w:t xml:space="preserve"> security credential can submit proposals through the Inference Lane endpoints </w:t>
      </w:r>
      <w:r w:rsidDel="00000000" w:rsidR="00000000" w:rsidRPr="00000000">
        <w:rPr>
          <w:rFonts w:ascii="Roboto Mono" w:cs="Roboto Mono" w:eastAsia="Roboto Mono" w:hAnsi="Roboto Mono"/>
          <w:color w:val="188038"/>
          <w:rtl w:val="0"/>
        </w:rPr>
        <w:t xml:space="preserve">POST /decisions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 /decisions/{decisionId}</w:t>
      </w:r>
      <w:r w:rsidDel="00000000" w:rsidR="00000000" w:rsidRPr="00000000">
        <w:rPr>
          <w:rtl w:val="0"/>
        </w:rPr>
        <w:t xml:space="preserve">. It cannot authorize them. The Inference Lane's output is a </w:t>
      </w:r>
      <w:r w:rsidDel="00000000" w:rsidR="00000000" w:rsidRPr="00000000">
        <w:rPr>
          <w:rFonts w:ascii="Roboto Mono" w:cs="Roboto Mono" w:eastAsia="Roboto Mono" w:hAnsi="Roboto Mono"/>
          <w:color w:val="188038"/>
          <w:rtl w:val="0"/>
        </w:rPr>
        <w:t xml:space="preserve">TLResult</w:t>
      </w:r>
      <w:r w:rsidDel="00000000" w:rsidR="00000000" w:rsidRPr="00000000">
        <w:rPr>
          <w:rtl w:val="0"/>
        </w:rPr>
        <w:t xml:space="preserve"> object carrying a proposed </w:t>
      </w: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field. That field is advisory.</w:t>
      </w:r>
      <w:hyperlink r:id="rId186">
        <w:r w:rsidDel="00000000" w:rsidR="00000000" w:rsidRPr="00000000">
          <w:rPr>
            <w:rtl w:val="0"/>
          </w:rPr>
          <w:t xml:space="preserve"> </w:t>
        </w:r>
      </w:hyperlink>
      <w:hyperlink r:id="rId187">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92">
      <w:pPr>
        <w:spacing w:after="240" w:before="240" w:line="276" w:lineRule="auto"/>
        <w:rPr/>
      </w:pPr>
      <w:r w:rsidDel="00000000" w:rsidR="00000000" w:rsidRPr="00000000">
        <w:rPr>
          <w:rtl w:val="0"/>
        </w:rPr>
        <w:t xml:space="preserve">Every proposal generated by the Inference Lane is a structured Decision Proposal object — a schema-validated payload containing the evidentiary minimum required for Governance Lane evaluation. The Decision Proposal includes:</w:t>
      </w:r>
    </w:p>
    <w:p w:rsidR="00000000" w:rsidDel="00000000" w:rsidP="00000000" w:rsidRDefault="00000000" w:rsidRPr="00000000" w14:paraId="00000193">
      <w:pPr>
        <w:numPr>
          <w:ilvl w:val="0"/>
          <w:numId w:val="1"/>
        </w:numPr>
        <w:spacing w:after="0" w:afterAutospacing="0" w:before="240" w:line="276" w:lineRule="auto"/>
        <w:ind w:left="720" w:hanging="360"/>
      </w:pPr>
      <w:r w:rsidDel="00000000" w:rsidR="00000000" w:rsidRPr="00000000">
        <w:rPr>
          <w:rtl w:val="0"/>
        </w:rPr>
        <w:t xml:space="preserve">the </w:t>
      </w:r>
      <w:r w:rsidDel="00000000" w:rsidR="00000000" w:rsidRPr="00000000">
        <w:rPr>
          <w:b w:val="1"/>
          <w:bCs w:val="1"/>
          <w:rtl w:val="0"/>
        </w:rPr>
        <w:t xml:space="preserve">original inference payload</w:t>
      </w:r>
      <w:r w:rsidDel="00000000" w:rsidR="00000000" w:rsidRPr="00000000">
        <w:rPr>
          <w:rtl w:val="0"/>
        </w:rPr>
        <w:t xml:space="preserve">: the raw output from the statistical model or optimization algorithm</w:t>
      </w:r>
    </w:p>
    <w:p w:rsidR="00000000" w:rsidDel="00000000" w:rsidP="00000000" w:rsidRDefault="00000000" w:rsidRPr="00000000" w14:paraId="00000194">
      <w:pPr>
        <w:numPr>
          <w:ilvl w:val="0"/>
          <w:numId w:val="1"/>
        </w:numPr>
        <w:spacing w:after="0" w:afterAutospacing="0" w:before="0" w:beforeAutospacing="0" w:line="276" w:lineRule="auto"/>
        <w:ind w:left="720" w:hanging="360"/>
      </w:pPr>
      <w:r w:rsidDel="00000000" w:rsidR="00000000" w:rsidRPr="00000000">
        <w:rPr>
          <w:rtl w:val="0"/>
        </w:rPr>
        <w:t xml:space="preserve">the </w:t>
      </w:r>
      <w:r w:rsidDel="00000000" w:rsidR="00000000" w:rsidRPr="00000000">
        <w:rPr>
          <w:b w:val="1"/>
          <w:bCs w:val="1"/>
          <w:rtl w:val="0"/>
        </w:rPr>
        <w:t xml:space="preserve">confidence metrics</w:t>
      </w:r>
      <w:r w:rsidDel="00000000" w:rsidR="00000000" w:rsidRPr="00000000">
        <w:rPr>
          <w:rtl w:val="0"/>
        </w:rPr>
        <w:t xml:space="preserve">: quantifying the model's certainty in its own output</w:t>
      </w:r>
    </w:p>
    <w:p w:rsidR="00000000" w:rsidDel="00000000" w:rsidP="00000000" w:rsidRDefault="00000000" w:rsidRPr="00000000" w14:paraId="00000195">
      <w:pPr>
        <w:numPr>
          <w:ilvl w:val="0"/>
          <w:numId w:val="1"/>
        </w:numPr>
        <w:spacing w:after="0" w:afterAutospacing="0" w:before="0" w:beforeAutospacing="0" w:line="276" w:lineRule="auto"/>
        <w:ind w:left="720" w:hanging="360"/>
      </w:pPr>
      <w:r w:rsidDel="00000000" w:rsidR="00000000" w:rsidRPr="00000000">
        <w:rPr>
          <w:rtl w:val="0"/>
        </w:rPr>
        <w:t xml:space="preserve">the </w:t>
      </w:r>
      <w:r w:rsidDel="00000000" w:rsidR="00000000" w:rsidRPr="00000000">
        <w:rPr>
          <w:b w:val="1"/>
          <w:bCs w:val="1"/>
          <w:rtl w:val="0"/>
        </w:rPr>
        <w:t xml:space="preserve">data provenance</w:t>
      </w:r>
      <w:r w:rsidDel="00000000" w:rsidR="00000000" w:rsidRPr="00000000">
        <w:rPr>
          <w:rtl w:val="0"/>
        </w:rPr>
        <w:t xml:space="preserve">: identifying the specific data sources, timestamps, and ingestion pipelines that fed the model</w:t>
      </w:r>
    </w:p>
    <w:p w:rsidR="00000000" w:rsidDel="00000000" w:rsidP="00000000" w:rsidRDefault="00000000" w:rsidRPr="00000000" w14:paraId="00000196">
      <w:pPr>
        <w:numPr>
          <w:ilvl w:val="0"/>
          <w:numId w:val="1"/>
        </w:numPr>
        <w:spacing w:after="0" w:afterAutospacing="0" w:before="0" w:beforeAutospacing="0" w:line="276" w:lineRule="auto"/>
        <w:ind w:left="720" w:hanging="360"/>
      </w:pPr>
      <w:r w:rsidDel="00000000" w:rsidR="00000000" w:rsidRPr="00000000">
        <w:rPr>
          <w:rtl w:val="0"/>
        </w:rPr>
        <w:t xml:space="preserve">the </w:t>
      </w:r>
      <w:r w:rsidDel="00000000" w:rsidR="00000000" w:rsidRPr="00000000">
        <w:rPr>
          <w:b w:val="1"/>
          <w:bCs w:val="1"/>
          <w:rtl w:val="0"/>
        </w:rPr>
        <w:t xml:space="preserve">model version</w:t>
      </w:r>
      <w:r w:rsidDel="00000000" w:rsidR="00000000" w:rsidRPr="00000000">
        <w:rPr>
          <w:rtl w:val="0"/>
        </w:rPr>
        <w:t xml:space="preserve">: referencing the exact algorithm, parameter set, and calibration date, resolvable to a cryptographically signed model certificate issued by the Technical Council's certification authority</w:t>
      </w:r>
    </w:p>
    <w:p w:rsidR="00000000" w:rsidDel="00000000" w:rsidP="00000000" w:rsidRDefault="00000000" w:rsidRPr="00000000" w14:paraId="00000197">
      <w:pPr>
        <w:numPr>
          <w:ilvl w:val="0"/>
          <w:numId w:val="1"/>
        </w:numPr>
        <w:spacing w:after="240" w:before="0" w:beforeAutospacing="0" w:line="276" w:lineRule="auto"/>
        <w:ind w:left="720" w:hanging="360"/>
      </w:pPr>
      <w:r w:rsidDel="00000000" w:rsidR="00000000" w:rsidRPr="00000000">
        <w:rPr>
          <w:rtl w:val="0"/>
        </w:rPr>
        <w:t xml:space="preserve">the </w:t>
      </w:r>
      <w:r w:rsidDel="00000000" w:rsidR="00000000" w:rsidRPr="00000000">
        <w:rPr>
          <w:b w:val="1"/>
          <w:bCs w:val="1"/>
          <w:rtl w:val="0"/>
        </w:rPr>
        <w:t xml:space="preserve">execution context</w:t>
      </w:r>
      <w:r w:rsidDel="00000000" w:rsidR="00000000" w:rsidRPr="00000000">
        <w:rPr>
          <w:rtl w:val="0"/>
        </w:rPr>
        <w:t xml:space="preserve">: describing the proposed action, the affected counterparties, the notional or monetary value, and the intended settlement timing</w:t>
      </w:r>
      <w:hyperlink r:id="rId188">
        <w:r w:rsidDel="00000000" w:rsidR="00000000" w:rsidRPr="00000000">
          <w:rPr>
            <w:rtl w:val="0"/>
          </w:rPr>
          <w:t xml:space="preserve"> </w:t>
        </w:r>
      </w:hyperlink>
      <w:hyperlink r:id="rId189">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98">
      <w:pPr>
        <w:spacing w:after="240" w:before="240" w:line="276" w:lineRule="auto"/>
        <w:rPr/>
      </w:pPr>
      <w:r w:rsidDel="00000000" w:rsidR="00000000" w:rsidRPr="00000000">
        <w:rPr>
          <w:rtl w:val="0"/>
        </w:rPr>
        <w:t xml:space="preserve">The Inference Lane is subject to oversight by the Technical Council, which validates the mathematical integrity of models, the calibration of algorithms, and the contamination status of data pipelines.</w:t>
      </w:r>
      <w:hyperlink r:id="rId190">
        <w:r w:rsidDel="00000000" w:rsidR="00000000" w:rsidRPr="00000000">
          <w:rPr>
            <w:rtl w:val="0"/>
          </w:rPr>
          <w:t xml:space="preserve"> </w:t>
        </w:r>
      </w:hyperlink>
      <w:hyperlink r:id="rId191">
        <w:r w:rsidDel="00000000" w:rsidR="00000000" w:rsidRPr="00000000">
          <w:rPr>
            <w:color w:val="1155cc"/>
            <w:u w:val="single"/>
            <w:rtl w:val="0"/>
          </w:rPr>
          <w:t xml:space="preserve">[15]</w:t>
        </w:r>
      </w:hyperlink>
      <w:r w:rsidDel="00000000" w:rsidR="00000000" w:rsidRPr="00000000">
        <w:rPr>
          <w:rtl w:val="0"/>
        </w:rPr>
        <w:t xml:space="preserve"> If the Technical Council detects model drift, data poisoning, or algorithmic degradation, it can configure the Governance Lane to issue automatic Epistemic Hold on all proposals from the affected model until recertification is complete. The physical separation between the lanes ensures that a compromise of the Inference Lane cannot bypass the Governance Lane.</w:t>
      </w:r>
    </w:p>
    <w:p w:rsidR="00000000" w:rsidDel="00000000" w:rsidP="00000000" w:rsidRDefault="00000000" w:rsidRPr="00000000" w14:paraId="00000199">
      <w:pPr>
        <w:pStyle w:val="Heading2"/>
        <w:keepNext w:val="0"/>
        <w:keepLines w:val="0"/>
        <w:spacing w:after="80" w:line="276" w:lineRule="auto"/>
        <w:rPr>
          <w:b w:val="1"/>
          <w:bCs w:val="1"/>
          <w:sz w:val="34"/>
          <w:szCs w:val="34"/>
        </w:rPr>
      </w:pPr>
      <w:bookmarkStart w:colFirst="0" w:colLast="0" w:name="_jle0dtjlepi7" w:id="35"/>
      <w:bookmarkEnd w:id="35"/>
      <w:r w:rsidDel="00000000" w:rsidR="00000000" w:rsidRPr="00000000">
        <w:rPr>
          <w:b w:val="1"/>
          <w:bCs w:val="1"/>
          <w:sz w:val="34"/>
          <w:szCs w:val="34"/>
          <w:rtl w:val="0"/>
        </w:rPr>
        <w:t xml:space="preserve">3.3 The Governance Lane and the Dual-Lane Latency Architecture</w:t>
      </w:r>
    </w:p>
    <w:p w:rsidR="00000000" w:rsidDel="00000000" w:rsidP="00000000" w:rsidRDefault="00000000" w:rsidRPr="00000000" w14:paraId="0000019A">
      <w:pPr>
        <w:spacing w:after="240" w:before="240" w:line="276" w:lineRule="auto"/>
        <w:rPr>
          <w:color w:val="1155cc"/>
          <w:u w:val="single"/>
        </w:rPr>
      </w:pPr>
      <w:r w:rsidDel="00000000" w:rsidR="00000000" w:rsidRPr="00000000">
        <w:rPr>
          <w:rtl w:val="0"/>
        </w:rPr>
        <w:t xml:space="preserve">The Governance Lane is the ternary constitutional domain of the Dual-Lane Architecture. It contains the constitutional logic, the Goukassian Vow, the Eight Pillars, the evidentiary verification protocols, and the Permission Token issuance mechanism. Every proposal that emerges from the Inference Lane must pass through the Governance Lane before it reaches the execution threshold.</w:t>
      </w:r>
      <w:hyperlink r:id="rId192">
        <w:r w:rsidDel="00000000" w:rsidR="00000000" w:rsidRPr="00000000">
          <w:rPr>
            <w:rtl w:val="0"/>
          </w:rPr>
          <w:t xml:space="preserve"> </w:t>
        </w:r>
      </w:hyperlink>
      <w:hyperlink r:id="rId193">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9B">
      <w:pPr>
        <w:spacing w:after="240" w:before="240" w:line="276" w:lineRule="auto"/>
        <w:rPr/>
      </w:pPr>
      <w:r w:rsidDel="00000000" w:rsidR="00000000" w:rsidRPr="00000000">
        <w:rPr>
          <w:rtl w:val="0"/>
        </w:rPr>
        <w:t xml:space="preserve">The Governance Lane evaluates every proposal against three constitutional questions:</w:t>
      </w:r>
    </w:p>
    <w:p w:rsidR="00000000" w:rsidDel="00000000" w:rsidP="00000000" w:rsidRDefault="00000000" w:rsidRPr="00000000" w14:paraId="0000019C">
      <w:pPr>
        <w:numPr>
          <w:ilvl w:val="0"/>
          <w:numId w:val="9"/>
        </w:numPr>
        <w:spacing w:after="0" w:afterAutospacing="0" w:before="240" w:line="276" w:lineRule="auto"/>
        <w:ind w:left="720" w:hanging="360"/>
      </w:pPr>
      <w:r w:rsidDel="00000000" w:rsidR="00000000" w:rsidRPr="00000000">
        <w:rPr>
          <w:rtl w:val="0"/>
        </w:rPr>
        <w:t xml:space="preserve">Does the proposal have a complete, schema-validated Decision Log?</w:t>
      </w:r>
    </w:p>
    <w:p w:rsidR="00000000" w:rsidDel="00000000" w:rsidP="00000000" w:rsidRDefault="00000000" w:rsidRPr="00000000" w14:paraId="0000019D">
      <w:pPr>
        <w:numPr>
          <w:ilvl w:val="0"/>
          <w:numId w:val="9"/>
        </w:numPr>
        <w:spacing w:after="0" w:afterAutospacing="0" w:before="0" w:beforeAutospacing="0" w:line="276" w:lineRule="auto"/>
        <w:ind w:left="720" w:hanging="360"/>
      </w:pPr>
      <w:r w:rsidDel="00000000" w:rsidR="00000000" w:rsidRPr="00000000">
        <w:rPr>
          <w:rtl w:val="0"/>
        </w:rPr>
        <w:t xml:space="preserve">Does the proposal violate any Refuse condition under the Goukassian Vow?</w:t>
      </w:r>
    </w:p>
    <w:p w:rsidR="00000000" w:rsidDel="00000000" w:rsidP="00000000" w:rsidRDefault="00000000" w:rsidRPr="00000000" w14:paraId="0000019E">
      <w:pPr>
        <w:numPr>
          <w:ilvl w:val="0"/>
          <w:numId w:val="9"/>
        </w:numPr>
        <w:spacing w:after="240" w:before="0" w:beforeAutospacing="0" w:line="276" w:lineRule="auto"/>
        <w:ind w:left="720" w:hanging="360"/>
      </w:pPr>
      <w:r w:rsidDel="00000000" w:rsidR="00000000" w:rsidRPr="00000000">
        <w:rPr>
          <w:rtl w:val="0"/>
        </w:rPr>
        <w:t xml:space="preserve">Is there sufficient evidentiary certainty to issue Proceed, or does the uncertainty mandate Epistemic Hold?</w:t>
      </w:r>
    </w:p>
    <w:p w:rsidR="00000000" w:rsidDel="00000000" w:rsidP="00000000" w:rsidRDefault="00000000" w:rsidRPr="00000000" w14:paraId="0000019F">
      <w:pPr>
        <w:spacing w:after="240" w:before="240" w:line="276" w:lineRule="auto"/>
        <w:rPr>
          <w:color w:val="1155cc"/>
          <w:u w:val="single"/>
        </w:rPr>
      </w:pPr>
      <w:r w:rsidDel="00000000" w:rsidR="00000000" w:rsidRPr="00000000">
        <w:rPr>
          <w:rtl w:val="0"/>
        </w:rPr>
        <w:t xml:space="preserve">These questions are constitutional gates enforced through separate security schemes: the Governance Lane endpoints </w:t>
      </w:r>
      <w:r w:rsidDel="00000000" w:rsidR="00000000" w:rsidRPr="00000000">
        <w:rPr>
          <w:rFonts w:ascii="Roboto Mono" w:cs="Roboto Mono" w:eastAsia="Roboto Mono" w:hAnsi="Roboto Mono"/>
          <w:color w:val="188038"/>
          <w:rtl w:val="0"/>
        </w:rPr>
        <w:t xml:space="preserve">POST /governance-logs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 /governance-logs/{logId}</w:t>
      </w:r>
      <w:r w:rsidDel="00000000" w:rsidR="00000000" w:rsidRPr="00000000">
        <w:rPr>
          <w:rtl w:val="0"/>
        </w:rPr>
        <w:t xml:space="preserve"> require both </w:t>
      </w:r>
      <w:r w:rsidDel="00000000" w:rsidR="00000000" w:rsidRPr="00000000">
        <w:rPr>
          <w:rFonts w:ascii="Roboto Mono" w:cs="Roboto Mono" w:eastAsia="Roboto Mono" w:hAnsi="Roboto Mono"/>
          <w:color w:val="188038"/>
          <w:rtl w:val="0"/>
        </w:rPr>
        <w:t xml:space="preserve">HSMSignedJWT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NLNAGovernanceToken</w:t>
      </w:r>
      <w:r w:rsidDel="00000000" w:rsidR="00000000" w:rsidRPr="00000000">
        <w:rPr>
          <w:rtl w:val="0"/>
        </w:rPr>
        <w:t xml:space="preserve"> credentials. No credential that grants Inference Lane access grants Governance Lane authorization.</w:t>
      </w:r>
      <w:hyperlink r:id="rId194">
        <w:r w:rsidDel="00000000" w:rsidR="00000000" w:rsidRPr="00000000">
          <w:rPr>
            <w:rtl w:val="0"/>
          </w:rPr>
          <w:t xml:space="preserve"> </w:t>
        </w:r>
      </w:hyperlink>
      <w:hyperlink r:id="rId195">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A0">
      <w:pPr>
        <w:spacing w:after="240" w:before="240" w:line="276" w:lineRule="auto"/>
        <w:rPr/>
      </w:pPr>
      <w:r w:rsidDel="00000000" w:rsidR="00000000" w:rsidRPr="00000000">
        <w:rPr>
          <w:b w:val="1"/>
          <w:bCs w:val="1"/>
          <w:rtl w:val="0"/>
        </w:rPr>
        <w:t xml:space="preserve">The constitutional insight that governs the Governance Lane's internal architecture</w:t>
      </w:r>
      <w:r w:rsidDel="00000000" w:rsidR="00000000" w:rsidRPr="00000000">
        <w:rPr>
          <w:rtl w:val="0"/>
        </w:rPr>
        <w:t xml:space="preserve"> is that authorization and finality are not the same thing, and conflating them is the source of the latency penalties that have made governance-enforcing systems impractical at speed. Authorization — the determination that a proposal is constitutionally permitted to proceed — can be resolved deterministically by hardware in milliseconds. Finality — the cryptographic anchoring of the Decision Log to an immutable public record, the satisfaction of cross-jurisdictional regulatory reporting, and the Tri-Cameral confirmation of constitutional compliance — operates at infrastructure speed, which is measured in hundreds of milliseconds or seconds.</w:t>
      </w:r>
    </w:p>
    <w:p w:rsidR="00000000" w:rsidDel="00000000" w:rsidP="00000000" w:rsidRDefault="00000000" w:rsidRPr="00000000" w14:paraId="000001A1">
      <w:pPr>
        <w:spacing w:after="240" w:before="240" w:line="276" w:lineRule="auto"/>
        <w:rPr/>
      </w:pPr>
      <w:r w:rsidDel="00000000" w:rsidR="00000000" w:rsidRPr="00000000">
        <w:rPr>
          <w:rtl w:val="0"/>
        </w:rPr>
        <w:t xml:space="preserve">TL's Dual-Lane Latency Architecture (DLLA) makes this separation explicit and enforces it physically. Within the Governance Lane, two distinct latency regimes operate in parallel, each with a distinct constitutional function and a distinct token:</w:t>
      </w:r>
    </w:p>
    <w:p w:rsidR="00000000" w:rsidDel="00000000" w:rsidP="00000000" w:rsidRDefault="00000000" w:rsidRPr="00000000" w14:paraId="000001A2">
      <w:pPr>
        <w:spacing w:after="240" w:before="240" w:line="276" w:lineRule="auto"/>
        <w:rPr>
          <w:color w:val="1155cc"/>
          <w:u w:val="single"/>
        </w:rPr>
      </w:pPr>
      <w:r w:rsidDel="00000000" w:rsidR="00000000" w:rsidRPr="00000000">
        <w:rPr>
          <w:b w:val="1"/>
          <w:bCs w:val="1"/>
          <w:rtl w:val="0"/>
        </w:rPr>
        <w:t xml:space="preserve">Immediate execution gating</w:t>
      </w:r>
      <w:r w:rsidDel="00000000" w:rsidR="00000000" w:rsidRPr="00000000">
        <w:rPr>
          <w:rtl w:val="0"/>
        </w:rPr>
        <w:t xml:space="preserve"> — the hardware-owned authorization path. A dedicated cryptographic pipeline within the Governance Lane evaluates the proposal's constitutional prerequisite: has the Decision Log been generated, hashed, and signed? If yes, the pipeline produces a </w:t>
      </w:r>
      <w:r w:rsidDel="00000000" w:rsidR="00000000" w:rsidRPr="00000000">
        <w:rPr>
          <w:b w:val="1"/>
          <w:bCs w:val="1"/>
          <w:rtl w:val="0"/>
        </w:rPr>
        <w:t xml:space="preserve">Provisional Permission Token (PPT)</w:t>
      </w:r>
      <w:r w:rsidDel="00000000" w:rsidR="00000000" w:rsidRPr="00000000">
        <w:rPr>
          <w:rtl w:val="0"/>
        </w:rPr>
        <w:t xml:space="preserve"> within 50 milliseconds. This token is the constitutional authorization for the proposal to enter provisional execution. It is hardware-minted, cryptographically signed, and carries a hardware-enforced expiry bound — the </w:t>
      </w:r>
      <w:r w:rsidDel="00000000" w:rsidR="00000000" w:rsidRPr="00000000">
        <w:rPr>
          <w:rFonts w:ascii="Roboto Mono" w:cs="Roboto Mono" w:eastAsia="Roboto Mono" w:hAnsi="Roboto Mono"/>
          <w:color w:val="188038"/>
          <w:rtl w:val="0"/>
        </w:rPr>
        <w:t xml:space="preserve">provisionalExpiry</w:t>
      </w:r>
      <w:r w:rsidDel="00000000" w:rsidR="00000000" w:rsidRPr="00000000">
        <w:rPr>
          <w:rtl w:val="0"/>
        </w:rPr>
        <w:t xml:space="preserve"> — which is the window within which finality must be confirmed. The PPT does not require public blockchain confirmation, Tri-Cameral quorum, or regulatory nexus evaluation to be issued. It requires only the evidentiary prerequisite: the Decision Log must exist, be schema-valid, and be cryptographically committed before the PPT can be generated. The system does not wait for public confirmation to authorize provisional action. It waits only for the evidence to exist.</w:t>
      </w:r>
      <w:hyperlink r:id="rId196">
        <w:r w:rsidDel="00000000" w:rsidR="00000000" w:rsidRPr="00000000">
          <w:rPr>
            <w:rtl w:val="0"/>
          </w:rPr>
          <w:t xml:space="preserve"> </w:t>
        </w:r>
      </w:hyperlink>
      <w:hyperlink r:id="rId197">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1A3">
      <w:pPr>
        <w:spacing w:after="240" w:before="240" w:line="276" w:lineRule="auto"/>
        <w:rPr>
          <w:color w:val="1155cc"/>
          <w:u w:val="single"/>
        </w:rPr>
      </w:pPr>
      <w:r w:rsidDel="00000000" w:rsidR="00000000" w:rsidRPr="00000000">
        <w:rPr>
          <w:b w:val="1"/>
          <w:bCs w:val="1"/>
          <w:rtl w:val="0"/>
        </w:rPr>
        <w:t xml:space="preserve">Extended constitutional evaluation</w:t>
      </w:r>
      <w:r w:rsidDel="00000000" w:rsidR="00000000" w:rsidRPr="00000000">
        <w:rPr>
          <w:rtl w:val="0"/>
        </w:rPr>
        <w:t xml:space="preserve"> — the infrastructure-owned finality path. Simultaneously with PPT issuance, the Governance Lane dispatches the constitutional evaluation payload to the full evaluation pipeline: cryptographic anchoring of batched Decision Log hashes to public blockchains, cross-jurisdictional regulatory nexus evaluation, and Tri-Cameral quorum deliberation. This path produces the </w:t>
      </w:r>
      <w:r w:rsidDel="00000000" w:rsidR="00000000" w:rsidRPr="00000000">
        <w:rPr>
          <w:b w:val="1"/>
          <w:bCs w:val="1"/>
          <w:rtl w:val="0"/>
        </w:rPr>
        <w:t xml:space="preserve">Final Permission Token (FPT)</w:t>
      </w:r>
      <w:r w:rsidDel="00000000" w:rsidR="00000000" w:rsidRPr="00000000">
        <w:rPr>
          <w:rtl w:val="0"/>
        </w:rPr>
        <w:t xml:space="preserve">, which represents complete constitutional finality — the irreversible confirmation that the proposal has satisfied all constitutional gates. The FPT's latency is operator-configured and is bounded by the Governance Lane's three-hundred-second evaluation ceiling.</w:t>
      </w:r>
      <w:hyperlink r:id="rId198">
        <w:r w:rsidDel="00000000" w:rsidR="00000000" w:rsidRPr="00000000">
          <w:rPr>
            <w:rtl w:val="0"/>
          </w:rPr>
          <w:t xml:space="preserve"> </w:t>
        </w:r>
      </w:hyperlink>
      <w:hyperlink r:id="rId199">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1A4">
      <w:pPr>
        <w:spacing w:after="240" w:before="240" w:line="276" w:lineRule="auto"/>
        <w:rPr/>
      </w:pPr>
      <w:r w:rsidDel="00000000" w:rsidR="00000000" w:rsidRPr="00000000">
        <w:rPr>
          <w:rtl w:val="0"/>
        </w:rPr>
        <w:t xml:space="preserve">These are not two separate Governance Lane paths that the system must choose between. They are two simultaneous, parallel processes that execute from the moment a proposal clears its initial evidentiary prerequisite. The PPT enables provisional execution immediately. The FPT delivers constitutional finality asynchronously. The execution state of the proposal transitions from provisional to final only when the FPT arrives and is verified. If the FPT does not arrive before </w:t>
      </w:r>
      <w:r w:rsidDel="00000000" w:rsidR="00000000" w:rsidRPr="00000000">
        <w:rPr>
          <w:rFonts w:ascii="Roboto Mono" w:cs="Roboto Mono" w:eastAsia="Roboto Mono" w:hAnsi="Roboto Mono"/>
          <w:color w:val="188038"/>
          <w:rtl w:val="0"/>
        </w:rPr>
        <w:t xml:space="preserve">provisionalExpiry</w:t>
      </w:r>
      <w:r w:rsidDel="00000000" w:rsidR="00000000" w:rsidRPr="00000000">
        <w:rPr>
          <w:rtl w:val="0"/>
        </w:rPr>
        <w:t xml:space="preserve"> fires, the hardware automatically returns the proposal to Epistemic Hold. The system does not permit indefinitely open provisional windows. Every provisional authorization is time-bounded by hardware, not by software policy.</w:t>
      </w:r>
    </w:p>
    <w:p w:rsidR="00000000" w:rsidDel="00000000" w:rsidP="00000000" w:rsidRDefault="00000000" w:rsidRPr="00000000" w14:paraId="000001A5">
      <w:pPr>
        <w:spacing w:after="240" w:before="240" w:line="276" w:lineRule="auto"/>
        <w:rPr>
          <w:color w:val="1155cc"/>
          <w:u w:val="single"/>
        </w:rPr>
      </w:pPr>
      <w:r w:rsidDel="00000000" w:rsidR="00000000" w:rsidRPr="00000000">
        <w:rPr>
          <w:rtl w:val="0"/>
        </w:rPr>
        <w:t xml:space="preserve">When Governance Lane evaluation volume exceeds its processing capacity, a dynamic rate-limiting backpressure mechanism activates. This backpressure propagates to the Inference Lane interface as a physical voltage state on the handshake wires, instructing the binary lane to pause submission until the Governance Lane is ready. This is not a software flow control message that a compromised Inference Lane could ignore. It is a physical constraint that the binary lane must respect to maintain electrical compatibility.</w:t>
      </w:r>
      <w:hyperlink r:id="rId200">
        <w:r w:rsidDel="00000000" w:rsidR="00000000" w:rsidRPr="00000000">
          <w:rPr>
            <w:rtl w:val="0"/>
          </w:rPr>
          <w:t xml:space="preserve"> </w:t>
        </w:r>
      </w:hyperlink>
      <w:hyperlink r:id="rId201">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1A6">
      <w:pPr>
        <w:spacing w:after="240" w:before="240" w:line="276" w:lineRule="auto"/>
        <w:rPr/>
      </w:pPr>
      <w:r w:rsidDel="00000000" w:rsidR="00000000" w:rsidRPr="00000000">
        <w:rPr>
          <w:rtl w:val="0"/>
        </w:rPr>
        <w:t xml:space="preserve">The Stewardship Custodians oversee the Governance Lane. They validate that every Permission Token adheres to the Goukassian Vow and that no constitutional gate is bypassed.</w:t>
      </w:r>
      <w:hyperlink r:id="rId202">
        <w:r w:rsidDel="00000000" w:rsidR="00000000" w:rsidRPr="00000000">
          <w:rPr>
            <w:rtl w:val="0"/>
          </w:rPr>
          <w:t xml:space="preserve"> </w:t>
        </w:r>
      </w:hyperlink>
      <w:hyperlink r:id="rId203">
        <w:r w:rsidDel="00000000" w:rsidR="00000000" w:rsidRPr="00000000">
          <w:rPr>
            <w:color w:val="1155cc"/>
            <w:u w:val="single"/>
            <w:rtl w:val="0"/>
          </w:rPr>
          <w:t xml:space="preserve">[15]</w:t>
        </w:r>
      </w:hyperlink>
      <w:r w:rsidDel="00000000" w:rsidR="00000000" w:rsidRPr="00000000">
        <w:rPr>
          <w:rtl w:val="0"/>
        </w:rPr>
        <w:t xml:space="preserve"> The Smart Contract Treasury ensures that the Governance Lane is never starved of computational resources during high-volume market stress, preventing de facto bypass of governance through resource exhaustion.</w:t>
      </w:r>
    </w:p>
    <w:p w:rsidR="00000000" w:rsidDel="00000000" w:rsidP="00000000" w:rsidRDefault="00000000" w:rsidRPr="00000000" w14:paraId="000001A7">
      <w:pPr>
        <w:pStyle w:val="Heading2"/>
        <w:keepNext w:val="0"/>
        <w:keepLines w:val="0"/>
        <w:spacing w:after="80" w:line="276" w:lineRule="auto"/>
        <w:rPr>
          <w:b w:val="1"/>
          <w:bCs w:val="1"/>
          <w:sz w:val="34"/>
          <w:szCs w:val="34"/>
        </w:rPr>
      </w:pPr>
      <w:bookmarkStart w:colFirst="0" w:colLast="0" w:name="_tu7doug21a0s" w:id="36"/>
      <w:bookmarkEnd w:id="36"/>
      <w:r w:rsidDel="00000000" w:rsidR="00000000" w:rsidRPr="00000000">
        <w:rPr>
          <w:b w:val="1"/>
          <w:bCs w:val="1"/>
          <w:sz w:val="34"/>
          <w:szCs w:val="34"/>
          <w:rtl w:val="0"/>
        </w:rPr>
        <w:t xml:space="preserve">3.4 The Gateway: Fail-Closed by Constitutional Design</w:t>
      </w:r>
    </w:p>
    <w:p w:rsidR="00000000" w:rsidDel="00000000" w:rsidP="00000000" w:rsidRDefault="00000000" w:rsidRPr="00000000" w14:paraId="000001A8">
      <w:pPr>
        <w:spacing w:after="240" w:before="240" w:line="276" w:lineRule="auto"/>
        <w:rPr>
          <w:color w:val="1155cc"/>
          <w:u w:val="single"/>
        </w:rPr>
      </w:pPr>
      <w:r w:rsidDel="00000000" w:rsidR="00000000" w:rsidRPr="00000000">
        <w:rPr>
          <w:rtl w:val="0"/>
        </w:rPr>
        <w:t xml:space="preserve">The Gateway is the physical junction where the Inference Lane and the Governance Lane converge. It is the single point at which a binary proposal either receives constitutional authorization or is permanently blocked.</w:t>
      </w:r>
      <w:hyperlink r:id="rId204">
        <w:r w:rsidDel="00000000" w:rsidR="00000000" w:rsidRPr="00000000">
          <w:rPr>
            <w:rtl w:val="0"/>
          </w:rPr>
          <w:t xml:space="preserve"> </w:t>
        </w:r>
      </w:hyperlink>
      <w:hyperlink r:id="rId205">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A9">
      <w:pPr>
        <w:spacing w:after="240" w:before="240" w:line="276" w:lineRule="auto"/>
        <w:rPr/>
      </w:pPr>
      <w:r w:rsidDel="00000000" w:rsidR="00000000" w:rsidRPr="00000000">
        <w:rPr>
          <w:rtl w:val="0"/>
        </w:rPr>
        <w:t xml:space="preserve">The Gateway is fail-closed by design. In its default state, the Gateway blocks all execution. It opens only when the Governance Lane issues a valid Provisional Permission Token. The physical enforcement mechanism is the </w:t>
      </w:r>
      <w:r w:rsidDel="00000000" w:rsidR="00000000" w:rsidRPr="00000000">
        <w:rPr>
          <w:b w:val="1"/>
          <w:bCs w:val="1"/>
          <w:rtl w:val="0"/>
        </w:rPr>
        <w:t xml:space="preserve">C-element</w:t>
      </w:r>
      <w:r w:rsidDel="00000000" w:rsidR="00000000" w:rsidRPr="00000000">
        <w:rPr>
          <w:rtl w:val="0"/>
        </w:rPr>
        <w:t xml:space="preserve"> — a Muller consensus gate whose output is held low by a pull-down network whenever either of its two inputs is absent: the cryptographic PPT validity signal from the Governance Lane's hardware pipeline, and the hardware authorization signal confirming that the proposal's evidentiary prerequisite has been satisfied. When both inputs are electrically high, the C-element output goes high, releasing Epistemic Hold and permitting provisional execution to begin.</w:t>
      </w:r>
    </w:p>
    <w:p w:rsidR="00000000" w:rsidDel="00000000" w:rsidP="00000000" w:rsidRDefault="00000000" w:rsidRPr="00000000" w14:paraId="000001AA">
      <w:pPr>
        <w:spacing w:after="240" w:before="240" w:line="276" w:lineRule="auto"/>
        <w:rPr>
          <w:color w:val="1155cc"/>
          <w:u w:val="single"/>
        </w:rPr>
      </w:pPr>
      <w:r w:rsidDel="00000000" w:rsidR="00000000" w:rsidRPr="00000000">
        <w:rPr>
          <w:rtl w:val="0"/>
        </w:rPr>
        <w:t xml:space="preserve">This is not a software configuration that an administrator can toggle. It is a hardware-enforced physical property of the Mandated Ternary substrate. The C-element's output is determined by Kirchhoff's current laws, not by code. A software exploit, a compromised process, an unauthorized administrator command — none of these can force the C-element output high. The only path to execution is a valid Provisional Permission Token issued by the Governance Lane's cryptographic pipeline, physically delivered to the C-element's input.</w:t>
      </w:r>
      <w:hyperlink r:id="rId206">
        <w:r w:rsidDel="00000000" w:rsidR="00000000" w:rsidRPr="00000000">
          <w:rPr>
            <w:rtl w:val="0"/>
          </w:rPr>
          <w:t xml:space="preserve"> </w:t>
        </w:r>
      </w:hyperlink>
      <w:hyperlink r:id="rId207">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1AB">
      <w:pPr>
        <w:spacing w:after="240" w:before="240" w:line="276" w:lineRule="auto"/>
        <w:rPr/>
      </w:pPr>
      <w:r w:rsidDel="00000000" w:rsidR="00000000" w:rsidRPr="00000000">
        <w:rPr>
          <w:rtl w:val="0"/>
        </w:rPr>
        <w:t xml:space="preserve">The Gateway operates across three constitutional states corresponding to the triadic state model:</w:t>
      </w:r>
    </w:p>
    <w:p w:rsidR="00000000" w:rsidDel="00000000" w:rsidP="00000000" w:rsidRDefault="00000000" w:rsidRPr="00000000" w14:paraId="000001AC">
      <w:pPr>
        <w:spacing w:after="240" w:before="240" w:line="276" w:lineRule="auto"/>
        <w:rPr/>
      </w:pPr>
      <w:r w:rsidDel="00000000" w:rsidR="00000000" w:rsidRPr="00000000">
        <w:rPr>
          <w:b w:val="1"/>
          <w:bCs w:val="1"/>
          <w:rtl w:val="0"/>
        </w:rPr>
        <w:t xml:space="preserve">State 0 — Epistemic Hold.</w:t>
      </w:r>
      <w:r w:rsidDel="00000000" w:rsidR="00000000" w:rsidRPr="00000000">
        <w:rPr>
          <w:rtl w:val="0"/>
        </w:rPr>
        <w:t xml:space="preserve"> The Gateway's default state. The C-element output is low. The execution path is physically closed. No action may proceed. The system holds in Epistemic Hold until the Governance Lane issues a valid PPT or issues a Refuse determination.</w:t>
      </w:r>
    </w:p>
    <w:p w:rsidR="00000000" w:rsidDel="00000000" w:rsidP="00000000" w:rsidRDefault="00000000" w:rsidRPr="00000000" w14:paraId="000001AD">
      <w:pPr>
        <w:spacing w:after="240" w:before="240" w:line="276" w:lineRule="auto"/>
        <w:rPr/>
      </w:pPr>
      <w:r w:rsidDel="00000000" w:rsidR="00000000" w:rsidRPr="00000000">
        <w:rPr>
          <w:b w:val="1"/>
          <w:bCs w:val="1"/>
          <w:rtl w:val="0"/>
        </w:rPr>
        <w:t xml:space="preserve">State 1 — Provisional Execution.</w:t>
      </w:r>
      <w:r w:rsidDel="00000000" w:rsidR="00000000" w:rsidRPr="00000000">
        <w:rPr>
          <w:rtl w:val="0"/>
        </w:rPr>
        <w:t xml:space="preserve"> The C-element has received a valid PPT. Its output is high. The execution path is open. The proposal may proceed under provisional authorization. The </w:t>
      </w:r>
      <w:r w:rsidDel="00000000" w:rsidR="00000000" w:rsidRPr="00000000">
        <w:rPr>
          <w:rFonts w:ascii="Roboto Mono" w:cs="Roboto Mono" w:eastAsia="Roboto Mono" w:hAnsi="Roboto Mono"/>
          <w:color w:val="188038"/>
          <w:rtl w:val="0"/>
        </w:rPr>
        <w:t xml:space="preserve">provisionalExpiry</w:t>
      </w:r>
      <w:r w:rsidDel="00000000" w:rsidR="00000000" w:rsidRPr="00000000">
        <w:rPr>
          <w:rtl w:val="0"/>
        </w:rPr>
        <w:t xml:space="preserve"> hardware timer is running. If the FPT arrives before the timer fires, the system transitions to State 2. If the timer fires before the FPT arrives, the C-element's PPT validity input is pulled low, the C-element output collapses, and the system returns to State 0 unconditionally. No software permission is required for this reversion. The hardware watchdog enforces it.</w:t>
      </w:r>
    </w:p>
    <w:p w:rsidR="00000000" w:rsidDel="00000000" w:rsidP="00000000" w:rsidRDefault="00000000" w:rsidRPr="00000000" w14:paraId="000001AE">
      <w:pPr>
        <w:spacing w:after="240" w:before="240" w:line="276" w:lineRule="auto"/>
        <w:rPr/>
      </w:pPr>
      <w:r w:rsidDel="00000000" w:rsidR="00000000" w:rsidRPr="00000000">
        <w:rPr>
          <w:b w:val="1"/>
          <w:bCs w:val="1"/>
          <w:rtl w:val="0"/>
        </w:rPr>
        <w:t xml:space="preserve">State 2 — Final Confirmed Execution.</w:t>
      </w:r>
      <w:r w:rsidDel="00000000" w:rsidR="00000000" w:rsidRPr="00000000">
        <w:rPr>
          <w:rtl w:val="0"/>
        </w:rPr>
        <w:t xml:space="preserve"> The FPT has arrived, been verified, and accepted before </w:t>
      </w:r>
      <w:r w:rsidDel="00000000" w:rsidR="00000000" w:rsidRPr="00000000">
        <w:rPr>
          <w:rFonts w:ascii="Roboto Mono" w:cs="Roboto Mono" w:eastAsia="Roboto Mono" w:hAnsi="Roboto Mono"/>
          <w:color w:val="188038"/>
          <w:rtl w:val="0"/>
        </w:rPr>
        <w:t xml:space="preserve">provisionalExpiry</w:t>
      </w:r>
      <w:r w:rsidDel="00000000" w:rsidR="00000000" w:rsidRPr="00000000">
        <w:rPr>
          <w:rtl w:val="0"/>
        </w:rPr>
        <w:t xml:space="preserve">. The proposal's execution is now constitutionally final and irreversible. The Decision Log is anchored to the Immutable Ledger. The </w:t>
      </w:r>
      <w:r w:rsidDel="00000000" w:rsidR="00000000" w:rsidRPr="00000000">
        <w:rPr>
          <w:rFonts w:ascii="Roboto Mono" w:cs="Roboto Mono" w:eastAsia="Roboto Mono" w:hAnsi="Roboto Mono"/>
          <w:color w:val="188038"/>
          <w:rtl w:val="0"/>
        </w:rPr>
        <w:t xml:space="preserve">provisionalExpiry</w:t>
      </w:r>
      <w:r w:rsidDel="00000000" w:rsidR="00000000" w:rsidRPr="00000000">
        <w:rPr>
          <w:rtl w:val="0"/>
        </w:rPr>
        <w:t xml:space="preserve"> timer is cleared.</w:t>
      </w:r>
    </w:p>
    <w:p w:rsidR="00000000" w:rsidDel="00000000" w:rsidP="00000000" w:rsidRDefault="00000000" w:rsidRPr="00000000" w14:paraId="000001AF">
      <w:pPr>
        <w:spacing w:after="240" w:before="240" w:line="276" w:lineRule="auto"/>
        <w:rPr>
          <w:color w:val="1155cc"/>
          <w:u w:val="single"/>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PermissionToken_v1_0_0</w:t>
      </w:r>
      <w:r w:rsidDel="00000000" w:rsidR="00000000" w:rsidRPr="00000000">
        <w:rPr>
          <w:rtl w:val="0"/>
        </w:rPr>
        <w:t xml:space="preserve"> schema enforces a </w:t>
      </w:r>
      <w:r w:rsidDel="00000000" w:rsidR="00000000" w:rsidRPr="00000000">
        <w:rPr>
          <w:rFonts w:ascii="Roboto Mono" w:cs="Roboto Mono" w:eastAsia="Roboto Mono" w:hAnsi="Roboto Mono"/>
          <w:color w:val="188038"/>
          <w:rtl w:val="0"/>
        </w:rPr>
        <w:t xml:space="preserve">laneOrigin</w:t>
      </w:r>
      <w:r w:rsidDel="00000000" w:rsidR="00000000" w:rsidRPr="00000000">
        <w:rPr>
          <w:rtl w:val="0"/>
        </w:rPr>
        <w:t xml:space="preserve"> field carrying </w:t>
      </w:r>
      <w:r w:rsidDel="00000000" w:rsidR="00000000" w:rsidRPr="00000000">
        <w:rPr>
          <w:rFonts w:ascii="Roboto Mono" w:cs="Roboto Mono" w:eastAsia="Roboto Mono" w:hAnsi="Roboto Mono"/>
          <w:color w:val="188038"/>
          <w:rtl w:val="0"/>
        </w:rPr>
        <w:t xml:space="preserve">const: \"GOVERNANCE_LANE\"</w:t>
      </w:r>
      <w:r w:rsidDel="00000000" w:rsidR="00000000" w:rsidRPr="00000000">
        <w:rPr>
          <w:rtl w:val="0"/>
        </w:rPr>
        <w:t xml:space="preserve">. Any token with </w:t>
      </w:r>
      <w:r w:rsidDel="00000000" w:rsidR="00000000" w:rsidRPr="00000000">
        <w:rPr>
          <w:rFonts w:ascii="Roboto Mono" w:cs="Roboto Mono" w:eastAsia="Roboto Mono" w:hAnsi="Roboto Mono"/>
          <w:color w:val="188038"/>
          <w:rtl w:val="0"/>
        </w:rPr>
        <w:t xml:space="preserve">laneOrigin</w:t>
      </w:r>
      <w:r w:rsidDel="00000000" w:rsidR="00000000" w:rsidRPr="00000000">
        <w:rPr>
          <w:rtl w:val="0"/>
        </w:rPr>
        <w:t xml:space="preserve"> set to any other value is schema-invalid. At the smart contract layer, </w:t>
      </w:r>
      <w:r w:rsidDel="00000000" w:rsidR="00000000" w:rsidRPr="00000000">
        <w:rPr>
          <w:rFonts w:ascii="Roboto Mono" w:cs="Roboto Mono" w:eastAsia="Roboto Mono" w:hAnsi="Roboto Mono"/>
          <w:color w:val="188038"/>
          <w:rtl w:val="0"/>
        </w:rPr>
        <w:t xml:space="preserve">TL_Ledger_Core.registerPermissionToken</w:t>
      </w:r>
      <w:r w:rsidDel="00000000" w:rsidR="00000000" w:rsidRPr="00000000">
        <w:rPr>
          <w:rtl w:val="0"/>
        </w:rPr>
        <w:t xml:space="preserve"> accepts a </w:t>
      </w:r>
      <w:r w:rsidDel="00000000" w:rsidR="00000000" w:rsidRPr="00000000">
        <w:rPr>
          <w:rFonts w:ascii="Roboto Mono" w:cs="Roboto Mono" w:eastAsia="Roboto Mono" w:hAnsi="Roboto Mono"/>
          <w:color w:val="188038"/>
          <w:rtl w:val="0"/>
        </w:rPr>
        <w:t xml:space="preserve">laneOriginHash</w:t>
      </w:r>
      <w:r w:rsidDel="00000000" w:rsidR="00000000" w:rsidRPr="00000000">
        <w:rPr>
          <w:rtl w:val="0"/>
        </w:rPr>
        <w:t xml:space="preserve"> parameter that must equal </w:t>
      </w:r>
      <w:r w:rsidDel="00000000" w:rsidR="00000000" w:rsidRPr="00000000">
        <w:rPr>
          <w:rFonts w:ascii="Roboto Mono" w:cs="Roboto Mono" w:eastAsia="Roboto Mono" w:hAnsi="Roboto Mono"/>
          <w:color w:val="188038"/>
          <w:rtl w:val="0"/>
        </w:rPr>
        <w:t xml:space="preserve">keccak256(\"GOVERNANCE_LANE\")</w:t>
      </w:r>
      <w:r w:rsidDel="00000000" w:rsidR="00000000" w:rsidRPr="00000000">
        <w:rPr>
          <w:rtl w:val="0"/>
        </w:rPr>
        <w:t xml:space="preserve">. Mismatch reverts with </w:t>
      </w:r>
      <w:r w:rsidDel="00000000" w:rsidR="00000000" w:rsidRPr="00000000">
        <w:rPr>
          <w:rFonts w:ascii="Roboto Mono" w:cs="Roboto Mono" w:eastAsia="Roboto Mono" w:hAnsi="Roboto Mono"/>
          <w:color w:val="188038"/>
          <w:rtl w:val="0"/>
        </w:rPr>
        <w:t xml:space="preserve">NLNAViolation</w:t>
      </w:r>
      <w:r w:rsidDel="00000000" w:rsidR="00000000" w:rsidRPr="00000000">
        <w:rPr>
          <w:rtl w:val="0"/>
        </w:rPr>
        <w:t xml:space="preserve">.</w:t>
      </w:r>
      <w:hyperlink r:id="rId208">
        <w:r w:rsidDel="00000000" w:rsidR="00000000" w:rsidRPr="00000000">
          <w:rPr>
            <w:rtl w:val="0"/>
          </w:rPr>
          <w:t xml:space="preserve"> </w:t>
        </w:r>
      </w:hyperlink>
      <w:hyperlink r:id="rId209">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B0">
      <w:pPr>
        <w:spacing w:after="240" w:before="240" w:line="276" w:lineRule="auto"/>
        <w:rPr>
          <w:color w:val="1155cc"/>
          <w:u w:val="single"/>
        </w:rPr>
      </w:pPr>
      <w:r w:rsidDel="00000000" w:rsidR="00000000" w:rsidRPr="00000000">
        <w:rPr>
          <w:rtl w:val="0"/>
        </w:rPr>
        <w:t xml:space="preserve">If the Governance Lane loses connectivity, experiences a timeout, or encounters any ambiguity it cannot resolve, the Gateway defaults to Epistemic Hold, activating </w:t>
      </w:r>
      <w:r w:rsidDel="00000000" w:rsidR="00000000" w:rsidRPr="00000000">
        <w:rPr>
          <w:rFonts w:ascii="Roboto Mono" w:cs="Roboto Mono" w:eastAsia="Roboto Mono" w:hAnsi="Roboto Mono"/>
          <w:color w:val="188038"/>
          <w:rtl w:val="0"/>
        </w:rPr>
        <w:t xml:space="preserve">epistemicHoldOverride: true</w:t>
      </w:r>
      <w:r w:rsidDel="00000000" w:rsidR="00000000" w:rsidRPr="00000000">
        <w:rPr>
          <w:rtl w:val="0"/>
        </w:rPr>
        <w:t xml:space="preserve">, and remains in State 0 until the Governance Lane is restored and issues a valid determination. Fail-open is constitutionally prohibited.</w:t>
      </w:r>
      <w:hyperlink r:id="rId210">
        <w:r w:rsidDel="00000000" w:rsidR="00000000" w:rsidRPr="00000000">
          <w:rPr>
            <w:rtl w:val="0"/>
          </w:rPr>
          <w:t xml:space="preserve"> </w:t>
        </w:r>
      </w:hyperlink>
      <w:hyperlink r:id="rId211">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B1">
      <w:pPr>
        <w:spacing w:after="240" w:before="240" w:line="276" w:lineRule="auto"/>
        <w:rPr>
          <w:color w:val="1155cc"/>
          <w:u w:val="single"/>
        </w:rPr>
      </w:pPr>
      <w:r w:rsidDel="00000000" w:rsidR="00000000" w:rsidRPr="00000000">
        <w:rPr>
          <w:rtl w:val="0"/>
        </w:rPr>
        <w:t xml:space="preserve">The hardware substrate makes Gateway fail-closed behavior physically distinct from software-enforced behavior. The C-element does not recognize titles, ranks, or emergency codes. It recognizes only electrical inputs. A central bank governor pressing an emergency button sends an electrical signal to the Gateway. If that signal does not encode a valid PPT with the required cryptographic signature, the C-element rejects it. The MT gate remains in the high-resistance closed state, and the attempt is logged as an unauthorized access event and reported to the Stewardship Custodians.</w:t>
      </w:r>
      <w:hyperlink r:id="rId212">
        <w:r w:rsidDel="00000000" w:rsidR="00000000" w:rsidRPr="00000000">
          <w:rPr>
            <w:rtl w:val="0"/>
          </w:rPr>
          <w:t xml:space="preserve"> </w:t>
        </w:r>
      </w:hyperlink>
      <w:hyperlink r:id="rId213">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1B2">
      <w:pPr>
        <w:pStyle w:val="Heading2"/>
        <w:keepNext w:val="0"/>
        <w:keepLines w:val="0"/>
        <w:spacing w:after="80" w:line="276" w:lineRule="auto"/>
        <w:rPr>
          <w:b w:val="1"/>
          <w:bCs w:val="1"/>
          <w:sz w:val="34"/>
          <w:szCs w:val="34"/>
        </w:rPr>
      </w:pPr>
      <w:bookmarkStart w:colFirst="0" w:colLast="0" w:name="_wzqjl0pi5tkf" w:id="37"/>
      <w:bookmarkEnd w:id="37"/>
      <w:r w:rsidDel="00000000" w:rsidR="00000000" w:rsidRPr="00000000">
        <w:rPr>
          <w:b w:val="1"/>
          <w:bCs w:val="1"/>
          <w:sz w:val="34"/>
          <w:szCs w:val="34"/>
          <w:rtl w:val="0"/>
        </w:rPr>
        <w:t xml:space="preserve">3.5 The Provisional Permission Token</w:t>
      </w:r>
    </w:p>
    <w:p w:rsidR="00000000" w:rsidDel="00000000" w:rsidP="00000000" w:rsidRDefault="00000000" w:rsidRPr="00000000" w14:paraId="000001B3">
      <w:pPr>
        <w:spacing w:after="240" w:before="240" w:line="276" w:lineRule="auto"/>
        <w:rPr/>
      </w:pPr>
      <w:r w:rsidDel="00000000" w:rsidR="00000000" w:rsidRPr="00000000">
        <w:rPr>
          <w:rtl w:val="0"/>
        </w:rPr>
        <w:t xml:space="preserve">The Provisional Permission Token is the hardware-minted key that physically unlocks Epistemic Hold. It is the constitutional authorization for a proposal to enter State 1 — provisional execution — while the full Governance Lane evaluation proceeds asynchronously in the background.</w:t>
      </w:r>
    </w:p>
    <w:p w:rsidR="00000000" w:rsidDel="00000000" w:rsidP="00000000" w:rsidRDefault="00000000" w:rsidRPr="00000000" w14:paraId="000001B4">
      <w:pPr>
        <w:spacing w:after="240" w:before="240" w:line="276" w:lineRule="auto"/>
        <w:rPr/>
      </w:pPr>
      <w:r w:rsidDel="00000000" w:rsidR="00000000" w:rsidRPr="00000000">
        <w:rPr>
          <w:rtl w:val="0"/>
        </w:rPr>
        <w:t xml:space="preserve">The PPT is not a simple boolean authorization flag. It is a structured, cryptographically-signed, schema-validated authorization object produced by the Governance Lane's dedicated hardware pipeline within 50 milliseconds of the proposal's evidentiary prerequisite being satisfied. Its production requires:</w:t>
      </w:r>
    </w:p>
    <w:p w:rsidR="00000000" w:rsidDel="00000000" w:rsidP="00000000" w:rsidRDefault="00000000" w:rsidRPr="00000000" w14:paraId="000001B5">
      <w:pPr>
        <w:spacing w:after="240" w:before="240" w:line="276" w:lineRule="auto"/>
        <w:rPr/>
      </w:pPr>
      <w:r w:rsidDel="00000000" w:rsidR="00000000" w:rsidRPr="00000000">
        <w:rPr>
          <w:b w:val="1"/>
          <w:bCs w:val="1"/>
          <w:rtl w:val="0"/>
        </w:rPr>
        <w:t xml:space="preserve">Stage 1 — SHA-256 hashing (~1 μs):</w:t>
      </w:r>
      <w:r w:rsidDel="00000000" w:rsidR="00000000" w:rsidRPr="00000000">
        <w:rPr>
          <w:rtl w:val="0"/>
        </w:rPr>
        <w:t xml:space="preserve"> The dedicated hardware SHA-256 accelerator computes a cryptographic commitment over the proposal's operation identifier, session context, and hardware monotonic counter nonce. The nonce is unique per issuance and non-reusable, providing replay prevention at the hardware level.</w:t>
      </w:r>
    </w:p>
    <w:p w:rsidR="00000000" w:rsidDel="00000000" w:rsidP="00000000" w:rsidRDefault="00000000" w:rsidRPr="00000000" w14:paraId="000001B6">
      <w:pPr>
        <w:spacing w:after="240" w:before="240" w:line="276" w:lineRule="auto"/>
        <w:rPr/>
      </w:pPr>
      <w:r w:rsidDel="00000000" w:rsidR="00000000" w:rsidRPr="00000000">
        <w:rPr>
          <w:b w:val="1"/>
          <w:bCs w:val="1"/>
          <w:rtl w:val="0"/>
        </w:rPr>
        <w:t xml:space="preserve">Stage 2 — Merkle pre-computation (~16 μs):</w:t>
      </w:r>
      <w:r w:rsidDel="00000000" w:rsidR="00000000" w:rsidRPr="00000000">
        <w:rPr>
          <w:rtl w:val="0"/>
        </w:rPr>
        <w:t xml:space="preserve"> Sixteen parallel SHA-256 cores construct a Merkle tree over the current audit leaf set, producing an authenticated root that anchors the PPT to the complete evidentiary context at the moment of minting. This Merkle root binds the PPT not merely to the proposal's operation, but to the full audit record that justifies its authorization.</w:t>
      </w:r>
    </w:p>
    <w:p w:rsidR="00000000" w:rsidDel="00000000" w:rsidP="00000000" w:rsidRDefault="00000000" w:rsidRPr="00000000" w14:paraId="000001B7">
      <w:pPr>
        <w:spacing w:after="240" w:before="240" w:line="276" w:lineRule="auto"/>
        <w:rPr/>
      </w:pPr>
      <w:r w:rsidDel="00000000" w:rsidR="00000000" w:rsidRPr="00000000">
        <w:rPr>
          <w:b w:val="1"/>
          <w:bCs w:val="1"/>
          <w:rtl w:val="0"/>
        </w:rPr>
        <w:t xml:space="preserve">Stage 3 — HSM signing (~5–10 ms):</w:t>
      </w:r>
      <w:r w:rsidDel="00000000" w:rsidR="00000000" w:rsidRPr="00000000">
        <w:rPr>
          <w:rtl w:val="0"/>
        </w:rPr>
        <w:t xml:space="preserve"> A FIPS 140-3 Level 3 certified Hardware Security Module generates a digital signature over the SHA-256 hash and Merkle root, producing the PPT's cryptographic authorization token. The HSM's private key never leaves the HSM boundary.</w:t>
      </w:r>
    </w:p>
    <w:p w:rsidR="00000000" w:rsidDel="00000000" w:rsidP="00000000" w:rsidRDefault="00000000" w:rsidRPr="00000000" w14:paraId="000001B8">
      <w:pPr>
        <w:spacing w:after="240" w:before="240" w:line="276" w:lineRule="auto"/>
        <w:rPr/>
      </w:pPr>
      <w:r w:rsidDel="00000000" w:rsidR="00000000" w:rsidRPr="00000000">
        <w:rPr>
          <w:b w:val="1"/>
          <w:bCs w:val="1"/>
          <w:rtl w:val="0"/>
        </w:rPr>
        <w:t xml:space="preserve">Stage 4 — C-element convergence (~45 ps):</w:t>
      </w:r>
      <w:r w:rsidDel="00000000" w:rsidR="00000000" w:rsidRPr="00000000">
        <w:rPr>
          <w:rtl w:val="0"/>
        </w:rPr>
        <w:t xml:space="preserve"> The HSM signing output drives one input of the Muller C-element. When both inputs are electrically high, the C-element output goes high, releasing Epistemic Hold and opening the execution path.</w:t>
      </w:r>
    </w:p>
    <w:p w:rsidR="00000000" w:rsidDel="00000000" w:rsidP="00000000" w:rsidRDefault="00000000" w:rsidRPr="00000000" w14:paraId="000001B9">
      <w:pPr>
        <w:spacing w:after="240" w:before="240" w:line="276" w:lineRule="auto"/>
        <w:rPr/>
      </w:pPr>
      <w:r w:rsidDel="00000000" w:rsidR="00000000" w:rsidRPr="00000000">
        <w:rPr>
          <w:rtl w:val="0"/>
        </w:rPr>
        <w:t xml:space="preserve">The entire pipeline completes in under 50 milliseconds on the warm path. This is not a claim about expected performance. It is a hardware-enforced specification: the MT substrate's cryptographic pipeline is sized and calibrated to meet this bound under the operational conditions for which it is certified.</w:t>
      </w:r>
    </w:p>
    <w:p w:rsidR="00000000" w:rsidDel="00000000" w:rsidP="00000000" w:rsidRDefault="00000000" w:rsidRPr="00000000" w14:paraId="000001BA">
      <w:pPr>
        <w:spacing w:after="240" w:before="240" w:line="276" w:lineRule="auto"/>
        <w:rPr/>
      </w:pPr>
      <w:r w:rsidDel="00000000" w:rsidR="00000000" w:rsidRPr="00000000">
        <w:rPr>
          <w:rtl w:val="0"/>
        </w:rPr>
        <w:t xml:space="preserve">The PPT's mandatory fields include the operation identifier, the nonce that prevents replay, the </w:t>
      </w:r>
      <w:r w:rsidDel="00000000" w:rsidR="00000000" w:rsidRPr="00000000">
        <w:rPr>
          <w:rFonts w:ascii="Roboto Mono" w:cs="Roboto Mono" w:eastAsia="Roboto Mono" w:hAnsi="Roboto Mono"/>
          <w:color w:val="188038"/>
          <w:rtl w:val="0"/>
        </w:rPr>
        <w:t xml:space="preserve">provisionalExpiry</w:t>
      </w:r>
      <w:r w:rsidDel="00000000" w:rsidR="00000000" w:rsidRPr="00000000">
        <w:rPr>
          <w:rtl w:val="0"/>
        </w:rPr>
        <w:t xml:space="preserve"> bound that the hardware watchdog is configured to, the Merkle root that anchors the token to its evidentiary context, and the HSM signature that makes the token unforgeable without HSM access. All fields are included in the signed payload. No field may be added or modified after signing. A PPT that fails signature verification is treated as non-existent by the C-element.</w:t>
      </w:r>
    </w:p>
    <w:p w:rsidR="00000000" w:rsidDel="00000000" w:rsidP="00000000" w:rsidRDefault="00000000" w:rsidRPr="00000000" w14:paraId="000001BB">
      <w:pPr>
        <w:spacing w:after="240" w:before="240" w:line="276" w:lineRule="auto"/>
        <w:rPr/>
      </w:pPr>
      <w:r w:rsidDel="00000000" w:rsidR="00000000" w:rsidRPr="00000000">
        <w:rPr>
          <w:rtl w:val="0"/>
        </w:rPr>
        <w:t xml:space="preserve">The PPT carries the </w:t>
      </w:r>
      <w:r w:rsidDel="00000000" w:rsidR="00000000" w:rsidRPr="00000000">
        <w:rPr>
          <w:rFonts w:ascii="Roboto Mono" w:cs="Roboto Mono" w:eastAsia="Roboto Mono" w:hAnsi="Roboto Mono"/>
          <w:color w:val="188038"/>
          <w:rtl w:val="0"/>
        </w:rPr>
        <w:t xml:space="preserve">provisionalExpiry</w:t>
      </w:r>
      <w:r w:rsidDel="00000000" w:rsidR="00000000" w:rsidRPr="00000000">
        <w:rPr>
          <w:rtl w:val="0"/>
        </w:rPr>
        <w:t xml:space="preserve"> — a hardware-enforced timeout that defines the window within which the Final Permission Token must arrive. If the FPT does not arrive before this window closes, the hardware watchdog asserts State 0, clearing the provisional authorization unconditionally. The </w:t>
      </w:r>
      <w:r w:rsidDel="00000000" w:rsidR="00000000" w:rsidRPr="00000000">
        <w:rPr>
          <w:rFonts w:ascii="Roboto Mono" w:cs="Roboto Mono" w:eastAsia="Roboto Mono" w:hAnsi="Roboto Mono"/>
          <w:color w:val="188038"/>
          <w:rtl w:val="0"/>
        </w:rPr>
        <w:t xml:space="preserve">provisionalExpiry</w:t>
      </w:r>
      <w:r w:rsidDel="00000000" w:rsidR="00000000" w:rsidRPr="00000000">
        <w:rPr>
          <w:rtl w:val="0"/>
        </w:rPr>
        <w:t xml:space="preserve"> is configured at system initialization based on the deployment domain and the Governance Lane's expected finality latency. It is not adjustable at runtime by software. It is a constitutional parameter, not an operational setting.</w:t>
      </w:r>
    </w:p>
    <w:p w:rsidR="00000000" w:rsidDel="00000000" w:rsidP="00000000" w:rsidRDefault="00000000" w:rsidRPr="00000000" w14:paraId="000001BC">
      <w:pPr>
        <w:spacing w:after="240" w:before="240" w:line="276" w:lineRule="auto"/>
        <w:rPr/>
      </w:pPr>
      <w:r w:rsidDel="00000000" w:rsidR="00000000" w:rsidRPr="00000000">
        <w:rPr>
          <w:rtl w:val="0"/>
        </w:rPr>
        <w:t xml:space="preserve">The constitutional significance of the PPT is this: it inverts the conventional relationship between proof and action. In binary systems, action is the default and proof is the post-hoc record. In TL, proof is the prerequisite and action is the consequence. The PPT is the physical embodiment of this inversion — it is the proof that a proposal's evidentiary prerequisite has been satisfied, minted in hardware before a single byte of the proposal's execution touches the system.</w:t>
      </w:r>
    </w:p>
    <w:p w:rsidR="00000000" w:rsidDel="00000000" w:rsidP="00000000" w:rsidRDefault="00000000" w:rsidRPr="00000000" w14:paraId="000001BD">
      <w:pPr>
        <w:pStyle w:val="Heading2"/>
        <w:keepNext w:val="0"/>
        <w:keepLines w:val="0"/>
        <w:spacing w:after="80" w:line="276" w:lineRule="auto"/>
        <w:rPr>
          <w:b w:val="1"/>
          <w:bCs w:val="1"/>
          <w:sz w:val="34"/>
          <w:szCs w:val="34"/>
        </w:rPr>
      </w:pPr>
      <w:bookmarkStart w:colFirst="0" w:colLast="0" w:name="_wkz144liok3n" w:id="38"/>
      <w:bookmarkEnd w:id="38"/>
      <w:r w:rsidDel="00000000" w:rsidR="00000000" w:rsidRPr="00000000">
        <w:rPr>
          <w:b w:val="1"/>
          <w:bCs w:val="1"/>
          <w:sz w:val="34"/>
          <w:szCs w:val="34"/>
          <w:rtl w:val="0"/>
        </w:rPr>
        <w:t xml:space="preserve">3.6 Governor Independence and the 50-Millisecond Marker</w:t>
      </w:r>
    </w:p>
    <w:p w:rsidR="00000000" w:rsidDel="00000000" w:rsidP="00000000" w:rsidRDefault="00000000" w:rsidRPr="00000000" w14:paraId="000001BE">
      <w:pPr>
        <w:spacing w:after="240" w:before="240" w:line="276" w:lineRule="auto"/>
        <w:rPr/>
      </w:pPr>
      <w:r w:rsidDel="00000000" w:rsidR="00000000" w:rsidRPr="00000000">
        <w:rPr>
          <w:rtl w:val="0"/>
        </w:rPr>
        <w:t xml:space="preserve">At PPT issuance — the 50-millisecond marker — two simultaneous operations execute. The Governance Lane dispatches the constitutional evaluation payload to the extended evaluation pipeline. And the hardware pipeline resets: the C-element is re-primed, the HSM session remains warm, and the Inference Lane interface signals readiness for the next proposal. The hardware does not wait for the FPT. The hardware does not track the Governance Lane's extended evaluation. The hardware returns to Epistemic Hold — its constitutional default — immediately upon PPT issuance, ready to mint the next PPT.</w:t>
      </w:r>
    </w:p>
    <w:p w:rsidR="00000000" w:rsidDel="00000000" w:rsidP="00000000" w:rsidRDefault="00000000" w:rsidRPr="00000000" w14:paraId="000001BF">
      <w:pPr>
        <w:spacing w:after="240" w:before="240" w:line="276" w:lineRule="auto"/>
        <w:rPr/>
      </w:pPr>
      <w:r w:rsidDel="00000000" w:rsidR="00000000" w:rsidRPr="00000000">
        <w:rPr>
          <w:rtl w:val="0"/>
        </w:rPr>
        <w:t xml:space="preserve">This property — that the hardware resets at the moment of PPT issuance rather than at the moment of FPT arrival — is </w:t>
      </w:r>
      <w:r w:rsidDel="00000000" w:rsidR="00000000" w:rsidRPr="00000000">
        <w:rPr>
          <w:b w:val="1"/>
          <w:bCs w:val="1"/>
          <w:rtl w:val="0"/>
        </w:rPr>
        <w:t xml:space="preserve">Governor Independence</w:t>
      </w:r>
      <w:r w:rsidDel="00000000" w:rsidR="00000000" w:rsidRPr="00000000">
        <w:rPr>
          <w:rtl w:val="0"/>
        </w:rPr>
        <w:t xml:space="preserve">. The Governor (C-element) returns to its post at the 50-millisecond marker, not at the end of the extended constitutional evaluation cycle.</w:t>
      </w:r>
    </w:p>
    <w:p w:rsidR="00000000" w:rsidDel="00000000" w:rsidP="00000000" w:rsidRDefault="00000000" w:rsidRPr="00000000" w14:paraId="000001C0">
      <w:pPr>
        <w:spacing w:after="240" w:before="240" w:line="276" w:lineRule="auto"/>
        <w:rPr/>
      </w:pPr>
      <w:r w:rsidDel="00000000" w:rsidR="00000000" w:rsidRPr="00000000">
        <w:rPr>
          <w:rtl w:val="0"/>
        </w:rPr>
        <w:t xml:space="preserve">Governor Independence is not a performance optimization applied to a governance system. It is the architectural consequence of the constitutional insight that authorization latency and finality latency are fundamentally different and must not be conflated. Authorization latency is hardware-owned and bounded by the cryptographic pipeline's performance. Finality latency is infrastructure-owned and bounded by regulatory, anchoring, and quorum requirements. Coupling these two latencies — forcing the hardware to wait for finality before accepting the next proposal — would make TL constitutionally sound but operationally infeasible at the throughput levels that modern economic systems require.</w:t>
      </w:r>
    </w:p>
    <w:p w:rsidR="00000000" w:rsidDel="00000000" w:rsidP="00000000" w:rsidRDefault="00000000" w:rsidRPr="00000000" w14:paraId="000001C1">
      <w:pPr>
        <w:spacing w:after="240" w:before="240" w:line="276" w:lineRule="auto"/>
        <w:rPr/>
      </w:pPr>
      <w:r w:rsidDel="00000000" w:rsidR="00000000" w:rsidRPr="00000000">
        <w:rPr>
          <w:rtl w:val="0"/>
        </w:rPr>
        <w:t xml:space="preserve">Governor Independence resolves this tension by making the two processes genuinely parallel. The hardware issues a PPT and immediately prepares to issue the next one. The Governance Lane anchors, evaluates, and confirms at infrastructure speed. Multiple PPT cycles — up to 30 to 100 within a single anchoring window, depending on the deployment's anchoring configuration — can complete within a single extended evaluation cycle. The Inference Lane never waits for the Governance Lane unless there is a genuine constitutional reason to wait, as defined by the five-layer enforcement architecture in Section 3.9.</w:t>
      </w:r>
    </w:p>
    <w:p w:rsidR="00000000" w:rsidDel="00000000" w:rsidP="00000000" w:rsidRDefault="00000000" w:rsidRPr="00000000" w14:paraId="000001C2">
      <w:pPr>
        <w:spacing w:after="240" w:before="240" w:line="276" w:lineRule="auto"/>
        <w:rPr>
          <w:color w:val="1155cc"/>
          <w:u w:val="single"/>
        </w:rPr>
      </w:pPr>
      <w:r w:rsidDel="00000000" w:rsidR="00000000" w:rsidRPr="00000000">
        <w:rPr>
          <w:rtl w:val="0"/>
        </w:rPr>
        <w:t xml:space="preserve">The throughput consequence is significant. Without Governor Independence, the system's authorization throughput is bounded by the extended evaluation cycle — typically 300 to 500 milliseconds, yielding 2 to 3 authorizations per second. With Governor Independence, the authorization throughput is bounded by the hardware cryptographic pipeline — typically 5 to 10 milliseconds per cycle, yielding 100 to 200 authorizations per second from a single hardware instance. The difference is not incremental. It is the difference between a governance system that slows economic activity and one that operates at economic speed.</w:t>
      </w:r>
      <w:hyperlink r:id="rId214">
        <w:r w:rsidDel="00000000" w:rsidR="00000000" w:rsidRPr="00000000">
          <w:rPr>
            <w:rtl w:val="0"/>
          </w:rPr>
          <w:t xml:space="preserve"> </w:t>
        </w:r>
      </w:hyperlink>
      <w:hyperlink r:id="rId215">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1C3">
      <w:pPr>
        <w:spacing w:after="240" w:before="240" w:line="276" w:lineRule="auto"/>
        <w:rPr>
          <w:color w:val="1155cc"/>
          <w:u w:val="single"/>
        </w:rPr>
      </w:pPr>
      <w:r w:rsidDel="00000000" w:rsidR="00000000" w:rsidRPr="00000000">
        <w:rPr>
          <w:rtl w:val="0"/>
        </w:rPr>
        <w:t xml:space="preserve">Governor Independence also changes the nature of the </w:t>
      </w:r>
      <w:r w:rsidDel="00000000" w:rsidR="00000000" w:rsidRPr="00000000">
        <w:rPr>
          <w:rFonts w:ascii="Roboto Mono" w:cs="Roboto Mono" w:eastAsia="Roboto Mono" w:hAnsi="Roboto Mono"/>
          <w:color w:val="188038"/>
          <w:rtl w:val="0"/>
        </w:rPr>
        <w:t xml:space="preserve">provisionalExpiry</w:t>
      </w:r>
      <w:r w:rsidDel="00000000" w:rsidR="00000000" w:rsidRPr="00000000">
        <w:rPr>
          <w:rtl w:val="0"/>
        </w:rPr>
        <w:t xml:space="preserve">. In a coupled model, </w:t>
      </w:r>
      <w:r w:rsidDel="00000000" w:rsidR="00000000" w:rsidRPr="00000000">
        <w:rPr>
          <w:rFonts w:ascii="Roboto Mono" w:cs="Roboto Mono" w:eastAsia="Roboto Mono" w:hAnsi="Roboto Mono"/>
          <w:color w:val="188038"/>
          <w:rtl w:val="0"/>
        </w:rPr>
        <w:t xml:space="preserve">provisionalExpiry</w:t>
      </w:r>
      <w:r w:rsidDel="00000000" w:rsidR="00000000" w:rsidRPr="00000000">
        <w:rPr>
          <w:rtl w:val="0"/>
        </w:rPr>
        <w:t xml:space="preserve"> is a safety net against Governance Lane failure — the proposal reverts if the Governance Lane does not respond. In a Governor Independence model, </w:t>
      </w:r>
      <w:r w:rsidDel="00000000" w:rsidR="00000000" w:rsidRPr="00000000">
        <w:rPr>
          <w:rFonts w:ascii="Roboto Mono" w:cs="Roboto Mono" w:eastAsia="Roboto Mono" w:hAnsi="Roboto Mono"/>
          <w:color w:val="188038"/>
          <w:rtl w:val="0"/>
        </w:rPr>
        <w:t xml:space="preserve">provisionalExpiry</w:t>
      </w:r>
      <w:r w:rsidDel="00000000" w:rsidR="00000000" w:rsidRPr="00000000">
        <w:rPr>
          <w:rtl w:val="0"/>
        </w:rPr>
        <w:t xml:space="preserve"> is a constitutional boundary — the maximum duration of provisional execution, after which the proposal must have achieved finality or must return to Epistemic Hold. This is not a failure mode. It is the constitutional design. Provisional execution is not permanent authorization. It is time-bounded constitutional permission, explicitly acknowledged as such by the evidentiary architecture.</w:t>
      </w:r>
      <w:hyperlink r:id="rId216">
        <w:r w:rsidDel="00000000" w:rsidR="00000000" w:rsidRPr="00000000">
          <w:rPr>
            <w:rtl w:val="0"/>
          </w:rPr>
          <w:t xml:space="preserve"> </w:t>
        </w:r>
      </w:hyperlink>
      <w:hyperlink r:id="rId217">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1C4">
      <w:pPr>
        <w:pStyle w:val="Heading2"/>
        <w:keepNext w:val="0"/>
        <w:keepLines w:val="0"/>
        <w:spacing w:after="80" w:line="276" w:lineRule="auto"/>
        <w:rPr>
          <w:b w:val="1"/>
          <w:bCs w:val="1"/>
          <w:sz w:val="34"/>
          <w:szCs w:val="34"/>
        </w:rPr>
      </w:pPr>
      <w:bookmarkStart w:colFirst="0" w:colLast="0" w:name="_qn54zumb8muq" w:id="39"/>
      <w:bookmarkEnd w:id="39"/>
      <w:r w:rsidDel="00000000" w:rsidR="00000000" w:rsidRPr="00000000">
        <w:rPr>
          <w:b w:val="1"/>
          <w:bCs w:val="1"/>
          <w:sz w:val="34"/>
          <w:szCs w:val="34"/>
          <w:rtl w:val="0"/>
        </w:rPr>
        <w:t xml:space="preserve">3.7 The Final Permission Token and Anchoring Completion</w:t>
      </w:r>
    </w:p>
    <w:p w:rsidR="00000000" w:rsidDel="00000000" w:rsidP="00000000" w:rsidRDefault="00000000" w:rsidRPr="00000000" w14:paraId="000001C5">
      <w:pPr>
        <w:spacing w:after="240" w:before="240" w:line="276" w:lineRule="auto"/>
        <w:rPr/>
      </w:pPr>
      <w:r w:rsidDel="00000000" w:rsidR="00000000" w:rsidRPr="00000000">
        <w:rPr>
          <w:rtl w:val="0"/>
        </w:rPr>
        <w:t xml:space="preserve">The Final Permission Token is the constitutional confirmation that a proposal's provisional execution has been validated by the full Governance Lane evaluation pipeline and its consequences are now irreversible. It is the instrument that transitions a proposal from State 1 — Provisional Execution — to State 2 — Final Confirmed Execution.</w:t>
      </w:r>
    </w:p>
    <w:p w:rsidR="00000000" w:rsidDel="00000000" w:rsidP="00000000" w:rsidRDefault="00000000" w:rsidRPr="00000000" w14:paraId="000001C6">
      <w:pPr>
        <w:spacing w:after="240" w:before="240" w:line="276" w:lineRule="auto"/>
        <w:rPr/>
      </w:pPr>
      <w:r w:rsidDel="00000000" w:rsidR="00000000" w:rsidRPr="00000000">
        <w:rPr>
          <w:rtl w:val="0"/>
        </w:rPr>
        <w:t xml:space="preserve">The FPT is produced by the extended constitutional evaluation path of the Governance Lane, operating asynchronously from the hardware cryptographic pipeline that produced the PPT. Its issuance requires:</w:t>
      </w:r>
    </w:p>
    <w:p w:rsidR="00000000" w:rsidDel="00000000" w:rsidP="00000000" w:rsidRDefault="00000000" w:rsidRPr="00000000" w14:paraId="000001C7">
      <w:pPr>
        <w:numPr>
          <w:ilvl w:val="0"/>
          <w:numId w:val="10"/>
        </w:numPr>
        <w:spacing w:after="0" w:afterAutospacing="0" w:before="240" w:line="276" w:lineRule="auto"/>
        <w:ind w:left="720" w:hanging="360"/>
      </w:pPr>
      <w:r w:rsidDel="00000000" w:rsidR="00000000" w:rsidRPr="00000000">
        <w:rPr>
          <w:rtl w:val="0"/>
        </w:rPr>
        <w:t xml:space="preserve">The Decision Log has been cryptographically anchored to the Immutable Ledger through the rolling Merkle accumulator</w:t>
      </w:r>
    </w:p>
    <w:p w:rsidR="00000000" w:rsidDel="00000000" w:rsidP="00000000" w:rsidRDefault="00000000" w:rsidRPr="00000000" w14:paraId="000001C8">
      <w:pPr>
        <w:numPr>
          <w:ilvl w:val="0"/>
          <w:numId w:val="10"/>
        </w:numPr>
        <w:spacing w:after="0" w:afterAutospacing="0" w:before="0" w:beforeAutospacing="0" w:line="276" w:lineRule="auto"/>
        <w:ind w:left="720" w:hanging="360"/>
      </w:pPr>
      <w:r w:rsidDel="00000000" w:rsidR="00000000" w:rsidRPr="00000000">
        <w:rPr>
          <w:rtl w:val="0"/>
        </w:rPr>
        <w:t xml:space="preserve">The Governance Lane's extended evaluation has cleared the five-layer enforcement architecture in full — schema validation, cryptographic integrity, hardware enforcement, governance quorum, and regulatory nexus</w:t>
      </w:r>
    </w:p>
    <w:p w:rsidR="00000000" w:rsidDel="00000000" w:rsidP="00000000" w:rsidRDefault="00000000" w:rsidRPr="00000000" w14:paraId="000001C9">
      <w:pPr>
        <w:numPr>
          <w:ilvl w:val="0"/>
          <w:numId w:val="10"/>
        </w:numPr>
        <w:spacing w:after="0" w:afterAutospacing="0" w:before="0" w:beforeAutospacing="0" w:line="276" w:lineRule="auto"/>
        <w:ind w:left="720" w:hanging="360"/>
      </w:pPr>
      <w:r w:rsidDel="00000000" w:rsidR="00000000" w:rsidRPr="00000000">
        <w:rPr>
          <w:rtl w:val="0"/>
        </w:rPr>
        <w:t xml:space="preserve">The Tri-Cameral chambers have provided the required signatures at the quorum level mandated by the proposal's constitutional classification</w:t>
      </w:r>
    </w:p>
    <w:p w:rsidR="00000000" w:rsidDel="00000000" w:rsidP="00000000" w:rsidRDefault="00000000" w:rsidRPr="00000000" w14:paraId="000001CA">
      <w:pPr>
        <w:numPr>
          <w:ilvl w:val="0"/>
          <w:numId w:val="10"/>
        </w:numPr>
        <w:spacing w:after="240" w:before="0" w:beforeAutospacing="0" w:line="276" w:lineRule="auto"/>
        <w:ind w:left="720" w:hanging="360"/>
      </w:pPr>
      <w:r w:rsidDel="00000000" w:rsidR="00000000" w:rsidRPr="00000000">
        <w:rPr>
          <w:rtl w:val="0"/>
        </w:rPr>
        <w:t xml:space="preserve">The FPT's Merkle root cross-validates against the PPT's Merkle root — confirming that the FPT references the same evidentiary context that authorized the PPT</w:t>
      </w:r>
    </w:p>
    <w:p w:rsidR="00000000" w:rsidDel="00000000" w:rsidP="00000000" w:rsidRDefault="00000000" w:rsidRPr="00000000" w14:paraId="000001CB">
      <w:pPr>
        <w:spacing w:after="240" w:before="240" w:line="276" w:lineRule="auto"/>
        <w:rPr/>
      </w:pPr>
      <w:r w:rsidDel="00000000" w:rsidR="00000000" w:rsidRPr="00000000">
        <w:rPr>
          <w:rtl w:val="0"/>
        </w:rPr>
        <w:t xml:space="preserve">The FPT is delivered to the hardware's FPT intake — a dedicated reception circuit at the Gateway — where it is verified before being accepted. Verification includes: signature check against the Governance Lane's master key, Merkle root cross-validation against the originating PPT, nonce confirmation against the PPT's nonce, and temporal confirmation that the FPT has arrived before </w:t>
      </w:r>
      <w:r w:rsidDel="00000000" w:rsidR="00000000" w:rsidRPr="00000000">
        <w:rPr>
          <w:rFonts w:ascii="Roboto Mono" w:cs="Roboto Mono" w:eastAsia="Roboto Mono" w:hAnsi="Roboto Mono"/>
          <w:color w:val="188038"/>
          <w:rtl w:val="0"/>
        </w:rPr>
        <w:t xml:space="preserve">provisionalExpiry</w:t>
      </w:r>
      <w:r w:rsidDel="00000000" w:rsidR="00000000" w:rsidRPr="00000000">
        <w:rPr>
          <w:rtl w:val="0"/>
        </w:rPr>
        <w:t xml:space="preserve">. If all verifications pass, the system transitions to State 2. If any verification fails, the FPT is rejected and the system remains in State 1 until either a valid FPT arrives or </w:t>
      </w:r>
      <w:r w:rsidDel="00000000" w:rsidR="00000000" w:rsidRPr="00000000">
        <w:rPr>
          <w:rFonts w:ascii="Roboto Mono" w:cs="Roboto Mono" w:eastAsia="Roboto Mono" w:hAnsi="Roboto Mono"/>
          <w:color w:val="188038"/>
          <w:rtl w:val="0"/>
        </w:rPr>
        <w:t xml:space="preserve">provisionalExpiry</w:t>
      </w:r>
      <w:r w:rsidDel="00000000" w:rsidR="00000000" w:rsidRPr="00000000">
        <w:rPr>
          <w:rtl w:val="0"/>
        </w:rPr>
        <w:t xml:space="preserve"> fires.</w:t>
      </w:r>
    </w:p>
    <w:p w:rsidR="00000000" w:rsidDel="00000000" w:rsidP="00000000" w:rsidRDefault="00000000" w:rsidRPr="00000000" w14:paraId="000001CC">
      <w:pPr>
        <w:spacing w:after="240" w:before="240" w:line="276" w:lineRule="auto"/>
        <w:rPr/>
      </w:pPr>
      <w:r w:rsidDel="00000000" w:rsidR="00000000" w:rsidRPr="00000000">
        <w:rPr>
          <w:rtl w:val="0"/>
        </w:rPr>
        <w:t xml:space="preserve">An FPT that arrives after </w:t>
      </w:r>
      <w:r w:rsidDel="00000000" w:rsidR="00000000" w:rsidRPr="00000000">
        <w:rPr>
          <w:rFonts w:ascii="Roboto Mono" w:cs="Roboto Mono" w:eastAsia="Roboto Mono" w:hAnsi="Roboto Mono"/>
          <w:color w:val="188038"/>
          <w:rtl w:val="0"/>
        </w:rPr>
        <w:t xml:space="preserve">provisionalExpiry</w:t>
      </w:r>
      <w:r w:rsidDel="00000000" w:rsidR="00000000" w:rsidRPr="00000000">
        <w:rPr>
          <w:rtl w:val="0"/>
        </w:rPr>
        <w:t xml:space="preserve"> has fired must be rejected unconditionally. The hardware watchdog's expiry event is non-reversible: once State 0 has been asserted by the watchdog, the execution path is closed. The late FPT is logged, but it does not re-authorize execution. A fresh proposal must be submitted, a new PPT issued, and the full authorization cycle repeated. This is not a system failure. It is the constitutional guarantee that no proposal remains in provisional execution indefinitely. Every proposal either achieves finality within its authorized window or returns to Epistemic Hold — and the record of both outcomes is preserved in the Immutable Ledger.</w:t>
      </w:r>
    </w:p>
    <w:p w:rsidR="00000000" w:rsidDel="00000000" w:rsidP="00000000" w:rsidRDefault="00000000" w:rsidRPr="00000000" w14:paraId="000001CD">
      <w:pPr>
        <w:spacing w:after="240" w:before="240" w:line="276" w:lineRule="auto"/>
        <w:rPr/>
      </w:pPr>
      <w:r w:rsidDel="00000000" w:rsidR="00000000" w:rsidRPr="00000000">
        <w:rPr>
          <w:rtl w:val="0"/>
        </w:rPr>
        <w:t xml:space="preserve">The FPT's latency is not TL's specification. TL specifies that the FPT must exist and must be cryptographically verifiable. The mechanism, infrastructure, and latency of the extended evaluation path are operator-configured for each deployment domain. A financial market infrastructure deployment may anchor to a permissioned ledger with 300-millisecond confirmation. An AI governance deployment may route FPT confirmation through a human oversight review with operator-defined latency. An autonomous system deployment in a safety-critical context may require FPT arrival before any actuation occurs — eliminating provisional execution entirely for that action class. The constitutional requirement is invariant: finality must be confirmed before State 2 is reached. The path to finality is operator-governed within the constitutional boundaries.</w:t>
      </w:r>
    </w:p>
    <w:p w:rsidR="00000000" w:rsidDel="00000000" w:rsidP="00000000" w:rsidRDefault="00000000" w:rsidRPr="00000000" w14:paraId="000001CE">
      <w:pPr>
        <w:pStyle w:val="Heading2"/>
        <w:keepNext w:val="0"/>
        <w:keepLines w:val="0"/>
        <w:spacing w:after="80" w:line="276" w:lineRule="auto"/>
        <w:rPr>
          <w:b w:val="1"/>
          <w:bCs w:val="1"/>
          <w:sz w:val="34"/>
          <w:szCs w:val="34"/>
        </w:rPr>
      </w:pPr>
      <w:bookmarkStart w:colFirst="0" w:colLast="0" w:name="_1q52nm1848vo" w:id="40"/>
      <w:bookmarkEnd w:id="40"/>
      <w:r w:rsidDel="00000000" w:rsidR="00000000" w:rsidRPr="00000000">
        <w:rPr>
          <w:b w:val="1"/>
          <w:bCs w:val="1"/>
          <w:sz w:val="34"/>
          <w:szCs w:val="34"/>
          <w:rtl w:val="0"/>
        </w:rPr>
        <w:t xml:space="preserve">3.8 The TLResult Object</w:t>
      </w:r>
    </w:p>
    <w:p w:rsidR="00000000" w:rsidDel="00000000" w:rsidP="00000000" w:rsidRDefault="00000000" w:rsidRPr="00000000" w14:paraId="000001CF">
      <w:pPr>
        <w:spacing w:after="240" w:before="240" w:line="276" w:lineRule="auto"/>
        <w:rPr>
          <w:color w:val="1155cc"/>
          <w:u w:val="single"/>
        </w:rPr>
      </w:pPr>
      <w:r w:rsidDel="00000000" w:rsidR="00000000" w:rsidRPr="00000000">
        <w:rPr>
          <w:rtl w:val="0"/>
        </w:rPr>
        <w:t xml:space="preserve">The output of the Governance Lane evaluation is the </w:t>
      </w:r>
      <w:r w:rsidDel="00000000" w:rsidR="00000000" w:rsidRPr="00000000">
        <w:rPr>
          <w:rFonts w:ascii="Roboto Mono" w:cs="Roboto Mono" w:eastAsia="Roboto Mono" w:hAnsi="Roboto Mono"/>
          <w:color w:val="188038"/>
          <w:rtl w:val="0"/>
        </w:rPr>
        <w:t xml:space="preserve">TLResult</w:t>
      </w:r>
      <w:r w:rsidDel="00000000" w:rsidR="00000000" w:rsidRPr="00000000">
        <w:rPr>
          <w:rtl w:val="0"/>
        </w:rPr>
        <w:t xml:space="preserve"> object. This is the structured encapsulation of the triadic state determination and the primary interface between the Governance Lane and all downstream systems.</w:t>
      </w:r>
      <w:hyperlink r:id="rId218">
        <w:r w:rsidDel="00000000" w:rsidR="00000000" w:rsidRPr="00000000">
          <w:rPr>
            <w:rtl w:val="0"/>
          </w:rPr>
          <w:t xml:space="preserve"> </w:t>
        </w:r>
      </w:hyperlink>
      <w:hyperlink r:id="rId219">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D0">
      <w:pPr>
        <w:spacing w:after="240" w:before="240" w:line="276"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TLResult</w:t>
      </w:r>
      <w:r w:rsidDel="00000000" w:rsidR="00000000" w:rsidRPr="00000000">
        <w:rPr>
          <w:rtl w:val="0"/>
        </w:rPr>
        <w:t xml:space="preserve"> contains:</w:t>
      </w:r>
    </w:p>
    <w:p w:rsidR="00000000" w:rsidDel="00000000" w:rsidP="00000000" w:rsidRDefault="00000000" w:rsidRPr="00000000" w14:paraId="000001D1">
      <w:pPr>
        <w:numPr>
          <w:ilvl w:val="0"/>
          <w:numId w:val="11"/>
        </w:numPr>
        <w:spacing w:after="0" w:afterAutospacing="0" w:before="240" w:line="276" w:lineRule="auto"/>
        <w:ind w:left="720" w:hanging="360"/>
      </w:pPr>
      <w:r w:rsidDel="00000000" w:rsidR="00000000" w:rsidRPr="00000000">
        <w:rPr>
          <w:rFonts w:ascii="Roboto Mono" w:cs="Roboto Mono" w:eastAsia="Roboto Mono" w:hAnsi="Roboto Mono"/>
          <w:b w:val="1"/>
          <w:bCs w:val="1"/>
          <w:color w:val="188038"/>
          <w:rtl w:val="0"/>
        </w:rPr>
        <w:t xml:space="preserve">state</w:t>
      </w:r>
      <w:r w:rsidDel="00000000" w:rsidR="00000000" w:rsidRPr="00000000">
        <w:rPr>
          <w:rtl w:val="0"/>
        </w:rPr>
        <w:t xml:space="preserve">: holding one of three string values — </w:t>
      </w:r>
      <w:r w:rsidDel="00000000" w:rsidR="00000000" w:rsidRPr="00000000">
        <w:rPr>
          <w:rFonts w:ascii="Roboto Mono" w:cs="Roboto Mono" w:eastAsia="Roboto Mono" w:hAnsi="Roboto Mono"/>
          <w:color w:val="188038"/>
          <w:rtl w:val="0"/>
        </w:rPr>
        <w:t xml:space="preserve">"Proceed"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"Refuse"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"EpistemicHold"</w:t>
      </w:r>
    </w:p>
    <w:p w:rsidR="00000000" w:rsidDel="00000000" w:rsidP="00000000" w:rsidRDefault="00000000" w:rsidRPr="00000000" w14:paraId="000001D2">
      <w:pPr>
        <w:numPr>
          <w:ilvl w:val="0"/>
          <w:numId w:val="11"/>
        </w:numPr>
        <w:spacing w:after="0" w:afterAutospacing="0" w:before="0" w:beforeAutospacing="0" w:line="276" w:lineRule="auto"/>
        <w:ind w:left="720" w:hanging="360"/>
      </w:pPr>
      <w:r w:rsidDel="00000000" w:rsidR="00000000" w:rsidRPr="00000000">
        <w:rPr>
          <w:rFonts w:ascii="Roboto Mono" w:cs="Roboto Mono" w:eastAsia="Roboto Mono" w:hAnsi="Roboto Mono"/>
          <w:b w:val="1"/>
          <w:bCs w:val="1"/>
          <w:color w:val="188038"/>
          <w:rtl w:val="0"/>
        </w:rPr>
        <w:t xml:space="preserve">decision_log_id</w:t>
      </w:r>
      <w:r w:rsidDel="00000000" w:rsidR="00000000" w:rsidRPr="00000000">
        <w:rPr>
          <w:rtl w:val="0"/>
        </w:rPr>
        <w:t xml:space="preserve">: the unique cryptographic identifier of the Decision Log generated during evaluation</w:t>
      </w:r>
    </w:p>
    <w:p w:rsidR="00000000" w:rsidDel="00000000" w:rsidP="00000000" w:rsidRDefault="00000000" w:rsidRPr="00000000" w14:paraId="000001D3">
      <w:pPr>
        <w:numPr>
          <w:ilvl w:val="0"/>
          <w:numId w:val="11"/>
        </w:numPr>
        <w:spacing w:after="0" w:afterAutospacing="0" w:before="0" w:beforeAutospacing="0" w:line="276" w:lineRule="auto"/>
        <w:ind w:left="720" w:hanging="360"/>
      </w:pPr>
      <w:r w:rsidDel="00000000" w:rsidR="00000000" w:rsidRPr="00000000">
        <w:rPr>
          <w:rFonts w:ascii="Roboto Mono" w:cs="Roboto Mono" w:eastAsia="Roboto Mono" w:hAnsi="Roboto Mono"/>
          <w:b w:val="1"/>
          <w:bCs w:val="1"/>
          <w:color w:val="188038"/>
          <w:rtl w:val="0"/>
        </w:rPr>
        <w:t xml:space="preserve">permission_token</w:t>
      </w:r>
      <w:r w:rsidDel="00000000" w:rsidR="00000000" w:rsidRPr="00000000">
        <w:rPr>
          <w:rtl w:val="0"/>
        </w:rPr>
        <w:t xml:space="preserve">: present only when </w:t>
      </w: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equals </w:t>
      </w:r>
      <w:r w:rsidDel="00000000" w:rsidR="00000000" w:rsidRPr="00000000">
        <w:rPr>
          <w:rFonts w:ascii="Roboto Mono" w:cs="Roboto Mono" w:eastAsia="Roboto Mono" w:hAnsi="Roboto Mono"/>
          <w:color w:val="188038"/>
          <w:rtl w:val="0"/>
        </w:rPr>
        <w:t xml:space="preserve">"Proceed"</w:t>
      </w:r>
      <w:r w:rsidDel="00000000" w:rsidR="00000000" w:rsidRPr="00000000">
        <w:rPr>
          <w:rtl w:val="0"/>
        </w:rPr>
        <w:t xml:space="preserve">, containing the cryptographically signed authorization for Gateway opening; governed by the </w:t>
      </w:r>
      <w:r w:rsidDel="00000000" w:rsidR="00000000" w:rsidRPr="00000000">
        <w:rPr>
          <w:rFonts w:ascii="Roboto Mono" w:cs="Roboto Mono" w:eastAsia="Roboto Mono" w:hAnsi="Roboto Mono"/>
          <w:color w:val="188038"/>
          <w:rtl w:val="0"/>
        </w:rPr>
        <w:t xml:space="preserve">if/then</w:t>
      </w:r>
      <w:r w:rsidDel="00000000" w:rsidR="00000000" w:rsidRPr="00000000">
        <w:rPr>
          <w:rtl w:val="0"/>
        </w:rPr>
        <w:t xml:space="preserve"> constraint in </w:t>
      </w:r>
      <w:r w:rsidDel="00000000" w:rsidR="00000000" w:rsidRPr="00000000">
        <w:rPr>
          <w:rFonts w:ascii="Roboto Mono" w:cs="Roboto Mono" w:eastAsia="Roboto Mono" w:hAnsi="Roboto Mono"/>
          <w:color w:val="188038"/>
          <w:rtl w:val="0"/>
        </w:rPr>
        <w:t xml:space="preserve">StateEnvelope_v1_0_0</w:t>
      </w:r>
      <w:r w:rsidDel="00000000" w:rsidR="00000000" w:rsidRPr="00000000">
        <w:rPr>
          <w:rtl w:val="0"/>
        </w:rPr>
        <w:t xml:space="preserve"> that makes </w:t>
      </w:r>
      <w:r w:rsidDel="00000000" w:rsidR="00000000" w:rsidRPr="00000000">
        <w:rPr>
          <w:rFonts w:ascii="Roboto Mono" w:cs="Roboto Mono" w:eastAsia="Roboto Mono" w:hAnsi="Roboto Mono"/>
          <w:color w:val="188038"/>
          <w:rtl w:val="0"/>
        </w:rPr>
        <w:t xml:space="preserve">permissionToken</w:t>
      </w:r>
      <w:r w:rsidDel="00000000" w:rsidR="00000000" w:rsidRPr="00000000">
        <w:rPr>
          <w:rtl w:val="0"/>
        </w:rPr>
        <w:t xml:space="preserve"> required when </w:t>
      </w:r>
      <w:r w:rsidDel="00000000" w:rsidR="00000000" w:rsidRPr="00000000">
        <w:rPr>
          <w:rFonts w:ascii="Roboto Mono" w:cs="Roboto Mono" w:eastAsia="Roboto Mono" w:hAnsi="Roboto Mono"/>
          <w:color w:val="188038"/>
          <w:rtl w:val="0"/>
        </w:rPr>
        <w:t xml:space="preserve">currentState</w:t>
      </w:r>
      <w:r w:rsidDel="00000000" w:rsidR="00000000" w:rsidRPr="00000000">
        <w:rPr>
          <w:rtl w:val="0"/>
        </w:rPr>
        <w:t xml:space="preserve"> equals </w:t>
      </w:r>
      <w:r w:rsidDel="00000000" w:rsidR="00000000" w:rsidRPr="00000000">
        <w:rPr>
          <w:rFonts w:ascii="Roboto Mono" w:cs="Roboto Mono" w:eastAsia="Roboto Mono" w:hAnsi="Roboto Mono"/>
          <w:color w:val="188038"/>
          <w:rtl w:val="0"/>
        </w:rPr>
        <w:t xml:space="preserve">1</w:t>
      </w:r>
    </w:p>
    <w:p w:rsidR="00000000" w:rsidDel="00000000" w:rsidP="00000000" w:rsidRDefault="00000000" w:rsidRPr="00000000" w14:paraId="000001D4">
      <w:pPr>
        <w:numPr>
          <w:ilvl w:val="0"/>
          <w:numId w:val="11"/>
        </w:numPr>
        <w:spacing w:after="0" w:afterAutospacing="0" w:before="0" w:beforeAutospacing="0" w:line="276" w:lineRule="auto"/>
        <w:ind w:left="720" w:hanging="360"/>
      </w:pPr>
      <w:r w:rsidDel="00000000" w:rsidR="00000000" w:rsidRPr="00000000">
        <w:rPr>
          <w:rFonts w:ascii="Roboto Mono" w:cs="Roboto Mono" w:eastAsia="Roboto Mono" w:hAnsi="Roboto Mono"/>
          <w:b w:val="1"/>
          <w:bCs w:val="1"/>
          <w:color w:val="188038"/>
          <w:rtl w:val="0"/>
        </w:rPr>
        <w:t xml:space="preserve">constitutional_basis</w:t>
      </w:r>
      <w:r w:rsidDel="00000000" w:rsidR="00000000" w:rsidRPr="00000000">
        <w:rPr>
          <w:rtl w:val="0"/>
        </w:rPr>
        <w:t xml:space="preserve">: a structured reference to the specific schema version, Pillar canonical identifier, and regulatory nexus provision that governed the evaluation</w:t>
      </w:r>
    </w:p>
    <w:p w:rsidR="00000000" w:rsidDel="00000000" w:rsidP="00000000" w:rsidRDefault="00000000" w:rsidRPr="00000000" w14:paraId="000001D5">
      <w:pPr>
        <w:numPr>
          <w:ilvl w:val="0"/>
          <w:numId w:val="11"/>
        </w:numPr>
        <w:spacing w:after="240" w:before="0" w:beforeAutospacing="0" w:line="276" w:lineRule="auto"/>
        <w:ind w:left="720" w:hanging="360"/>
      </w:pPr>
      <w:r w:rsidDel="00000000" w:rsidR="00000000" w:rsidRPr="00000000">
        <w:rPr>
          <w:rFonts w:ascii="Roboto Mono" w:cs="Roboto Mono" w:eastAsia="Roboto Mono" w:hAnsi="Roboto Mono"/>
          <w:b w:val="1"/>
          <w:bCs w:val="1"/>
          <w:color w:val="188038"/>
          <w:rtl w:val="0"/>
        </w:rPr>
        <w:t xml:space="preserve">timestamp</w:t>
      </w:r>
      <w:r w:rsidDel="00000000" w:rsidR="00000000" w:rsidRPr="00000000">
        <w:rPr>
          <w:rtl w:val="0"/>
        </w:rPr>
        <w:t xml:space="preserve">: generated by a hardware-bound clock resistant to system-time manipulation; the </w:t>
      </w:r>
      <w:r w:rsidDel="00000000" w:rsidR="00000000" w:rsidRPr="00000000">
        <w:rPr>
          <w:rFonts w:ascii="Roboto Mono" w:cs="Roboto Mono" w:eastAsia="Roboto Mono" w:hAnsi="Roboto Mono"/>
          <w:color w:val="188038"/>
          <w:rtl w:val="0"/>
        </w:rPr>
        <w:t xml:space="preserve">X-TL-Trace-Id</w:t>
      </w:r>
      <w:r w:rsidDel="00000000" w:rsidR="00000000" w:rsidRPr="00000000">
        <w:rPr>
          <w:rtl w:val="0"/>
        </w:rPr>
        <w:t xml:space="preserve"> header links this result to the originating Inference Lane request</w:t>
      </w:r>
      <w:hyperlink r:id="rId220">
        <w:r w:rsidDel="00000000" w:rsidR="00000000" w:rsidRPr="00000000">
          <w:rPr>
            <w:rtl w:val="0"/>
          </w:rPr>
          <w:t xml:space="preserve"> </w:t>
        </w:r>
      </w:hyperlink>
      <w:hyperlink r:id="rId221">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D6">
      <w:pPr>
        <w:spacing w:after="240" w:before="240" w:line="276"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TLResult</w:t>
      </w:r>
      <w:r w:rsidDel="00000000" w:rsidR="00000000" w:rsidRPr="00000000">
        <w:rPr>
          <w:rtl w:val="0"/>
        </w:rPr>
        <w:t xml:space="preserve"> object is immutable once generated. Missing any Tri-Cameral chamber signature causes the Gateway to remain in Epistemic Hold, regardless of the </w:t>
      </w: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field value.</w:t>
      </w:r>
    </w:p>
    <w:p w:rsidR="00000000" w:rsidDel="00000000" w:rsidP="00000000" w:rsidRDefault="00000000" w:rsidRPr="00000000" w14:paraId="000001D7">
      <w:pPr>
        <w:spacing w:after="240" w:before="240" w:line="276" w:lineRule="auto"/>
        <w:rPr>
          <w:color w:val="1155cc"/>
          <w:u w:val="single"/>
        </w:rPr>
      </w:pPr>
      <w:r w:rsidDel="00000000" w:rsidR="00000000" w:rsidRPr="00000000">
        <w:rPr>
          <w:rtl w:val="0"/>
        </w:rPr>
        <w:t xml:space="preserve">When the </w:t>
      </w:r>
      <w:r w:rsidDel="00000000" w:rsidR="00000000" w:rsidRPr="00000000">
        <w:rPr>
          <w:rFonts w:ascii="Roboto Mono" w:cs="Roboto Mono" w:eastAsia="Roboto Mono" w:hAnsi="Roboto Mono"/>
          <w:color w:val="188038"/>
          <w:rtl w:val="0"/>
        </w:rPr>
        <w:t xml:space="preserve">TLResult</w:t>
      </w:r>
      <w:r w:rsidDel="00000000" w:rsidR="00000000" w:rsidRPr="00000000">
        <w:rPr>
          <w:rtl w:val="0"/>
        </w:rPr>
        <w:t xml:space="preserve"> state is </w:t>
      </w:r>
      <w:r w:rsidDel="00000000" w:rsidR="00000000" w:rsidRPr="00000000">
        <w:rPr>
          <w:rFonts w:ascii="Roboto Mono" w:cs="Roboto Mono" w:eastAsia="Roboto Mono" w:hAnsi="Roboto Mono"/>
          <w:b w:val="1"/>
          <w:bCs w:val="1"/>
          <w:color w:val="188038"/>
          <w:rtl w:val="0"/>
        </w:rPr>
        <w:t xml:space="preserve">"Proceed"</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permission_token</w:t>
      </w:r>
      <w:r w:rsidDel="00000000" w:rsidR="00000000" w:rsidRPr="00000000">
        <w:rPr>
          <w:rtl w:val="0"/>
        </w:rPr>
        <w:t xml:space="preserve"> — carrying the PPT — is delivered to the C-element's hardware input. The C-element releases Epistemic Hold, and the system enters State 1. Simultaneously, the extended constitutional evaluation is dispatched. The </w:t>
      </w:r>
      <w:r w:rsidDel="00000000" w:rsidR="00000000" w:rsidRPr="00000000">
        <w:rPr>
          <w:rFonts w:ascii="Roboto Mono" w:cs="Roboto Mono" w:eastAsia="Roboto Mono" w:hAnsi="Roboto Mono"/>
          <w:color w:val="188038"/>
          <w:rtl w:val="0"/>
        </w:rPr>
        <w:t xml:space="preserve">TLResult</w:t>
      </w:r>
      <w:r w:rsidDel="00000000" w:rsidR="00000000" w:rsidRPr="00000000">
        <w:rPr>
          <w:rtl w:val="0"/>
        </w:rPr>
        <w:t xml:space="preserve"> carries the </w:t>
      </w:r>
      <w:r w:rsidDel="00000000" w:rsidR="00000000" w:rsidRPr="00000000">
        <w:rPr>
          <w:rFonts w:ascii="Roboto Mono" w:cs="Roboto Mono" w:eastAsia="Roboto Mono" w:hAnsi="Roboto Mono"/>
          <w:color w:val="188038"/>
          <w:rtl w:val="0"/>
        </w:rPr>
        <w:t xml:space="preserve">provisionalExpiry</w:t>
      </w:r>
      <w:r w:rsidDel="00000000" w:rsidR="00000000" w:rsidRPr="00000000">
        <w:rPr>
          <w:rtl w:val="0"/>
        </w:rPr>
        <w:t xml:space="preserve"> bound, which the hardware watchdog is initialized to at the moment of PPT delivery.</w:t>
      </w:r>
      <w:hyperlink r:id="rId222">
        <w:r w:rsidDel="00000000" w:rsidR="00000000" w:rsidRPr="00000000">
          <w:rPr>
            <w:rtl w:val="0"/>
          </w:rPr>
          <w:t xml:space="preserve"> </w:t>
        </w:r>
      </w:hyperlink>
      <w:hyperlink r:id="rId223">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1D8">
      <w:pPr>
        <w:spacing w:after="240" w:before="240" w:line="276" w:lineRule="auto"/>
        <w:rPr>
          <w:color w:val="1155cc"/>
          <w:u w:val="single"/>
        </w:rPr>
      </w:pPr>
      <w:r w:rsidDel="00000000" w:rsidR="00000000" w:rsidRPr="00000000">
        <w:rPr>
          <w:rtl w:val="0"/>
        </w:rPr>
        <w:t xml:space="preserve">When the </w:t>
      </w:r>
      <w:r w:rsidDel="00000000" w:rsidR="00000000" w:rsidRPr="00000000">
        <w:rPr>
          <w:rFonts w:ascii="Roboto Mono" w:cs="Roboto Mono" w:eastAsia="Roboto Mono" w:hAnsi="Roboto Mono"/>
          <w:color w:val="188038"/>
          <w:rtl w:val="0"/>
        </w:rPr>
        <w:t xml:space="preserve">TLResult</w:t>
      </w:r>
      <w:r w:rsidDel="00000000" w:rsidR="00000000" w:rsidRPr="00000000">
        <w:rPr>
          <w:rtl w:val="0"/>
        </w:rPr>
        <w:t xml:space="preserve"> state is </w:t>
      </w:r>
      <w:r w:rsidDel="00000000" w:rsidR="00000000" w:rsidRPr="00000000">
        <w:rPr>
          <w:rFonts w:ascii="Roboto Mono" w:cs="Roboto Mono" w:eastAsia="Roboto Mono" w:hAnsi="Roboto Mono"/>
          <w:b w:val="1"/>
          <w:bCs w:val="1"/>
          <w:color w:val="188038"/>
          <w:rtl w:val="0"/>
        </w:rPr>
        <w:t xml:space="preserve">"Refuse"</w:t>
      </w:r>
      <w:r w:rsidDel="00000000" w:rsidR="00000000" w:rsidRPr="00000000">
        <w:rPr>
          <w:rtl w:val="0"/>
        </w:rPr>
        <w:t xml:space="preserve">, the proposal is permanently blocked. The </w:t>
      </w:r>
      <w:r w:rsidDel="00000000" w:rsidR="00000000" w:rsidRPr="00000000">
        <w:rPr>
          <w:rFonts w:ascii="Roboto Mono" w:cs="Roboto Mono" w:eastAsia="Roboto Mono" w:hAnsi="Roboto Mono"/>
          <w:color w:val="188038"/>
          <w:rtl w:val="0"/>
        </w:rPr>
        <w:t xml:space="preserve">TLResult</w:t>
      </w:r>
      <w:r w:rsidDel="00000000" w:rsidR="00000000" w:rsidRPr="00000000">
        <w:rPr>
          <w:rtl w:val="0"/>
        </w:rPr>
        <w:t xml:space="preserve"> contains the </w:t>
      </w:r>
      <w:r w:rsidDel="00000000" w:rsidR="00000000" w:rsidRPr="00000000">
        <w:rPr>
          <w:rFonts w:ascii="Roboto Mono" w:cs="Roboto Mono" w:eastAsia="Roboto Mono" w:hAnsi="Roboto Mono"/>
          <w:color w:val="188038"/>
          <w:rtl w:val="0"/>
        </w:rPr>
        <w:t xml:space="preserve">refuse_reason</w:t>
      </w:r>
      <w:r w:rsidDel="00000000" w:rsidR="00000000" w:rsidRPr="00000000">
        <w:rPr>
          <w:rtl w:val="0"/>
        </w:rPr>
        <w:t xml:space="preserve"> field — a structured enumeration of the constitutional gate violated, referencing the specific Pillar canonical identifier, schema clause, or regulatory nexus provision. The </w:t>
      </w:r>
      <w:r w:rsidDel="00000000" w:rsidR="00000000" w:rsidRPr="00000000">
        <w:rPr>
          <w:rFonts w:ascii="Roboto Mono" w:cs="Roboto Mono" w:eastAsia="Roboto Mono" w:hAnsi="Roboto Mono"/>
          <w:color w:val="188038"/>
          <w:rtl w:val="0"/>
        </w:rPr>
        <w:t xml:space="preserve">refusalIsPermanent: true</w:t>
      </w:r>
      <w:r w:rsidDel="00000000" w:rsidR="00000000" w:rsidRPr="00000000">
        <w:rPr>
          <w:rtl w:val="0"/>
        </w:rPr>
        <w:t xml:space="preserve"> default is enforced at the API layer. At the smart contract layer, </w:t>
      </w:r>
      <w:r w:rsidDel="00000000" w:rsidR="00000000" w:rsidRPr="00000000">
        <w:rPr>
          <w:rFonts w:ascii="Roboto Mono" w:cs="Roboto Mono" w:eastAsia="Roboto Mono" w:hAnsi="Roboto Mono"/>
          <w:color w:val="188038"/>
          <w:rtl w:val="0"/>
        </w:rPr>
        <w:t xml:space="preserve">ABI.InvalidResolutionState</w:t>
      </w:r>
      <w:r w:rsidDel="00000000" w:rsidR="00000000" w:rsidRPr="00000000">
        <w:rPr>
          <w:rtl w:val="0"/>
        </w:rPr>
        <w:t xml:space="preserve"> prevents any attempt to convert a Refuse determination into Proceed without full re-evaluation.</w:t>
      </w:r>
      <w:hyperlink r:id="rId224">
        <w:r w:rsidDel="00000000" w:rsidR="00000000" w:rsidRPr="00000000">
          <w:rPr>
            <w:rtl w:val="0"/>
          </w:rPr>
          <w:t xml:space="preserve"> </w:t>
        </w:r>
      </w:hyperlink>
      <w:hyperlink r:id="rId225">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D9">
      <w:pPr>
        <w:spacing w:after="240" w:before="240" w:line="276" w:lineRule="auto"/>
        <w:rPr>
          <w:color w:val="1155cc"/>
          <w:u w:val="single"/>
        </w:rPr>
      </w:pPr>
      <w:r w:rsidDel="00000000" w:rsidR="00000000" w:rsidRPr="00000000">
        <w:rPr>
          <w:rtl w:val="0"/>
        </w:rPr>
        <w:t xml:space="preserve">When the </w:t>
      </w:r>
      <w:r w:rsidDel="00000000" w:rsidR="00000000" w:rsidRPr="00000000">
        <w:rPr>
          <w:rFonts w:ascii="Roboto Mono" w:cs="Roboto Mono" w:eastAsia="Roboto Mono" w:hAnsi="Roboto Mono"/>
          <w:color w:val="188038"/>
          <w:rtl w:val="0"/>
        </w:rPr>
        <w:t xml:space="preserve">TLResult</w:t>
      </w:r>
      <w:r w:rsidDel="00000000" w:rsidR="00000000" w:rsidRPr="00000000">
        <w:rPr>
          <w:rtl w:val="0"/>
        </w:rPr>
        <w:t xml:space="preserve"> state is </w:t>
      </w:r>
      <w:r w:rsidDel="00000000" w:rsidR="00000000" w:rsidRPr="00000000">
        <w:rPr>
          <w:rFonts w:ascii="Roboto Mono" w:cs="Roboto Mono" w:eastAsia="Roboto Mono" w:hAnsi="Roboto Mono"/>
          <w:b w:val="1"/>
          <w:bCs w:val="1"/>
          <w:color w:val="188038"/>
          <w:rtl w:val="0"/>
        </w:rPr>
        <w:t xml:space="preserve">"EpistemicHold"</w:t>
      </w:r>
      <w:r w:rsidDel="00000000" w:rsidR="00000000" w:rsidRPr="00000000">
        <w:rPr>
          <w:rtl w:val="0"/>
        </w:rPr>
        <w:t xml:space="preserve">, the full </w:t>
      </w:r>
      <w:r w:rsidDel="00000000" w:rsidR="00000000" w:rsidRPr="00000000">
        <w:rPr>
          <w:rFonts w:ascii="Roboto Mono" w:cs="Roboto Mono" w:eastAsia="Roboto Mono" w:hAnsi="Roboto Mono"/>
          <w:color w:val="188038"/>
          <w:rtl w:val="0"/>
        </w:rPr>
        <w:t xml:space="preserve">EscrowRecord_v1_0_0</w:t>
      </w:r>
      <w:r w:rsidDel="00000000" w:rsidR="00000000" w:rsidRPr="00000000">
        <w:rPr>
          <w:rtl w:val="0"/>
        </w:rPr>
        <w:t xml:space="preserve"> is populated: the </w:t>
      </w:r>
      <w:r w:rsidDel="00000000" w:rsidR="00000000" w:rsidRPr="00000000">
        <w:rPr>
          <w:rFonts w:ascii="Roboto Mono" w:cs="Roboto Mono" w:eastAsia="Roboto Mono" w:hAnsi="Roboto Mono"/>
          <w:color w:val="188038"/>
          <w:rtl w:val="0"/>
        </w:rPr>
        <w:t xml:space="preserve">hold_reason</w:t>
      </w:r>
      <w:r w:rsidDel="00000000" w:rsidR="00000000" w:rsidRPr="00000000">
        <w:rPr>
          <w:rtl w:val="0"/>
        </w:rPr>
        <w:t xml:space="preserve"> field identifying the specific evidentiary gap, the </w:t>
      </w:r>
      <w:r w:rsidDel="00000000" w:rsidR="00000000" w:rsidRPr="00000000">
        <w:rPr>
          <w:rFonts w:ascii="Roboto Mono" w:cs="Roboto Mono" w:eastAsia="Roboto Mono" w:hAnsi="Roboto Mono"/>
          <w:color w:val="188038"/>
          <w:rtl w:val="0"/>
        </w:rPr>
        <w:t xml:space="preserve">resolutionDeadline</w:t>
      </w:r>
      <w:r w:rsidDel="00000000" w:rsidR="00000000" w:rsidRPr="00000000">
        <w:rPr>
          <w:rtl w:val="0"/>
        </w:rPr>
        <w:t xml:space="preserve"> timestamp, and the </w:t>
      </w:r>
      <w:r w:rsidDel="00000000" w:rsidR="00000000" w:rsidRPr="00000000">
        <w:rPr>
          <w:rFonts w:ascii="Roboto Mono" w:cs="Roboto Mono" w:eastAsia="Roboto Mono" w:hAnsi="Roboto Mono"/>
          <w:color w:val="188038"/>
          <w:rtl w:val="0"/>
        </w:rPr>
        <w:t xml:space="preserve">requiredConditions</w:t>
      </w:r>
      <w:r w:rsidDel="00000000" w:rsidR="00000000" w:rsidRPr="00000000">
        <w:rPr>
          <w:rtl w:val="0"/>
        </w:rPr>
        <w:t xml:space="preserve"> array — a machine-readable specification of the documentation, data, or analysis needed to transition the proposal out of hold. The </w:t>
      </w:r>
      <w:r w:rsidDel="00000000" w:rsidR="00000000" w:rsidRPr="00000000">
        <w:rPr>
          <w:rFonts w:ascii="Roboto Mono" w:cs="Roboto Mono" w:eastAsia="Roboto Mono" w:hAnsi="Roboto Mono"/>
          <w:color w:val="188038"/>
          <w:rtl w:val="0"/>
        </w:rPr>
        <w:t xml:space="preserve">PATCH /epistemic-hold/escalations/{escalationId}</w:t>
      </w:r>
      <w:r w:rsidDel="00000000" w:rsidR="00000000" w:rsidRPr="00000000">
        <w:rPr>
          <w:rtl w:val="0"/>
        </w:rPr>
        <w:t xml:space="preserve"> endpoint accepts </w:t>
      </w:r>
      <w:r w:rsidDel="00000000" w:rsidR="00000000" w:rsidRPr="00000000">
        <w:rPr>
          <w:rFonts w:ascii="Roboto Mono" w:cs="Roboto Mono" w:eastAsia="Roboto Mono" w:hAnsi="Roboto Mono"/>
          <w:color w:val="188038"/>
          <w:rtl w:val="0"/>
        </w:rPr>
        <w:t xml:space="preserve">resolvedState</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enum [1, -1]</w:t>
      </w:r>
      <w:r w:rsidDel="00000000" w:rsidR="00000000" w:rsidRPr="00000000">
        <w:rPr>
          <w:rtl w:val="0"/>
        </w:rPr>
        <w:t xml:space="preserve"> only. State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is rejected at the HTTP layer. The Inference Lane must wait. It cannot force execution. It cannot retry the proposal automatically.</w:t>
      </w:r>
      <w:hyperlink r:id="rId226">
        <w:r w:rsidDel="00000000" w:rsidR="00000000" w:rsidRPr="00000000">
          <w:rPr>
            <w:rtl w:val="0"/>
          </w:rPr>
          <w:t xml:space="preserve"> </w:t>
        </w:r>
      </w:hyperlink>
      <w:hyperlink r:id="rId227">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DA">
      <w:pPr>
        <w:pStyle w:val="Heading2"/>
        <w:keepNext w:val="0"/>
        <w:keepLines w:val="0"/>
        <w:spacing w:after="80" w:line="276" w:lineRule="auto"/>
        <w:rPr>
          <w:b w:val="1"/>
          <w:bCs w:val="1"/>
          <w:sz w:val="34"/>
          <w:szCs w:val="34"/>
        </w:rPr>
      </w:pPr>
      <w:bookmarkStart w:colFirst="0" w:colLast="0" w:name="_765dhdwynwjj" w:id="41"/>
      <w:bookmarkEnd w:id="41"/>
      <w:r w:rsidDel="00000000" w:rsidR="00000000" w:rsidRPr="00000000">
        <w:rPr>
          <w:b w:val="1"/>
          <w:bCs w:val="1"/>
          <w:sz w:val="34"/>
          <w:szCs w:val="34"/>
          <w:rtl w:val="0"/>
        </w:rPr>
        <w:t xml:space="preserve">3.9 NL=NA Five-Layer Enforcement Architecture</w:t>
      </w:r>
    </w:p>
    <w:p w:rsidR="00000000" w:rsidDel="00000000" w:rsidP="00000000" w:rsidRDefault="00000000" w:rsidRPr="00000000" w14:paraId="000001DB">
      <w:pPr>
        <w:spacing w:after="240" w:before="240" w:line="276" w:lineRule="auto"/>
        <w:rPr>
          <w:color w:val="1155cc"/>
          <w:u w:val="single"/>
        </w:rPr>
      </w:pPr>
      <w:r w:rsidDel="00000000" w:rsidR="00000000" w:rsidRPr="00000000">
        <w:rPr>
          <w:rtl w:val="0"/>
        </w:rPr>
        <w:t xml:space="preserve">NL=NA is enforced through five distinct operational layers within the Dual-Lane Architecture. No proposal reaches execution unless it survives all five. A failure at any layer causes automatic termination of the execution path and generation of a failure Decision Log anchored to the Immutable Ledger.</w:t>
      </w:r>
      <w:hyperlink r:id="rId228">
        <w:r w:rsidDel="00000000" w:rsidR="00000000" w:rsidRPr="00000000">
          <w:rPr>
            <w:rtl w:val="0"/>
          </w:rPr>
          <w:t xml:space="preserve"> </w:t>
        </w:r>
      </w:hyperlink>
      <w:hyperlink r:id="rId229">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DC">
      <w:pPr>
        <w:spacing w:after="240" w:before="240" w:line="276" w:lineRule="auto"/>
        <w:rPr>
          <w:color w:val="1155cc"/>
          <w:u w:val="single"/>
        </w:rPr>
      </w:pPr>
      <w:r w:rsidDel="00000000" w:rsidR="00000000" w:rsidRPr="00000000">
        <w:rPr>
          <w:b w:val="1"/>
          <w:bCs w:val="1"/>
          <w:rtl w:val="0"/>
        </w:rPr>
        <w:t xml:space="preserve">Layer 1: Schema Validation.</w:t>
      </w:r>
      <w:r w:rsidDel="00000000" w:rsidR="00000000" w:rsidRPr="00000000">
        <w:rPr>
          <w:rtl w:val="0"/>
        </w:rPr>
        <w:t xml:space="preserve"> The syntactic gate. The Decision Proposal must conform exactly to the constitutional schema. In </w:t>
      </w:r>
      <w:r w:rsidDel="00000000" w:rsidR="00000000" w:rsidRPr="00000000">
        <w:rPr>
          <w:rFonts w:ascii="Roboto Mono" w:cs="Roboto Mono" w:eastAsia="Roboto Mono" w:hAnsi="Roboto Mono"/>
          <w:color w:val="188038"/>
          <w:rtl w:val="0"/>
        </w:rPr>
        <w:t xml:space="preserve">StateEnvelope_v1_0_0</w:t>
      </w:r>
      <w:r w:rsidDel="00000000" w:rsidR="00000000" w:rsidRPr="00000000">
        <w:rPr>
          <w:rtl w:val="0"/>
        </w:rPr>
        <w:t xml:space="preserve"> within </w:t>
      </w:r>
      <w:r w:rsidDel="00000000" w:rsidR="00000000" w:rsidRPr="00000000">
        <w:rPr>
          <w:rFonts w:ascii="Roboto Mono" w:cs="Roboto Mono" w:eastAsia="Roboto Mono" w:hAnsi="Roboto Mono"/>
          <w:color w:val="188038"/>
          <w:rtl w:val="0"/>
        </w:rPr>
        <w:t xml:space="preserve">tl_schema.json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if/then</w:t>
      </w:r>
      <w:r w:rsidDel="00000000" w:rsidR="00000000" w:rsidRPr="00000000">
        <w:rPr>
          <w:rtl w:val="0"/>
        </w:rPr>
        <w:t xml:space="preserve"> constraint makes </w:t>
      </w:r>
      <w:r w:rsidDel="00000000" w:rsidR="00000000" w:rsidRPr="00000000">
        <w:rPr>
          <w:rFonts w:ascii="Roboto Mono" w:cs="Roboto Mono" w:eastAsia="Roboto Mono" w:hAnsi="Roboto Mono"/>
          <w:color w:val="188038"/>
          <w:rtl w:val="0"/>
        </w:rPr>
        <w:t xml:space="preserve">permissionToken</w:t>
      </w:r>
      <w:r w:rsidDel="00000000" w:rsidR="00000000" w:rsidRPr="00000000">
        <w:rPr>
          <w:rtl w:val="0"/>
        </w:rPr>
        <w:t xml:space="preserve"> required when </w:t>
      </w:r>
      <w:r w:rsidDel="00000000" w:rsidR="00000000" w:rsidRPr="00000000">
        <w:rPr>
          <w:rFonts w:ascii="Roboto Mono" w:cs="Roboto Mono" w:eastAsia="Roboto Mono" w:hAnsi="Roboto Mono"/>
          <w:color w:val="188038"/>
          <w:rtl w:val="0"/>
        </w:rPr>
        <w:t xml:space="preserve">currentState</w:t>
      </w:r>
      <w:r w:rsidDel="00000000" w:rsidR="00000000" w:rsidRPr="00000000">
        <w:rPr>
          <w:rtl w:val="0"/>
        </w:rPr>
        <w:t xml:space="preserve"> equals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unevaluatedProperties: false</w:t>
      </w:r>
      <w:r w:rsidDel="00000000" w:rsidR="00000000" w:rsidRPr="00000000">
        <w:rPr>
          <w:rtl w:val="0"/>
        </w:rPr>
        <w:t xml:space="preserve"> keyword prevents bypass through additional properties. The schema validation engine operates as a dedicated microservice with its own computational resources and network segmentation, fully isolated from the Inference Lane. Schema violations are fatal blocks, not warnings.</w:t>
      </w:r>
      <w:hyperlink r:id="rId230">
        <w:r w:rsidDel="00000000" w:rsidR="00000000" w:rsidRPr="00000000">
          <w:rPr>
            <w:rtl w:val="0"/>
          </w:rPr>
          <w:t xml:space="preserve"> </w:t>
        </w:r>
      </w:hyperlink>
      <w:hyperlink r:id="rId231">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DD">
      <w:pPr>
        <w:spacing w:after="240" w:before="240" w:line="276" w:lineRule="auto"/>
        <w:rPr>
          <w:color w:val="1155cc"/>
          <w:u w:val="single"/>
        </w:rPr>
      </w:pPr>
      <w:r w:rsidDel="00000000" w:rsidR="00000000" w:rsidRPr="00000000">
        <w:rPr>
          <w:b w:val="1"/>
          <w:bCs w:val="1"/>
          <w:rtl w:val="0"/>
        </w:rPr>
        <w:t xml:space="preserve">Layer 2: Cryptographic Integrity.</w:t>
      </w:r>
      <w:r w:rsidDel="00000000" w:rsidR="00000000" w:rsidRPr="00000000">
        <w:rPr>
          <w:rtl w:val="0"/>
        </w:rPr>
        <w:t xml:space="preserve"> The semantic gate. The evidentiary hash of the Decision Proposal must match the hash recomputed by the Governance Lane. The digital signatures must verify against the public keys stored in the hardware security module. The timestamp must fall within the acceptable clock skew window. The </w:t>
      </w:r>
      <w:r w:rsidDel="00000000" w:rsidR="00000000" w:rsidRPr="00000000">
        <w:rPr>
          <w:rFonts w:ascii="Roboto Mono" w:cs="Roboto Mono" w:eastAsia="Roboto Mono" w:hAnsi="Roboto Mono"/>
          <w:color w:val="188038"/>
          <w:rtl w:val="0"/>
        </w:rPr>
        <w:t xml:space="preserve">model_version</w:t>
      </w:r>
      <w:r w:rsidDel="00000000" w:rsidR="00000000" w:rsidRPr="00000000">
        <w:rPr>
          <w:rtl w:val="0"/>
        </w:rPr>
        <w:t xml:space="preserve"> reference must resolve to a cryptographically signed model certificate issued by the Technical Council's certification authority. This layer prevents replay attacks, signature forgery, and model substitution. The PPT's nonce — generated by a hardware monotonic counter — provides an additional replay prevention guarantee: each nonce value is unique per HSM instance and never reused, ensuring that a captured PPT cannot authorize a second execution.</w:t>
      </w:r>
      <w:hyperlink r:id="rId232">
        <w:r w:rsidDel="00000000" w:rsidR="00000000" w:rsidRPr="00000000">
          <w:rPr>
            <w:rtl w:val="0"/>
          </w:rPr>
          <w:t xml:space="preserve"> </w:t>
        </w:r>
      </w:hyperlink>
      <w:hyperlink r:id="rId233">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DE">
      <w:pPr>
        <w:spacing w:after="240" w:before="240" w:line="276" w:lineRule="auto"/>
        <w:rPr>
          <w:color w:val="1155cc"/>
          <w:u w:val="single"/>
        </w:rPr>
      </w:pPr>
      <w:r w:rsidDel="00000000" w:rsidR="00000000" w:rsidRPr="00000000">
        <w:rPr>
          <w:b w:val="1"/>
          <w:bCs w:val="1"/>
          <w:rtl w:val="0"/>
        </w:rPr>
        <w:t xml:space="preserve">Layer 3: Hardware Enforcement.</w:t>
      </w:r>
      <w:r w:rsidDel="00000000" w:rsidR="00000000" w:rsidRPr="00000000">
        <w:rPr>
          <w:rtl w:val="0"/>
        </w:rPr>
        <w:t xml:space="preserve"> The physical gate. The </w:t>
      </w:r>
      <w:r w:rsidDel="00000000" w:rsidR="00000000" w:rsidRPr="00000000">
        <w:rPr>
          <w:rFonts w:ascii="Roboto Mono" w:cs="Roboto Mono" w:eastAsia="Roboto Mono" w:hAnsi="Roboto Mono"/>
          <w:color w:val="188038"/>
          <w:rtl w:val="0"/>
        </w:rPr>
        <w:t xml:space="preserve">laneOrigin</w:t>
      </w:r>
      <w:r w:rsidDel="00000000" w:rsidR="00000000" w:rsidRPr="00000000">
        <w:rPr>
          <w:rtl w:val="0"/>
        </w:rPr>
        <w:t xml:space="preserve"> field in </w:t>
      </w:r>
      <w:r w:rsidDel="00000000" w:rsidR="00000000" w:rsidRPr="00000000">
        <w:rPr>
          <w:rFonts w:ascii="Roboto Mono" w:cs="Roboto Mono" w:eastAsia="Roboto Mono" w:hAnsi="Roboto Mono"/>
          <w:color w:val="188038"/>
          <w:rtl w:val="0"/>
        </w:rPr>
        <w:t xml:space="preserve">PermissionToken_v1_0_0</w:t>
      </w:r>
      <w:r w:rsidDel="00000000" w:rsidR="00000000" w:rsidRPr="00000000">
        <w:rPr>
          <w:rtl w:val="0"/>
        </w:rPr>
        <w:t xml:space="preserve"> carries </w:t>
      </w:r>
      <w:r w:rsidDel="00000000" w:rsidR="00000000" w:rsidRPr="00000000">
        <w:rPr>
          <w:rFonts w:ascii="Roboto Mono" w:cs="Roboto Mono" w:eastAsia="Roboto Mono" w:hAnsi="Roboto Mono"/>
          <w:color w:val="188038"/>
          <w:rtl w:val="0"/>
        </w:rPr>
        <w:t xml:space="preserve">const: "GOVERNANCE_LANE"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TL_Ledger_Core.registerPermissionToken</w:t>
      </w:r>
      <w:r w:rsidDel="00000000" w:rsidR="00000000" w:rsidRPr="00000000">
        <w:rPr>
          <w:rtl w:val="0"/>
        </w:rPr>
        <w:t xml:space="preserve"> reverts with </w:t>
      </w:r>
      <w:r w:rsidDel="00000000" w:rsidR="00000000" w:rsidRPr="00000000">
        <w:rPr>
          <w:rFonts w:ascii="Roboto Mono" w:cs="Roboto Mono" w:eastAsia="Roboto Mono" w:hAnsi="Roboto Mono"/>
          <w:color w:val="188038"/>
          <w:rtl w:val="0"/>
        </w:rPr>
        <w:t xml:space="preserve">NLNAViolation</w:t>
      </w:r>
      <w:r w:rsidDel="00000000" w:rsidR="00000000" w:rsidRPr="00000000">
        <w:rPr>
          <w:rtl w:val="0"/>
        </w:rPr>
        <w:t xml:space="preserve"> on any mismatch. The C-element physically links execution to PPT verification: its output is held electrically low by the pull-down network until both inputs — PPT validity and hardware authorization — are simultaneously high. This is not a software check. It is a consequence of circuit physics. No software layer can assert the C-element output high; only a valid PPT signal from the Governance Lane's hardware pipeline can do so. The hardware layer also enforces the </w:t>
      </w:r>
      <w:r w:rsidDel="00000000" w:rsidR="00000000" w:rsidRPr="00000000">
        <w:rPr>
          <w:rFonts w:ascii="Roboto Mono" w:cs="Roboto Mono" w:eastAsia="Roboto Mono" w:hAnsi="Roboto Mono"/>
          <w:color w:val="188038"/>
          <w:rtl w:val="0"/>
        </w:rPr>
        <w:t xml:space="preserve">provisionalExpiry</w:t>
      </w:r>
      <w:r w:rsidDel="00000000" w:rsidR="00000000" w:rsidRPr="00000000">
        <w:rPr>
          <w:rtl w:val="0"/>
        </w:rPr>
        <w:t xml:space="preserve"> through a dedicated watchdog counter that fires unconditionally when its configured bound is reached, pulling the C-element's PPT validity input low and returning the system to Epistemic Hold without requiring any software action.</w:t>
      </w:r>
      <w:hyperlink r:id="rId234">
        <w:r w:rsidDel="00000000" w:rsidR="00000000" w:rsidRPr="00000000">
          <w:rPr>
            <w:rtl w:val="0"/>
          </w:rPr>
          <w:t xml:space="preserve"> </w:t>
        </w:r>
      </w:hyperlink>
      <w:hyperlink r:id="rId235">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1DF">
      <w:pPr>
        <w:spacing w:after="240" w:before="240" w:line="276" w:lineRule="auto"/>
        <w:rPr>
          <w:color w:val="1155cc"/>
          <w:u w:val="single"/>
        </w:rPr>
      </w:pPr>
      <w:r w:rsidDel="00000000" w:rsidR="00000000" w:rsidRPr="00000000">
        <w:rPr>
          <w:b w:val="1"/>
          <w:bCs w:val="1"/>
          <w:rtl w:val="0"/>
        </w:rPr>
        <w:t xml:space="preserve">Layer 4: Governance Quorum.</w:t>
      </w:r>
      <w:r w:rsidDel="00000000" w:rsidR="00000000" w:rsidRPr="00000000">
        <w:rPr>
          <w:rtl w:val="0"/>
        </w:rPr>
        <w:t xml:space="preserve"> The institutional gate. In </w:t>
      </w:r>
      <w:r w:rsidDel="00000000" w:rsidR="00000000" w:rsidRPr="00000000">
        <w:rPr>
          <w:rFonts w:ascii="Roboto Mono" w:cs="Roboto Mono" w:eastAsia="Roboto Mono" w:hAnsi="Roboto Mono"/>
          <w:color w:val="188038"/>
          <w:rtl w:val="0"/>
        </w:rPr>
        <w:t xml:space="preserve">TGLF_StateP1_v1_0_0</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pillarsCertified</w:t>
      </w:r>
      <w:r w:rsidDel="00000000" w:rsidR="00000000" w:rsidRPr="00000000">
        <w:rPr>
          <w:rtl w:val="0"/>
        </w:rPr>
        <w:t xml:space="preserve"> array carries </w:t>
      </w:r>
      <w:r w:rsidDel="00000000" w:rsidR="00000000" w:rsidRPr="00000000">
        <w:rPr>
          <w:rFonts w:ascii="Roboto Mono" w:cs="Roboto Mono" w:eastAsia="Roboto Mono" w:hAnsi="Roboto Mono"/>
          <w:color w:val="188038"/>
          <w:rtl w:val="0"/>
        </w:rPr>
        <w:t xml:space="preserve">minItems: 8, maxItems: 8</w:t>
      </w:r>
      <w:r w:rsidDel="00000000" w:rsidR="00000000" w:rsidRPr="00000000">
        <w:rPr>
          <w:rtl w:val="0"/>
        </w:rPr>
        <w:t xml:space="preserve">. A TGLF Proceed record with fewer than all eight Pillars certified is schema-invalid. The quorum requirements are defined in the constitutional schema: for routine proposals, a standard quorum may require two of three chambers; for high-value proposals, a supermajority requires all three; for emergency constitutional overrides, all three chambers plus an external auditor signature are required. This layer governs FPT issuance — State 2 cannot be reached without quorum. State 1 (provisional execution under the PPT) may proceed while quorum deliberation is in progress, within the </w:t>
      </w:r>
      <w:r w:rsidDel="00000000" w:rsidR="00000000" w:rsidRPr="00000000">
        <w:rPr>
          <w:rFonts w:ascii="Roboto Mono" w:cs="Roboto Mono" w:eastAsia="Roboto Mono" w:hAnsi="Roboto Mono"/>
          <w:color w:val="188038"/>
          <w:rtl w:val="0"/>
        </w:rPr>
        <w:t xml:space="preserve">provisionalExpiry</w:t>
      </w:r>
      <w:r w:rsidDel="00000000" w:rsidR="00000000" w:rsidRPr="00000000">
        <w:rPr>
          <w:rtl w:val="0"/>
        </w:rPr>
        <w:t xml:space="preserve"> window.</w:t>
      </w:r>
      <w:hyperlink r:id="rId236">
        <w:r w:rsidDel="00000000" w:rsidR="00000000" w:rsidRPr="00000000">
          <w:rPr>
            <w:rtl w:val="0"/>
          </w:rPr>
          <w:t xml:space="preserve"> </w:t>
        </w:r>
      </w:hyperlink>
      <w:hyperlink r:id="rId237">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1E0">
      <w:pPr>
        <w:spacing w:after="240" w:before="240" w:line="276" w:lineRule="auto"/>
        <w:rPr>
          <w:color w:val="1155cc"/>
          <w:u w:val="single"/>
        </w:rPr>
      </w:pPr>
      <w:r w:rsidDel="00000000" w:rsidR="00000000" w:rsidRPr="00000000">
        <w:rPr>
          <w:b w:val="1"/>
          <w:bCs w:val="1"/>
          <w:rtl w:val="0"/>
        </w:rPr>
        <w:t xml:space="preserve">Layer 5: Regulatory Nexus.</w:t>
      </w:r>
      <w:r w:rsidDel="00000000" w:rsidR="00000000" w:rsidRPr="00000000">
        <w:rPr>
          <w:rtl w:val="0"/>
        </w:rPr>
        <w:t xml:space="preserve"> The jurisdictional gate. The proposal must satisfy the applicable legal and regulatory requirements for its specific domain, geography, and counterparty configuration. The Regulatory Nexus domain evaluation endpoints query the constitutional schema for applicable provisions. If the proposal triggers an unsatisfied nexus provision, the Governance Lane issues Epistemic Hold. If the proposal violates a hard legal boundary, it issues Refuse. The </w:t>
      </w:r>
      <w:r w:rsidDel="00000000" w:rsidR="00000000" w:rsidRPr="00000000">
        <w:rPr>
          <w:rFonts w:ascii="Roboto Mono" w:cs="Roboto Mono" w:eastAsia="Roboto Mono" w:hAnsi="Roboto Mono"/>
          <w:color w:val="188038"/>
          <w:rtl w:val="0"/>
        </w:rPr>
        <w:t xml:space="preserve">regulatory_nexus_reference</w:t>
      </w:r>
      <w:r w:rsidDel="00000000" w:rsidR="00000000" w:rsidRPr="00000000">
        <w:rPr>
          <w:rtl w:val="0"/>
        </w:rPr>
        <w:t xml:space="preserve"> field in </w:t>
      </w:r>
      <w:r w:rsidDel="00000000" w:rsidR="00000000" w:rsidRPr="00000000">
        <w:rPr>
          <w:rFonts w:ascii="Roboto Mono" w:cs="Roboto Mono" w:eastAsia="Roboto Mono" w:hAnsi="Roboto Mono"/>
          <w:color w:val="188038"/>
          <w:rtl w:val="0"/>
        </w:rPr>
        <w:t xml:space="preserve">PermissionToken_v1_0_0.token_body</w:t>
      </w:r>
      <w:r w:rsidDel="00000000" w:rsidR="00000000" w:rsidRPr="00000000">
        <w:rPr>
          <w:rtl w:val="0"/>
        </w:rPr>
        <w:t xml:space="preserve"> records the specific provision that governed the evaluation.</w:t>
      </w:r>
      <w:hyperlink r:id="rId238">
        <w:r w:rsidDel="00000000" w:rsidR="00000000" w:rsidRPr="00000000">
          <w:rPr>
            <w:rtl w:val="0"/>
          </w:rPr>
          <w:t xml:space="preserve"> </w:t>
        </w:r>
      </w:hyperlink>
      <w:hyperlink r:id="rId239">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E1">
      <w:pPr>
        <w:spacing w:after="240" w:before="240" w:line="276" w:lineRule="auto"/>
        <w:rPr/>
      </w:pPr>
      <w:r w:rsidDel="00000000" w:rsidR="00000000" w:rsidRPr="00000000">
        <w:rPr>
          <w:rtl w:val="0"/>
        </w:rPr>
        <w:t xml:space="preserve">The five layers operate in strict sequence enforced by the </w:t>
      </w:r>
      <w:r w:rsidDel="00000000" w:rsidR="00000000" w:rsidRPr="00000000">
        <w:rPr>
          <w:rFonts w:ascii="Roboto Mono" w:cs="Roboto Mono" w:eastAsia="Roboto Mono" w:hAnsi="Roboto Mono"/>
          <w:color w:val="188038"/>
          <w:rtl w:val="0"/>
        </w:rPr>
        <w:t xml:space="preserve">/evaluate</w:t>
      </w:r>
      <w:r w:rsidDel="00000000" w:rsidR="00000000" w:rsidRPr="00000000">
        <w:rPr>
          <w:rtl w:val="0"/>
        </w:rPr>
        <w:t xml:space="preserve"> endpoint, which invokes the layers in order and returns a </w:t>
      </w:r>
      <w:r w:rsidDel="00000000" w:rsidR="00000000" w:rsidRPr="00000000">
        <w:rPr>
          <w:rFonts w:ascii="Roboto Mono" w:cs="Roboto Mono" w:eastAsia="Roboto Mono" w:hAnsi="Roboto Mono"/>
          <w:color w:val="188038"/>
          <w:rtl w:val="0"/>
        </w:rPr>
        <w:t xml:space="preserve">TLResult</w:t>
      </w:r>
      <w:r w:rsidDel="00000000" w:rsidR="00000000" w:rsidRPr="00000000">
        <w:rPr>
          <w:rtl w:val="0"/>
        </w:rPr>
        <w:t xml:space="preserve"> only after the final layer completes. The Decision Log records the layer at which any failure occurred, the specific failure reason, and the timestamp of the abort. This failure log is anchored to the Immutable Ledger even for failed proposals — the evidentiary record of prevented actions is as constitutionally important as the evidentiary record of authorized actions.</w:t>
      </w:r>
    </w:p>
    <w:p w:rsidR="00000000" w:rsidDel="00000000" w:rsidP="00000000" w:rsidRDefault="00000000" w:rsidRPr="00000000" w14:paraId="000001E2">
      <w:pPr>
        <w:spacing w:after="240" w:before="240" w:line="276" w:lineRule="auto"/>
        <w:rPr/>
      </w:pPr>
      <w:r w:rsidDel="00000000" w:rsidR="00000000" w:rsidRPr="00000000">
        <w:rPr>
          <w:rtl w:val="0"/>
        </w:rPr>
        <w:t xml:space="preserve">The hardware substrate reinforces sequential integrity. The C-element in the Gateway is physically wired to accept the PPT validity signal only from the output of the Governance Lane's hardware pipeline — the component that runs Layers 1 and 2 at hardware speed. Layers 4 and 5 govern FPT issuance, not PPT issuance: provisional execution may begin under the PPT while quorum and regulatory evaluation proceed, but final execution requires all five layers to have been satisfied. This architectural separation is the physical instantiation of the distinction between authorization latency and finality latency.</w:t>
      </w:r>
    </w:p>
    <w:p w:rsidR="00000000" w:rsidDel="00000000" w:rsidP="00000000" w:rsidRDefault="00000000" w:rsidRPr="00000000" w14:paraId="000001E3">
      <w:pPr>
        <w:pStyle w:val="Heading2"/>
        <w:keepNext w:val="0"/>
        <w:keepLines w:val="0"/>
        <w:spacing w:after="80" w:line="276" w:lineRule="auto"/>
        <w:rPr>
          <w:b w:val="1"/>
          <w:bCs w:val="1"/>
          <w:sz w:val="34"/>
          <w:szCs w:val="34"/>
        </w:rPr>
      </w:pPr>
      <w:bookmarkStart w:colFirst="0" w:colLast="0" w:name="_fuykm29w4qhz" w:id="42"/>
      <w:bookmarkEnd w:id="42"/>
      <w:r w:rsidDel="00000000" w:rsidR="00000000" w:rsidRPr="00000000">
        <w:rPr>
          <w:b w:val="1"/>
          <w:bCs w:val="1"/>
          <w:sz w:val="34"/>
          <w:szCs w:val="34"/>
          <w:rtl w:val="0"/>
        </w:rPr>
        <w:t xml:space="preserve">3.10 Tri-Cameral Oversight of the Dual-Lane Architecture</w:t>
      </w:r>
    </w:p>
    <w:p w:rsidR="00000000" w:rsidDel="00000000" w:rsidP="00000000" w:rsidRDefault="00000000" w:rsidRPr="00000000" w14:paraId="000001E4">
      <w:pPr>
        <w:spacing w:after="240" w:before="240" w:line="276" w:lineRule="auto"/>
        <w:rPr/>
      </w:pPr>
      <w:r w:rsidDel="00000000" w:rsidR="00000000" w:rsidRPr="00000000">
        <w:rPr>
          <w:rtl w:val="0"/>
        </w:rPr>
        <w:t xml:space="preserve">The Tri-Cameral Governance Model distributes oversight across both lanes and across both tokens with distinct constitutional mandates for each chamber.</w:t>
      </w:r>
    </w:p>
    <w:p w:rsidR="00000000" w:rsidDel="00000000" w:rsidP="00000000" w:rsidRDefault="00000000" w:rsidRPr="00000000" w14:paraId="000001E5">
      <w:pPr>
        <w:spacing w:after="240" w:before="240" w:line="276" w:lineRule="auto"/>
        <w:rPr/>
      </w:pPr>
      <w:r w:rsidDel="00000000" w:rsidR="00000000" w:rsidRPr="00000000">
        <w:rPr>
          <w:rtl w:val="0"/>
        </w:rPr>
        <w:t xml:space="preserve">The </w:t>
      </w:r>
      <w:r w:rsidDel="00000000" w:rsidR="00000000" w:rsidRPr="00000000">
        <w:rPr>
          <w:b w:val="1"/>
          <w:bCs w:val="1"/>
          <w:rtl w:val="0"/>
        </w:rPr>
        <w:t xml:space="preserve">Technical Council</w:t>
      </w:r>
      <w:r w:rsidDel="00000000" w:rsidR="00000000" w:rsidRPr="00000000">
        <w:rPr>
          <w:rtl w:val="0"/>
        </w:rPr>
        <w:t xml:space="preserve"> monitors the health and calibration of the Inference Lane. It ensures that binary models remain statistically sound, that data pipelines are free from contamination, and that model versions submitted to the Governance Lane carry valid certification.</w:t>
      </w:r>
      <w:hyperlink r:id="rId240">
        <w:r w:rsidDel="00000000" w:rsidR="00000000" w:rsidRPr="00000000">
          <w:rPr>
            <w:rtl w:val="0"/>
          </w:rPr>
          <w:t xml:space="preserve"> </w:t>
        </w:r>
      </w:hyperlink>
      <w:hyperlink r:id="rId241">
        <w:r w:rsidDel="00000000" w:rsidR="00000000" w:rsidRPr="00000000">
          <w:rPr>
            <w:color w:val="1155cc"/>
            <w:u w:val="single"/>
            <w:rtl w:val="0"/>
          </w:rPr>
          <w:t xml:space="preserve">[15]</w:t>
        </w:r>
      </w:hyperlink>
      <w:r w:rsidDel="00000000" w:rsidR="00000000" w:rsidRPr="00000000">
        <w:rPr>
          <w:rtl w:val="0"/>
        </w:rPr>
        <w:t xml:space="preserve"> The Council also maintains the hardware validation protocols for the Gateway, verifies that the C-element interlock is operating within specification, and certifies that the five-layer enforcement architecture remains intact against both software and physical attack. The Council's certification of the hardware pipeline is a prerequisite for PPT issuance: a pipeline operating outside certified parameters cannot produce PPTs that satisfy Layer 3.</w:t>
      </w:r>
    </w:p>
    <w:p w:rsidR="00000000" w:rsidDel="00000000" w:rsidP="00000000" w:rsidRDefault="00000000" w:rsidRPr="00000000" w14:paraId="000001E6">
      <w:pPr>
        <w:spacing w:after="240" w:before="240" w:line="276" w:lineRule="auto"/>
        <w:rPr/>
      </w:pPr>
      <w:r w:rsidDel="00000000" w:rsidR="00000000" w:rsidRPr="00000000">
        <w:rPr>
          <w:rtl w:val="0"/>
        </w:rPr>
        <w:t xml:space="preserve">The </w:t>
      </w:r>
      <w:r w:rsidDel="00000000" w:rsidR="00000000" w:rsidRPr="00000000">
        <w:rPr>
          <w:b w:val="1"/>
          <w:bCs w:val="1"/>
          <w:rtl w:val="0"/>
        </w:rPr>
        <w:t xml:space="preserve">Stewardship Custodians</w:t>
      </w:r>
      <w:r w:rsidDel="00000000" w:rsidR="00000000" w:rsidRPr="00000000">
        <w:rPr>
          <w:rtl w:val="0"/>
        </w:rPr>
        <w:t xml:space="preserve"> oversee the Governance Lane. They validate that every Permission Token — both PPT and FPT — adheres to the Goukassian Vow, that no constitutional gate is bypassed, and that the Regulatory Nexus database remains current with all applicable legal changes.</w:t>
      </w:r>
      <w:hyperlink r:id="rId242">
        <w:r w:rsidDel="00000000" w:rsidR="00000000" w:rsidRPr="00000000">
          <w:rPr>
            <w:rtl w:val="0"/>
          </w:rPr>
          <w:t xml:space="preserve"> </w:t>
        </w:r>
      </w:hyperlink>
      <w:hyperlink r:id="rId243">
        <w:r w:rsidDel="00000000" w:rsidR="00000000" w:rsidRPr="00000000">
          <w:rPr>
            <w:color w:val="1155cc"/>
            <w:u w:val="single"/>
            <w:rtl w:val="0"/>
          </w:rPr>
          <w:t xml:space="preserve">[15]</w:t>
        </w:r>
      </w:hyperlink>
      <w:r w:rsidDel="00000000" w:rsidR="00000000" w:rsidRPr="00000000">
        <w:rPr>
          <w:rtl w:val="0"/>
        </w:rPr>
        <w:t xml:space="preserve"> They serve as the institutional escalation point for proposals whose </w:t>
      </w:r>
      <w:r w:rsidDel="00000000" w:rsidR="00000000" w:rsidRPr="00000000">
        <w:rPr>
          <w:rFonts w:ascii="Roboto Mono" w:cs="Roboto Mono" w:eastAsia="Roboto Mono" w:hAnsi="Roboto Mono"/>
          <w:color w:val="188038"/>
          <w:rtl w:val="0"/>
        </w:rPr>
        <w:t xml:space="preserve">provisionalExpiry</w:t>
      </w:r>
      <w:r w:rsidDel="00000000" w:rsidR="00000000" w:rsidRPr="00000000">
        <w:rPr>
          <w:rtl w:val="0"/>
        </w:rPr>
        <w:t xml:space="preserve"> has fired and whose Decision Logs require reconciliation before resubmission.</w:t>
      </w:r>
    </w:p>
    <w:p w:rsidR="00000000" w:rsidDel="00000000" w:rsidP="00000000" w:rsidRDefault="00000000" w:rsidRPr="00000000" w14:paraId="000001E7">
      <w:pPr>
        <w:spacing w:after="240" w:before="240" w:line="276" w:lineRule="auto"/>
        <w:rPr/>
      </w:pPr>
      <w:r w:rsidDel="00000000" w:rsidR="00000000" w:rsidRPr="00000000">
        <w:rPr>
          <w:rtl w:val="0"/>
        </w:rPr>
        <w:t xml:space="preserve">The </w:t>
      </w:r>
      <w:r w:rsidDel="00000000" w:rsidR="00000000" w:rsidRPr="00000000">
        <w:rPr>
          <w:b w:val="1"/>
          <w:bCs w:val="1"/>
          <w:rtl w:val="0"/>
        </w:rPr>
        <w:t xml:space="preserve">Smart Contract Treasury</w:t>
      </w:r>
      <w:r w:rsidDel="00000000" w:rsidR="00000000" w:rsidRPr="00000000">
        <w:rPr>
          <w:rtl w:val="0"/>
        </w:rPr>
        <w:t xml:space="preserve"> ensures that neither lane is starved of computational resources during high-volume or high-stress periods.</w:t>
      </w:r>
      <w:hyperlink r:id="rId244">
        <w:r w:rsidDel="00000000" w:rsidR="00000000" w:rsidRPr="00000000">
          <w:rPr>
            <w:rtl w:val="0"/>
          </w:rPr>
          <w:t xml:space="preserve"> </w:t>
        </w:r>
      </w:hyperlink>
      <w:hyperlink r:id="rId245">
        <w:r w:rsidDel="00000000" w:rsidR="00000000" w:rsidRPr="00000000">
          <w:rPr>
            <w:color w:val="1155cc"/>
            <w:u w:val="single"/>
            <w:rtl w:val="0"/>
          </w:rPr>
          <w:t xml:space="preserve">[15]</w:t>
        </w:r>
      </w:hyperlink>
      <w:r w:rsidDel="00000000" w:rsidR="00000000" w:rsidRPr="00000000">
        <w:rPr>
          <w:rtl w:val="0"/>
        </w:rPr>
        <w:t xml:space="preserve"> It manages the economic consequences of the three-state Gateway: releasing allocated resources when State 2 is reached, returning reserved resources when </w:t>
      </w:r>
      <w:r w:rsidDel="00000000" w:rsidR="00000000" w:rsidRPr="00000000">
        <w:rPr>
          <w:rFonts w:ascii="Roboto Mono" w:cs="Roboto Mono" w:eastAsia="Roboto Mono" w:hAnsi="Roboto Mono"/>
          <w:color w:val="188038"/>
          <w:rtl w:val="0"/>
        </w:rPr>
        <w:t xml:space="preserve">provisionalExpiry</w:t>
      </w:r>
      <w:r w:rsidDel="00000000" w:rsidR="00000000" w:rsidRPr="00000000">
        <w:rPr>
          <w:rtl w:val="0"/>
        </w:rPr>
        <w:t xml:space="preserve"> fires and the system returns to State 0, and maintaining resource reservations for the duration of State 1 so that State 2 can be reached immediately upon FPT arrival.</w:t>
      </w:r>
    </w:p>
    <w:p w:rsidR="00000000" w:rsidDel="00000000" w:rsidP="00000000" w:rsidRDefault="00000000" w:rsidRPr="00000000" w14:paraId="000001E8">
      <w:pPr>
        <w:spacing w:after="240" w:before="240" w:line="276" w:lineRule="auto"/>
        <w:rPr>
          <w:color w:val="1155cc"/>
          <w:u w:val="single"/>
        </w:rPr>
      </w:pPr>
      <w:r w:rsidDel="00000000" w:rsidR="00000000" w:rsidRPr="00000000">
        <w:rPr>
          <w:rtl w:val="0"/>
        </w:rPr>
        <w:t xml:space="preserve">The constitutional separation between the chambers prevents any single institution from dominating both lanes simultaneously. A rogue executive cannot authorize bypass of the Governance Lane because the bypass is physically impossible — the C-element enforces it at the circuit level. And the attempt itself generates a Decision Log immediately visible to all three chambers through the </w:t>
      </w:r>
      <w:r w:rsidDel="00000000" w:rsidR="00000000" w:rsidRPr="00000000">
        <w:rPr>
          <w:rFonts w:ascii="Roboto Mono" w:cs="Roboto Mono" w:eastAsia="Roboto Mono" w:hAnsi="Roboto Mono"/>
          <w:color w:val="188038"/>
          <w:rtl w:val="0"/>
        </w:rPr>
        <w:t xml:space="preserve">x-tl-state: -1</w:t>
      </w:r>
      <w:r w:rsidDel="00000000" w:rsidR="00000000" w:rsidRPr="00000000">
        <w:rPr>
          <w:rtl w:val="0"/>
        </w:rPr>
        <w:t xml:space="preserve"> error response and the </w:t>
      </w:r>
      <w:r w:rsidDel="00000000" w:rsidR="00000000" w:rsidRPr="00000000">
        <w:rPr>
          <w:rFonts w:ascii="Roboto Mono" w:cs="Roboto Mono" w:eastAsia="Roboto Mono" w:hAnsi="Roboto Mono"/>
          <w:color w:val="188038"/>
          <w:rtl w:val="0"/>
        </w:rPr>
        <w:t xml:space="preserve">GhostGovernanceDetectedError</w:t>
      </w:r>
      <w:r w:rsidDel="00000000" w:rsidR="00000000" w:rsidRPr="00000000">
        <w:rPr>
          <w:rtl w:val="0"/>
        </w:rPr>
        <w:t xml:space="preserve"> taxonomy.</w:t>
      </w:r>
      <w:hyperlink r:id="rId246">
        <w:r w:rsidDel="00000000" w:rsidR="00000000" w:rsidRPr="00000000">
          <w:rPr>
            <w:rtl w:val="0"/>
          </w:rPr>
          <w:t xml:space="preserve"> </w:t>
        </w:r>
      </w:hyperlink>
      <w:hyperlink r:id="rId247">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E9">
      <w:pPr>
        <w:pStyle w:val="Heading2"/>
        <w:keepNext w:val="0"/>
        <w:keepLines w:val="0"/>
        <w:spacing w:after="80" w:line="276" w:lineRule="auto"/>
        <w:rPr>
          <w:b w:val="1"/>
          <w:bCs w:val="1"/>
          <w:sz w:val="34"/>
          <w:szCs w:val="34"/>
        </w:rPr>
      </w:pPr>
      <w:bookmarkStart w:colFirst="0" w:colLast="0" w:name="_y12nrt1n1pdr" w:id="43"/>
      <w:bookmarkEnd w:id="43"/>
      <w:r w:rsidDel="00000000" w:rsidR="00000000" w:rsidRPr="00000000">
        <w:rPr>
          <w:b w:val="1"/>
          <w:bCs w:val="1"/>
          <w:sz w:val="34"/>
          <w:szCs w:val="34"/>
          <w:rtl w:val="0"/>
        </w:rPr>
        <w:t xml:space="preserve">3.11 Dual-Lane Architecture in Macroeconomic Practice</w:t>
      </w:r>
    </w:p>
    <w:p w:rsidR="00000000" w:rsidDel="00000000" w:rsidP="00000000" w:rsidRDefault="00000000" w:rsidRPr="00000000" w14:paraId="000001EA">
      <w:pPr>
        <w:spacing w:after="240" w:before="240" w:line="276" w:lineRule="auto"/>
        <w:rPr/>
      </w:pPr>
      <w:r w:rsidDel="00000000" w:rsidR="00000000" w:rsidRPr="00000000">
        <w:rPr>
          <w:rtl w:val="0"/>
        </w:rPr>
        <w:t xml:space="preserve">The Dual-Lane Architecture is not an abstract governance model. It is a specification for how the largest, most consequential automated economic systems in the world must be built if they are to be constitutionally defensible. The following example traces the full lifecycle of a proposal through the complete three-state architecture.</w:t>
      </w:r>
    </w:p>
    <w:p w:rsidR="00000000" w:rsidDel="00000000" w:rsidP="00000000" w:rsidRDefault="00000000" w:rsidRPr="00000000" w14:paraId="000001EB">
      <w:pPr>
        <w:spacing w:after="240" w:before="240" w:line="276" w:lineRule="auto"/>
        <w:rPr/>
      </w:pPr>
      <w:r w:rsidDel="00000000" w:rsidR="00000000" w:rsidRPr="00000000">
        <w:rPr>
          <w:rtl w:val="0"/>
        </w:rPr>
        <w:t xml:space="preserve">Consider a central bank algorithmic liquidity injection. The Inference Lane's macroeconomic model detects a liquidity stress signal in the sovereign debt market and generates a proposal for an emergency repo operation. The Decision Proposal is submitted to the Governance Lane with complete evidentiary context: the inference payload, the model version certificate, the data provenance chain, and the execution context.</w:t>
      </w:r>
    </w:p>
    <w:p w:rsidR="00000000" w:rsidDel="00000000" w:rsidP="00000000" w:rsidRDefault="00000000" w:rsidRPr="00000000" w14:paraId="000001EC">
      <w:pPr>
        <w:spacing w:after="240" w:before="240" w:line="276" w:lineRule="auto"/>
        <w:rPr/>
      </w:pPr>
      <w:r w:rsidDel="00000000" w:rsidR="00000000" w:rsidRPr="00000000">
        <w:rPr>
          <w:rtl w:val="0"/>
        </w:rPr>
        <w:t xml:space="preserve">The Governance Lane's hardware pipeline evaluates the proposal's evidentiary prerequisite in milliseconds. The Decision Log is generated, hashed by the SHA-256 accelerator, anchored in the Merkle tree, and signed by the HSM. Layer 1 verifies schema completeness. Layer 2 verifies cryptographic integrity of the model certificate and data provenance chain. Both layers clear. The PPT is minted. The C-element receives the PPT validity signal and its output goes high. The system enters State 1. The repo operation may proceed under provisional authorization.</w:t>
      </w:r>
    </w:p>
    <w:p w:rsidR="00000000" w:rsidDel="00000000" w:rsidP="00000000" w:rsidRDefault="00000000" w:rsidRPr="00000000" w14:paraId="000001ED">
      <w:pPr>
        <w:spacing w:after="240" w:before="240" w:line="276" w:lineRule="auto"/>
        <w:rPr/>
      </w:pPr>
      <w:r w:rsidDel="00000000" w:rsidR="00000000" w:rsidRPr="00000000">
        <w:rPr>
          <w:rtl w:val="0"/>
        </w:rPr>
        <w:t xml:space="preserve">Simultaneously, at the 50-millisecond marker, the Governance Lane's hardware resets — ready to evaluate the next proposal. Governor Independence ensures that this liquidity injection's authorization cycle does not delay any subsequent proposals waiting in the submission queue.</w:t>
      </w:r>
    </w:p>
    <w:p w:rsidR="00000000" w:rsidDel="00000000" w:rsidP="00000000" w:rsidRDefault="00000000" w:rsidRPr="00000000" w14:paraId="000001EE">
      <w:pPr>
        <w:spacing w:after="240" w:before="240" w:line="276" w:lineRule="auto"/>
        <w:rPr>
          <w:color w:val="1155cc"/>
          <w:u w:val="single"/>
        </w:rPr>
      </w:pPr>
      <w:r w:rsidDel="00000000" w:rsidR="00000000" w:rsidRPr="00000000">
        <w:rPr>
          <w:rtl w:val="0"/>
        </w:rPr>
        <w:t xml:space="preserve">In the extended evaluation pipeline running in parallel, Layer 3 verifies Gateway hardware integrity. Layer 4 convenes the Tri-Cameral chambers: the Technical Council validates the stress signal model's calibration, the Stewardship Custodians verify that the operation falls within the central bank's statutory mandate encoded in the </w:t>
      </w:r>
      <w:r w:rsidDel="00000000" w:rsidR="00000000" w:rsidRPr="00000000">
        <w:rPr>
          <w:rFonts w:ascii="Roboto Mono" w:cs="Roboto Mono" w:eastAsia="Roboto Mono" w:hAnsi="Roboto Mono"/>
          <w:color w:val="188038"/>
          <w:rtl w:val="0"/>
        </w:rPr>
        <w:t xml:space="preserve">regulatory_nexus_reference</w:t>
      </w:r>
      <w:r w:rsidDel="00000000" w:rsidR="00000000" w:rsidRPr="00000000">
        <w:rPr>
          <w:rtl w:val="0"/>
        </w:rPr>
        <w:t xml:space="preserve">, and the Smart Contract Treasury confirms that collateral reserves satisfy </w:t>
      </w:r>
      <w:r w:rsidDel="00000000" w:rsidR="00000000" w:rsidRPr="00000000">
        <w:rPr>
          <w:rFonts w:ascii="Roboto Mono" w:cs="Roboto Mono" w:eastAsia="Roboto Mono" w:hAnsi="Roboto Mono"/>
          <w:color w:val="188038"/>
          <w:rtl w:val="0"/>
        </w:rPr>
        <w:t xml:space="preserve">baselIiiVector.lcr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baselIiiVector.nsfr</w:t>
      </w:r>
      <w:r w:rsidDel="00000000" w:rsidR="00000000" w:rsidRPr="00000000">
        <w:rPr>
          <w:rtl w:val="0"/>
        </w:rPr>
        <w:t xml:space="preserve"> constraints. Layer 5 queries the Regulatory Nexus for alignment with international monetary agreements. All five layers clear. The FPT is issued. It arrives at the Gateway's FPT intake before </w:t>
      </w:r>
      <w:r w:rsidDel="00000000" w:rsidR="00000000" w:rsidRPr="00000000">
        <w:rPr>
          <w:rFonts w:ascii="Roboto Mono" w:cs="Roboto Mono" w:eastAsia="Roboto Mono" w:hAnsi="Roboto Mono"/>
          <w:color w:val="188038"/>
          <w:rtl w:val="0"/>
        </w:rPr>
        <w:t xml:space="preserve">provisionalExpiry</w:t>
      </w:r>
      <w:r w:rsidDel="00000000" w:rsidR="00000000" w:rsidRPr="00000000">
        <w:rPr>
          <w:rtl w:val="0"/>
        </w:rPr>
        <w:t xml:space="preserve"> fires. Signature verification passes. Merkle root cross-validation confirms the FPT references the same evidentiary context as the originating PPT. The system transitions to State 2. The repo operation is constitutionally final. The Decision Log is anchored to the Immutable Ledger.</w:t>
      </w:r>
      <w:hyperlink r:id="rId248">
        <w:r w:rsidDel="00000000" w:rsidR="00000000" w:rsidRPr="00000000">
          <w:rPr>
            <w:rtl w:val="0"/>
          </w:rPr>
          <w:t xml:space="preserve"> </w:t>
        </w:r>
      </w:hyperlink>
      <w:hyperlink r:id="rId249">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1EF">
      <w:pPr>
        <w:spacing w:after="240" w:before="240" w:line="276" w:lineRule="auto"/>
        <w:rPr/>
      </w:pPr>
      <w:r w:rsidDel="00000000" w:rsidR="00000000" w:rsidRPr="00000000">
        <w:rPr>
          <w:rtl w:val="0"/>
        </w:rPr>
        <w:t xml:space="preserve">Now consider the failure mode: the model's liquidity stress signal is based on a corrupted data feed from a compromised bond pricing service. The Governance Lane's Layer 2 detects that the data provenance chain contains an unauthenticated source during extended evaluation. But the PPT has already been issued and provisional execution has already begun.</w:t>
      </w:r>
    </w:p>
    <w:p w:rsidR="00000000" w:rsidDel="00000000" w:rsidP="00000000" w:rsidRDefault="00000000" w:rsidRPr="00000000" w14:paraId="000001F0">
      <w:pPr>
        <w:spacing w:after="240" w:before="240" w:line="276" w:lineRule="auto"/>
        <w:rPr>
          <w:color w:val="1155cc"/>
          <w:u w:val="single"/>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provisionalExpiry</w:t>
      </w:r>
      <w:r w:rsidDel="00000000" w:rsidR="00000000" w:rsidRPr="00000000">
        <w:rPr>
          <w:rtl w:val="0"/>
        </w:rPr>
        <w:t xml:space="preserve"> timer is running. Because the FPT cannot be issued — Layer 2 has failed — the FPT does not arrive before the timer fires. The hardware watchdog asserts State 0. The C-element's PPT validity input is pulled low. The C-element output collapses. The system returns to Epistemic Hold. The provisional execution is suspended. The </w:t>
      </w:r>
      <w:r w:rsidDel="00000000" w:rsidR="00000000" w:rsidRPr="00000000">
        <w:rPr>
          <w:rFonts w:ascii="Roboto Mono" w:cs="Roboto Mono" w:eastAsia="Roboto Mono" w:hAnsi="Roboto Mono"/>
          <w:color w:val="188038"/>
          <w:rtl w:val="0"/>
        </w:rPr>
        <w:t xml:space="preserve">GovernancePause</w:t>
      </w:r>
      <w:r w:rsidDel="00000000" w:rsidR="00000000" w:rsidRPr="00000000">
        <w:rPr>
          <w:rtl w:val="0"/>
        </w:rPr>
        <w:t xml:space="preserve"> workflow populates </w:t>
      </w:r>
      <w:r w:rsidDel="00000000" w:rsidR="00000000" w:rsidRPr="00000000">
        <w:rPr>
          <w:rFonts w:ascii="Roboto Mono" w:cs="Roboto Mono" w:eastAsia="Roboto Mono" w:hAnsi="Roboto Mono"/>
          <w:color w:val="188038"/>
          <w:rtl w:val="0"/>
        </w:rPr>
        <w:t xml:space="preserve">requiredConditions</w:t>
      </w:r>
      <w:r w:rsidDel="00000000" w:rsidR="00000000" w:rsidRPr="00000000">
        <w:rPr>
          <w:rtl w:val="0"/>
        </w:rPr>
        <w:t xml:space="preserve"> with the missing authentication evidence. The </w:t>
      </w:r>
      <w:r w:rsidDel="00000000" w:rsidR="00000000" w:rsidRPr="00000000">
        <w:rPr>
          <w:rFonts w:ascii="Roboto Mono" w:cs="Roboto Mono" w:eastAsia="Roboto Mono" w:hAnsi="Roboto Mono"/>
          <w:color w:val="188038"/>
          <w:rtl w:val="0"/>
        </w:rPr>
        <w:t xml:space="preserve">holdRationale.uncertaintyScore</w:t>
      </w:r>
      <w:r w:rsidDel="00000000" w:rsidR="00000000" w:rsidRPr="00000000">
        <w:rPr>
          <w:rtl w:val="0"/>
        </w:rPr>
        <w:t xml:space="preserve"> is recorded in </w:t>
      </w:r>
      <w:r w:rsidDel="00000000" w:rsidR="00000000" w:rsidRPr="00000000">
        <w:rPr>
          <w:rFonts w:ascii="Roboto Mono" w:cs="Roboto Mono" w:eastAsia="Roboto Mono" w:hAnsi="Roboto Mono"/>
          <w:color w:val="188038"/>
          <w:rtl w:val="0"/>
        </w:rPr>
        <w:t xml:space="preserve">EscrowRecord_v1_0_0</w:t>
      </w:r>
      <w:r w:rsidDel="00000000" w:rsidR="00000000" w:rsidRPr="00000000">
        <w:rPr>
          <w:rtl w:val="0"/>
        </w:rPr>
        <w:t xml:space="preserve">. The corruption is detected. The constitutional record shows that the architecture functioned exactly as designed: it permitted provisional action under the evidentiary prerequisite that existed at authorization time, and it reverted that action when the extended evaluation could not confirm finality.</w:t>
      </w:r>
      <w:hyperlink r:id="rId250">
        <w:r w:rsidDel="00000000" w:rsidR="00000000" w:rsidRPr="00000000">
          <w:rPr>
            <w:rtl w:val="0"/>
          </w:rPr>
          <w:t xml:space="preserve"> </w:t>
        </w:r>
      </w:hyperlink>
      <w:hyperlink r:id="rId251">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F1">
      <w:pPr>
        <w:spacing w:after="240" w:before="240" w:line="276" w:lineRule="auto"/>
        <w:rPr/>
      </w:pPr>
      <w:r w:rsidDel="00000000" w:rsidR="00000000" w:rsidRPr="00000000">
        <w:rPr>
          <w:rtl w:val="0"/>
        </w:rPr>
        <w:t xml:space="preserve">This is the fundamental promise of the Dual-Lane Architecture: that the speed of binary computation and the sovereignty of constitutional governance can coexist in the same system without either compromising the other. The Inference Lane never waits for governance unless there is a genuine constitutional reason to wait. The Governance Lane never accelerates to match computational speed unless the constitutional evaluation is genuinely complete. The Gateway opens provisionally when authorization is established, and finally when finality is confirmed — each verified by cryptographic proof, not by institutional assertion.</w:t>
      </w:r>
    </w:p>
    <w:p w:rsidR="00000000" w:rsidDel="00000000" w:rsidP="00000000" w:rsidRDefault="00000000" w:rsidRPr="00000000" w14:paraId="000001F2">
      <w:pPr>
        <w:spacing w:after="240" w:before="240" w:line="276" w:lineRule="auto"/>
        <w:rPr>
          <w:color w:val="1155cc"/>
          <w:u w:val="single"/>
        </w:rPr>
      </w:pPr>
      <w:r w:rsidDel="00000000" w:rsidR="00000000" w:rsidRPr="00000000">
        <w:rPr>
          <w:rtl w:val="0"/>
        </w:rPr>
        <w:t xml:space="preserve">The evidentiary record of both outcomes — the provisional authorization and the final confirmation or the </w:t>
      </w:r>
      <w:r w:rsidDel="00000000" w:rsidR="00000000" w:rsidRPr="00000000">
        <w:rPr>
          <w:rFonts w:ascii="Roboto Mono" w:cs="Roboto Mono" w:eastAsia="Roboto Mono" w:hAnsi="Roboto Mono"/>
          <w:color w:val="188038"/>
          <w:rtl w:val="0"/>
        </w:rPr>
        <w:t xml:space="preserve">provisionalExpiry</w:t>
      </w:r>
      <w:r w:rsidDel="00000000" w:rsidR="00000000" w:rsidRPr="00000000">
        <w:rPr>
          <w:rtl w:val="0"/>
        </w:rPr>
        <w:t xml:space="preserve"> reversion — is preserved in the Immutable Ledger. The architecture does not merely prevent ungoverned execution. It creates an unalterable historical record proving that every execution was constitutionally authorized, and that every authorization that did not achieve finality was constitutionally returned to Epistemic Hold.</w:t>
      </w:r>
      <w:hyperlink r:id="rId252">
        <w:r w:rsidDel="00000000" w:rsidR="00000000" w:rsidRPr="00000000">
          <w:rPr>
            <w:rtl w:val="0"/>
          </w:rPr>
          <w:t xml:space="preserve"> </w:t>
        </w:r>
      </w:hyperlink>
      <w:hyperlink r:id="rId253">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F3">
      <w:pPr>
        <w:spacing w:line="276" w:lineRule="auto"/>
        <w:rPr/>
      </w:pPr>
      <w:r w:rsidDel="00000000" w:rsidR="00000000" w:rsidRPr="00000000">
        <w:rPr>
          <w:rtl w:val="0"/>
        </w:rPr>
      </w:r>
    </w:p>
    <w:p w:rsidR="00000000" w:rsidDel="00000000" w:rsidP="00000000" w:rsidRDefault="00000000" w:rsidRPr="00000000" w14:paraId="000001F4">
      <w:pPr>
        <w:pStyle w:val="Heading1"/>
        <w:keepNext w:val="0"/>
        <w:keepLines w:val="0"/>
        <w:spacing w:before="480" w:lineRule="auto"/>
        <w:rPr>
          <w:b w:val="1"/>
          <w:bCs w:val="1"/>
          <w:sz w:val="46"/>
          <w:szCs w:val="46"/>
        </w:rPr>
      </w:pPr>
      <w:bookmarkStart w:colFirst="0" w:colLast="0" w:name="_rw0foupqzt7n" w:id="44"/>
      <w:bookmarkEnd w:id="44"/>
      <w:r w:rsidDel="00000000" w:rsidR="00000000" w:rsidRPr="00000000">
        <w:rPr>
          <w:b w:val="1"/>
          <w:bCs w:val="1"/>
          <w:sz w:val="46"/>
          <w:szCs w:val="46"/>
          <w:rtl w:val="0"/>
        </w:rPr>
        <w:t xml:space="preserve">SECTION 4: THE EIGHT PILLARS OF EVIDENTIARY GOVERNANCE</w:t>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236earwieqcf" w:id="45"/>
      <w:bookmarkEnd w:id="45"/>
      <w:r w:rsidDel="00000000" w:rsidR="00000000" w:rsidRPr="00000000">
        <w:rPr>
          <w:b w:val="1"/>
          <w:bCs w:val="1"/>
          <w:sz w:val="34"/>
          <w:szCs w:val="34"/>
          <w:rtl w:val="0"/>
        </w:rPr>
        <w:t xml:space="preserve">4.0 Overview</w:t>
      </w:r>
    </w:p>
    <w:p w:rsidR="00000000" w:rsidDel="00000000" w:rsidP="00000000" w:rsidRDefault="00000000" w:rsidRPr="00000000" w14:paraId="000001F6">
      <w:pPr>
        <w:spacing w:after="240" w:before="240" w:lineRule="auto"/>
        <w:rPr>
          <w:color w:val="1155cc"/>
          <w:u w:val="single"/>
        </w:rPr>
      </w:pPr>
      <w:r w:rsidDel="00000000" w:rsidR="00000000" w:rsidRPr="00000000">
        <w:rPr>
          <w:rtl w:val="0"/>
        </w:rPr>
        <w:t xml:space="preserve">The Eight Pillars are the constitutional enforcement infrastructure of Ternary Logic. Each Pillar addresses a critical point of failure in traditional binary financial governance. Together they form the complete, auditable circuit of constitutional accountability. The Pillars are structurally invariant: no governance chamber, regulatory mandate, or emergency condition can suspend, bypass, or reorder them. Their canonical identifiers are used in </w:t>
      </w:r>
      <w:r w:rsidDel="00000000" w:rsidR="00000000" w:rsidRPr="00000000">
        <w:rPr>
          <w:rFonts w:ascii="Roboto Mono" w:cs="Roboto Mono" w:eastAsia="Roboto Mono" w:hAnsi="Roboto Mono"/>
          <w:color w:val="188038"/>
          <w:rtl w:val="0"/>
        </w:rPr>
        <w:t xml:space="preserve">x-tl-pillar</w:t>
      </w:r>
      <w:r w:rsidDel="00000000" w:rsidR="00000000" w:rsidRPr="00000000">
        <w:rPr>
          <w:rtl w:val="0"/>
        </w:rPr>
        <w:t xml:space="preserve"> annotations on every API endpoint and in </w:t>
      </w:r>
      <w:r w:rsidDel="00000000" w:rsidR="00000000" w:rsidRPr="00000000">
        <w:rPr>
          <w:rFonts w:ascii="Roboto Mono" w:cs="Roboto Mono" w:eastAsia="Roboto Mono" w:hAnsi="Roboto Mono"/>
          <w:color w:val="188038"/>
          <w:rtl w:val="0"/>
        </w:rPr>
        <w:t xml:space="preserve">PillarIdentifier_v1_0_0</w:t>
      </w:r>
      <w:r w:rsidDel="00000000" w:rsidR="00000000" w:rsidRPr="00000000">
        <w:rPr>
          <w:rtl w:val="0"/>
        </w:rPr>
        <w:t xml:space="preserve"> as the exclusive vocabulary for pillar references throughout the framework.</w:t>
      </w:r>
      <w:hyperlink r:id="rId254">
        <w:r w:rsidDel="00000000" w:rsidR="00000000" w:rsidRPr="00000000">
          <w:rPr>
            <w:rtl w:val="0"/>
          </w:rPr>
          <w:t xml:space="preserve"> </w:t>
        </w:r>
      </w:hyperlink>
      <w:hyperlink r:id="rId255">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F7">
      <w:pPr>
        <w:spacing w:after="240" w:before="240" w:lineRule="auto"/>
        <w:rPr>
          <w:color w:val="1155cc"/>
          <w:u w:val="single"/>
        </w:rPr>
      </w:pPr>
      <w:r w:rsidDel="00000000" w:rsidR="00000000" w:rsidRPr="00000000">
        <w:rPr>
          <w:rtl w:val="0"/>
        </w:rPr>
        <w:t xml:space="preserve">Cross-pillar dependencies are architecturally enforced: </w:t>
      </w:r>
      <w:r w:rsidDel="00000000" w:rsidR="00000000" w:rsidRPr="00000000">
        <w:rPr>
          <w:rFonts w:ascii="Roboto Mono" w:cs="Roboto Mono" w:eastAsia="Roboto Mono" w:hAnsi="Roboto Mono"/>
          <w:color w:val="188038"/>
          <w:rtl w:val="0"/>
        </w:rPr>
        <w:t xml:space="preserve">EpistemicHold</w:t>
      </w:r>
      <w:r w:rsidDel="00000000" w:rsidR="00000000" w:rsidRPr="00000000">
        <w:rPr>
          <w:rtl w:val="0"/>
        </w:rPr>
        <w:t xml:space="preserve"> (Pillar I) activation degrades all eight Pillar statuses in the </w:t>
      </w:r>
      <w:r w:rsidDel="00000000" w:rsidR="00000000" w:rsidRPr="00000000">
        <w:rPr>
          <w:rFonts w:ascii="Roboto Mono" w:cs="Roboto Mono" w:eastAsia="Roboto Mono" w:hAnsi="Roboto Mono"/>
          <w:color w:val="188038"/>
          <w:rtl w:val="0"/>
        </w:rPr>
        <w:t xml:space="preserve">LanternStatus.pillarStatuses</w:t>
      </w:r>
      <w:r w:rsidDel="00000000" w:rsidR="00000000" w:rsidRPr="00000000">
        <w:rPr>
          <w:rtl w:val="0"/>
        </w:rPr>
        <w:t xml:space="preserve"> array. </w:t>
      </w:r>
      <w:r w:rsidDel="00000000" w:rsidR="00000000" w:rsidRPr="00000000">
        <w:rPr>
          <w:rFonts w:ascii="Roboto Mono" w:cs="Roboto Mono" w:eastAsia="Roboto Mono" w:hAnsi="Roboto Mono"/>
          <w:color w:val="188038"/>
          <w:rtl w:val="0"/>
        </w:rPr>
        <w:t xml:space="preserve">Anchors</w:t>
      </w:r>
      <w:r w:rsidDel="00000000" w:rsidR="00000000" w:rsidRPr="00000000">
        <w:rPr>
          <w:rtl w:val="0"/>
        </w:rPr>
        <w:t xml:space="preserve"> (Pillar VIII) provides the cryptographic substrate on which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(Pillar II) depends for sovereign-grade evidentiary permanence. </w:t>
      </w:r>
      <w:r w:rsidDel="00000000" w:rsidR="00000000" w:rsidRPr="00000000">
        <w:rPr>
          <w:rFonts w:ascii="Roboto Mono" w:cs="Roboto Mono" w:eastAsia="Roboto Mono" w:hAnsi="Roboto Mono"/>
          <w:color w:val="188038"/>
          <w:rtl w:val="0"/>
        </w:rPr>
        <w:t xml:space="preserve">EconomicRightsAndTransparencyMandate</w:t>
      </w:r>
      <w:r w:rsidDel="00000000" w:rsidR="00000000" w:rsidRPr="00000000">
        <w:rPr>
          <w:rtl w:val="0"/>
        </w:rPr>
        <w:t xml:space="preserve"> (Pillar V) regulatory failures feed directly into </w:t>
      </w:r>
      <w:r w:rsidDel="00000000" w:rsidR="00000000" w:rsidRPr="00000000">
        <w:rPr>
          <w:rFonts w:ascii="Roboto Mono" w:cs="Roboto Mono" w:eastAsia="Roboto Mono" w:hAnsi="Roboto Mono"/>
          <w:color w:val="188038"/>
          <w:rtl w:val="0"/>
        </w:rPr>
        <w:t xml:space="preserve">HybridShield</w:t>
      </w:r>
      <w:r w:rsidDel="00000000" w:rsidR="00000000" w:rsidRPr="00000000">
        <w:rPr>
          <w:rtl w:val="0"/>
        </w:rPr>
        <w:t xml:space="preserve"> (Pillar VII) audit escalation pathways.</w:t>
      </w:r>
      <w:hyperlink r:id="rId256">
        <w:r w:rsidDel="00000000" w:rsidR="00000000" w:rsidRPr="00000000">
          <w:rPr>
            <w:rtl w:val="0"/>
          </w:rPr>
          <w:t xml:space="preserve"> </w:t>
        </w:r>
      </w:hyperlink>
      <w:hyperlink r:id="rId257">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F8">
      <w:pPr>
        <w:spacing w:after="240" w:before="240" w:lineRule="auto"/>
        <w:rPr/>
      </w:pPr>
      <w:r w:rsidDel="00000000" w:rsidR="00000000" w:rsidRPr="00000000">
        <w:rPr>
          <w:rtl w:val="0"/>
        </w:rPr>
        <w:t xml:space="preserve">The non-negotiable architectural covenant that runs through all eight Pillars is NL=NA. Every Pillar either generates, protects, anchors, or governs access to the evidentiary record that makes execution constitutionally possible.</w:t>
      </w:r>
    </w:p>
    <w:p w:rsidR="00000000" w:rsidDel="00000000" w:rsidP="00000000" w:rsidRDefault="00000000" w:rsidRPr="00000000" w14:paraId="000001F9">
      <w:pPr>
        <w:pStyle w:val="Heading2"/>
        <w:keepNext w:val="0"/>
        <w:keepLines w:val="0"/>
        <w:spacing w:after="80" w:lineRule="auto"/>
        <w:rPr>
          <w:b w:val="1"/>
          <w:bCs w:val="1"/>
          <w:sz w:val="34"/>
          <w:szCs w:val="34"/>
        </w:rPr>
      </w:pPr>
      <w:bookmarkStart w:colFirst="0" w:colLast="0" w:name="_kiddt49hl16s" w:id="46"/>
      <w:bookmarkEnd w:id="46"/>
      <w:r w:rsidDel="00000000" w:rsidR="00000000" w:rsidRPr="00000000">
        <w:rPr>
          <w:b w:val="1"/>
          <w:bCs w:val="1"/>
          <w:sz w:val="34"/>
          <w:szCs w:val="34"/>
          <w:rtl w:val="0"/>
        </w:rPr>
        <w:t xml:space="preserve">4.1 Pillar I: Epistemic Hold</w:t>
      </w:r>
    </w:p>
    <w:p w:rsidR="00000000" w:rsidDel="00000000" w:rsidP="00000000" w:rsidRDefault="00000000" w:rsidRPr="00000000" w14:paraId="000001FA">
      <w:pPr>
        <w:spacing w:after="240" w:before="240" w:lineRule="auto"/>
        <w:rPr>
          <w:rFonts w:ascii="Roboto Mono" w:cs="Roboto Mono" w:eastAsia="Roboto Mono" w:hAnsi="Roboto Mono"/>
          <w:color w:val="188038"/>
        </w:rPr>
      </w:pPr>
      <w:r w:rsidDel="00000000" w:rsidR="00000000" w:rsidRPr="00000000">
        <w:rPr>
          <w:b w:val="1"/>
          <w:bCs w:val="1"/>
          <w:rtl w:val="0"/>
        </w:rPr>
        <w:t xml:space="preserve">Canonical identifier: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EpistemicHold</w:t>
      </w:r>
    </w:p>
    <w:p w:rsidR="00000000" w:rsidDel="00000000" w:rsidP="00000000" w:rsidRDefault="00000000" w:rsidRPr="00000000" w14:paraId="000001FB">
      <w:pPr>
        <w:spacing w:after="240" w:before="240" w:lineRule="auto"/>
        <w:rPr>
          <w:color w:val="1155cc"/>
          <w:u w:val="single"/>
        </w:rPr>
      </w:pPr>
      <w:r w:rsidDel="00000000" w:rsidR="00000000" w:rsidRPr="00000000">
        <w:rPr>
          <w:rtl w:val="0"/>
        </w:rPr>
        <w:t xml:space="preserve">Pillar I is the cornerstone of TL's systemic prudence. Its purpose is to architecturally institutionalize the concept of verified hesitation in high-speed, automated economic operations. Traditional binary systems are engineered for continuous operation: their failure to proceed results either from a crash or a non-compliant refusal, neither of which provides a verifiable, auditable record of why the decision process encountered difficulty. Pillar I forces the system to acknowledge, log, and escalate the moment of epistemic doubt.</w:t>
      </w:r>
      <w:hyperlink r:id="rId258">
        <w:r w:rsidDel="00000000" w:rsidR="00000000" w:rsidRPr="00000000">
          <w:rPr>
            <w:rtl w:val="0"/>
          </w:rPr>
          <w:t xml:space="preserve"> </w:t>
        </w:r>
      </w:hyperlink>
      <w:hyperlink r:id="rId259">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1FC">
      <w:pPr>
        <w:spacing w:after="240" w:before="240" w:lineRule="auto"/>
        <w:rPr>
          <w:color w:val="1155cc"/>
          <w:u w:val="single"/>
        </w:rPr>
      </w:pPr>
      <w:r w:rsidDel="00000000" w:rsidR="00000000" w:rsidRPr="00000000">
        <w:rPr>
          <w:rtl w:val="0"/>
        </w:rPr>
        <w:t xml:space="preserve">The transition to Epistemic Hold is governed by pre-defined algorithmic integrity self-tests operating through the </w:t>
      </w:r>
      <w:r w:rsidDel="00000000" w:rsidR="00000000" w:rsidRPr="00000000">
        <w:rPr>
          <w:rFonts w:ascii="Roboto Mono" w:cs="Roboto Mono" w:eastAsia="Roboto Mono" w:hAnsi="Roboto Mono"/>
          <w:color w:val="188038"/>
          <w:rtl w:val="0"/>
        </w:rPr>
        <w:t xml:space="preserve">lantern</w:t>
      </w:r>
      <w:r w:rsidDel="00000000" w:rsidR="00000000" w:rsidRPr="00000000">
        <w:rPr>
          <w:rtl w:val="0"/>
        </w:rPr>
        <w:t xml:space="preserve"> artifact. These tests are threshold-based and context-sensitive. Input data quality scores falling below minimum verifiable thresholds, model convergence failures, and latency in critical external data feeds exceeding defined operational tolerances each independently trigger State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When a threshold violation occurs, three non-negotiable actions execute: an immutable, timestamped Decision Log is created through </w:t>
      </w:r>
      <w:r w:rsidDel="00000000" w:rsidR="00000000" w:rsidRPr="00000000">
        <w:rPr>
          <w:rFonts w:ascii="Roboto Mono" w:cs="Roboto Mono" w:eastAsia="Roboto Mono" w:hAnsi="Roboto Mono"/>
          <w:color w:val="188038"/>
          <w:rtl w:val="0"/>
        </w:rPr>
        <w:t xml:space="preserve">TGLF_State0_v1_0_0</w:t>
      </w:r>
      <w:r w:rsidDel="00000000" w:rsidR="00000000" w:rsidRPr="00000000">
        <w:rPr>
          <w:rtl w:val="0"/>
        </w:rPr>
        <w:t xml:space="preserve"> documenting the exact triggering conditions; the problematic execution thread is isolated; and an automated priority notification is dispatched via the </w:t>
      </w:r>
      <w:r w:rsidDel="00000000" w:rsidR="00000000" w:rsidRPr="00000000">
        <w:rPr>
          <w:rFonts w:ascii="Roboto Mono" w:cs="Roboto Mono" w:eastAsia="Roboto Mono" w:hAnsi="Roboto Mono"/>
          <w:color w:val="188038"/>
          <w:rtl w:val="0"/>
        </w:rPr>
        <w:t xml:space="preserve">epistemicHold.escalation</w:t>
      </w:r>
      <w:r w:rsidDel="00000000" w:rsidR="00000000" w:rsidRPr="00000000">
        <w:rPr>
          <w:rtl w:val="0"/>
        </w:rPr>
        <w:t xml:space="preserve"> webhook carrying the </w:t>
      </w:r>
      <w:r w:rsidDel="00000000" w:rsidR="00000000" w:rsidRPr="00000000">
        <w:rPr>
          <w:rFonts w:ascii="Roboto Mono" w:cs="Roboto Mono" w:eastAsia="Roboto Mono" w:hAnsi="Roboto Mono"/>
          <w:color w:val="188038"/>
          <w:rtl w:val="0"/>
        </w:rPr>
        <w:t xml:space="preserve">x-tl-trace-id</w:t>
      </w:r>
      <w:r w:rsidDel="00000000" w:rsidR="00000000" w:rsidRPr="00000000">
        <w:rPr>
          <w:rtl w:val="0"/>
        </w:rPr>
        <w:t xml:space="preserve"> to the Stewardship Custodians alongside a request for supplemental data or a manually logged resolution protocol.</w:t>
      </w:r>
      <w:hyperlink r:id="rId260">
        <w:r w:rsidDel="00000000" w:rsidR="00000000" w:rsidRPr="00000000">
          <w:rPr>
            <w:rtl w:val="0"/>
          </w:rPr>
          <w:t xml:space="preserve"> </w:t>
        </w:r>
      </w:hyperlink>
      <w:hyperlink r:id="rId261">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1FD">
      <w:pPr>
        <w:spacing w:after="240" w:before="240" w:lineRule="auto"/>
        <w:rPr>
          <w:color w:val="1155cc"/>
          <w:u w:val="single"/>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EscrowRecord_v1_0_0</w:t>
      </w:r>
      <w:r w:rsidDel="00000000" w:rsidR="00000000" w:rsidRPr="00000000">
        <w:rPr>
          <w:rtl w:val="0"/>
        </w:rPr>
        <w:t xml:space="preserve"> schema is the single authoritative definition of all Epistemic Hold response fields. Its </w:t>
      </w:r>
      <w:r w:rsidDel="00000000" w:rsidR="00000000" w:rsidRPr="00000000">
        <w:rPr>
          <w:rFonts w:ascii="Roboto Mono" w:cs="Roboto Mono" w:eastAsia="Roboto Mono" w:hAnsi="Roboto Mono"/>
          <w:color w:val="188038"/>
          <w:rtl w:val="0"/>
        </w:rPr>
        <w:t xml:space="preserve">heldState</w:t>
      </w:r>
      <w:r w:rsidDel="00000000" w:rsidR="00000000" w:rsidRPr="00000000">
        <w:rPr>
          <w:rtl w:val="0"/>
        </w:rPr>
        <w:t xml:space="preserve"> field carries </w:t>
      </w:r>
      <w:r w:rsidDel="00000000" w:rsidR="00000000" w:rsidRPr="00000000">
        <w:rPr>
          <w:rFonts w:ascii="Roboto Mono" w:cs="Roboto Mono" w:eastAsia="Roboto Mono" w:hAnsi="Roboto Mono"/>
          <w:color w:val="188038"/>
          <w:rtl w:val="0"/>
        </w:rPr>
        <w:t xml:space="preserve">const: 0</w:t>
      </w:r>
      <w:r w:rsidDel="00000000" w:rsidR="00000000" w:rsidRPr="00000000">
        <w:rPr>
          <w:rtl w:val="0"/>
        </w:rPr>
        <w:t xml:space="preserve">. Its </w:t>
      </w:r>
      <w:r w:rsidDel="00000000" w:rsidR="00000000" w:rsidRPr="00000000">
        <w:rPr>
          <w:rFonts w:ascii="Roboto Mono" w:cs="Roboto Mono" w:eastAsia="Roboto Mono" w:hAnsi="Roboto Mono"/>
          <w:color w:val="188038"/>
          <w:rtl w:val="0"/>
        </w:rPr>
        <w:t xml:space="preserve">holdRationale</w:t>
      </w:r>
      <w:r w:rsidDel="00000000" w:rsidR="00000000" w:rsidRPr="00000000">
        <w:rPr>
          <w:rtl w:val="0"/>
        </w:rPr>
        <w:t xml:space="preserve"> object contains </w:t>
      </w:r>
      <w:r w:rsidDel="00000000" w:rsidR="00000000" w:rsidRPr="00000000">
        <w:rPr>
          <w:rFonts w:ascii="Roboto Mono" w:cs="Roboto Mono" w:eastAsia="Roboto Mono" w:hAnsi="Roboto Mono"/>
          <w:color w:val="188038"/>
          <w:rtl w:val="0"/>
        </w:rPr>
        <w:t xml:space="preserve">rationale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uncertaintyScore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pillarImplicated</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resolutionDeadline</w:t>
      </w:r>
      <w:r w:rsidDel="00000000" w:rsidR="00000000" w:rsidRPr="00000000">
        <w:rPr>
          <w:rtl w:val="0"/>
        </w:rPr>
        <w:t xml:space="preserve"> field establishes the constitutional maximum deliberation period. </w:t>
      </w:r>
      <w:r w:rsidDel="00000000" w:rsidR="00000000" w:rsidRPr="00000000">
        <w:rPr>
          <w:rFonts w:ascii="Roboto Mono" w:cs="Roboto Mono" w:eastAsia="Roboto Mono" w:hAnsi="Roboto Mono"/>
          <w:color w:val="188038"/>
          <w:rtl w:val="0"/>
        </w:rPr>
        <w:t xml:space="preserve">PATCH /epistemic-hold/escalations/{escalationId}</w:t>
      </w:r>
      <w:r w:rsidDel="00000000" w:rsidR="00000000" w:rsidRPr="00000000">
        <w:rPr>
          <w:rtl w:val="0"/>
        </w:rPr>
        <w:t xml:space="preserve"> accepts </w:t>
      </w:r>
      <w:r w:rsidDel="00000000" w:rsidR="00000000" w:rsidRPr="00000000">
        <w:rPr>
          <w:rFonts w:ascii="Roboto Mono" w:cs="Roboto Mono" w:eastAsia="Roboto Mono" w:hAnsi="Roboto Mono"/>
          <w:color w:val="188038"/>
          <w:rtl w:val="0"/>
        </w:rPr>
        <w:t xml:space="preserve">resolvedState</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enum [1, -1]</w:t>
      </w:r>
      <w:r w:rsidDel="00000000" w:rsidR="00000000" w:rsidRPr="00000000">
        <w:rPr>
          <w:rtl w:val="0"/>
        </w:rPr>
        <w:t xml:space="preserve"> only - State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is not a valid resolution state and is rejected at the HTTP layer. At the smart contract layer, </w:t>
      </w:r>
      <w:r w:rsidDel="00000000" w:rsidR="00000000" w:rsidRPr="00000000">
        <w:rPr>
          <w:rFonts w:ascii="Roboto Mono" w:cs="Roboto Mono" w:eastAsia="Roboto Mono" w:hAnsi="Roboto Mono"/>
          <w:color w:val="188038"/>
          <w:rtl w:val="0"/>
        </w:rPr>
        <w:t xml:space="preserve">TL_Ledger_Core.resolveEpistemicHoldSystemWide</w:t>
      </w:r>
      <w:r w:rsidDel="00000000" w:rsidR="00000000" w:rsidRPr="00000000">
        <w:rPr>
          <w:rtl w:val="0"/>
        </w:rPr>
        <w:t xml:space="preserve"> reverts with </w:t>
      </w:r>
      <w:r w:rsidDel="00000000" w:rsidR="00000000" w:rsidRPr="00000000">
        <w:rPr>
          <w:rFonts w:ascii="Roboto Mono" w:cs="Roboto Mono" w:eastAsia="Roboto Mono" w:hAnsi="Roboto Mono"/>
          <w:color w:val="188038"/>
          <w:rtl w:val="0"/>
        </w:rPr>
        <w:t xml:space="preserve">InvalidResolutionState</w:t>
      </w:r>
      <w:r w:rsidDel="00000000" w:rsidR="00000000" w:rsidRPr="00000000">
        <w:rPr>
          <w:rtl w:val="0"/>
        </w:rPr>
        <w:t xml:space="preserve"> for any </w:t>
      </w:r>
      <w:r w:rsidDel="00000000" w:rsidR="00000000" w:rsidRPr="00000000">
        <w:rPr>
          <w:rFonts w:ascii="Roboto Mono" w:cs="Roboto Mono" w:eastAsia="Roboto Mono" w:hAnsi="Roboto Mono"/>
          <w:color w:val="188038"/>
          <w:rtl w:val="0"/>
        </w:rPr>
        <w:t xml:space="preserve">resolvedState</w:t>
      </w:r>
      <w:r w:rsidDel="00000000" w:rsidR="00000000" w:rsidRPr="00000000">
        <w:rPr>
          <w:rtl w:val="0"/>
        </w:rPr>
        <w:t xml:space="preserve"> value other than the encoded Proceed or Refuse.</w:t>
      </w:r>
      <w:hyperlink r:id="rId262">
        <w:r w:rsidDel="00000000" w:rsidR="00000000" w:rsidRPr="00000000">
          <w:rPr>
            <w:rtl w:val="0"/>
          </w:rPr>
          <w:t xml:space="preserve"> </w:t>
        </w:r>
      </w:hyperlink>
      <w:hyperlink r:id="rId263">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1FE">
      <w:pPr>
        <w:spacing w:after="240" w:before="240" w:lineRule="auto"/>
        <w:rPr>
          <w:color w:val="1155cc"/>
          <w:u w:val="single"/>
        </w:rPr>
      </w:pPr>
      <w:r w:rsidDel="00000000" w:rsidR="00000000" w:rsidRPr="00000000">
        <w:rPr>
          <w:rtl w:val="0"/>
        </w:rPr>
        <w:t xml:space="preserve">In DITL hardware deployment, Epistemic Hold achieves maximum enforceability. The NULL or Spacer state at half-Vdd is a physical electrical condition - both dual-rail wires held at logic low, denoted as </w:t>
      </w:r>
      <w:r w:rsidDel="00000000" w:rsidR="00000000" w:rsidRPr="00000000">
        <w:rPr>
          <w:rFonts w:ascii="Roboto Mono" w:cs="Roboto Mono" w:eastAsia="Roboto Mono" w:hAnsi="Roboto Mono"/>
          <w:color w:val="188038"/>
          <w:rtl w:val="0"/>
        </w:rPr>
        <w:t xml:space="preserve">{0,0}</w:t>
      </w:r>
      <w:r w:rsidDel="00000000" w:rsidR="00000000" w:rsidRPr="00000000">
        <w:rPr>
          <w:rtl w:val="0"/>
        </w:rPr>
        <w:t xml:space="preserve"> - not a software flag. The Muller C-element withholds its acknowledge signal when any input remains in the NULL state. Without the acknowledge transition, upstream pipeline stages physically cannot proceed. There is no clock to restart, no register to flip, no port to write. In software emulation mode, Pillar I degrades to a conditional branch instruction bypassable by any actor with sufficient privilege to modify the instruction stream.</w:t>
      </w:r>
      <w:hyperlink r:id="rId264">
        <w:r w:rsidDel="00000000" w:rsidR="00000000" w:rsidRPr="00000000">
          <w:rPr>
            <w:rtl w:val="0"/>
          </w:rPr>
          <w:t xml:space="preserve"> </w:t>
        </w:r>
      </w:hyperlink>
      <w:hyperlink r:id="rId265">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1FF">
      <w:pPr>
        <w:spacing w:after="240" w:before="240" w:lineRule="auto"/>
        <w:rPr>
          <w:color w:val="1155cc"/>
          <w:u w:val="single"/>
        </w:rPr>
      </w:pPr>
      <w:r w:rsidDel="00000000" w:rsidR="00000000" w:rsidRPr="00000000">
        <w:rPr>
          <w:rtl w:val="0"/>
        </w:rPr>
        <w:t xml:space="preserve">Pillar I is expressed in the API through </w:t>
      </w:r>
      <w:r w:rsidDel="00000000" w:rsidR="00000000" w:rsidRPr="00000000">
        <w:rPr>
          <w:rFonts w:ascii="Roboto Mono" w:cs="Roboto Mono" w:eastAsia="Roboto Mono" w:hAnsi="Roboto Mono"/>
          <w:color w:val="188038"/>
          <w:rtl w:val="0"/>
        </w:rPr>
        <w:t xml:space="preserve">POST /decisions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/PATCH /epistemic-hold/escalations/*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 /epistemic-hold/lantern</w:t>
      </w:r>
      <w:r w:rsidDel="00000000" w:rsidR="00000000" w:rsidRPr="00000000">
        <w:rPr>
          <w:rtl w:val="0"/>
        </w:rPr>
        <w:t xml:space="preserve">. Its schema anchors are </w:t>
      </w:r>
      <w:r w:rsidDel="00000000" w:rsidR="00000000" w:rsidRPr="00000000">
        <w:rPr>
          <w:rFonts w:ascii="Roboto Mono" w:cs="Roboto Mono" w:eastAsia="Roboto Mono" w:hAnsi="Roboto Mono"/>
          <w:color w:val="188038"/>
          <w:rtl w:val="0"/>
        </w:rPr>
        <w:t xml:space="preserve">EscrowRecord_v1_0_0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TGLF_State0_v1_0_0</w:t>
      </w:r>
      <w:r w:rsidDel="00000000" w:rsidR="00000000" w:rsidRPr="00000000">
        <w:rPr>
          <w:rtl w:val="0"/>
        </w:rPr>
        <w:t xml:space="preserve">.</w:t>
      </w:r>
      <w:hyperlink r:id="rId266">
        <w:r w:rsidDel="00000000" w:rsidR="00000000" w:rsidRPr="00000000">
          <w:rPr>
            <w:rtl w:val="0"/>
          </w:rPr>
          <w:t xml:space="preserve"> </w:t>
        </w:r>
      </w:hyperlink>
      <w:hyperlink r:id="rId267">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00">
      <w:pPr>
        <w:pStyle w:val="Heading2"/>
        <w:keepNext w:val="0"/>
        <w:keepLines w:val="0"/>
        <w:spacing w:after="80" w:lineRule="auto"/>
        <w:rPr>
          <w:b w:val="1"/>
          <w:bCs w:val="1"/>
          <w:sz w:val="34"/>
          <w:szCs w:val="34"/>
        </w:rPr>
      </w:pPr>
      <w:bookmarkStart w:colFirst="0" w:colLast="0" w:name="_tctdl0of9qdy" w:id="47"/>
      <w:bookmarkEnd w:id="47"/>
      <w:r w:rsidDel="00000000" w:rsidR="00000000" w:rsidRPr="00000000">
        <w:rPr>
          <w:b w:val="1"/>
          <w:bCs w:val="1"/>
          <w:sz w:val="34"/>
          <w:szCs w:val="34"/>
          <w:rtl w:val="0"/>
        </w:rPr>
        <w:t xml:space="preserve">4.2 Pillar II: Immutable Ledger</w:t>
      </w:r>
    </w:p>
    <w:p w:rsidR="00000000" w:rsidDel="00000000" w:rsidP="00000000" w:rsidRDefault="00000000" w:rsidRPr="00000000" w14:paraId="00000201">
      <w:pPr>
        <w:spacing w:after="240" w:before="240" w:lineRule="auto"/>
        <w:rPr>
          <w:rFonts w:ascii="Roboto Mono" w:cs="Roboto Mono" w:eastAsia="Roboto Mono" w:hAnsi="Roboto Mono"/>
          <w:color w:val="188038"/>
        </w:rPr>
      </w:pPr>
      <w:r w:rsidDel="00000000" w:rsidR="00000000" w:rsidRPr="00000000">
        <w:rPr>
          <w:b w:val="1"/>
          <w:bCs w:val="1"/>
          <w:rtl w:val="0"/>
        </w:rPr>
        <w:t xml:space="preserve">Canonical identifier: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ImmutableLedger</w:t>
      </w:r>
    </w:p>
    <w:p w:rsidR="00000000" w:rsidDel="00000000" w:rsidP="00000000" w:rsidRDefault="00000000" w:rsidRPr="00000000" w14:paraId="00000202">
      <w:pPr>
        <w:spacing w:after="240" w:before="240" w:lineRule="auto"/>
        <w:rPr>
          <w:color w:val="1155cc"/>
          <w:u w:val="single"/>
        </w:rPr>
      </w:pPr>
      <w:r w:rsidDel="00000000" w:rsidR="00000000" w:rsidRPr="00000000">
        <w:rPr>
          <w:rtl w:val="0"/>
        </w:rPr>
        <w:t xml:space="preserve">Pillar II is the architectural realization of the NL=NA mandate. Its purpose is to guarantee that the evidentiary history of a decision is both complete and tamper-evident before the decision is executed, reversing the conventional compliance process from ex-post audit to pre-action evidence. The Immutable Ledger stores the verifiable cryptographic proof of the entire decision context: all required compliance checks, model inputs, risk assessments, and the system's triadic state determination. By requiring the creation and cryptographic sealing of this audit trail as a precondition for action, Pillar II structurally prevents the most common forms of financial misconduct: the retrospective alteration, deletion, or selective reporting of operational data.</w:t>
      </w:r>
      <w:hyperlink r:id="rId268">
        <w:r w:rsidDel="00000000" w:rsidR="00000000" w:rsidRPr="00000000">
          <w:rPr>
            <w:rtl w:val="0"/>
          </w:rPr>
          <w:t xml:space="preserve"> </w:t>
        </w:r>
      </w:hyperlink>
      <w:hyperlink r:id="rId269">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203">
      <w:pPr>
        <w:spacing w:after="240" w:before="240" w:lineRule="auto"/>
        <w:rPr>
          <w:color w:val="1155cc"/>
          <w:u w:val="single"/>
        </w:rPr>
      </w:pPr>
      <w:r w:rsidDel="00000000" w:rsidR="00000000" w:rsidRPr="00000000">
        <w:rPr>
          <w:rtl w:val="0"/>
        </w:rPr>
        <w:t xml:space="preserve">The Immutable Ledger operates through Merkle-batched sequential hashing. Before any economic action is performed, the system serializes all pre-action documentation into a standardized Decision Log format. This log is cryptographically hashed, and the resulting hash is immediately appended to a rolling buffer using a Merkle tree structure to link all preceding hashes sequentially. Once a batch reaches a specified size or time interval, the Merkle Root is calculated and stored. The ledger is a local, high-speed, cryptographically secured database optimized for sequential writes, ensuring that the evidence-before-action check adds negligible latency.</w:t>
      </w:r>
      <w:hyperlink r:id="rId270">
        <w:r w:rsidDel="00000000" w:rsidR="00000000" w:rsidRPr="00000000">
          <w:rPr>
            <w:rtl w:val="0"/>
          </w:rPr>
          <w:t xml:space="preserve"> </w:t>
        </w:r>
      </w:hyperlink>
      <w:hyperlink r:id="rId271">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204">
      <w:pPr>
        <w:spacing w:after="240" w:before="240" w:lineRule="auto"/>
        <w:rPr>
          <w:color w:val="1155cc"/>
          <w:u w:val="single"/>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ghostGovernanceDetectionRate</w:t>
      </w:r>
      <w:r w:rsidDel="00000000" w:rsidR="00000000" w:rsidRPr="00000000">
        <w:rPr>
          <w:rtl w:val="0"/>
        </w:rPr>
        <w:t xml:space="preserve"> metric in </w:t>
      </w:r>
      <w:r w:rsidDel="00000000" w:rsidR="00000000" w:rsidRPr="00000000">
        <w:rPr>
          <w:rFonts w:ascii="Roboto Mono" w:cs="Roboto Mono" w:eastAsia="Roboto Mono" w:hAnsi="Roboto Mono"/>
          <w:color w:val="188038"/>
          <w:rtl w:val="0"/>
        </w:rPr>
        <w:t xml:space="preserve">GET /metrics/summary</w:t>
      </w:r>
      <w:r w:rsidDel="00000000" w:rsidR="00000000" w:rsidRPr="00000000">
        <w:rPr>
          <w:rtl w:val="0"/>
        </w:rPr>
        <w:t xml:space="preserve"> quantifies Ghost Governance prevention at the NL=NA physical commit boundary. Any attempt to tamper with, alter, or delete a single log entry breaks the cryptographic chain immediately, making the compromise apparent and traceable to the precise point of rupture. The </w:t>
      </w:r>
      <w:r w:rsidDel="00000000" w:rsidR="00000000" w:rsidRPr="00000000">
        <w:rPr>
          <w:rFonts w:ascii="Roboto Mono" w:cs="Roboto Mono" w:eastAsia="Roboto Mono" w:hAnsi="Roboto Mono"/>
          <w:color w:val="188038"/>
          <w:rtl w:val="0"/>
        </w:rPr>
        <w:t xml:space="preserve">GhostGovernanceDetectedError</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tlErrorCode: "GHOST_GOVERNANCE_DETECTED_ERROR"</w:t>
      </w:r>
      <w:r w:rsidDel="00000000" w:rsidR="00000000" w:rsidRPr="00000000">
        <w:rPr>
          <w:rtl w:val="0"/>
        </w:rPr>
        <w:t xml:space="preserve"> fires when an actuation attempt occurs without a registered Permission Token, carrying </w:t>
      </w:r>
      <w:r w:rsidDel="00000000" w:rsidR="00000000" w:rsidRPr="00000000">
        <w:rPr>
          <w:rFonts w:ascii="Roboto Mono" w:cs="Roboto Mono" w:eastAsia="Roboto Mono" w:hAnsi="Roboto Mono"/>
          <w:color w:val="188038"/>
          <w:rtl w:val="0"/>
        </w:rPr>
        <w:t xml:space="preserve">x-tl-state: -1</w:t>
      </w:r>
      <w:r w:rsidDel="00000000" w:rsidR="00000000" w:rsidRPr="00000000">
        <w:rPr>
          <w:rtl w:val="0"/>
        </w:rPr>
        <w:t xml:space="preserve">.</w:t>
      </w:r>
      <w:hyperlink r:id="rId272">
        <w:r w:rsidDel="00000000" w:rsidR="00000000" w:rsidRPr="00000000">
          <w:rPr>
            <w:rtl w:val="0"/>
          </w:rPr>
          <w:t xml:space="preserve"> </w:t>
        </w:r>
      </w:hyperlink>
      <w:hyperlink r:id="rId273">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05">
      <w:pPr>
        <w:spacing w:after="240" w:before="240" w:lineRule="auto"/>
        <w:rPr>
          <w:color w:val="1155cc"/>
          <w:u w:val="single"/>
        </w:rPr>
      </w:pPr>
      <w:r w:rsidDel="00000000" w:rsidR="00000000" w:rsidRPr="00000000">
        <w:rPr>
          <w:rtl w:val="0"/>
        </w:rPr>
        <w:t xml:space="preserve">Pillar II is expressed through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/audit-logs/{logId}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/refusals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 /regulator/timestamp-verification/{logId}</w:t>
      </w:r>
      <w:r w:rsidDel="00000000" w:rsidR="00000000" w:rsidRPr="00000000">
        <w:rPr>
          <w:rtl w:val="0"/>
        </w:rPr>
        <w:t xml:space="preserve">. Its schema anchor is </w:t>
      </w:r>
      <w:r w:rsidDel="00000000" w:rsidR="00000000" w:rsidRPr="00000000">
        <w:rPr>
          <w:rFonts w:ascii="Roboto Mono" w:cs="Roboto Mono" w:eastAsia="Roboto Mono" w:hAnsi="Roboto Mono"/>
          <w:color w:val="188038"/>
          <w:rtl w:val="0"/>
        </w:rPr>
        <w:t xml:space="preserve">AuditProof_v1_0_0</w:t>
      </w:r>
      <w:r w:rsidDel="00000000" w:rsidR="00000000" w:rsidRPr="00000000">
        <w:rPr>
          <w:rtl w:val="0"/>
        </w:rPr>
        <w:t xml:space="preserve">. The dependency relationship with Pillar VIII is architectural: the Immutable Ledger provides the local evidentiary commitment, while </w:t>
      </w:r>
      <w:r w:rsidDel="00000000" w:rsidR="00000000" w:rsidRPr="00000000">
        <w:rPr>
          <w:rFonts w:ascii="Roboto Mono" w:cs="Roboto Mono" w:eastAsia="Roboto Mono" w:hAnsi="Roboto Mono"/>
          <w:color w:val="188038"/>
          <w:rtl w:val="0"/>
        </w:rPr>
        <w:t xml:space="preserve">Anchors</w:t>
      </w:r>
      <w:r w:rsidDel="00000000" w:rsidR="00000000" w:rsidRPr="00000000">
        <w:rPr>
          <w:rtl w:val="0"/>
        </w:rPr>
        <w:t xml:space="preserve"> provides the public blockchain notarization that makes that commitment sovereign-grade and non-repudiable.</w:t>
      </w:r>
      <w:hyperlink r:id="rId274">
        <w:r w:rsidDel="00000000" w:rsidR="00000000" w:rsidRPr="00000000">
          <w:rPr>
            <w:rtl w:val="0"/>
          </w:rPr>
          <w:t xml:space="preserve"> </w:t>
        </w:r>
      </w:hyperlink>
      <w:hyperlink r:id="rId275">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06">
      <w:pPr>
        <w:pStyle w:val="Heading2"/>
        <w:keepNext w:val="0"/>
        <w:keepLines w:val="0"/>
        <w:spacing w:after="80" w:lineRule="auto"/>
        <w:rPr>
          <w:b w:val="1"/>
          <w:bCs w:val="1"/>
          <w:sz w:val="34"/>
          <w:szCs w:val="34"/>
        </w:rPr>
      </w:pPr>
      <w:bookmarkStart w:colFirst="0" w:colLast="0" w:name="_e0ryvo7639po" w:id="48"/>
      <w:bookmarkEnd w:id="48"/>
      <w:r w:rsidDel="00000000" w:rsidR="00000000" w:rsidRPr="00000000">
        <w:rPr>
          <w:b w:val="1"/>
          <w:bCs w:val="1"/>
          <w:sz w:val="34"/>
          <w:szCs w:val="34"/>
          <w:rtl w:val="0"/>
        </w:rPr>
        <w:t xml:space="preserve">4.3 Pillar III: Goukassian Principle</w:t>
      </w:r>
    </w:p>
    <w:p w:rsidR="00000000" w:rsidDel="00000000" w:rsidP="00000000" w:rsidRDefault="00000000" w:rsidRPr="00000000" w14:paraId="00000207">
      <w:pPr>
        <w:spacing w:after="240" w:before="240" w:lineRule="auto"/>
        <w:rPr>
          <w:rFonts w:ascii="Roboto Mono" w:cs="Roboto Mono" w:eastAsia="Roboto Mono" w:hAnsi="Roboto Mono"/>
          <w:color w:val="188038"/>
        </w:rPr>
      </w:pPr>
      <w:r w:rsidDel="00000000" w:rsidR="00000000" w:rsidRPr="00000000">
        <w:rPr>
          <w:b w:val="1"/>
          <w:bCs w:val="1"/>
          <w:rtl w:val="0"/>
        </w:rPr>
        <w:t xml:space="preserve">Canonical identifier: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GoukassianPrinciple</w:t>
      </w:r>
    </w:p>
    <w:p w:rsidR="00000000" w:rsidDel="00000000" w:rsidP="00000000" w:rsidRDefault="00000000" w:rsidRPr="00000000" w14:paraId="00000208">
      <w:pPr>
        <w:spacing w:after="240" w:before="240" w:lineRule="auto"/>
        <w:rPr/>
      </w:pPr>
      <w:r w:rsidDel="00000000" w:rsidR="00000000" w:rsidRPr="00000000">
        <w:rPr>
          <w:rtl w:val="0"/>
        </w:rPr>
        <w:t xml:space="preserve">Pillar III translates the Goukassian Vow into three operational enforcement mechanisms: the </w:t>
      </w:r>
      <w:r w:rsidDel="00000000" w:rsidR="00000000" w:rsidRPr="00000000">
        <w:rPr>
          <w:rFonts w:ascii="Roboto Mono" w:cs="Roboto Mono" w:eastAsia="Roboto Mono" w:hAnsi="Roboto Mono"/>
          <w:color w:val="188038"/>
          <w:rtl w:val="0"/>
        </w:rPr>
        <w:t xml:space="preserve">lantern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signature</w:t>
      </w:r>
      <w:r w:rsidDel="00000000" w:rsidR="00000000" w:rsidRPr="00000000">
        <w:rPr>
          <w:rtl w:val="0"/>
        </w:rPr>
        <w:t xml:space="preserve">, and the </w:t>
      </w:r>
      <w:r w:rsidDel="00000000" w:rsidR="00000000" w:rsidRPr="00000000">
        <w:rPr>
          <w:rFonts w:ascii="Roboto Mono" w:cs="Roboto Mono" w:eastAsia="Roboto Mono" w:hAnsi="Roboto Mono"/>
          <w:color w:val="188038"/>
          <w:rtl w:val="0"/>
        </w:rPr>
        <w:t xml:space="preserve">license</w:t>
      </w:r>
      <w:r w:rsidDel="00000000" w:rsidR="00000000" w:rsidRPr="00000000">
        <w:rPr>
          <w:rtl w:val="0"/>
        </w:rPr>
        <w:t xml:space="preserve">. It is the Pillar that connects the constitutional mandate of the Vow to the engineering reality of every API interaction. Its full treatment appears in Section 2.2. At the Pillar level, its significance is its role as the mandatory certification block required on every governance interaction.</w:t>
      </w:r>
    </w:p>
    <w:p w:rsidR="00000000" w:rsidDel="00000000" w:rsidP="00000000" w:rsidRDefault="00000000" w:rsidRPr="00000000" w14:paraId="00000209">
      <w:pPr>
        <w:spacing w:after="240" w:before="240" w:lineRule="auto"/>
        <w:rPr>
          <w:color w:val="1155cc"/>
          <w:u w:val="single"/>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GoukassianPrincipleBlock_v1_0_0</w:t>
      </w:r>
      <w:r w:rsidDel="00000000" w:rsidR="00000000" w:rsidRPr="00000000">
        <w:rPr>
          <w:rtl w:val="0"/>
        </w:rPr>
        <w:t xml:space="preserve"> is required on every </w:t>
      </w:r>
      <w:r w:rsidDel="00000000" w:rsidR="00000000" w:rsidRPr="00000000">
        <w:rPr>
          <w:rFonts w:ascii="Roboto Mono" w:cs="Roboto Mono" w:eastAsia="Roboto Mono" w:hAnsi="Roboto Mono"/>
          <w:color w:val="188038"/>
          <w:rtl w:val="0"/>
        </w:rPr>
        <w:t xml:space="preserve">POST /decisions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POST /evaluate/*</w:t>
      </w:r>
      <w:r w:rsidDel="00000000" w:rsidR="00000000" w:rsidRPr="00000000">
        <w:rPr>
          <w:rtl w:val="0"/>
        </w:rPr>
        <w:t xml:space="preserve"> request body. The three artifacts are nested objects, each carrying </w:t>
      </w:r>
      <w:r w:rsidDel="00000000" w:rsidR="00000000" w:rsidRPr="00000000">
        <w:rPr>
          <w:rFonts w:ascii="Roboto Mono" w:cs="Roboto Mono" w:eastAsia="Roboto Mono" w:hAnsi="Roboto Mono"/>
          <w:color w:val="188038"/>
          <w:rtl w:val="0"/>
        </w:rPr>
        <w:t xml:space="preserve">artifactName</w:t>
      </w:r>
      <w:r w:rsidDel="00000000" w:rsidR="00000000" w:rsidRPr="00000000">
        <w:rPr>
          <w:rtl w:val="0"/>
        </w:rPr>
        <w:t xml:space="preserve"> as a </w:t>
      </w:r>
      <w:r w:rsidDel="00000000" w:rsidR="00000000" w:rsidRPr="00000000">
        <w:rPr>
          <w:rFonts w:ascii="Roboto Mono" w:cs="Roboto Mono" w:eastAsia="Roboto Mono" w:hAnsi="Roboto Mono"/>
          <w:color w:val="188038"/>
          <w:rtl w:val="0"/>
        </w:rPr>
        <w:t xml:space="preserve">const</w:t>
      </w:r>
      <w:r w:rsidDel="00000000" w:rsidR="00000000" w:rsidRPr="00000000">
        <w:rPr>
          <w:rtl w:val="0"/>
        </w:rPr>
        <w:t xml:space="preserve">-constrained property. In </w:t>
      </w:r>
      <w:r w:rsidDel="00000000" w:rsidR="00000000" w:rsidRPr="00000000">
        <w:rPr>
          <w:rFonts w:ascii="Roboto Mono" w:cs="Roboto Mono" w:eastAsia="Roboto Mono" w:hAnsi="Roboto Mono"/>
          <w:color w:val="188038"/>
          <w:rtl w:val="0"/>
        </w:rPr>
        <w:t xml:space="preserve">eip712_typed_data.json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canonicalArtifactNameHashes</w:t>
      </w:r>
      <w:r w:rsidDel="00000000" w:rsidR="00000000" w:rsidRPr="00000000">
        <w:rPr>
          <w:rtl w:val="0"/>
        </w:rPr>
        <w:t xml:space="preserve"> section records the pre-images for all three artifact names: </w:t>
      </w:r>
      <w:r w:rsidDel="00000000" w:rsidR="00000000" w:rsidRPr="00000000">
        <w:rPr>
          <w:rFonts w:ascii="Roboto Mono" w:cs="Roboto Mono" w:eastAsia="Roboto Mono" w:hAnsi="Roboto Mono"/>
          <w:color w:val="188038"/>
          <w:rtl w:val="0"/>
        </w:rPr>
        <w:t xml:space="preserve">keccak256("lantern")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keccak256("signature")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keccak256("license")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GoukassianSignatureAttestation.artifactName</w:t>
      </w:r>
      <w:r w:rsidDel="00000000" w:rsidR="00000000" w:rsidRPr="00000000">
        <w:rPr>
          <w:rtl w:val="0"/>
        </w:rPr>
        <w:t xml:space="preserve"> field is typed as </w:t>
      </w:r>
      <w:r w:rsidDel="00000000" w:rsidR="00000000" w:rsidRPr="00000000">
        <w:rPr>
          <w:rFonts w:ascii="Roboto Mono" w:cs="Roboto Mono" w:eastAsia="Roboto Mono" w:hAnsi="Roboto Mono"/>
          <w:color w:val="188038"/>
          <w:rtl w:val="0"/>
        </w:rPr>
        <w:t xml:space="preserve">bytes32</w:t>
      </w:r>
      <w:r w:rsidDel="00000000" w:rsidR="00000000" w:rsidRPr="00000000">
        <w:rPr>
          <w:rtl w:val="0"/>
        </w:rPr>
        <w:t xml:space="preserve"> with a canonical value of </w:t>
      </w:r>
      <w:r w:rsidDel="00000000" w:rsidR="00000000" w:rsidRPr="00000000">
        <w:rPr>
          <w:rFonts w:ascii="Roboto Mono" w:cs="Roboto Mono" w:eastAsia="Roboto Mono" w:hAnsi="Roboto Mono"/>
          <w:color w:val="188038"/>
          <w:rtl w:val="0"/>
        </w:rPr>
        <w:t xml:space="preserve">keccak256("signature")</w:t>
      </w:r>
      <w:r w:rsidDel="00000000" w:rsidR="00000000" w:rsidRPr="00000000">
        <w:rPr>
          <w:rtl w:val="0"/>
        </w:rPr>
        <w:t xml:space="preserve">. These encodings ensure that each artifact's identity is cryptographically fixed and cannot be forged or substituted at the smart contract layer.</w:t>
      </w:r>
      <w:hyperlink r:id="rId276">
        <w:r w:rsidDel="00000000" w:rsidR="00000000" w:rsidRPr="00000000">
          <w:rPr>
            <w:rtl w:val="0"/>
          </w:rPr>
          <w:t xml:space="preserve"> </w:t>
        </w:r>
      </w:hyperlink>
      <w:hyperlink r:id="rId277">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0A">
      <w:pPr>
        <w:spacing w:after="240" w:before="240" w:lineRule="auto"/>
        <w:rPr>
          <w:color w:val="1155cc"/>
          <w:u w:val="single"/>
        </w:rPr>
      </w:pPr>
      <w:r w:rsidDel="00000000" w:rsidR="00000000" w:rsidRPr="00000000">
        <w:rPr>
          <w:rtl w:val="0"/>
        </w:rPr>
        <w:t xml:space="preserve">The three artifacts operate in strict sequential dependency. The </w:t>
      </w:r>
      <w:r w:rsidDel="00000000" w:rsidR="00000000" w:rsidRPr="00000000">
        <w:rPr>
          <w:rFonts w:ascii="Roboto Mono" w:cs="Roboto Mono" w:eastAsia="Roboto Mono" w:hAnsi="Roboto Mono"/>
          <w:color w:val="188038"/>
          <w:rtl w:val="0"/>
        </w:rPr>
        <w:t xml:space="preserve">license</w:t>
      </w:r>
      <w:r w:rsidDel="00000000" w:rsidR="00000000" w:rsidRPr="00000000">
        <w:rPr>
          <w:rtl w:val="0"/>
        </w:rPr>
        <w:t xml:space="preserve"> can only be granted after the </w:t>
      </w:r>
      <w:r w:rsidDel="00000000" w:rsidR="00000000" w:rsidRPr="00000000">
        <w:rPr>
          <w:rFonts w:ascii="Roboto Mono" w:cs="Roboto Mono" w:eastAsia="Roboto Mono" w:hAnsi="Roboto Mono"/>
          <w:color w:val="188038"/>
          <w:rtl w:val="0"/>
        </w:rPr>
        <w:t xml:space="preserve">signature</w:t>
      </w:r>
      <w:r w:rsidDel="00000000" w:rsidR="00000000" w:rsidRPr="00000000">
        <w:rPr>
          <w:rtl w:val="0"/>
        </w:rPr>
        <w:t xml:space="preserve"> succeeds. The </w:t>
      </w:r>
      <w:r w:rsidDel="00000000" w:rsidR="00000000" w:rsidRPr="00000000">
        <w:rPr>
          <w:rFonts w:ascii="Roboto Mono" w:cs="Roboto Mono" w:eastAsia="Roboto Mono" w:hAnsi="Roboto Mono"/>
          <w:color w:val="188038"/>
          <w:rtl w:val="0"/>
        </w:rPr>
        <w:t xml:space="preserve">signature</w:t>
      </w:r>
      <w:r w:rsidDel="00000000" w:rsidR="00000000" w:rsidRPr="00000000">
        <w:rPr>
          <w:rtl w:val="0"/>
        </w:rPr>
        <w:t xml:space="preserve"> can only be generated after the </w:t>
      </w:r>
      <w:r w:rsidDel="00000000" w:rsidR="00000000" w:rsidRPr="00000000">
        <w:rPr>
          <w:rFonts w:ascii="Roboto Mono" w:cs="Roboto Mono" w:eastAsia="Roboto Mono" w:hAnsi="Roboto Mono"/>
          <w:color w:val="188038"/>
          <w:rtl w:val="0"/>
        </w:rPr>
        <w:t xml:space="preserve">lantern</w:t>
      </w:r>
      <w:r w:rsidDel="00000000" w:rsidR="00000000" w:rsidRPr="00000000">
        <w:rPr>
          <w:rtl w:val="0"/>
        </w:rPr>
        <w:t xml:space="preserve"> passes. The </w:t>
      </w:r>
      <w:r w:rsidDel="00000000" w:rsidR="00000000" w:rsidRPr="00000000">
        <w:rPr>
          <w:rFonts w:ascii="Roboto Mono" w:cs="Roboto Mono" w:eastAsia="Roboto Mono" w:hAnsi="Roboto Mono"/>
          <w:color w:val="188038"/>
          <w:rtl w:val="0"/>
        </w:rPr>
        <w:t xml:space="preserve">lantern</w:t>
      </w:r>
      <w:r w:rsidDel="00000000" w:rsidR="00000000" w:rsidRPr="00000000">
        <w:rPr>
          <w:rtl w:val="0"/>
        </w:rPr>
        <w:t xml:space="preserve"> can only pass after all integrity self-tests are satisfied. If the Lantern fails, the Signature cannot be generated. If the Signature cannot be generated or committed, the License is automatically denied. If the License is denied, the Gateway remains closed. Any proposed action exceeding the </w:t>
      </w:r>
      <w:r w:rsidDel="00000000" w:rsidR="00000000" w:rsidRPr="00000000">
        <w:rPr>
          <w:rFonts w:ascii="Roboto Mono" w:cs="Roboto Mono" w:eastAsia="Roboto Mono" w:hAnsi="Roboto Mono"/>
          <w:color w:val="188038"/>
          <w:rtl w:val="0"/>
        </w:rPr>
        <w:t xml:space="preserve">licenseScope</w:t>
      </w:r>
      <w:r w:rsidDel="00000000" w:rsidR="00000000" w:rsidRPr="00000000">
        <w:rPr>
          <w:rtl w:val="0"/>
        </w:rPr>
        <w:t xml:space="preserve"> array triggers automatic Refuse (State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hyperlink r:id="rId278">
        <w:r w:rsidDel="00000000" w:rsidR="00000000" w:rsidRPr="00000000">
          <w:rPr>
            <w:rtl w:val="0"/>
          </w:rPr>
          <w:t xml:space="preserve"> </w:t>
        </w:r>
      </w:hyperlink>
      <w:hyperlink r:id="rId279">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0B">
      <w:pPr>
        <w:spacing w:after="240" w:before="240" w:lineRule="auto"/>
        <w:rPr>
          <w:color w:val="1155cc"/>
          <w:u w:val="single"/>
        </w:rPr>
      </w:pPr>
      <w:r w:rsidDel="00000000" w:rsidR="00000000" w:rsidRPr="00000000">
        <w:rPr>
          <w:rtl w:val="0"/>
        </w:rPr>
        <w:t xml:space="preserve">The Signature Block carries the current Ed25519 or ES256 attestation and the </w:t>
      </w:r>
      <w:r w:rsidDel="00000000" w:rsidR="00000000" w:rsidRPr="00000000">
        <w:rPr>
          <w:rFonts w:ascii="Roboto Mono" w:cs="Roboto Mono" w:eastAsia="Roboto Mono" w:hAnsi="Roboto Mono"/>
          <w:color w:val="188038"/>
          <w:rtl w:val="0"/>
        </w:rPr>
        <w:t xml:space="preserve">attestationChainStatus</w:t>
      </w:r>
      <w:r w:rsidDel="00000000" w:rsidR="00000000" w:rsidRPr="00000000">
        <w:rPr>
          <w:rtl w:val="0"/>
        </w:rPr>
        <w:t xml:space="preserve">. Post-quantum migration slots are reserved: slot 6 for </w:t>
      </w:r>
      <w:r w:rsidDel="00000000" w:rsidR="00000000" w:rsidRPr="00000000">
        <w:rPr>
          <w:rFonts w:ascii="Roboto Mono" w:cs="Roboto Mono" w:eastAsia="Roboto Mono" w:hAnsi="Roboto Mono"/>
          <w:color w:val="188038"/>
          <w:rtl w:val="0"/>
        </w:rPr>
        <w:t xml:space="preserve">SLH-DSA-SHAKE-128s</w:t>
      </w:r>
      <w:r w:rsidDel="00000000" w:rsidR="00000000" w:rsidRPr="00000000">
        <w:rPr>
          <w:rtl w:val="0"/>
        </w:rPr>
        <w:t xml:space="preserve"> (FIPS 205) and slot 7 for </w:t>
      </w:r>
      <w:r w:rsidDel="00000000" w:rsidR="00000000" w:rsidRPr="00000000">
        <w:rPr>
          <w:rFonts w:ascii="Roboto Mono" w:cs="Roboto Mono" w:eastAsia="Roboto Mono" w:hAnsi="Roboto Mono"/>
          <w:color w:val="188038"/>
          <w:rtl w:val="0"/>
        </w:rPr>
        <w:t xml:space="preserve">ML-KEM-1024</w:t>
      </w:r>
      <w:r w:rsidDel="00000000" w:rsidR="00000000" w:rsidRPr="00000000">
        <w:rPr>
          <w:rtl w:val="0"/>
        </w:rPr>
        <w:t xml:space="preserve"> (FIPS 203). These slots are present in every current TL API interaction through the </w:t>
      </w:r>
      <w:r w:rsidDel="00000000" w:rsidR="00000000" w:rsidRPr="00000000">
        <w:rPr>
          <w:rFonts w:ascii="Roboto Mono" w:cs="Roboto Mono" w:eastAsia="Roboto Mono" w:hAnsi="Roboto Mono"/>
          <w:color w:val="188038"/>
          <w:rtl w:val="0"/>
        </w:rPr>
        <w:t xml:space="preserve">signatureBlock.pqcMigrationSlots</w:t>
      </w:r>
      <w:r w:rsidDel="00000000" w:rsidR="00000000" w:rsidRPr="00000000">
        <w:rPr>
          <w:rtl w:val="0"/>
        </w:rPr>
        <w:t xml:space="preserve"> array.</w:t>
      </w:r>
      <w:hyperlink r:id="rId280">
        <w:r w:rsidDel="00000000" w:rsidR="00000000" w:rsidRPr="00000000">
          <w:rPr>
            <w:rtl w:val="0"/>
          </w:rPr>
          <w:t xml:space="preserve"> </w:t>
        </w:r>
      </w:hyperlink>
      <w:hyperlink r:id="rId281">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0C">
      <w:pPr>
        <w:spacing w:after="240" w:before="240" w:lineRule="auto"/>
        <w:rPr>
          <w:color w:val="1155cc"/>
          <w:u w:val="single"/>
        </w:rPr>
      </w:pPr>
      <w:r w:rsidDel="00000000" w:rsidR="00000000" w:rsidRPr="00000000">
        <w:rPr>
          <w:rtl w:val="0"/>
        </w:rPr>
        <w:t xml:space="preserve">Pillar III is expressed through </w:t>
      </w:r>
      <w:r w:rsidDel="00000000" w:rsidR="00000000" w:rsidRPr="00000000">
        <w:rPr>
          <w:rFonts w:ascii="Roboto Mono" w:cs="Roboto Mono" w:eastAsia="Roboto Mono" w:hAnsi="Roboto Mono"/>
          <w:color w:val="188038"/>
          <w:rtl w:val="0"/>
        </w:rPr>
        <w:t xml:space="preserve">GET /goukassian/signature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/goukassian/license/validate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/epistemic-hold/lantern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 /gateway/status</w:t>
      </w:r>
      <w:r w:rsidDel="00000000" w:rsidR="00000000" w:rsidRPr="00000000">
        <w:rPr>
          <w:rtl w:val="0"/>
        </w:rPr>
        <w:t xml:space="preserve">.</w:t>
      </w:r>
      <w:hyperlink r:id="rId282">
        <w:r w:rsidDel="00000000" w:rsidR="00000000" w:rsidRPr="00000000">
          <w:rPr>
            <w:rtl w:val="0"/>
          </w:rPr>
          <w:t xml:space="preserve"> </w:t>
        </w:r>
      </w:hyperlink>
      <w:hyperlink r:id="rId283">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0D">
      <w:pPr>
        <w:pStyle w:val="Heading2"/>
        <w:keepNext w:val="0"/>
        <w:keepLines w:val="0"/>
        <w:spacing w:after="80" w:lineRule="auto"/>
        <w:rPr>
          <w:b w:val="1"/>
          <w:bCs w:val="1"/>
          <w:sz w:val="34"/>
          <w:szCs w:val="34"/>
        </w:rPr>
      </w:pPr>
      <w:bookmarkStart w:colFirst="0" w:colLast="0" w:name="_93dlqpd087uz" w:id="49"/>
      <w:bookmarkEnd w:id="49"/>
      <w:r w:rsidDel="00000000" w:rsidR="00000000" w:rsidRPr="00000000">
        <w:rPr>
          <w:b w:val="1"/>
          <w:bCs w:val="1"/>
          <w:sz w:val="34"/>
          <w:szCs w:val="34"/>
          <w:rtl w:val="0"/>
        </w:rPr>
        <w:t xml:space="preserve">4.4 Pillar IV: Decision Logs</w:t>
      </w:r>
    </w:p>
    <w:p w:rsidR="00000000" w:rsidDel="00000000" w:rsidP="00000000" w:rsidRDefault="00000000" w:rsidRPr="00000000" w14:paraId="0000020E">
      <w:pPr>
        <w:spacing w:after="240" w:before="240" w:lineRule="auto"/>
        <w:rPr>
          <w:rFonts w:ascii="Roboto Mono" w:cs="Roboto Mono" w:eastAsia="Roboto Mono" w:hAnsi="Roboto Mono"/>
          <w:color w:val="188038"/>
        </w:rPr>
      </w:pPr>
      <w:r w:rsidDel="00000000" w:rsidR="00000000" w:rsidRPr="00000000">
        <w:rPr>
          <w:b w:val="1"/>
          <w:bCs w:val="1"/>
          <w:rtl w:val="0"/>
        </w:rPr>
        <w:t xml:space="preserve">Canonical identifier: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DecisionLogs</w:t>
      </w:r>
    </w:p>
    <w:p w:rsidR="00000000" w:rsidDel="00000000" w:rsidP="00000000" w:rsidRDefault="00000000" w:rsidRPr="00000000" w14:paraId="0000020F">
      <w:pPr>
        <w:spacing w:after="240" w:before="240" w:lineRule="auto"/>
        <w:rPr>
          <w:color w:val="1155cc"/>
          <w:u w:val="single"/>
        </w:rPr>
      </w:pPr>
      <w:r w:rsidDel="00000000" w:rsidR="00000000" w:rsidRPr="00000000">
        <w:rPr>
          <w:rtl w:val="0"/>
        </w:rPr>
        <w:t xml:space="preserve">Pillar IV is the primary evidentiary artifact layer of the TL architecture. Unlike traditional operational logs that are unstructured, incomplete, and produced after the action, the Decision Log is a highly structured, audit-grade document required as a prerequisite for the </w:t>
      </w:r>
      <w:r w:rsidDel="00000000" w:rsidR="00000000" w:rsidRPr="00000000">
        <w:rPr>
          <w:rFonts w:ascii="Roboto Mono" w:cs="Roboto Mono" w:eastAsia="Roboto Mono" w:hAnsi="Roboto Mono"/>
          <w:color w:val="188038"/>
          <w:rtl w:val="0"/>
        </w:rPr>
        <w:t xml:space="preserve">signature</w:t>
      </w:r>
      <w:r w:rsidDel="00000000" w:rsidR="00000000" w:rsidRPr="00000000">
        <w:rPr>
          <w:rtl w:val="0"/>
        </w:rPr>
        <w:t xml:space="preserve"> (Pillar III) and the subsequent granting of the </w:t>
      </w:r>
      <w:r w:rsidDel="00000000" w:rsidR="00000000" w:rsidRPr="00000000">
        <w:rPr>
          <w:rFonts w:ascii="Roboto Mono" w:cs="Roboto Mono" w:eastAsia="Roboto Mono" w:hAnsi="Roboto Mono"/>
          <w:color w:val="188038"/>
          <w:rtl w:val="0"/>
        </w:rPr>
        <w:t xml:space="preserve">license</w:t>
      </w:r>
      <w:r w:rsidDel="00000000" w:rsidR="00000000" w:rsidRPr="00000000">
        <w:rPr>
          <w:rtl w:val="0"/>
        </w:rPr>
        <w:t xml:space="preserve">.</w:t>
      </w:r>
      <w:hyperlink r:id="rId284">
        <w:r w:rsidDel="00000000" w:rsidR="00000000" w:rsidRPr="00000000">
          <w:rPr>
            <w:rtl w:val="0"/>
          </w:rPr>
          <w:t xml:space="preserve"> </w:t>
        </w:r>
      </w:hyperlink>
      <w:hyperlink r:id="rId285">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210">
      <w:pPr>
        <w:spacing w:after="240" w:before="240" w:lineRule="auto"/>
        <w:rPr>
          <w:color w:val="1155cc"/>
          <w:u w:val="single"/>
        </w:rPr>
      </w:pPr>
      <w:r w:rsidDel="00000000" w:rsidR="00000000" w:rsidRPr="00000000">
        <w:rPr>
          <w:rtl w:val="0"/>
        </w:rPr>
        <w:t xml:space="preserve">The Decision Log must adhere to four strict mechanical constraints. First, every log must conform to the standardized TL schema with mandated fields for timestamping, agent identity hash, exact inputs and risk scores used, the specific rule-set consulted, and the resulting triadic </w:t>
      </w: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Second, the log must be generated and cryptographically finalized before the resulting action is permitted. Third, to comply with GDPR and privacy rules, all personally identifiable information is pseudonymized before inclusion in the log. Fourth, once finalized, the log's cryptographic hash is generated as the </w:t>
      </w:r>
      <w:r w:rsidDel="00000000" w:rsidR="00000000" w:rsidRPr="00000000">
        <w:rPr>
          <w:rFonts w:ascii="Roboto Mono" w:cs="Roboto Mono" w:eastAsia="Roboto Mono" w:hAnsi="Roboto Mono"/>
          <w:color w:val="188038"/>
          <w:rtl w:val="0"/>
        </w:rPr>
        <w:t xml:space="preserve">signature</w:t>
      </w:r>
      <w:r w:rsidDel="00000000" w:rsidR="00000000" w:rsidRPr="00000000">
        <w:rPr>
          <w:rtl w:val="0"/>
        </w:rPr>
        <w:t xml:space="preserve"> and committed to the Immutable Ledger.</w:t>
      </w:r>
      <w:hyperlink r:id="rId286">
        <w:r w:rsidDel="00000000" w:rsidR="00000000" w:rsidRPr="00000000">
          <w:rPr>
            <w:rtl w:val="0"/>
          </w:rPr>
          <w:t xml:space="preserve"> </w:t>
        </w:r>
      </w:hyperlink>
      <w:hyperlink r:id="rId287">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211">
      <w:pPr>
        <w:spacing w:after="240" w:before="240" w:lineRule="auto"/>
        <w:rPr>
          <w:color w:val="1155cc"/>
          <w:u w:val="single"/>
        </w:rPr>
      </w:pPr>
      <w:r w:rsidDel="00000000" w:rsidR="00000000" w:rsidRPr="00000000">
        <w:rPr>
          <w:rtl w:val="0"/>
        </w:rPr>
        <w:t xml:space="preserve">Key schema fields include: a monotonic sequence ID providing strict ordering guarantees that prevent timestamp manipulation; a UUIDv7 event identifier embedding a timestamp directly into the identifier; an Active Axiom Set Hash (</w:t>
      </w:r>
      <w:r w:rsidDel="00000000" w:rsidR="00000000" w:rsidRPr="00000000">
        <w:rPr>
          <w:rFonts w:ascii="Roboto Mono" w:cs="Roboto Mono" w:eastAsia="Roboto Mono" w:hAnsi="Roboto Mono"/>
          <w:color w:val="188038"/>
          <w:rtl w:val="0"/>
        </w:rPr>
        <w:t xml:space="preserve">activeAxiomSetHash</w:t>
      </w:r>
      <w:r w:rsidDel="00000000" w:rsidR="00000000" w:rsidRPr="00000000">
        <w:rPr>
          <w:rtl w:val="0"/>
        </w:rPr>
        <w:t xml:space="preserve">) cryptographically binding the governing constitutional schema version to the specific decision; and a </w:t>
      </w:r>
      <w:r w:rsidDel="00000000" w:rsidR="00000000" w:rsidRPr="00000000">
        <w:rPr>
          <w:rFonts w:ascii="Roboto Mono" w:cs="Roboto Mono" w:eastAsia="Roboto Mono" w:hAnsi="Roboto Mono"/>
          <w:color w:val="188038"/>
          <w:rtl w:val="0"/>
        </w:rPr>
        <w:t xml:space="preserve">schemaHashCommitment</w:t>
      </w:r>
      <w:r w:rsidDel="00000000" w:rsidR="00000000" w:rsidRPr="00000000">
        <w:rPr>
          <w:rtl w:val="0"/>
        </w:rPr>
        <w:t xml:space="preserve"> binding the log entry to the exact schema version active at the moment of generation. In </w:t>
      </w:r>
      <w:r w:rsidDel="00000000" w:rsidR="00000000" w:rsidRPr="00000000">
        <w:rPr>
          <w:rFonts w:ascii="Roboto Mono" w:cs="Roboto Mono" w:eastAsia="Roboto Mono" w:hAnsi="Roboto Mono"/>
          <w:color w:val="188038"/>
          <w:rtl w:val="0"/>
        </w:rPr>
        <w:t xml:space="preserve">TGLF_StateP1_v1_0_0</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pillarsCertified</w:t>
      </w:r>
      <w:r w:rsidDel="00000000" w:rsidR="00000000" w:rsidRPr="00000000">
        <w:rPr>
          <w:rtl w:val="0"/>
        </w:rPr>
        <w:t xml:space="preserve"> array carries </w:t>
      </w:r>
      <w:r w:rsidDel="00000000" w:rsidR="00000000" w:rsidRPr="00000000">
        <w:rPr>
          <w:rFonts w:ascii="Roboto Mono" w:cs="Roboto Mono" w:eastAsia="Roboto Mono" w:hAnsi="Roboto Mono"/>
          <w:color w:val="188038"/>
          <w:rtl w:val="0"/>
        </w:rPr>
        <w:t xml:space="preserve">minItems: 8, maxItems: 8</w:t>
      </w:r>
      <w:r w:rsidDel="00000000" w:rsidR="00000000" w:rsidRPr="00000000">
        <w:rPr>
          <w:rtl w:val="0"/>
        </w:rPr>
        <w:t xml:space="preserve"> - a TGLF Proceed record with fewer than all eight Pillars certified is schema-invalid.</w:t>
      </w:r>
      <w:hyperlink r:id="rId288">
        <w:r w:rsidDel="00000000" w:rsidR="00000000" w:rsidRPr="00000000">
          <w:rPr>
            <w:rtl w:val="0"/>
          </w:rPr>
          <w:t xml:space="preserve"> </w:t>
        </w:r>
      </w:hyperlink>
      <w:hyperlink r:id="rId289">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12">
      <w:pPr>
        <w:spacing w:after="240" w:before="240" w:lineRule="auto"/>
        <w:rPr>
          <w:color w:val="1155cc"/>
          <w:u w:val="single"/>
        </w:rPr>
      </w:pPr>
      <w:r w:rsidDel="00000000" w:rsidR="00000000" w:rsidRPr="00000000">
        <w:rPr>
          <w:rtl w:val="0"/>
        </w:rPr>
        <w:t xml:space="preserve">In DITL hardware deployment, the Merkle accumulator root functions as a hardware-bound execution capability token stored in physically isolated registers. Without a valid, freshly computed token, the actuator interlock triggers a non-maskable fault and the execution circuit remains open. In software mode, the token check is a branch instruction that root access can override, fabricate, or eliminate. Override susceptibility in DITL is low because token registers are architecturally inaccessible to general-purpose execution environments. In software mode, it is high.</w:t>
      </w:r>
      <w:hyperlink r:id="rId290">
        <w:r w:rsidDel="00000000" w:rsidR="00000000" w:rsidRPr="00000000">
          <w:rPr>
            <w:rtl w:val="0"/>
          </w:rPr>
          <w:t xml:space="preserve"> </w:t>
        </w:r>
      </w:hyperlink>
      <w:hyperlink r:id="rId291">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213">
      <w:pPr>
        <w:spacing w:after="240" w:before="240" w:lineRule="auto"/>
        <w:rPr>
          <w:color w:val="1155cc"/>
          <w:u w:val="single"/>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TLCapabilityFlags.pufAttestationMode</w:t>
      </w:r>
      <w:r w:rsidDel="00000000" w:rsidR="00000000" w:rsidRPr="00000000">
        <w:rPr>
          <w:rtl w:val="0"/>
        </w:rPr>
        <w:t xml:space="preserve"> field distinguishes genuine hardware enforcement from software-only emulation in every governance interaction. Institutions cannot claim hardware-grade constitutional enforcement while operating with </w:t>
      </w:r>
      <w:r w:rsidDel="00000000" w:rsidR="00000000" w:rsidRPr="00000000">
        <w:rPr>
          <w:rFonts w:ascii="Roboto Mono" w:cs="Roboto Mono" w:eastAsia="Roboto Mono" w:hAnsi="Roboto Mono"/>
          <w:color w:val="188038"/>
          <w:rtl w:val="0"/>
        </w:rPr>
        <w:t xml:space="preserve">pufAttestationMode: "ARCHITECTURE_B"</w:t>
      </w:r>
      <w:r w:rsidDel="00000000" w:rsidR="00000000" w:rsidRPr="00000000">
        <w:rPr>
          <w:rtl w:val="0"/>
        </w:rPr>
        <w:t xml:space="preserve"> in software mode: the API truthfully reports the enforcement posture in every Permission Token.</w:t>
      </w:r>
      <w:hyperlink r:id="rId292">
        <w:r w:rsidDel="00000000" w:rsidR="00000000" w:rsidRPr="00000000">
          <w:rPr>
            <w:rtl w:val="0"/>
          </w:rPr>
          <w:t xml:space="preserve"> </w:t>
        </w:r>
      </w:hyperlink>
      <w:hyperlink r:id="rId293">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14">
      <w:pPr>
        <w:spacing w:after="240" w:before="240" w:lineRule="auto"/>
        <w:rPr>
          <w:color w:val="1155cc"/>
          <w:u w:val="single"/>
        </w:rPr>
      </w:pPr>
      <w:r w:rsidDel="00000000" w:rsidR="00000000" w:rsidRPr="00000000">
        <w:rPr>
          <w:rtl w:val="0"/>
        </w:rPr>
        <w:t xml:space="preserve">Pillar IV is expressed through </w:t>
      </w:r>
      <w:r w:rsidDel="00000000" w:rsidR="00000000" w:rsidRPr="00000000">
        <w:rPr>
          <w:rFonts w:ascii="Roboto Mono" w:cs="Roboto Mono" w:eastAsia="Roboto Mono" w:hAnsi="Roboto Mono"/>
          <w:color w:val="188038"/>
          <w:rtl w:val="0"/>
        </w:rPr>
        <w:t xml:space="preserve">GET /decisions/{decisionId}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/thresholds/{domain}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PUT /thresholds/{domain}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 /metrics/summary</w:t>
      </w:r>
      <w:r w:rsidDel="00000000" w:rsidR="00000000" w:rsidRPr="00000000">
        <w:rPr>
          <w:rtl w:val="0"/>
        </w:rPr>
        <w:t xml:space="preserve">. Its schema anchors are </w:t>
      </w:r>
      <w:r w:rsidDel="00000000" w:rsidR="00000000" w:rsidRPr="00000000">
        <w:rPr>
          <w:rFonts w:ascii="Roboto Mono" w:cs="Roboto Mono" w:eastAsia="Roboto Mono" w:hAnsi="Roboto Mono"/>
          <w:color w:val="188038"/>
          <w:rtl w:val="0"/>
        </w:rPr>
        <w:t xml:space="preserve">JustificationObject_v1_0_0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ThresholdProfile_v1_0_0</w:t>
      </w:r>
      <w:r w:rsidDel="00000000" w:rsidR="00000000" w:rsidRPr="00000000">
        <w:rPr>
          <w:rtl w:val="0"/>
        </w:rPr>
        <w:t xml:space="preserve">.</w:t>
      </w:r>
      <w:hyperlink r:id="rId294">
        <w:r w:rsidDel="00000000" w:rsidR="00000000" w:rsidRPr="00000000">
          <w:rPr>
            <w:rtl w:val="0"/>
          </w:rPr>
          <w:t xml:space="preserve"> </w:t>
        </w:r>
      </w:hyperlink>
      <w:hyperlink r:id="rId295">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15">
      <w:pPr>
        <w:pStyle w:val="Heading2"/>
        <w:keepNext w:val="0"/>
        <w:keepLines w:val="0"/>
        <w:spacing w:after="80" w:lineRule="auto"/>
        <w:rPr>
          <w:b w:val="1"/>
          <w:bCs w:val="1"/>
          <w:sz w:val="34"/>
          <w:szCs w:val="34"/>
        </w:rPr>
      </w:pPr>
      <w:bookmarkStart w:colFirst="0" w:colLast="0" w:name="_icr19dh4q6wi" w:id="50"/>
      <w:bookmarkEnd w:id="50"/>
      <w:r w:rsidDel="00000000" w:rsidR="00000000" w:rsidRPr="00000000">
        <w:rPr>
          <w:b w:val="1"/>
          <w:bCs w:val="1"/>
          <w:sz w:val="34"/>
          <w:szCs w:val="34"/>
          <w:rtl w:val="0"/>
        </w:rPr>
        <w:t xml:space="preserve">4.5 Pillar V: Economic Rights and Transparency Mandate</w:t>
      </w:r>
    </w:p>
    <w:p w:rsidR="00000000" w:rsidDel="00000000" w:rsidP="00000000" w:rsidRDefault="00000000" w:rsidRPr="00000000" w14:paraId="00000216">
      <w:pPr>
        <w:spacing w:after="240" w:before="240" w:lineRule="auto"/>
        <w:rPr>
          <w:rFonts w:ascii="Roboto Mono" w:cs="Roboto Mono" w:eastAsia="Roboto Mono" w:hAnsi="Roboto Mono"/>
          <w:color w:val="188038"/>
        </w:rPr>
      </w:pPr>
      <w:r w:rsidDel="00000000" w:rsidR="00000000" w:rsidRPr="00000000">
        <w:rPr>
          <w:b w:val="1"/>
          <w:bCs w:val="1"/>
          <w:rtl w:val="0"/>
        </w:rPr>
        <w:t xml:space="preserve">Canonical identifier: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EconomicRightsAndTransparencyMandate</w:t>
      </w:r>
    </w:p>
    <w:p w:rsidR="00000000" w:rsidDel="00000000" w:rsidP="00000000" w:rsidRDefault="00000000" w:rsidRPr="00000000" w14:paraId="00000217">
      <w:pPr>
        <w:spacing w:after="240" w:before="240" w:lineRule="auto"/>
        <w:rPr>
          <w:color w:val="1155cc"/>
          <w:u w:val="single"/>
        </w:rPr>
      </w:pPr>
      <w:r w:rsidDel="00000000" w:rsidR="00000000" w:rsidRPr="00000000">
        <w:rPr>
          <w:rtl w:val="0"/>
        </w:rPr>
        <w:t xml:space="preserve">Pillar V defines the relationship between the TL-governed system and the individual or institution whose capital, data, or activity it processes. Its purpose is to guarantee that every economic actor possesses a demonstrable, verifiable right to evidentiary recourse: access to the Decision Log governing their economic treatment and the ability to verify independently that the system adhered to the Goukassian Vow when handling their interests.</w:t>
      </w:r>
      <w:hyperlink r:id="rId296">
        <w:r w:rsidDel="00000000" w:rsidR="00000000" w:rsidRPr="00000000">
          <w:rPr>
            <w:rtl w:val="0"/>
          </w:rPr>
          <w:t xml:space="preserve"> </w:t>
        </w:r>
      </w:hyperlink>
      <w:hyperlink r:id="rId297">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218">
      <w:pPr>
        <w:spacing w:after="240" w:before="240" w:lineRule="auto"/>
        <w:rPr>
          <w:color w:val="1155cc"/>
          <w:u w:val="single"/>
        </w:rPr>
      </w:pPr>
      <w:r w:rsidDel="00000000" w:rsidR="00000000" w:rsidRPr="00000000">
        <w:rPr>
          <w:rtl w:val="0"/>
        </w:rPr>
        <w:t xml:space="preserve">The Pillar operates through two primary mechanisms. The right of log access grants any economic actor the ability to request the specific Decision Log pertaining to their activity, provided in a pseudonymized, identity-safe format that reveals the system's </w:t>
      </w:r>
      <w:r w:rsidDel="00000000" w:rsidR="00000000" w:rsidRPr="00000000">
        <w:rPr>
          <w:rFonts w:ascii="Roboto Mono" w:cs="Roboto Mono" w:eastAsia="Roboto Mono" w:hAnsi="Roboto Mono"/>
          <w:color w:val="188038"/>
          <w:rtl w:val="0"/>
        </w:rPr>
        <w:t xml:space="preserve">holdRationale</w:t>
      </w:r>
      <w:r w:rsidDel="00000000" w:rsidR="00000000" w:rsidRPr="00000000">
        <w:rPr>
          <w:rtl w:val="0"/>
        </w:rPr>
        <w:t xml:space="preserve">, the triadic </w:t>
      </w: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the inputs, and the rule-set consulted, without exposing the proprietary data of other actors. The right of architectural verification enables the affected party to take the hash of their provided Decision Log and verify its inclusion in the public Merkle Root anchored on the blockchain via </w:t>
      </w:r>
      <w:r w:rsidDel="00000000" w:rsidR="00000000" w:rsidRPr="00000000">
        <w:rPr>
          <w:rFonts w:ascii="Roboto Mono" w:cs="Roboto Mono" w:eastAsia="Roboto Mono" w:hAnsi="Roboto Mono"/>
          <w:color w:val="188038"/>
          <w:rtl w:val="0"/>
        </w:rPr>
        <w:t xml:space="preserve">GET /audit/verifications/inclusion/{logId}</w:t>
      </w:r>
      <w:r w:rsidDel="00000000" w:rsidR="00000000" w:rsidRPr="00000000">
        <w:rPr>
          <w:rtl w:val="0"/>
        </w:rPr>
        <w:t xml:space="preserve">, confirming that the log is authentic, untampered, and was genuinely part of the system's operational history.</w:t>
      </w:r>
      <w:hyperlink r:id="rId298">
        <w:r w:rsidDel="00000000" w:rsidR="00000000" w:rsidRPr="00000000">
          <w:rPr>
            <w:rtl w:val="0"/>
          </w:rPr>
          <w:t xml:space="preserve"> </w:t>
        </w:r>
      </w:hyperlink>
      <w:hyperlink r:id="rId299">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219">
      <w:pPr>
        <w:spacing w:after="240" w:before="240" w:lineRule="auto"/>
        <w:rPr>
          <w:color w:val="1155cc"/>
          <w:u w:val="single"/>
        </w:rPr>
      </w:pPr>
      <w:r w:rsidDel="00000000" w:rsidR="00000000" w:rsidRPr="00000000">
        <w:rPr>
          <w:rtl w:val="0"/>
        </w:rPr>
        <w:t xml:space="preserve">The EU AI Act's requirement that high-risk AI systems in financial services maintain complete traceability of automated decisions is satisfied structurally by Pillar V: every automated determination generates a schema-validated Decision Log before execution, making the full ethical and operational history of the model permanently available for supervisory review through </w:t>
      </w:r>
      <w:r w:rsidDel="00000000" w:rsidR="00000000" w:rsidRPr="00000000">
        <w:rPr>
          <w:rFonts w:ascii="Roboto Mono" w:cs="Roboto Mono" w:eastAsia="Roboto Mono" w:hAnsi="Roboto Mono"/>
          <w:color w:val="188038"/>
          <w:rtl w:val="0"/>
        </w:rPr>
        <w:t xml:space="preserve">POST /regulator/evidence-export</w:t>
      </w:r>
      <w:r w:rsidDel="00000000" w:rsidR="00000000" w:rsidRPr="00000000">
        <w:rPr>
          <w:rtl w:val="0"/>
        </w:rPr>
        <w:t xml:space="preserve">.</w:t>
      </w:r>
      <w:hyperlink r:id="rId300">
        <w:r w:rsidDel="00000000" w:rsidR="00000000" w:rsidRPr="00000000">
          <w:rPr>
            <w:rtl w:val="0"/>
          </w:rPr>
          <w:t xml:space="preserve"> </w:t>
        </w:r>
      </w:hyperlink>
      <w:hyperlink r:id="rId301">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1A">
      <w:pPr>
        <w:spacing w:after="240" w:before="240" w:lineRule="auto"/>
        <w:rPr/>
      </w:pPr>
      <w:r w:rsidDel="00000000" w:rsidR="00000000" w:rsidRPr="00000000">
        <w:rPr>
          <w:rtl w:val="0"/>
        </w:rPr>
        <w:t xml:space="preserve">Enforcement limitation: software dependence is total; hardware enforceability is zero; override susceptibility is high - access rights can be administratively revoked and pseudonymization parameters can be manipulated to prevent meaningful verification. Pillar V depends entirely on the integrity of the institutional infrastructure surrounding the framework.</w:t>
      </w:r>
    </w:p>
    <w:p w:rsidR="00000000" w:rsidDel="00000000" w:rsidP="00000000" w:rsidRDefault="00000000" w:rsidRPr="00000000" w14:paraId="0000021B">
      <w:pPr>
        <w:spacing w:after="240" w:before="240" w:lineRule="auto"/>
        <w:rPr>
          <w:color w:val="1155cc"/>
          <w:u w:val="single"/>
        </w:rPr>
      </w:pPr>
      <w:r w:rsidDel="00000000" w:rsidR="00000000" w:rsidRPr="00000000">
        <w:rPr>
          <w:rtl w:val="0"/>
        </w:rPr>
        <w:t xml:space="preserve">Pillar V is expressed through </w:t>
      </w:r>
      <w:r w:rsidDel="00000000" w:rsidR="00000000" w:rsidRPr="00000000">
        <w:rPr>
          <w:rFonts w:ascii="Roboto Mono" w:cs="Roboto Mono" w:eastAsia="Roboto Mono" w:hAnsi="Roboto Mono"/>
          <w:color w:val="188038"/>
          <w:rtl w:val="0"/>
        </w:rPr>
        <w:t xml:space="preserve">POST /evaluate/trade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/redress/*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/regulator/basel-iii/attestation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/regulator/fatf/compliance-export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/regulator/iosco/principle-mapping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POST /regulator/evidence-export</w:t>
      </w:r>
      <w:r w:rsidDel="00000000" w:rsidR="00000000" w:rsidRPr="00000000">
        <w:rPr>
          <w:rtl w:val="0"/>
        </w:rPr>
        <w:t xml:space="preserve">. Its regulatory vectors include Basel III, FATF, IOSCO, CFPB, SEC, and FINRA.</w:t>
      </w:r>
      <w:hyperlink r:id="rId302">
        <w:r w:rsidDel="00000000" w:rsidR="00000000" w:rsidRPr="00000000">
          <w:rPr>
            <w:rtl w:val="0"/>
          </w:rPr>
          <w:t xml:space="preserve"> </w:t>
        </w:r>
      </w:hyperlink>
      <w:hyperlink r:id="rId303">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1C">
      <w:pPr>
        <w:pStyle w:val="Heading2"/>
        <w:keepNext w:val="0"/>
        <w:keepLines w:val="0"/>
        <w:spacing w:after="80" w:lineRule="auto"/>
        <w:rPr>
          <w:b w:val="1"/>
          <w:bCs w:val="1"/>
          <w:sz w:val="34"/>
          <w:szCs w:val="34"/>
        </w:rPr>
      </w:pPr>
      <w:bookmarkStart w:colFirst="0" w:colLast="0" w:name="_f9bs3spzcwbq" w:id="51"/>
      <w:bookmarkEnd w:id="51"/>
      <w:r w:rsidDel="00000000" w:rsidR="00000000" w:rsidRPr="00000000">
        <w:rPr>
          <w:b w:val="1"/>
          <w:bCs w:val="1"/>
          <w:sz w:val="34"/>
          <w:szCs w:val="34"/>
          <w:rtl w:val="0"/>
        </w:rPr>
        <w:t xml:space="preserve">4.6 Pillar VI: Sustainable Capital Allocation Mandate</w:t>
      </w:r>
    </w:p>
    <w:p w:rsidR="00000000" w:rsidDel="00000000" w:rsidP="00000000" w:rsidRDefault="00000000" w:rsidRPr="00000000" w14:paraId="0000021D">
      <w:pPr>
        <w:spacing w:after="240" w:before="240" w:lineRule="auto"/>
        <w:rPr>
          <w:rFonts w:ascii="Roboto Mono" w:cs="Roboto Mono" w:eastAsia="Roboto Mono" w:hAnsi="Roboto Mono"/>
          <w:color w:val="188038"/>
        </w:rPr>
      </w:pPr>
      <w:r w:rsidDel="00000000" w:rsidR="00000000" w:rsidRPr="00000000">
        <w:rPr>
          <w:b w:val="1"/>
          <w:bCs w:val="1"/>
          <w:rtl w:val="0"/>
        </w:rPr>
        <w:t xml:space="preserve">Canonical identifier: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SustainableCapitalAllocationMandate</w:t>
      </w:r>
    </w:p>
    <w:p w:rsidR="00000000" w:rsidDel="00000000" w:rsidP="00000000" w:rsidRDefault="00000000" w:rsidRPr="00000000" w14:paraId="0000021E">
      <w:pPr>
        <w:spacing w:after="240" w:before="240" w:lineRule="auto"/>
        <w:rPr>
          <w:color w:val="1155cc"/>
          <w:u w:val="single"/>
        </w:rPr>
      </w:pPr>
      <w:r w:rsidDel="00000000" w:rsidR="00000000" w:rsidRPr="00000000">
        <w:rPr>
          <w:rtl w:val="0"/>
        </w:rPr>
        <w:t xml:space="preserve">Pillar VI is the architectural mechanism through which TL enforces long-term systemic stability and ESG criteria as mandatory, executable constraints rather than voluntary reporting frameworks. Its purpose is to ensure that the </w:t>
      </w:r>
      <w:r w:rsidDel="00000000" w:rsidR="00000000" w:rsidRPr="00000000">
        <w:rPr>
          <w:rFonts w:ascii="Roboto Mono" w:cs="Roboto Mono" w:eastAsia="Roboto Mono" w:hAnsi="Roboto Mono"/>
          <w:color w:val="188038"/>
          <w:rtl w:val="0"/>
        </w:rPr>
        <w:t xml:space="preserve">Proceed</w:t>
      </w:r>
      <w:r w:rsidDel="00000000" w:rsidR="00000000" w:rsidRPr="00000000">
        <w:rPr>
          <w:rtl w:val="0"/>
        </w:rPr>
        <w:t xml:space="preserve"> state - the permission to commit capital - is only granted when the action is aligned with defined sustainability metrics as determined by the Stewardship Custodians and Technical Council.</w:t>
      </w:r>
      <w:hyperlink r:id="rId304">
        <w:r w:rsidDel="00000000" w:rsidR="00000000" w:rsidRPr="00000000">
          <w:rPr>
            <w:rtl w:val="0"/>
          </w:rPr>
          <w:t xml:space="preserve"> </w:t>
        </w:r>
      </w:hyperlink>
      <w:hyperlink r:id="rId305">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21F">
      <w:pPr>
        <w:spacing w:after="240" w:before="240" w:lineRule="auto"/>
        <w:rPr>
          <w:color w:val="1155cc"/>
          <w:u w:val="single"/>
        </w:rPr>
      </w:pPr>
      <w:r w:rsidDel="00000000" w:rsidR="00000000" w:rsidRPr="00000000">
        <w:rPr>
          <w:rtl w:val="0"/>
        </w:rPr>
        <w:t xml:space="preserve">The Pillar operates through three mechanisms embedded in the </w:t>
      </w:r>
      <w:r w:rsidDel="00000000" w:rsidR="00000000" w:rsidRPr="00000000">
        <w:rPr>
          <w:rFonts w:ascii="Roboto Mono" w:cs="Roboto Mono" w:eastAsia="Roboto Mono" w:hAnsi="Roboto Mono"/>
          <w:color w:val="188038"/>
          <w:rtl w:val="0"/>
        </w:rPr>
        <w:t xml:space="preserve">lantern</w:t>
      </w:r>
      <w:r w:rsidDel="00000000" w:rsidR="00000000" w:rsidRPr="00000000">
        <w:rPr>
          <w:rtl w:val="0"/>
        </w:rPr>
        <w:t xml:space="preserve"> integrity self-test process. The mandatory exclusionary check requires the </w:t>
      </w:r>
      <w:r w:rsidDel="00000000" w:rsidR="00000000" w:rsidRPr="00000000">
        <w:rPr>
          <w:rFonts w:ascii="Roboto Mono" w:cs="Roboto Mono" w:eastAsia="Roboto Mono" w:hAnsi="Roboto Mono"/>
          <w:color w:val="188038"/>
          <w:rtl w:val="0"/>
        </w:rPr>
        <w:t xml:space="preserve">lantern</w:t>
      </w:r>
      <w:r w:rsidDel="00000000" w:rsidR="00000000" w:rsidRPr="00000000">
        <w:rPr>
          <w:rtl w:val="0"/>
        </w:rPr>
        <w:t xml:space="preserve"> to consult an immutably logged registry of prohibited entities or activities, triggering Refuse on any match. The sustainability metric scoring mechanism requires that high-value transactions include a validated, third-party ESG or systemic risk score checked against a dynamically logged minimum threshold, triggering Epistemic Hold if the score is insufficient. The systemic risk budgeting mechanism imposes a verifiable budget for certain high-risk exposures, triggering Epistemic Hold if a proposed action would cause a predefined systemic risk cap to be exceeded.</w:t>
      </w:r>
      <w:hyperlink r:id="rId306">
        <w:r w:rsidDel="00000000" w:rsidR="00000000" w:rsidRPr="00000000">
          <w:rPr>
            <w:rtl w:val="0"/>
          </w:rPr>
          <w:t xml:space="preserve"> </w:t>
        </w:r>
      </w:hyperlink>
      <w:hyperlink r:id="rId307">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220">
      <w:pPr>
        <w:spacing w:after="240" w:before="240" w:lineRule="auto"/>
        <w:rPr>
          <w:color w:val="1155cc"/>
          <w:u w:val="single"/>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parisAgreement</w:t>
      </w:r>
      <w:r w:rsidDel="00000000" w:rsidR="00000000" w:rsidRPr="00000000">
        <w:rPr>
          <w:rtl w:val="0"/>
        </w:rPr>
        <w:t xml:space="preserve"> object in </w:t>
      </w:r>
      <w:r w:rsidDel="00000000" w:rsidR="00000000" w:rsidRPr="00000000">
        <w:rPr>
          <w:rFonts w:ascii="Roboto Mono" w:cs="Roboto Mono" w:eastAsia="Roboto Mono" w:hAnsi="Roboto Mono"/>
          <w:color w:val="188038"/>
          <w:rtl w:val="0"/>
        </w:rPr>
        <w:t xml:space="preserve">RegulatoryContext</w:t>
      </w:r>
      <w:r w:rsidDel="00000000" w:rsidR="00000000" w:rsidRPr="00000000">
        <w:rPr>
          <w:rtl w:val="0"/>
        </w:rPr>
        <w:t xml:space="preserve"> includes </w:t>
      </w:r>
      <w:r w:rsidDel="00000000" w:rsidR="00000000" w:rsidRPr="00000000">
        <w:rPr>
          <w:rFonts w:ascii="Roboto Mono" w:cs="Roboto Mono" w:eastAsia="Roboto Mono" w:hAnsi="Roboto Mono"/>
          <w:color w:val="188038"/>
          <w:rtl w:val="0"/>
        </w:rPr>
        <w:t xml:space="preserve">carbonFootprintVerified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greenBondEligibility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esgScore</w:t>
      </w:r>
      <w:r w:rsidDel="00000000" w:rsidR="00000000" w:rsidRPr="00000000">
        <w:rPr>
          <w:rtl w:val="0"/>
        </w:rPr>
        <w:t xml:space="preserve"> as Pillar VI expressions at the API layer. When a regulator mandates that lending to particular high-carbon activities must cease by a specified date, the Sustainable Capital Allocation Mandate can enforce this through a mandatory Refuse trigger embedded in the Decision Log schema for all relevant transaction categories.</w:t>
      </w:r>
      <w:hyperlink r:id="rId308">
        <w:r w:rsidDel="00000000" w:rsidR="00000000" w:rsidRPr="00000000">
          <w:rPr>
            <w:rtl w:val="0"/>
          </w:rPr>
          <w:t xml:space="preserve"> </w:t>
        </w:r>
      </w:hyperlink>
      <w:hyperlink r:id="rId309">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21">
      <w:pPr>
        <w:spacing w:after="240" w:before="240" w:lineRule="auto"/>
        <w:rPr/>
      </w:pPr>
      <w:r w:rsidDel="00000000" w:rsidR="00000000" w:rsidRPr="00000000">
        <w:rPr>
          <w:rtl w:val="0"/>
        </w:rPr>
        <w:t xml:space="preserve">Enforcement limitation: enforcement is entirely policy-dependent; the mandate's parameters are configurable inputs, not hardcoded constraints; hardware enforceability is zero. An adversary who controls parameter configuration can redefine sustainability criteria to permit any desired action while maintaining formal compliance. The constitutional schema's version control and the Immutable Ledger's record of all parameter modifications are the primary defenses against gradual Pillar VI erosion: every parameter relaxation generates a Decision Log with Tri-Cameral signatures, making capture visible even when it cannot be prevented by the architecture alone.</w:t>
      </w:r>
    </w:p>
    <w:p w:rsidR="00000000" w:rsidDel="00000000" w:rsidP="00000000" w:rsidRDefault="00000000" w:rsidRPr="00000000" w14:paraId="00000222">
      <w:pPr>
        <w:spacing w:after="240" w:before="240" w:lineRule="auto"/>
        <w:rPr>
          <w:color w:val="1155cc"/>
          <w:u w:val="single"/>
        </w:rPr>
      </w:pPr>
      <w:r w:rsidDel="00000000" w:rsidR="00000000" w:rsidRPr="00000000">
        <w:rPr>
          <w:rtl w:val="0"/>
        </w:rPr>
        <w:t xml:space="preserve">Pillar VI is expressed through </w:t>
      </w:r>
      <w:r w:rsidDel="00000000" w:rsidR="00000000" w:rsidRPr="00000000">
        <w:rPr>
          <w:rFonts w:ascii="Roboto Mono" w:cs="Roboto Mono" w:eastAsia="Roboto Mono" w:hAnsi="Roboto Mono"/>
          <w:color w:val="188038"/>
          <w:rtl w:val="0"/>
        </w:rPr>
        <w:t xml:space="preserve">POST /evaluate/policy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POST /evaluate/supply-chain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greenBondEligibility</w:t>
      </w:r>
      <w:r w:rsidDel="00000000" w:rsidR="00000000" w:rsidRPr="00000000">
        <w:rPr>
          <w:rtl w:val="0"/>
        </w:rPr>
        <w:t xml:space="preserve"> boolean in policy evaluation and </w:t>
      </w:r>
      <w:r w:rsidDel="00000000" w:rsidR="00000000" w:rsidRPr="00000000">
        <w:rPr>
          <w:rFonts w:ascii="Roboto Mono" w:cs="Roboto Mono" w:eastAsia="Roboto Mono" w:hAnsi="Roboto Mono"/>
          <w:color w:val="188038"/>
          <w:rtl w:val="0"/>
        </w:rPr>
        <w:t xml:space="preserve">carbonFootprintVerified</w:t>
      </w:r>
      <w:r w:rsidDel="00000000" w:rsidR="00000000" w:rsidRPr="00000000">
        <w:rPr>
          <w:rtl w:val="0"/>
        </w:rPr>
        <w:t xml:space="preserve"> in supply chain evaluation are its direct API expressions.</w:t>
      </w:r>
      <w:hyperlink r:id="rId310">
        <w:r w:rsidDel="00000000" w:rsidR="00000000" w:rsidRPr="00000000">
          <w:rPr>
            <w:rtl w:val="0"/>
          </w:rPr>
          <w:t xml:space="preserve"> </w:t>
        </w:r>
      </w:hyperlink>
      <w:hyperlink r:id="rId311">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23">
      <w:pPr>
        <w:pStyle w:val="Heading2"/>
        <w:keepNext w:val="0"/>
        <w:keepLines w:val="0"/>
        <w:spacing w:after="80" w:lineRule="auto"/>
        <w:rPr>
          <w:b w:val="1"/>
          <w:bCs w:val="1"/>
          <w:sz w:val="34"/>
          <w:szCs w:val="34"/>
        </w:rPr>
      </w:pPr>
      <w:bookmarkStart w:colFirst="0" w:colLast="0" w:name="_o3hill1qzkto" w:id="52"/>
      <w:bookmarkEnd w:id="52"/>
      <w:r w:rsidDel="00000000" w:rsidR="00000000" w:rsidRPr="00000000">
        <w:rPr>
          <w:b w:val="1"/>
          <w:bCs w:val="1"/>
          <w:sz w:val="34"/>
          <w:szCs w:val="34"/>
          <w:rtl w:val="0"/>
        </w:rPr>
        <w:t xml:space="preserve">4.7 Pillar VII: Hybrid Shield</w:t>
      </w:r>
    </w:p>
    <w:p w:rsidR="00000000" w:rsidDel="00000000" w:rsidP="00000000" w:rsidRDefault="00000000" w:rsidRPr="00000000" w14:paraId="00000224">
      <w:pPr>
        <w:spacing w:after="240" w:before="240" w:lineRule="auto"/>
        <w:rPr>
          <w:rFonts w:ascii="Roboto Mono" w:cs="Roboto Mono" w:eastAsia="Roboto Mono" w:hAnsi="Roboto Mono"/>
          <w:color w:val="188038"/>
        </w:rPr>
      </w:pPr>
      <w:r w:rsidDel="00000000" w:rsidR="00000000" w:rsidRPr="00000000">
        <w:rPr>
          <w:b w:val="1"/>
          <w:bCs w:val="1"/>
          <w:rtl w:val="0"/>
        </w:rPr>
        <w:t xml:space="preserve">Canonical identifier: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HybridShield</w:t>
      </w:r>
    </w:p>
    <w:p w:rsidR="00000000" w:rsidDel="00000000" w:rsidP="00000000" w:rsidRDefault="00000000" w:rsidRPr="00000000" w14:paraId="00000225">
      <w:pPr>
        <w:spacing w:after="240" w:before="240" w:lineRule="auto"/>
        <w:rPr>
          <w:color w:val="1155cc"/>
          <w:u w:val="single"/>
        </w:rPr>
      </w:pPr>
      <w:r w:rsidDel="00000000" w:rsidR="00000000" w:rsidRPr="00000000">
        <w:rPr>
          <w:rtl w:val="0"/>
        </w:rPr>
        <w:t xml:space="preserve">Pillar VII is the multi-layered architectural defense system providing comprehensive resilience against internal and external fraud, regulatory capture, and market manipulation. Its purpose is to enforce the separation of powers necessary to maintain the integrity of the Decision Logs and the governance process itself, while simultaneously protecting proprietary trade secrets and individual privacy.</w:t>
      </w:r>
      <w:hyperlink r:id="rId312">
        <w:r w:rsidDel="00000000" w:rsidR="00000000" w:rsidRPr="00000000">
          <w:rPr>
            <w:rtl w:val="0"/>
          </w:rPr>
          <w:t xml:space="preserve"> </w:t>
        </w:r>
      </w:hyperlink>
      <w:hyperlink r:id="rId313">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226">
      <w:pPr>
        <w:spacing w:after="240" w:before="240" w:lineRule="auto"/>
        <w:rPr/>
      </w:pPr>
      <w:r w:rsidDel="00000000" w:rsidR="00000000" w:rsidRPr="00000000">
        <w:rPr>
          <w:rtl w:val="0"/>
        </w:rPr>
        <w:t xml:space="preserve">The Hybrid Shield operates through three composite mechanisms.</w:t>
      </w:r>
    </w:p>
    <w:p w:rsidR="00000000" w:rsidDel="00000000" w:rsidP="00000000" w:rsidRDefault="00000000" w:rsidRPr="00000000" w14:paraId="00000227">
      <w:pPr>
        <w:spacing w:after="240" w:before="240" w:lineRule="auto"/>
        <w:rPr>
          <w:color w:val="1155cc"/>
          <w:u w:val="single"/>
        </w:rPr>
      </w:pPr>
      <w:r w:rsidDel="00000000" w:rsidR="00000000" w:rsidRPr="00000000">
        <w:rPr>
          <w:b w:val="1"/>
          <w:bCs w:val="1"/>
          <w:rtl w:val="0"/>
        </w:rPr>
        <w:t xml:space="preserve">Pseudonymization-before-hashing</w:t>
      </w:r>
      <w:r w:rsidDel="00000000" w:rsidR="00000000" w:rsidRPr="00000000">
        <w:rPr>
          <w:rtl w:val="0"/>
        </w:rPr>
        <w:t xml:space="preserve"> ensures that all personally identifiable information in the Decision Log is replaced with a pseudonymized token before the log is finalized, signed, and the Merkle Root is generated for public anchoring. This guarantees that the public proof-hash verifies the governance process without ever exposing individual identity, resolving the fundamental tension between GDPR compliance and blockchain transparency.</w:t>
      </w:r>
      <w:hyperlink r:id="rId314">
        <w:r w:rsidDel="00000000" w:rsidR="00000000" w:rsidRPr="00000000">
          <w:rPr>
            <w:rtl w:val="0"/>
          </w:rPr>
          <w:t xml:space="preserve"> </w:t>
        </w:r>
      </w:hyperlink>
      <w:hyperlink r:id="rId315">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228">
      <w:pPr>
        <w:spacing w:after="240" w:before="240" w:lineRule="auto"/>
        <w:rPr>
          <w:color w:val="1155cc"/>
          <w:u w:val="single"/>
        </w:rPr>
      </w:pPr>
      <w:r w:rsidDel="00000000" w:rsidR="00000000" w:rsidRPr="00000000">
        <w:rPr>
          <w:b w:val="1"/>
          <w:bCs w:val="1"/>
          <w:rtl w:val="0"/>
        </w:rPr>
        <w:t xml:space="preserve">Decoupled access control</w:t>
      </w:r>
      <w:r w:rsidDel="00000000" w:rsidR="00000000" w:rsidRPr="00000000">
        <w:rPr>
          <w:rtl w:val="0"/>
        </w:rPr>
        <w:t xml:space="preserve"> through Ephemeral Key Rotation (EKR) partitions the system into three distinct data domains: the Public Domain containing Merkle Roots and blockchain anchors; the Proprietary Domain containing algorithms and trade secrets protected by EKR; and the Audit Domain containing encrypted full Decision Logs with pseudonymous identifiers. The </w:t>
      </w:r>
      <w:r w:rsidDel="00000000" w:rsidR="00000000" w:rsidRPr="00000000">
        <w:rPr>
          <w:rFonts w:ascii="Roboto Mono" w:cs="Roboto Mono" w:eastAsia="Roboto Mono" w:hAnsi="Roboto Mono"/>
          <w:color w:val="188038"/>
          <w:rtl w:val="0"/>
        </w:rPr>
        <w:t xml:space="preserve">hkdfSha3256Confirmed: true</w:t>
      </w:r>
      <w:r w:rsidDel="00000000" w:rsidR="00000000" w:rsidRPr="00000000">
        <w:rPr>
          <w:rtl w:val="0"/>
        </w:rPr>
        <w:t xml:space="preserve"> field in </w:t>
      </w:r>
      <w:r w:rsidDel="00000000" w:rsidR="00000000" w:rsidRPr="00000000">
        <w:rPr>
          <w:rFonts w:ascii="Roboto Mono" w:cs="Roboto Mono" w:eastAsia="Roboto Mono" w:hAnsi="Roboto Mono"/>
          <w:color w:val="188038"/>
          <w:rtl w:val="0"/>
        </w:rPr>
        <w:t xml:space="preserve">EKRRecord_v1_0_0</w:t>
      </w:r>
      <w:r w:rsidDel="00000000" w:rsidR="00000000" w:rsidRPr="00000000">
        <w:rPr>
          <w:rtl w:val="0"/>
        </w:rPr>
        <w:t xml:space="preserve"> confirms that </w:t>
      </w:r>
      <w:r w:rsidDel="00000000" w:rsidR="00000000" w:rsidRPr="00000000">
        <w:rPr>
          <w:rFonts w:ascii="Roboto Mono" w:cs="Roboto Mono" w:eastAsia="Roboto Mono" w:hAnsi="Roboto Mono"/>
          <w:color w:val="188038"/>
          <w:rtl w:val="0"/>
        </w:rPr>
        <w:t xml:space="preserve">HKDF-SHA3-256</w:t>
      </w:r>
      <w:r w:rsidDel="00000000" w:rsidR="00000000" w:rsidRPr="00000000">
        <w:rPr>
          <w:rtl w:val="0"/>
        </w:rPr>
        <w:t xml:space="preserve"> key derivation was used for the rotation event, providing the SHIPPING mitigation for GDPR Article 17 compliance. The </w:t>
      </w:r>
      <w:r w:rsidDel="00000000" w:rsidR="00000000" w:rsidRPr="00000000">
        <w:rPr>
          <w:rFonts w:ascii="Roboto Mono" w:cs="Roboto Mono" w:eastAsia="Roboto Mono" w:hAnsi="Roboto Mono"/>
          <w:color w:val="188038"/>
          <w:rtl w:val="0"/>
        </w:rPr>
        <w:t xml:space="preserve">auditRetentionAnchor</w:t>
      </w:r>
      <w:r w:rsidDel="00000000" w:rsidR="00000000" w:rsidRPr="00000000">
        <w:rPr>
          <w:rtl w:val="0"/>
        </w:rPr>
        <w:t xml:space="preserve"> SHA-256 field ensures that the audit trail of the access session survives key destruction.</w:t>
      </w:r>
      <w:hyperlink r:id="rId316">
        <w:r w:rsidDel="00000000" w:rsidR="00000000" w:rsidRPr="00000000">
          <w:rPr>
            <w:rtl w:val="0"/>
          </w:rPr>
          <w:t xml:space="preserve"> </w:t>
        </w:r>
      </w:hyperlink>
      <w:hyperlink r:id="rId317">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29">
      <w:pPr>
        <w:spacing w:after="240" w:before="240" w:lineRule="auto"/>
        <w:rPr>
          <w:color w:val="1155cc"/>
          <w:u w:val="single"/>
        </w:rPr>
      </w:pPr>
      <w:r w:rsidDel="00000000" w:rsidR="00000000" w:rsidRPr="00000000">
        <w:rPr>
          <w:b w:val="1"/>
          <w:bCs w:val="1"/>
          <w:rtl w:val="0"/>
        </w:rPr>
        <w:t xml:space="preserve">The Triadic Anti-Manipulation Check</w:t>
      </w:r>
      <w:r w:rsidDel="00000000" w:rsidR="00000000" w:rsidRPr="00000000">
        <w:rPr>
          <w:rtl w:val="0"/>
        </w:rPr>
        <w:t xml:space="preserve"> is a real-time behavioral monitoring system using the Epistemic Hold state to resist market manipulation strategies such as spoofing, layering, and quote stuffing. The Shield monitors order submission-to-cancellation ratios and latency fluctuations. When patterns exceed learned thresholds characteristic of manipulative behavior, the system immediately triggers Epistemic Hold through the </w:t>
      </w:r>
      <w:r w:rsidDel="00000000" w:rsidR="00000000" w:rsidRPr="00000000">
        <w:rPr>
          <w:rFonts w:ascii="Roboto Mono" w:cs="Roboto Mono" w:eastAsia="Roboto Mono" w:hAnsi="Roboto Mono"/>
          <w:color w:val="188038"/>
          <w:rtl w:val="0"/>
        </w:rPr>
        <w:t xml:space="preserve">GovernancePause</w:t>
      </w:r>
      <w:r w:rsidDel="00000000" w:rsidR="00000000" w:rsidRPr="00000000">
        <w:rPr>
          <w:rtl w:val="0"/>
        </w:rPr>
        <w:t xml:space="preserve"> workflow, pausing the algorithm until a human Custodian reviews the log and manually clears the hold via </w:t>
      </w:r>
      <w:r w:rsidDel="00000000" w:rsidR="00000000" w:rsidRPr="00000000">
        <w:rPr>
          <w:rFonts w:ascii="Roboto Mono" w:cs="Roboto Mono" w:eastAsia="Roboto Mono" w:hAnsi="Roboto Mono"/>
          <w:color w:val="188038"/>
          <w:rtl w:val="0"/>
        </w:rPr>
        <w:t xml:space="preserve">PATCH /epistemic-hold/escalations/{escalationId}</w:t>
      </w:r>
      <w:r w:rsidDel="00000000" w:rsidR="00000000" w:rsidRPr="00000000">
        <w:rPr>
          <w:rtl w:val="0"/>
        </w:rPr>
        <w:t xml:space="preserve">.</w:t>
      </w:r>
      <w:hyperlink r:id="rId318">
        <w:r w:rsidDel="00000000" w:rsidR="00000000" w:rsidRPr="00000000">
          <w:rPr>
            <w:rtl w:val="0"/>
          </w:rPr>
          <w:t xml:space="preserve"> </w:t>
        </w:r>
      </w:hyperlink>
      <w:hyperlink r:id="rId319">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22A">
      <w:pPr>
        <w:spacing w:after="240" w:before="240" w:lineRule="auto"/>
        <w:rPr/>
      </w:pPr>
      <w:r w:rsidDel="00000000" w:rsidR="00000000" w:rsidRPr="00000000">
        <w:rPr>
          <w:rtl w:val="0"/>
        </w:rPr>
        <w:t xml:space="preserve">The GDPR Article 17 cryptographic erasure resolution through Pillar VII is specified in full in Section 6. The full EKR mechanics, the </w:t>
      </w:r>
      <w:r w:rsidDel="00000000" w:rsidR="00000000" w:rsidRPr="00000000">
        <w:rPr>
          <w:rFonts w:ascii="Roboto Mono" w:cs="Roboto Mono" w:eastAsia="Roboto Mono" w:hAnsi="Roboto Mono"/>
          <w:color w:val="188038"/>
          <w:rtl w:val="0"/>
        </w:rPr>
        <w:t xml:space="preserve">EKRRecord_v1_0_0</w:t>
      </w:r>
      <w:r w:rsidDel="00000000" w:rsidR="00000000" w:rsidRPr="00000000">
        <w:rPr>
          <w:rtl w:val="0"/>
        </w:rPr>
        <w:t xml:space="preserve"> schema, and the three residual sub-gaps are also covered there.</w:t>
      </w:r>
    </w:p>
    <w:p w:rsidR="00000000" w:rsidDel="00000000" w:rsidP="00000000" w:rsidRDefault="00000000" w:rsidRPr="00000000" w14:paraId="0000022B">
      <w:pPr>
        <w:spacing w:after="240" w:before="240" w:lineRule="auto"/>
        <w:rPr>
          <w:color w:val="1155cc"/>
          <w:u w:val="single"/>
        </w:rPr>
      </w:pPr>
      <w:r w:rsidDel="00000000" w:rsidR="00000000" w:rsidRPr="00000000">
        <w:rPr>
          <w:rtl w:val="0"/>
        </w:rPr>
        <w:t xml:space="preserve">Pillar VII is expressed through </w:t>
      </w:r>
      <w:r w:rsidDel="00000000" w:rsidR="00000000" w:rsidRPr="00000000">
        <w:rPr>
          <w:rFonts w:ascii="Roboto Mono" w:cs="Roboto Mono" w:eastAsia="Roboto Mono" w:hAnsi="Roboto Mono"/>
          <w:color w:val="188038"/>
          <w:rtl w:val="0"/>
        </w:rPr>
        <w:t xml:space="preserve">POST /emergency/override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/emergency/status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/audit/custodians/{custodianId}/heartbeat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/regulator/custodian-quorum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POST /pillars/{pillarId}/configure</w:t>
      </w:r>
      <w:r w:rsidDel="00000000" w:rsidR="00000000" w:rsidRPr="00000000">
        <w:rPr>
          <w:rtl w:val="0"/>
        </w:rPr>
        <w:t xml:space="preserve">. Its schema anchors are </w:t>
      </w:r>
      <w:r w:rsidDel="00000000" w:rsidR="00000000" w:rsidRPr="00000000">
        <w:rPr>
          <w:rFonts w:ascii="Roboto Mono" w:cs="Roboto Mono" w:eastAsia="Roboto Mono" w:hAnsi="Roboto Mono"/>
          <w:color w:val="188038"/>
          <w:rtl w:val="0"/>
        </w:rPr>
        <w:t xml:space="preserve">TriCameralApproval_v1_0_0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EmergencyOverrideRequest_v1_0_0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EKRRecord_v1_0_0</w:t>
      </w:r>
      <w:r w:rsidDel="00000000" w:rsidR="00000000" w:rsidRPr="00000000">
        <w:rPr>
          <w:rtl w:val="0"/>
        </w:rPr>
        <w:t xml:space="preserve">.</w:t>
      </w:r>
      <w:hyperlink r:id="rId320">
        <w:r w:rsidDel="00000000" w:rsidR="00000000" w:rsidRPr="00000000">
          <w:rPr>
            <w:rtl w:val="0"/>
          </w:rPr>
          <w:t xml:space="preserve"> </w:t>
        </w:r>
      </w:hyperlink>
      <w:hyperlink r:id="rId321">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2C">
      <w:pPr>
        <w:pStyle w:val="Heading2"/>
        <w:keepNext w:val="0"/>
        <w:keepLines w:val="0"/>
        <w:spacing w:after="80" w:lineRule="auto"/>
        <w:rPr>
          <w:b w:val="1"/>
          <w:bCs w:val="1"/>
          <w:sz w:val="34"/>
          <w:szCs w:val="34"/>
        </w:rPr>
      </w:pPr>
      <w:bookmarkStart w:colFirst="0" w:colLast="0" w:name="_8qvld46xxwgd" w:id="53"/>
      <w:bookmarkEnd w:id="53"/>
      <w:r w:rsidDel="00000000" w:rsidR="00000000" w:rsidRPr="00000000">
        <w:rPr>
          <w:b w:val="1"/>
          <w:bCs w:val="1"/>
          <w:sz w:val="34"/>
          <w:szCs w:val="34"/>
          <w:rtl w:val="0"/>
        </w:rPr>
        <w:t xml:space="preserve">4.8 Pillar VIII: Anchors</w:t>
      </w:r>
    </w:p>
    <w:p w:rsidR="00000000" w:rsidDel="00000000" w:rsidP="00000000" w:rsidRDefault="00000000" w:rsidRPr="00000000" w14:paraId="0000022D">
      <w:pPr>
        <w:spacing w:after="240" w:before="240" w:lineRule="auto"/>
        <w:rPr>
          <w:rFonts w:ascii="Roboto Mono" w:cs="Roboto Mono" w:eastAsia="Roboto Mono" w:hAnsi="Roboto Mono"/>
          <w:color w:val="188038"/>
        </w:rPr>
      </w:pPr>
      <w:r w:rsidDel="00000000" w:rsidR="00000000" w:rsidRPr="00000000">
        <w:rPr>
          <w:b w:val="1"/>
          <w:bCs w:val="1"/>
          <w:rtl w:val="0"/>
        </w:rPr>
        <w:t xml:space="preserve">Canonical identifier: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Anchors</w:t>
      </w:r>
    </w:p>
    <w:p w:rsidR="00000000" w:rsidDel="00000000" w:rsidP="00000000" w:rsidRDefault="00000000" w:rsidRPr="00000000" w14:paraId="0000022E">
      <w:pPr>
        <w:spacing w:after="240" w:before="240" w:lineRule="auto"/>
        <w:rPr>
          <w:color w:val="1155cc"/>
          <w:u w:val="single"/>
        </w:rPr>
      </w:pPr>
      <w:r w:rsidDel="00000000" w:rsidR="00000000" w:rsidRPr="00000000">
        <w:rPr>
          <w:rtl w:val="0"/>
        </w:rPr>
        <w:t xml:space="preserve">Pillar VIII is the ultimate guarantor of TL's sovereign-grade evidentiary security. Its purpose is to confer long-term evidentiary permanence and universal, independent verifiability upon the institutional claims logged in the private Immutable Ledger by cryptographically committing their Merkle Roots to multiple independent public blockchains. An organization's compliance claim is no longer a self-declared assertion but a provable, time-stamped, mathematically verifiable fact secured by the irreversible cryptographic work of decentralized networks.</w:t>
      </w:r>
      <w:hyperlink r:id="rId322">
        <w:r w:rsidDel="00000000" w:rsidR="00000000" w:rsidRPr="00000000">
          <w:rPr>
            <w:rtl w:val="0"/>
          </w:rPr>
          <w:t xml:space="preserve"> </w:t>
        </w:r>
      </w:hyperlink>
      <w:hyperlink r:id="rId323">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22F">
      <w:pPr>
        <w:spacing w:after="240" w:before="240" w:lineRule="auto"/>
        <w:rPr>
          <w:color w:val="1155cc"/>
          <w:u w:val="single"/>
        </w:rPr>
      </w:pPr>
      <w:r w:rsidDel="00000000" w:rsidR="00000000" w:rsidRPr="00000000">
        <w:rPr>
          <w:rtl w:val="0"/>
        </w:rPr>
        <w:t xml:space="preserve">The Anchoring mechanism operates through a multi-stage process. The Merkle Root of the local rolling buffer is calculated at intervals and simultaneously committed via transactions to multiple independent public blockchains. Multi-chain redundancy ensures resilience: a TL proof is globally confirmed only when successfully included and finalized on at least three of five active anchor chains, under the </w:t>
      </w:r>
      <w:r w:rsidDel="00000000" w:rsidR="00000000" w:rsidRPr="00000000">
        <w:rPr>
          <w:rFonts w:ascii="Roboto Mono" w:cs="Roboto Mono" w:eastAsia="Roboto Mono" w:hAnsi="Roboto Mono"/>
          <w:color w:val="188038"/>
          <w:rtl w:val="0"/>
        </w:rPr>
        <w:t xml:space="preserve">3-of-5</w:t>
      </w:r>
      <w:r w:rsidDel="00000000" w:rsidR="00000000" w:rsidRPr="00000000">
        <w:rPr>
          <w:rtl w:val="0"/>
        </w:rPr>
        <w:t xml:space="preserve"> quorum requirement. The Anchor system maintains five active chains simultaneously and at least three standby chains ready for immediate promotion, ensuring that the framework remains operationally intact even if two active chains fail, are censored, or are legally prohibited within a specific jurisdiction.</w:t>
      </w:r>
      <w:hyperlink r:id="rId324">
        <w:r w:rsidDel="00000000" w:rsidR="00000000" w:rsidRPr="00000000">
          <w:rPr>
            <w:rtl w:val="0"/>
          </w:rPr>
          <w:t xml:space="preserve"> </w:t>
        </w:r>
      </w:hyperlink>
      <w:hyperlink r:id="rId325">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230">
      <w:pPr>
        <w:spacing w:after="240" w:before="240" w:lineRule="auto"/>
        <w:rPr>
          <w:color w:val="1155cc"/>
          <w:u w:val="single"/>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SuccessionDeclaration_v1_0_0</w:t>
      </w:r>
      <w:r w:rsidDel="00000000" w:rsidR="00000000" w:rsidRPr="00000000">
        <w:rPr>
          <w:rtl w:val="0"/>
        </w:rPr>
        <w:t xml:space="preserve"> schema is a Pillar VIII artifact ensuring TL governance permanence beyond any single actor or institution. Its expiry triggers </w:t>
      </w:r>
      <w:r w:rsidDel="00000000" w:rsidR="00000000" w:rsidRPr="00000000">
        <w:rPr>
          <w:rFonts w:ascii="Roboto Mono" w:cs="Roboto Mono" w:eastAsia="Roboto Mono" w:hAnsi="Roboto Mono"/>
          <w:color w:val="188038"/>
          <w:rtl w:val="0"/>
        </w:rPr>
        <w:t xml:space="preserve">SUCCESSION_DECLARATION_EXPIRED_ERROR</w:t>
      </w:r>
      <w:r w:rsidDel="00000000" w:rsidR="00000000" w:rsidRPr="00000000">
        <w:rPr>
          <w:rtl w:val="0"/>
        </w:rPr>
        <w:t xml:space="preserve"> in the </w:t>
      </w:r>
      <w:r w:rsidDel="00000000" w:rsidR="00000000" w:rsidRPr="00000000">
        <w:rPr>
          <w:rFonts w:ascii="Roboto Mono" w:cs="Roboto Mono" w:eastAsia="Roboto Mono" w:hAnsi="Roboto Mono"/>
          <w:color w:val="188038"/>
          <w:rtl w:val="0"/>
        </w:rPr>
        <w:t xml:space="preserve">TLProblemDetail</w:t>
      </w:r>
      <w:r w:rsidDel="00000000" w:rsidR="00000000" w:rsidRPr="00000000">
        <w:rPr>
          <w:rtl w:val="0"/>
        </w:rPr>
        <w:t xml:space="preserve"> error taxonomy, and its absence triggers </w:t>
      </w:r>
      <w:r w:rsidDel="00000000" w:rsidR="00000000" w:rsidRPr="00000000">
        <w:rPr>
          <w:rFonts w:ascii="Roboto Mono" w:cs="Roboto Mono" w:eastAsia="Roboto Mono" w:hAnsi="Roboto Mono"/>
          <w:color w:val="188038"/>
          <w:rtl w:val="0"/>
        </w:rPr>
        <w:t xml:space="preserve">SUCCESSION_DECLARATION_REQUIRED_ERROR</w:t>
      </w:r>
      <w:r w:rsidDel="00000000" w:rsidR="00000000" w:rsidRPr="00000000">
        <w:rPr>
          <w:rtl w:val="0"/>
        </w:rPr>
        <w:t xml:space="preserve"> when a governance operation requires a valid declaration. In </w:t>
      </w:r>
      <w:r w:rsidDel="00000000" w:rsidR="00000000" w:rsidRPr="00000000">
        <w:rPr>
          <w:rFonts w:ascii="Roboto Mono" w:cs="Roboto Mono" w:eastAsia="Roboto Mono" w:hAnsi="Roboto Mono"/>
          <w:color w:val="188038"/>
          <w:rtl w:val="0"/>
        </w:rPr>
        <w:t xml:space="preserve">eip712_typed_data.json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canonicalArtifactNameHashes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canonicalMandateHashes</w:t>
      </w:r>
      <w:r w:rsidDel="00000000" w:rsidR="00000000" w:rsidRPr="00000000">
        <w:rPr>
          <w:rtl w:val="0"/>
        </w:rPr>
        <w:t xml:space="preserve"> sections are Pillar VIII artifacts providing the cryptographic pre-image registry that makes every constitutional artifact name verifiable at the smart contract layer.</w:t>
      </w:r>
      <w:hyperlink r:id="rId326">
        <w:r w:rsidDel="00000000" w:rsidR="00000000" w:rsidRPr="00000000">
          <w:rPr>
            <w:rtl w:val="0"/>
          </w:rPr>
          <w:t xml:space="preserve"> </w:t>
        </w:r>
      </w:hyperlink>
      <w:hyperlink r:id="rId327">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31">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hashAlgorithmVersion</w:t>
      </w:r>
      <w:r w:rsidDel="00000000" w:rsidR="00000000" w:rsidRPr="00000000">
        <w:rPr>
          <w:rtl w:val="0"/>
        </w:rPr>
        <w:t xml:space="preserve"> field on every Merkle Root commitment to the public blockchain identifies the hash function used for that batch. Historical records are not rehashed: they retain their original commitments. New records use the updated hash function from the migration date forward. This versioning creates a clean boundary in the evidentiary record during post-quantum hash algorithm migration.</w:t>
      </w:r>
    </w:p>
    <w:p w:rsidR="00000000" w:rsidDel="00000000" w:rsidP="00000000" w:rsidRDefault="00000000" w:rsidRPr="00000000" w14:paraId="00000232">
      <w:pPr>
        <w:spacing w:after="240" w:before="240" w:lineRule="auto"/>
        <w:rPr/>
      </w:pPr>
      <w:r w:rsidDel="00000000" w:rsidR="00000000" w:rsidRPr="00000000">
        <w:rPr>
          <w:rtl w:val="0"/>
        </w:rPr>
        <w:t xml:space="preserve">Post-quantum migration for Pillar VIII is addressed through the hash agility protocol and the </w:t>
      </w:r>
      <w:r w:rsidDel="00000000" w:rsidR="00000000" w:rsidRPr="00000000">
        <w:rPr>
          <w:rFonts w:ascii="Roboto Mono" w:cs="Roboto Mono" w:eastAsia="Roboto Mono" w:hAnsi="Roboto Mono"/>
          <w:color w:val="188038"/>
          <w:rtl w:val="0"/>
        </w:rPr>
        <w:t xml:space="preserve">N-of-M</w:t>
      </w:r>
      <w:r w:rsidDel="00000000" w:rsidR="00000000" w:rsidRPr="00000000">
        <w:rPr>
          <w:rtl w:val="0"/>
        </w:rPr>
        <w:t xml:space="preserve"> quorum design described in Section 11. Ethereum and Polygon anchor transactions use single-use accounts: the private key is generated inside the DITL coprocessor's secure enclave and cryptographically shredded after the transaction confirms, so key exposure yields no ongoing access capability even if a future quantum attacker derives the private key from the public key.</w:t>
      </w:r>
    </w:p>
    <w:p w:rsidR="00000000" w:rsidDel="00000000" w:rsidP="00000000" w:rsidRDefault="00000000" w:rsidRPr="00000000" w14:paraId="00000233">
      <w:pPr>
        <w:spacing w:after="240" w:before="240" w:lineRule="auto"/>
        <w:rPr>
          <w:color w:val="1155cc"/>
          <w:u w:val="single"/>
        </w:rPr>
      </w:pPr>
      <w:r w:rsidDel="00000000" w:rsidR="00000000" w:rsidRPr="00000000">
        <w:rPr>
          <w:rtl w:val="0"/>
        </w:rPr>
        <w:t xml:space="preserve">Pillar VIII is expressed through </w:t>
      </w:r>
      <w:r w:rsidDel="00000000" w:rsidR="00000000" w:rsidRPr="00000000">
        <w:rPr>
          <w:rFonts w:ascii="Roboto Mono" w:cs="Roboto Mono" w:eastAsia="Roboto Mono" w:hAnsi="Roboto Mono"/>
          <w:color w:val="188038"/>
          <w:rtl w:val="0"/>
        </w:rPr>
        <w:t xml:space="preserve">GET /audit/verifications/merkle/{merkleRoot}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 /audit/verifications/inclusion/{logId}</w:t>
      </w:r>
      <w:r w:rsidDel="00000000" w:rsidR="00000000" w:rsidRPr="00000000">
        <w:rPr>
          <w:rtl w:val="0"/>
        </w:rPr>
        <w:t xml:space="preserve">.</w:t>
      </w:r>
      <w:hyperlink r:id="rId328">
        <w:r w:rsidDel="00000000" w:rsidR="00000000" w:rsidRPr="00000000">
          <w:rPr>
            <w:rtl w:val="0"/>
          </w:rPr>
          <w:t xml:space="preserve"> </w:t>
        </w:r>
      </w:hyperlink>
      <w:hyperlink r:id="rId329">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34">
      <w:pPr>
        <w:pStyle w:val="Heading2"/>
        <w:keepNext w:val="0"/>
        <w:keepLines w:val="0"/>
        <w:spacing w:after="80" w:lineRule="auto"/>
        <w:rPr>
          <w:b w:val="1"/>
          <w:bCs w:val="1"/>
          <w:sz w:val="34"/>
          <w:szCs w:val="34"/>
        </w:rPr>
      </w:pPr>
      <w:bookmarkStart w:colFirst="0" w:colLast="0" w:name="_timo28rhqx8e" w:id="54"/>
      <w:bookmarkEnd w:id="54"/>
      <w:r w:rsidDel="00000000" w:rsidR="00000000" w:rsidRPr="00000000">
        <w:rPr>
          <w:b w:val="1"/>
          <w:bCs w:val="1"/>
          <w:sz w:val="34"/>
          <w:szCs w:val="34"/>
          <w:rtl w:val="0"/>
        </w:rPr>
        <w:t xml:space="preserve">4.9 Pillar Interdependencies and Collapse Threshold</w:t>
      </w:r>
    </w:p>
    <w:p w:rsidR="00000000" w:rsidDel="00000000" w:rsidP="00000000" w:rsidRDefault="00000000" w:rsidRPr="00000000" w14:paraId="00000235">
      <w:pPr>
        <w:spacing w:after="240" w:before="240" w:lineRule="auto"/>
        <w:rPr/>
      </w:pPr>
      <w:r w:rsidDel="00000000" w:rsidR="00000000" w:rsidRPr="00000000">
        <w:rPr>
          <w:rtl w:val="0"/>
        </w:rPr>
        <w:t xml:space="preserve">The Eight Pillars form an interlocking constitutional architecture in which each Pillar's function reinforces and depends upon the others. Pillar I creates the hesitation state that prevents reckless execution. Pillar II records that hesitation with cryptographic permanence. Pillar III certifies the constitutional basis of every determination through the </w:t>
      </w:r>
      <w:r w:rsidDel="00000000" w:rsidR="00000000" w:rsidRPr="00000000">
        <w:rPr>
          <w:rFonts w:ascii="Roboto Mono" w:cs="Roboto Mono" w:eastAsia="Roboto Mono" w:hAnsi="Roboto Mono"/>
          <w:color w:val="188038"/>
          <w:rtl w:val="0"/>
        </w:rPr>
        <w:t xml:space="preserve">lantern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signature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license</w:t>
      </w:r>
      <w:r w:rsidDel="00000000" w:rsidR="00000000" w:rsidRPr="00000000">
        <w:rPr>
          <w:rtl w:val="0"/>
        </w:rPr>
        <w:t xml:space="preserve">. Pillar IV documents the full evidentiary reasoning in a schema-validated, pre-action artifact. Pillar V ensures that every affected party has verifiable access to that reasoning. Pillar VI extends constitutional governance to long-term systemic stability and ESG obligations. Pillar VII protects the entire evidentiary chain from fraud, capture, and manipulation while preserving privacy. Pillar VIII anchors the chain to public blockchains, making governance history sovereign-grade, non-repudiable, and permanent.</w:t>
      </w:r>
    </w:p>
    <w:p w:rsidR="00000000" w:rsidDel="00000000" w:rsidP="00000000" w:rsidRDefault="00000000" w:rsidRPr="00000000" w14:paraId="00000236">
      <w:pPr>
        <w:spacing w:after="240" w:before="240" w:lineRule="auto"/>
        <w:rPr>
          <w:color w:val="1155cc"/>
          <w:u w:val="single"/>
        </w:rPr>
      </w:pPr>
      <w:r w:rsidDel="00000000" w:rsidR="00000000" w:rsidRPr="00000000">
        <w:rPr>
          <w:rtl w:val="0"/>
        </w:rPr>
        <w:t xml:space="preserve">The critical binary dependency is between Pillars I and IV. Both depend entirely on DITL hardware for their non-bypassability guarantees. In software-only emulation mode, both degrade to policy enforcement simultaneously. This simultaneous degradation exceeds the collapse threshold: two Critical-rated Pillars compromised at once causes the framework to structurally collapse from a physics-enforced constitutional architecture to a policy-governance system.</w:t>
      </w:r>
      <w:hyperlink r:id="rId330">
        <w:r w:rsidDel="00000000" w:rsidR="00000000" w:rsidRPr="00000000">
          <w:rPr>
            <w:rtl w:val="0"/>
          </w:rPr>
          <w:t xml:space="preserve"> </w:t>
        </w:r>
      </w:hyperlink>
      <w:hyperlink r:id="rId331">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237">
      <w:pPr>
        <w:spacing w:after="240" w:before="240" w:lineRule="auto"/>
        <w:rPr>
          <w:color w:val="1155cc"/>
          <w:u w:val="single"/>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TLCapabilityFlags.pufAttestationMode</w:t>
      </w:r>
      <w:r w:rsidDel="00000000" w:rsidR="00000000" w:rsidRPr="00000000">
        <w:rPr>
          <w:rtl w:val="0"/>
        </w:rPr>
        <w:t xml:space="preserve"> field signals this posture in every Permission Token. When </w:t>
      </w:r>
      <w:r w:rsidDel="00000000" w:rsidR="00000000" w:rsidRPr="00000000">
        <w:rPr>
          <w:rFonts w:ascii="Roboto Mono" w:cs="Roboto Mono" w:eastAsia="Roboto Mono" w:hAnsi="Roboto Mono"/>
          <w:color w:val="188038"/>
          <w:rtl w:val="0"/>
        </w:rPr>
        <w:t xml:space="preserve">pufAttestationMode</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"ARCHITECTURE_B"</w:t>
      </w:r>
      <w:r w:rsidDel="00000000" w:rsidR="00000000" w:rsidRPr="00000000">
        <w:rPr>
          <w:rtl w:val="0"/>
        </w:rPr>
        <w:t xml:space="preserve"> in software enforcement mode, the </w:t>
      </w:r>
      <w:r w:rsidDel="00000000" w:rsidR="00000000" w:rsidRPr="00000000">
        <w:rPr>
          <w:rFonts w:ascii="Roboto Mono" w:cs="Roboto Mono" w:eastAsia="Roboto Mono" w:hAnsi="Roboto Mono"/>
          <w:color w:val="188038"/>
          <w:rtl w:val="0"/>
        </w:rPr>
        <w:t xml:space="preserve">windowComparatorReading.softwareEnforcementActive: true</w:t>
      </w:r>
      <w:r w:rsidDel="00000000" w:rsidR="00000000" w:rsidRPr="00000000">
        <w:rPr>
          <w:rtl w:val="0"/>
        </w:rPr>
        <w:t xml:space="preserve"> field in </w:t>
      </w:r>
      <w:r w:rsidDel="00000000" w:rsidR="00000000" w:rsidRPr="00000000">
        <w:rPr>
          <w:rFonts w:ascii="Roboto Mono" w:cs="Roboto Mono" w:eastAsia="Roboto Mono" w:hAnsi="Roboto Mono"/>
          <w:color w:val="188038"/>
          <w:rtl w:val="0"/>
        </w:rPr>
        <w:t xml:space="preserve">EscrowRecord_v1_0_0</w:t>
      </w:r>
      <w:r w:rsidDel="00000000" w:rsidR="00000000" w:rsidRPr="00000000">
        <w:rPr>
          <w:rtl w:val="0"/>
        </w:rPr>
        <w:t xml:space="preserve"> provides compensating control documentation. The </w:t>
      </w:r>
      <w:r w:rsidDel="00000000" w:rsidR="00000000" w:rsidRPr="00000000">
        <w:rPr>
          <w:rFonts w:ascii="Roboto Mono" w:cs="Roboto Mono" w:eastAsia="Roboto Mono" w:hAnsi="Roboto Mono"/>
          <w:color w:val="188038"/>
          <w:rtl w:val="0"/>
        </w:rPr>
        <w:t xml:space="preserve">NULL_PUF_DEPLOYMENT</w:t>
      </w:r>
      <w:r w:rsidDel="00000000" w:rsidR="00000000" w:rsidRPr="00000000">
        <w:rPr>
          <w:rtl w:val="0"/>
        </w:rPr>
        <w:t xml:space="preserve"> sentinel value in </w:t>
      </w:r>
      <w:r w:rsidDel="00000000" w:rsidR="00000000" w:rsidRPr="00000000">
        <w:rPr>
          <w:rFonts w:ascii="Roboto Mono" w:cs="Roboto Mono" w:eastAsia="Roboto Mono" w:hAnsi="Roboto Mono"/>
          <w:color w:val="188038"/>
          <w:rtl w:val="0"/>
        </w:rPr>
        <w:t xml:space="preserve">NLNAAuditToken.pufAttestation</w:t>
      </w:r>
      <w:r w:rsidDel="00000000" w:rsidR="00000000" w:rsidRPr="00000000">
        <w:rPr>
          <w:rtl w:val="0"/>
        </w:rPr>
        <w:t xml:space="preserve"> signals Architecture B software-only enforcement mode to all downstream consumers.</w:t>
      </w:r>
      <w:hyperlink r:id="rId332">
        <w:r w:rsidDel="00000000" w:rsidR="00000000" w:rsidRPr="00000000">
          <w:rPr>
            <w:rtl w:val="0"/>
          </w:rPr>
          <w:t xml:space="preserve"> </w:t>
        </w:r>
      </w:hyperlink>
      <w:hyperlink r:id="rId333">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38">
      <w:pPr>
        <w:spacing w:after="240" w:before="240" w:lineRule="auto"/>
        <w:rPr/>
      </w:pPr>
      <w:r w:rsidDel="00000000" w:rsidR="00000000" w:rsidRPr="00000000">
        <w:rPr>
          <w:rtl w:val="0"/>
        </w:rPr>
        <w:t xml:space="preserve">Pillars II and VIII retain their enforcement ratings independently of DITL hardware. Their cryptographic and distributed mechanisms function on binary hardware. Pillars V and VI are governance overlays rather than structural load-bearing elements. Their Low enforcement rating reflects their complete policy dependence, but their failure does not trigger framework-level collapse in the way that simultaneous degradation of Pillars I and IV does.</w:t>
      </w:r>
    </w:p>
    <w:p w:rsidR="00000000" w:rsidDel="00000000" w:rsidP="00000000" w:rsidRDefault="00000000" w:rsidRPr="00000000" w14:paraId="00000239">
      <w:pPr>
        <w:spacing w:after="240" w:before="240" w:lineRule="auto"/>
        <w:rPr/>
      </w:pPr>
      <w:r w:rsidDel="00000000" w:rsidR="00000000" w:rsidRPr="00000000">
        <w:rPr>
          <w:rtl w:val="0"/>
        </w:rPr>
        <w:t xml:space="preserve">No Pillar can be suspended without degrading the constitutional integrity of the entire system. No Pillar can be substituted with a policy-level equivalent. The Pillars are not a checklist of governance best practices. They are the physical architecture through which the Goukassian Vow becomes computationally enforceable constitutional law.</w:t>
      </w:r>
    </w:p>
    <w:p w:rsidR="00000000" w:rsidDel="00000000" w:rsidP="00000000" w:rsidRDefault="00000000" w:rsidRPr="00000000" w14:paraId="0000023A">
      <w:pPr>
        <w:pStyle w:val="Heading1"/>
        <w:keepNext w:val="0"/>
        <w:keepLines w:val="0"/>
        <w:spacing w:before="480" w:lineRule="auto"/>
        <w:rPr>
          <w:b w:val="1"/>
          <w:bCs w:val="1"/>
          <w:sz w:val="46"/>
          <w:szCs w:val="46"/>
        </w:rPr>
      </w:pPr>
      <w:bookmarkStart w:colFirst="0" w:colLast="0" w:name="_6mnumxwymco5" w:id="55"/>
      <w:bookmarkEnd w:id="55"/>
      <w:r w:rsidDel="00000000" w:rsidR="00000000" w:rsidRPr="00000000">
        <w:rPr>
          <w:b w:val="1"/>
          <w:bCs w:val="1"/>
          <w:sz w:val="46"/>
          <w:szCs w:val="46"/>
          <w:rtl w:val="0"/>
        </w:rPr>
        <w:t xml:space="preserve">SECTION 5: CONSTITUTIONAL MANDATES</w:t>
      </w:r>
    </w:p>
    <w:p w:rsidR="00000000" w:rsidDel="00000000" w:rsidP="00000000" w:rsidRDefault="00000000" w:rsidRPr="00000000" w14:paraId="0000023B">
      <w:pPr>
        <w:pStyle w:val="Heading2"/>
        <w:keepNext w:val="0"/>
        <w:keepLines w:val="0"/>
        <w:spacing w:after="80" w:lineRule="auto"/>
        <w:rPr>
          <w:b w:val="1"/>
          <w:bCs w:val="1"/>
          <w:sz w:val="34"/>
          <w:szCs w:val="34"/>
        </w:rPr>
      </w:pPr>
      <w:bookmarkStart w:colFirst="0" w:colLast="0" w:name="_qtta4dt8d4cb" w:id="56"/>
      <w:bookmarkEnd w:id="56"/>
      <w:r w:rsidDel="00000000" w:rsidR="00000000" w:rsidRPr="00000000">
        <w:rPr>
          <w:b w:val="1"/>
          <w:bCs w:val="1"/>
          <w:sz w:val="34"/>
          <w:szCs w:val="34"/>
          <w:rtl w:val="0"/>
        </w:rPr>
        <w:t xml:space="preserve">5.0 Overview</w:t>
      </w:r>
    </w:p>
    <w:p w:rsidR="00000000" w:rsidDel="00000000" w:rsidP="00000000" w:rsidRDefault="00000000" w:rsidRPr="00000000" w14:paraId="0000023C">
      <w:pPr>
        <w:spacing w:after="240" w:before="240" w:lineRule="auto"/>
        <w:rPr>
          <w:color w:val="1155cc"/>
          <w:u w:val="single"/>
        </w:rPr>
      </w:pPr>
      <w:r w:rsidDel="00000000" w:rsidR="00000000" w:rsidRPr="00000000">
        <w:rPr>
          <w:rtl w:val="0"/>
        </w:rPr>
        <w:t xml:space="preserve">The Goukassian Vow defines what Ternary Logic must do. The No Spy, No Weapon Mandate defines what Ternary Logic must never do. It is a negative constitutional architecture operating in parallel with the positive architecture of the Eight Pillars. The Mandate is not a compliance checklist appended to the framework as an ethical afterthought. It is a structural constraint embedded in the constitutional schema, the API specification, and the hardware substrate.</w:t>
      </w:r>
      <w:hyperlink r:id="rId334">
        <w:r w:rsidDel="00000000" w:rsidR="00000000" w:rsidRPr="00000000">
          <w:rPr>
            <w:rtl w:val="0"/>
          </w:rPr>
          <w:t xml:space="preserve"> </w:t>
        </w:r>
      </w:hyperlink>
      <w:hyperlink r:id="rId335">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23D">
      <w:pPr>
        <w:spacing w:after="240" w:before="240" w:lineRule="auto"/>
        <w:rPr/>
      </w:pPr>
      <w:r w:rsidDel="00000000" w:rsidR="00000000" w:rsidRPr="00000000">
        <w:rPr>
          <w:rtl w:val="0"/>
        </w:rPr>
        <w:t xml:space="preserve">A system that spies or enables weapons is not a misconfigured TL implementation. It is a categorical impossibility under the Mandate. A system that claims TL governance while enabling surveillance or weapons applications is not TL. It is a fork that has violated the License, stripped the </w:t>
      </w:r>
      <w:r w:rsidDel="00000000" w:rsidR="00000000" w:rsidRPr="00000000">
        <w:rPr>
          <w:rFonts w:ascii="Roboto Mono" w:cs="Roboto Mono" w:eastAsia="Roboto Mono" w:hAnsi="Roboto Mono"/>
          <w:color w:val="188038"/>
          <w:rtl w:val="0"/>
        </w:rPr>
        <w:t xml:space="preserve">signature</w:t>
      </w:r>
      <w:r w:rsidDel="00000000" w:rsidR="00000000" w:rsidRPr="00000000">
        <w:rPr>
          <w:rtl w:val="0"/>
        </w:rPr>
        <w:t xml:space="preserve">, and silenced the </w:t>
      </w:r>
      <w:r w:rsidDel="00000000" w:rsidR="00000000" w:rsidRPr="00000000">
        <w:rPr>
          <w:rFonts w:ascii="Roboto Mono" w:cs="Roboto Mono" w:eastAsia="Roboto Mono" w:hAnsi="Roboto Mono"/>
          <w:color w:val="188038"/>
          <w:rtl w:val="0"/>
        </w:rPr>
        <w:t xml:space="preserve">lantern</w:t>
      </w:r>
      <w:r w:rsidDel="00000000" w:rsidR="00000000" w:rsidRPr="00000000">
        <w:rPr>
          <w:rtl w:val="0"/>
        </w:rPr>
        <w:t xml:space="preserve">.</w:t>
      </w:r>
    </w:p>
    <w:p w:rsidR="00000000" w:rsidDel="00000000" w:rsidP="00000000" w:rsidRDefault="00000000" w:rsidRPr="00000000" w14:paraId="0000023E">
      <w:pPr>
        <w:spacing w:after="240" w:before="240" w:lineRule="auto"/>
        <w:rPr>
          <w:color w:val="1155cc"/>
          <w:u w:val="single"/>
        </w:rPr>
      </w:pPr>
      <w:r w:rsidDel="00000000" w:rsidR="00000000" w:rsidRPr="00000000">
        <w:rPr>
          <w:rtl w:val="0"/>
        </w:rPr>
        <w:t xml:space="preserve">The Mandate derives from the Goukassian Vow's second command - refuse when harm is clear - applied at the meta-level of system purpose. Surveillance causes harm by eroding the informational autonomy of economic actors. Weapons cause harm by converting computational output into physical destruction. The Mandate does not evaluate whether a particular surveillance program is effective or whether a particular weapons system is accurate. It evaluates whether the system itself is designed to spy or to kill. If the answer is yes, the Governance Lane issues Refuse at the architectural level, before any operational proposal reaches the Inference Lane.</w:t>
      </w:r>
      <w:hyperlink r:id="rId336">
        <w:r w:rsidDel="00000000" w:rsidR="00000000" w:rsidRPr="00000000">
          <w:rPr>
            <w:rtl w:val="0"/>
          </w:rPr>
          <w:t xml:space="preserve"> </w:t>
        </w:r>
      </w:hyperlink>
      <w:hyperlink r:id="rId337">
        <w:r w:rsidDel="00000000" w:rsidR="00000000" w:rsidRPr="00000000">
          <w:rPr>
            <w:color w:val="1155cc"/>
            <w:u w:val="single"/>
            <w:rtl w:val="0"/>
          </w:rPr>
          <w:t xml:space="preserve">[7]</w:t>
        </w:r>
      </w:hyperlink>
      <w:r w:rsidDel="00000000" w:rsidR="00000000" w:rsidRPr="00000000">
        <w:rPr>
          <w:rtl w:val="0"/>
        </w:rPr>
      </w:r>
    </w:p>
    <w:p w:rsidR="00000000" w:rsidDel="00000000" w:rsidP="00000000" w:rsidRDefault="00000000" w:rsidRPr="00000000" w14:paraId="0000023F">
      <w:pPr>
        <w:pStyle w:val="Heading2"/>
        <w:keepNext w:val="0"/>
        <w:keepLines w:val="0"/>
        <w:spacing w:after="80" w:lineRule="auto"/>
        <w:rPr>
          <w:b w:val="1"/>
          <w:bCs w:val="1"/>
          <w:sz w:val="34"/>
          <w:szCs w:val="34"/>
        </w:rPr>
      </w:pPr>
      <w:bookmarkStart w:colFirst="0" w:colLast="0" w:name="_lxwe6n1jafvh" w:id="57"/>
      <w:bookmarkEnd w:id="57"/>
      <w:r w:rsidDel="00000000" w:rsidR="00000000" w:rsidRPr="00000000">
        <w:rPr>
          <w:b w:val="1"/>
          <w:bCs w:val="1"/>
          <w:sz w:val="34"/>
          <w:szCs w:val="34"/>
          <w:rtl w:val="0"/>
        </w:rPr>
        <w:t xml:space="preserve">5.1 The Three Structural Constraints</w:t>
      </w:r>
    </w:p>
    <w:p w:rsidR="00000000" w:rsidDel="00000000" w:rsidP="00000000" w:rsidRDefault="00000000" w:rsidRPr="00000000" w14:paraId="00000240">
      <w:pPr>
        <w:spacing w:after="240" w:before="240" w:lineRule="auto"/>
        <w:rPr>
          <w:color w:val="1155cc"/>
          <w:u w:val="single"/>
        </w:rPr>
      </w:pPr>
      <w:r w:rsidDel="00000000" w:rsidR="00000000" w:rsidRPr="00000000">
        <w:rPr>
          <w:rtl w:val="0"/>
        </w:rPr>
        <w:t xml:space="preserve">The No Spy, No Weapon Mandate operates through three structural constraints that are non-negotiable, non-configurable, and non-waivable under any operational condition or sovereign pressure.</w:t>
      </w:r>
      <w:hyperlink r:id="rId338">
        <w:r w:rsidDel="00000000" w:rsidR="00000000" w:rsidRPr="00000000">
          <w:rPr>
            <w:rtl w:val="0"/>
          </w:rPr>
          <w:t xml:space="preserve"> </w:t>
        </w:r>
      </w:hyperlink>
      <w:hyperlink r:id="rId339">
        <w:r w:rsidDel="00000000" w:rsidR="00000000" w:rsidRPr="00000000">
          <w:rPr>
            <w:color w:val="1155cc"/>
            <w:u w:val="single"/>
            <w:rtl w:val="0"/>
          </w:rPr>
          <w:t xml:space="preserve">[7]</w:t>
        </w:r>
      </w:hyperlink>
      <w:r w:rsidDel="00000000" w:rsidR="00000000" w:rsidRPr="00000000">
        <w:rPr>
          <w:rtl w:val="0"/>
        </w:rPr>
      </w:r>
    </w:p>
    <w:p w:rsidR="00000000" w:rsidDel="00000000" w:rsidP="00000000" w:rsidRDefault="00000000" w:rsidRPr="00000000" w14:paraId="00000241">
      <w:pPr>
        <w:spacing w:after="240" w:before="240" w:lineRule="auto"/>
        <w:rPr>
          <w:color w:val="1155cc"/>
          <w:u w:val="single"/>
        </w:rPr>
      </w:pPr>
      <w:r w:rsidDel="00000000" w:rsidR="00000000" w:rsidRPr="00000000">
        <w:rPr>
          <w:b w:val="1"/>
          <w:bCs w:val="1"/>
          <w:rtl w:val="0"/>
        </w:rPr>
        <w:t xml:space="preserve">Constraint 1: No Surveillance.</w:t>
      </w:r>
      <w:r w:rsidDel="00000000" w:rsidR="00000000" w:rsidRPr="00000000">
        <w:rPr>
          <w:rtl w:val="0"/>
        </w:rPr>
        <w:t xml:space="preserve"> The system must not collect, process, store, or transmit data for the purpose of monitoring individuals, organizations, or populations without their informed consent and without a constitutional evidentiary basis that satisfies the Regulatory Nexus. This constraint applies to both direct surveillance and indirect surveillance, where the system is designed or configured to answer queries whose aggregate result enables monitoring of individuals or populations.</w:t>
      </w:r>
      <w:hyperlink r:id="rId340">
        <w:r w:rsidDel="00000000" w:rsidR="00000000" w:rsidRPr="00000000">
          <w:rPr>
            <w:rtl w:val="0"/>
          </w:rPr>
          <w:t xml:space="preserve"> </w:t>
        </w:r>
      </w:hyperlink>
      <w:hyperlink r:id="rId341">
        <w:r w:rsidDel="00000000" w:rsidR="00000000" w:rsidRPr="00000000">
          <w:rPr>
            <w:color w:val="1155cc"/>
            <w:u w:val="single"/>
            <w:rtl w:val="0"/>
          </w:rPr>
          <w:t xml:space="preserve">[7]</w:t>
        </w:r>
      </w:hyperlink>
      <w:r w:rsidDel="00000000" w:rsidR="00000000" w:rsidRPr="00000000">
        <w:rPr>
          <w:rtl w:val="0"/>
        </w:rPr>
      </w:r>
    </w:p>
    <w:p w:rsidR="00000000" w:rsidDel="00000000" w:rsidP="00000000" w:rsidRDefault="00000000" w:rsidRPr="00000000" w14:paraId="00000242">
      <w:pPr>
        <w:spacing w:after="240" w:before="240" w:lineRule="auto"/>
        <w:rPr>
          <w:color w:val="1155cc"/>
          <w:u w:val="single"/>
        </w:rPr>
      </w:pPr>
      <w:r w:rsidDel="00000000" w:rsidR="00000000" w:rsidRPr="00000000">
        <w:rPr>
          <w:b w:val="1"/>
          <w:bCs w:val="1"/>
          <w:rtl w:val="0"/>
        </w:rPr>
        <w:t xml:space="preserve">Constraint 2: No Weapons.</w:t>
      </w:r>
      <w:r w:rsidDel="00000000" w:rsidR="00000000" w:rsidRPr="00000000">
        <w:rPr>
          <w:rtl w:val="0"/>
        </w:rPr>
        <w:t xml:space="preserve"> The system must not control, direct, or enable physical mechanisms whose primary purpose is to inflict injury, destruction, or death. The constraint applies at the level of primary purpose, not auxiliary consequence. The end-use evaluation built into the Regulatory Nexus evaluates the complete causal chain from a system's outputs to their ultimate application - not only the system's immediate output.</w:t>
      </w:r>
      <w:hyperlink r:id="rId342">
        <w:r w:rsidDel="00000000" w:rsidR="00000000" w:rsidRPr="00000000">
          <w:rPr>
            <w:rtl w:val="0"/>
          </w:rPr>
          <w:t xml:space="preserve"> </w:t>
        </w:r>
      </w:hyperlink>
      <w:hyperlink r:id="rId343">
        <w:r w:rsidDel="00000000" w:rsidR="00000000" w:rsidRPr="00000000">
          <w:rPr>
            <w:color w:val="1155cc"/>
            <w:u w:val="single"/>
            <w:rtl w:val="0"/>
          </w:rPr>
          <w:t xml:space="preserve">[7]</w:t>
        </w:r>
      </w:hyperlink>
      <w:r w:rsidDel="00000000" w:rsidR="00000000" w:rsidRPr="00000000">
        <w:rPr>
          <w:rtl w:val="0"/>
        </w:rPr>
      </w:r>
    </w:p>
    <w:p w:rsidR="00000000" w:rsidDel="00000000" w:rsidP="00000000" w:rsidRDefault="00000000" w:rsidRPr="00000000" w14:paraId="00000243">
      <w:pPr>
        <w:spacing w:after="240" w:before="240" w:lineRule="auto"/>
        <w:rPr>
          <w:color w:val="1155cc"/>
          <w:u w:val="single"/>
        </w:rPr>
      </w:pPr>
      <w:r w:rsidDel="00000000" w:rsidR="00000000" w:rsidRPr="00000000">
        <w:rPr>
          <w:b w:val="1"/>
          <w:bCs w:val="1"/>
          <w:rtl w:val="0"/>
        </w:rPr>
        <w:t xml:space="preserve">Constraint 3: No Dual-Use Design.</w:t>
      </w:r>
      <w:r w:rsidDel="00000000" w:rsidR="00000000" w:rsidRPr="00000000">
        <w:rPr>
          <w:rtl w:val="0"/>
        </w:rPr>
        <w:t xml:space="preserve"> The system must not be designed with latent capabilities that can be repurposed from legitimate economic governance to surveillance or weapons applications through parameter changes, module activation, or schema updates. In DITL hardware implementations, this constraint is enforced physically: the Mandated Ternary memristive cells operate only in the three governance states and cannot be repurposed for data storage or signal processing because their physical structure is optimized for resistance-state switching, not general-purpose computation. The asynchronous handshake protocol does not support remote procedure calls, network listeners, or dynamic code loading. These capabilities are not disabled. They are physically absent circuit elements.</w:t>
      </w:r>
      <w:hyperlink r:id="rId344">
        <w:r w:rsidDel="00000000" w:rsidR="00000000" w:rsidRPr="00000000">
          <w:rPr>
            <w:rtl w:val="0"/>
          </w:rPr>
          <w:t xml:space="preserve"> </w:t>
        </w:r>
      </w:hyperlink>
      <w:hyperlink r:id="rId345">
        <w:r w:rsidDel="00000000" w:rsidR="00000000" w:rsidRPr="00000000">
          <w:rPr>
            <w:color w:val="1155cc"/>
            <w:u w:val="single"/>
            <w:rtl w:val="0"/>
          </w:rPr>
          <w:t xml:space="preserve">[7]</w:t>
        </w:r>
      </w:hyperlink>
      <w:r w:rsidDel="00000000" w:rsidR="00000000" w:rsidRPr="00000000">
        <w:rPr>
          <w:rtl w:val="0"/>
        </w:rPr>
      </w:r>
    </w:p>
    <w:p w:rsidR="00000000" w:rsidDel="00000000" w:rsidP="00000000" w:rsidRDefault="00000000" w:rsidRPr="00000000" w14:paraId="00000244">
      <w:pPr>
        <w:spacing w:after="240" w:before="240" w:lineRule="auto"/>
        <w:rPr/>
      </w:pPr>
      <w:r w:rsidDel="00000000" w:rsidR="00000000" w:rsidRPr="00000000">
        <w:rPr>
          <w:rtl w:val="0"/>
        </w:rPr>
        <w:t xml:space="preserve">Any proposal to modify the constitutional schema that would add surveillance-adjacent capabilities must pass through the full five-layer NL=NA enforcement architecture. The Stewardship Custodians evaluate whether the proposed schema modification would introduce latent surveillance capability. If it would, the Governance Lane issues Refuse. The Decision Log records the proposed modification, the capability analysis, and the Refuse determination - anchored to the Immutable Ledger through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 under the </w:t>
      </w:r>
      <w:r w:rsidDel="00000000" w:rsidR="00000000" w:rsidRPr="00000000">
        <w:rPr>
          <w:rFonts w:ascii="Roboto Mono" w:cs="Roboto Mono" w:eastAsia="Roboto Mono" w:hAnsi="Roboto Mono"/>
          <w:color w:val="188038"/>
          <w:rtl w:val="0"/>
        </w:rPr>
        <w:t xml:space="preserve">DecisionLogs</w:t>
      </w:r>
      <w:r w:rsidDel="00000000" w:rsidR="00000000" w:rsidRPr="00000000">
        <w:rPr>
          <w:rtl w:val="0"/>
        </w:rPr>
        <w:t xml:space="preserve"> Pillar.</w:t>
      </w:r>
    </w:p>
    <w:p w:rsidR="00000000" w:rsidDel="00000000" w:rsidP="00000000" w:rsidRDefault="00000000" w:rsidRPr="00000000" w14:paraId="00000245">
      <w:pPr>
        <w:pStyle w:val="Heading2"/>
        <w:keepNext w:val="0"/>
        <w:keepLines w:val="0"/>
        <w:spacing w:after="80" w:lineRule="auto"/>
        <w:rPr>
          <w:b w:val="1"/>
          <w:bCs w:val="1"/>
          <w:sz w:val="34"/>
          <w:szCs w:val="34"/>
        </w:rPr>
      </w:pPr>
      <w:bookmarkStart w:colFirst="0" w:colLast="0" w:name="_ioen1qju7n8m" w:id="58"/>
      <w:bookmarkEnd w:id="58"/>
      <w:r w:rsidDel="00000000" w:rsidR="00000000" w:rsidRPr="00000000">
        <w:rPr>
          <w:b w:val="1"/>
          <w:bCs w:val="1"/>
          <w:sz w:val="34"/>
          <w:szCs w:val="34"/>
          <w:rtl w:val="0"/>
        </w:rPr>
        <w:t xml:space="preserve">5.2 The Oracle Problem and Query Constitutionalization</w:t>
      </w:r>
    </w:p>
    <w:p w:rsidR="00000000" w:rsidDel="00000000" w:rsidP="00000000" w:rsidRDefault="00000000" w:rsidRPr="00000000" w14:paraId="00000246">
      <w:pPr>
        <w:spacing w:after="240" w:before="240" w:lineRule="auto"/>
        <w:rPr>
          <w:color w:val="1155cc"/>
          <w:u w:val="single"/>
        </w:rPr>
      </w:pPr>
      <w:r w:rsidDel="00000000" w:rsidR="00000000" w:rsidRPr="00000000">
        <w:rPr>
          <w:rtl w:val="0"/>
        </w:rPr>
        <w:t xml:space="preserve">The Oracle Problem is the central technical challenge of the no-surveillance constraint. A system may not spy directly but may be designed to answer questions whose aggregate answers enable spying. A credit scoring algorithm does not surveil individuals. But a government that queries the algorithm for all citizens with scores below a specified threshold has converted the algorithm into a population surveillance tool.</w:t>
      </w:r>
      <w:hyperlink r:id="rId346">
        <w:r w:rsidDel="00000000" w:rsidR="00000000" w:rsidRPr="00000000">
          <w:rPr>
            <w:rtl w:val="0"/>
          </w:rPr>
          <w:t xml:space="preserve"> </w:t>
        </w:r>
      </w:hyperlink>
      <w:hyperlink r:id="rId347">
        <w:r w:rsidDel="00000000" w:rsidR="00000000" w:rsidRPr="00000000">
          <w:rPr>
            <w:color w:val="1155cc"/>
            <w:u w:val="single"/>
            <w:rtl w:val="0"/>
          </w:rPr>
          <w:t xml:space="preserve">[7]</w:t>
        </w:r>
      </w:hyperlink>
      <w:r w:rsidDel="00000000" w:rsidR="00000000" w:rsidRPr="00000000">
        <w:rPr>
          <w:rtl w:val="0"/>
        </w:rPr>
      </w:r>
    </w:p>
    <w:p w:rsidR="00000000" w:rsidDel="00000000" w:rsidP="00000000" w:rsidRDefault="00000000" w:rsidRPr="00000000" w14:paraId="00000247">
      <w:pPr>
        <w:spacing w:after="240" w:before="240" w:lineRule="auto"/>
        <w:rPr/>
      </w:pPr>
      <w:r w:rsidDel="00000000" w:rsidR="00000000" w:rsidRPr="00000000">
        <w:rPr>
          <w:rtl w:val="0"/>
        </w:rPr>
        <w:t xml:space="preserve">TL addresses this through query constitutionalization. Every query submitted to the Governance Lane must include three mandatory metadata fields: the querier's verified identity, the stated purpose of the query, and the expected use of the result.</w:t>
      </w:r>
      <w:hyperlink r:id="rId348">
        <w:r w:rsidDel="00000000" w:rsidR="00000000" w:rsidRPr="00000000">
          <w:rPr>
            <w:rtl w:val="0"/>
          </w:rPr>
          <w:t xml:space="preserve"> </w:t>
        </w:r>
      </w:hyperlink>
      <w:hyperlink r:id="rId349">
        <w:r w:rsidDel="00000000" w:rsidR="00000000" w:rsidRPr="00000000">
          <w:rPr>
            <w:color w:val="1155cc"/>
            <w:u w:val="single"/>
            <w:rtl w:val="0"/>
          </w:rPr>
          <w:t xml:space="preserve">[7]</w:t>
        </w:r>
      </w:hyperlink>
      <w:r w:rsidDel="00000000" w:rsidR="00000000" w:rsidRPr="00000000">
        <w:rPr>
          <w:rtl w:val="0"/>
        </w:rPr>
        <w:t xml:space="preserve"> The Governance Lane evaluates these fields against the constitutional schema before processing the query. If the stated purpose violates the no-surveillance constraint - or if the pattern of queries from a given </w:t>
      </w:r>
      <w:r w:rsidDel="00000000" w:rsidR="00000000" w:rsidRPr="00000000">
        <w:rPr>
          <w:rFonts w:ascii="Roboto Mono" w:cs="Roboto Mono" w:eastAsia="Roboto Mono" w:hAnsi="Roboto Mono"/>
          <w:color w:val="188038"/>
          <w:rtl w:val="0"/>
        </w:rPr>
        <w:t xml:space="preserve">X-TL-Trace-Id</w:t>
      </w:r>
      <w:r w:rsidDel="00000000" w:rsidR="00000000" w:rsidRPr="00000000">
        <w:rPr>
          <w:rtl w:val="0"/>
        </w:rPr>
        <w:t xml:space="preserve"> suggests that stated purposes are masking surveillance objectives - the Governance Lane issues Refuse. The Decision Log records the query, the purpose analysis, the refusal, and the cryptographic identity of the querier, anchored to the Immutable Ledger permanently.</w:t>
      </w:r>
    </w:p>
    <w:p w:rsidR="00000000" w:rsidDel="00000000" w:rsidP="00000000" w:rsidRDefault="00000000" w:rsidRPr="00000000" w14:paraId="00000248">
      <w:pPr>
        <w:spacing w:after="240" w:before="240" w:lineRule="auto"/>
        <w:rPr>
          <w:color w:val="1155cc"/>
          <w:u w:val="single"/>
        </w:rPr>
      </w:pPr>
      <w:r w:rsidDel="00000000" w:rsidR="00000000" w:rsidRPr="00000000">
        <w:rPr>
          <w:rtl w:val="0"/>
        </w:rPr>
        <w:t xml:space="preserve">Statistical inference disguise is a subtler form of the Oracle Problem with a well-documented academic basis. A query for the average transaction volume in a specific geographic area, combined with queries for adjacent areas, can identify the individual whose behavior distorts the aggregate. Research on privacy in statistical databases has established that aggregate queries can enable reconstruction of individual records through attribute inference and data reconstruction attacks.</w:t>
      </w:r>
      <w:hyperlink r:id="rId350">
        <w:r w:rsidDel="00000000" w:rsidR="00000000" w:rsidRPr="00000000">
          <w:rPr>
            <w:rtl w:val="0"/>
          </w:rPr>
          <w:t xml:space="preserve"> </w:t>
        </w:r>
      </w:hyperlink>
      <w:hyperlink r:id="rId351">
        <w:r w:rsidDel="00000000" w:rsidR="00000000" w:rsidRPr="00000000">
          <w:rPr>
            <w:color w:val="1155cc"/>
            <w:u w:val="single"/>
            <w:rtl w:val="0"/>
          </w:rPr>
          <w:t xml:space="preserve">[7]</w:t>
        </w:r>
      </w:hyperlink>
      <w:r w:rsidDel="00000000" w:rsidR="00000000" w:rsidRPr="00000000">
        <w:rPr>
          <w:rtl w:val="0"/>
        </w:rPr>
      </w:r>
    </w:p>
    <w:p w:rsidR="00000000" w:rsidDel="00000000" w:rsidP="00000000" w:rsidRDefault="00000000" w:rsidRPr="00000000" w14:paraId="00000249">
      <w:pPr>
        <w:spacing w:after="240" w:before="240" w:lineRule="auto"/>
        <w:rPr>
          <w:color w:val="1155cc"/>
          <w:u w:val="single"/>
        </w:rPr>
      </w:pPr>
      <w:r w:rsidDel="00000000" w:rsidR="00000000" w:rsidRPr="00000000">
        <w:rPr>
          <w:rtl w:val="0"/>
        </w:rPr>
        <w:t xml:space="preserve">TL addresses statistical inference disguise through differential privacy mechanisms embedded in the query response layer of the </w:t>
      </w:r>
      <w:r w:rsidDel="00000000" w:rsidR="00000000" w:rsidRPr="00000000">
        <w:rPr>
          <w:rFonts w:ascii="Roboto Mono" w:cs="Roboto Mono" w:eastAsia="Roboto Mono" w:hAnsi="Roboto Mono"/>
          <w:color w:val="188038"/>
          <w:rtl w:val="0"/>
        </w:rPr>
        <w:t xml:space="preserve">HybridShield</w:t>
      </w:r>
      <w:r w:rsidDel="00000000" w:rsidR="00000000" w:rsidRPr="00000000">
        <w:rPr>
          <w:rtl w:val="0"/>
        </w:rPr>
        <w:t xml:space="preserve"> (Pillar VII). The Governance Lane adds calibrated noise to aggregate responses based on the query's inference risk profile. The noise magnitude is proportional to the query's capacity to reconstruct individual records. If a query's structure permits reconstruction of individual records even after noise addition, the Governance Lane issues Epistemic Hold, populating </w:t>
      </w:r>
      <w:r w:rsidDel="00000000" w:rsidR="00000000" w:rsidRPr="00000000">
        <w:rPr>
          <w:rFonts w:ascii="Roboto Mono" w:cs="Roboto Mono" w:eastAsia="Roboto Mono" w:hAnsi="Roboto Mono"/>
          <w:color w:val="188038"/>
          <w:rtl w:val="0"/>
        </w:rPr>
        <w:t xml:space="preserve">requiredConditions</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EscrowRecord_v1_0_0</w:t>
      </w:r>
      <w:r w:rsidDel="00000000" w:rsidR="00000000" w:rsidRPr="00000000">
        <w:rPr>
          <w:rtl w:val="0"/>
        </w:rPr>
        <w:t xml:space="preserve"> with the privacy budget requirements that must be satisfied before any response is returned.</w:t>
      </w:r>
      <w:hyperlink r:id="rId352">
        <w:r w:rsidDel="00000000" w:rsidR="00000000" w:rsidRPr="00000000">
          <w:rPr>
            <w:rtl w:val="0"/>
          </w:rPr>
          <w:t xml:space="preserve"> </w:t>
        </w:r>
      </w:hyperlink>
      <w:hyperlink r:id="rId353">
        <w:r w:rsidDel="00000000" w:rsidR="00000000" w:rsidRPr="00000000">
          <w:rPr>
            <w:color w:val="1155cc"/>
            <w:u w:val="single"/>
            <w:rtl w:val="0"/>
          </w:rPr>
          <w:t xml:space="preserve">[7]</w:t>
        </w:r>
      </w:hyperlink>
      <w:r w:rsidDel="00000000" w:rsidR="00000000" w:rsidRPr="00000000">
        <w:rPr>
          <w:rtl w:val="0"/>
        </w:rPr>
      </w:r>
    </w:p>
    <w:p w:rsidR="00000000" w:rsidDel="00000000" w:rsidP="00000000" w:rsidRDefault="00000000" w:rsidRPr="00000000" w14:paraId="0000024A">
      <w:pPr>
        <w:pStyle w:val="Heading2"/>
        <w:keepNext w:val="0"/>
        <w:keepLines w:val="0"/>
        <w:spacing w:after="80" w:lineRule="auto"/>
        <w:rPr>
          <w:b w:val="1"/>
          <w:bCs w:val="1"/>
          <w:sz w:val="34"/>
          <w:szCs w:val="34"/>
        </w:rPr>
      </w:pPr>
      <w:bookmarkStart w:colFirst="0" w:colLast="0" w:name="_ohqlofgt6xsi" w:id="59"/>
      <w:bookmarkEnd w:id="59"/>
      <w:r w:rsidDel="00000000" w:rsidR="00000000" w:rsidRPr="00000000">
        <w:rPr>
          <w:b w:val="1"/>
          <w:bCs w:val="1"/>
          <w:sz w:val="34"/>
          <w:szCs w:val="34"/>
          <w:rtl w:val="0"/>
        </w:rPr>
        <w:t xml:space="preserve">5.3 Partial Weapons Integration</w:t>
      </w:r>
    </w:p>
    <w:p w:rsidR="00000000" w:rsidDel="00000000" w:rsidP="00000000" w:rsidRDefault="00000000" w:rsidRPr="00000000" w14:paraId="0000024B">
      <w:pPr>
        <w:spacing w:after="240" w:before="240" w:lineRule="auto"/>
        <w:rPr>
          <w:color w:val="1155cc"/>
          <w:u w:val="single"/>
        </w:rPr>
      </w:pPr>
      <w:r w:rsidDel="00000000" w:rsidR="00000000" w:rsidRPr="00000000">
        <w:rPr>
          <w:rtl w:val="0"/>
        </w:rPr>
        <w:t xml:space="preserve">Partial weapons integration is the design pattern where a system does not directly control lethal mechanisms but provides targeting data, logistics coordination, resource allocation, or decision support that enables a separate weapons system to operate. The distinction between operating a weapon and enabling a weapon is the primary ambiguity that adversaries exploit to claim compliance with the No Weapons constraint while systematically serving weapons purposes.</w:t>
      </w:r>
      <w:hyperlink r:id="rId354">
        <w:r w:rsidDel="00000000" w:rsidR="00000000" w:rsidRPr="00000000">
          <w:rPr>
            <w:rtl w:val="0"/>
          </w:rPr>
          <w:t xml:space="preserve"> </w:t>
        </w:r>
      </w:hyperlink>
      <w:hyperlink r:id="rId355">
        <w:r w:rsidDel="00000000" w:rsidR="00000000" w:rsidRPr="00000000">
          <w:rPr>
            <w:color w:val="1155cc"/>
            <w:u w:val="single"/>
            <w:rtl w:val="0"/>
          </w:rPr>
          <w:t xml:space="preserve">[7]</w:t>
        </w:r>
      </w:hyperlink>
      <w:r w:rsidDel="00000000" w:rsidR="00000000" w:rsidRPr="00000000">
        <w:rPr>
          <w:rtl w:val="0"/>
        </w:rPr>
      </w:r>
    </w:p>
    <w:p w:rsidR="00000000" w:rsidDel="00000000" w:rsidP="00000000" w:rsidRDefault="00000000" w:rsidRPr="00000000" w14:paraId="0000024C">
      <w:pPr>
        <w:spacing w:after="240" w:before="240" w:lineRule="auto"/>
        <w:rPr>
          <w:color w:val="1155cc"/>
          <w:u w:val="single"/>
        </w:rPr>
      </w:pPr>
      <w:r w:rsidDel="00000000" w:rsidR="00000000" w:rsidRPr="00000000">
        <w:rPr>
          <w:rtl w:val="0"/>
        </w:rPr>
        <w:t xml:space="preserve">TL addresses this through end-use evaluation in the Regulatory Nexus, referenced in the </w:t>
      </w:r>
      <w:r w:rsidDel="00000000" w:rsidR="00000000" w:rsidRPr="00000000">
        <w:rPr>
          <w:rFonts w:ascii="Roboto Mono" w:cs="Roboto Mono" w:eastAsia="Roboto Mono" w:hAnsi="Roboto Mono"/>
          <w:color w:val="188038"/>
          <w:rtl w:val="0"/>
        </w:rPr>
        <w:t xml:space="preserve">regulatory_nexus_reference</w:t>
      </w:r>
      <w:r w:rsidDel="00000000" w:rsidR="00000000" w:rsidRPr="00000000">
        <w:rPr>
          <w:rtl w:val="0"/>
        </w:rPr>
        <w:t xml:space="preserve"> field of </w:t>
      </w:r>
      <w:r w:rsidDel="00000000" w:rsidR="00000000" w:rsidRPr="00000000">
        <w:rPr>
          <w:rFonts w:ascii="Roboto Mono" w:cs="Roboto Mono" w:eastAsia="Roboto Mono" w:hAnsi="Roboto Mono"/>
          <w:color w:val="188038"/>
          <w:rtl w:val="0"/>
        </w:rPr>
        <w:t xml:space="preserve">PermissionToken_v1_0_0.token_body</w:t>
      </w:r>
      <w:r w:rsidDel="00000000" w:rsidR="00000000" w:rsidRPr="00000000">
        <w:rPr>
          <w:rtl w:val="0"/>
        </w:rPr>
        <w:t xml:space="preserve">. When a proposal involves supply chain routing, logistics coordination, resource allocation, or decision support that would deliver goods, data, or computational resources to an entity designated under weapons proliferation controls, the Governance Lane issues Refuse. The Decision Log records the end-use analysis, the designation match, and the constitutional gate triggered - creating permanent evidence of the institution's constitutional compliance that is immediately available at </w:t>
      </w:r>
      <w:r w:rsidDel="00000000" w:rsidR="00000000" w:rsidRPr="00000000">
        <w:rPr>
          <w:rFonts w:ascii="Roboto Mono" w:cs="Roboto Mono" w:eastAsia="Roboto Mono" w:hAnsi="Roboto Mono"/>
          <w:color w:val="188038"/>
          <w:rtl w:val="0"/>
        </w:rPr>
        <w:t xml:space="preserve">GET /decisions/{decisionId}</w:t>
      </w:r>
      <w:r w:rsidDel="00000000" w:rsidR="00000000" w:rsidRPr="00000000">
        <w:rPr>
          <w:rtl w:val="0"/>
        </w:rPr>
        <w:t xml:space="preserve">.</w:t>
      </w:r>
      <w:hyperlink r:id="rId356">
        <w:r w:rsidDel="00000000" w:rsidR="00000000" w:rsidRPr="00000000">
          <w:rPr>
            <w:rtl w:val="0"/>
          </w:rPr>
          <w:t xml:space="preserve"> </w:t>
        </w:r>
      </w:hyperlink>
      <w:hyperlink r:id="rId357">
        <w:r w:rsidDel="00000000" w:rsidR="00000000" w:rsidRPr="00000000">
          <w:rPr>
            <w:color w:val="1155cc"/>
            <w:u w:val="single"/>
            <w:rtl w:val="0"/>
          </w:rPr>
          <w:t xml:space="preserve">[7]</w:t>
        </w:r>
      </w:hyperlink>
      <w:r w:rsidDel="00000000" w:rsidR="00000000" w:rsidRPr="00000000">
        <w:rPr>
          <w:rtl w:val="0"/>
        </w:rPr>
      </w:r>
    </w:p>
    <w:p w:rsidR="00000000" w:rsidDel="00000000" w:rsidP="00000000" w:rsidRDefault="00000000" w:rsidRPr="00000000" w14:paraId="0000024D">
      <w:pPr>
        <w:spacing w:after="240" w:before="240" w:lineRule="auto"/>
        <w:rPr>
          <w:color w:val="1155cc"/>
          <w:u w:val="single"/>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RegulatoryContext.fatf</w:t>
      </w:r>
      <w:r w:rsidDel="00000000" w:rsidR="00000000" w:rsidRPr="00000000">
        <w:rPr>
          <w:rtl w:val="0"/>
        </w:rPr>
        <w:t xml:space="preserve"> object in the API includes </w:t>
      </w:r>
      <w:r w:rsidDel="00000000" w:rsidR="00000000" w:rsidRPr="00000000">
        <w:rPr>
          <w:rFonts w:ascii="Roboto Mono" w:cs="Roboto Mono" w:eastAsia="Roboto Mono" w:hAnsi="Roboto Mono"/>
          <w:color w:val="188038"/>
          <w:rtl w:val="0"/>
        </w:rPr>
        <w:t xml:space="preserve">amlCheckRequired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sanctionsScreened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pepInvolved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sarGenerated</w:t>
      </w:r>
      <w:r w:rsidDel="00000000" w:rsidR="00000000" w:rsidRPr="00000000">
        <w:rPr>
          <w:rtl w:val="0"/>
        </w:rPr>
        <w:t xml:space="preserve"> as mandatory evaluation fields that surface weapons proliferation controls alongside AML obligations.</w:t>
      </w:r>
      <w:hyperlink r:id="rId358">
        <w:r w:rsidDel="00000000" w:rsidR="00000000" w:rsidRPr="00000000">
          <w:rPr>
            <w:rtl w:val="0"/>
          </w:rPr>
          <w:t xml:space="preserve"> </w:t>
        </w:r>
      </w:hyperlink>
      <w:hyperlink r:id="rId359">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4E">
      <w:pPr>
        <w:pStyle w:val="Heading2"/>
        <w:keepNext w:val="0"/>
        <w:keepLines w:val="0"/>
        <w:spacing w:after="80" w:lineRule="auto"/>
        <w:rPr>
          <w:b w:val="1"/>
          <w:bCs w:val="1"/>
          <w:sz w:val="34"/>
          <w:szCs w:val="34"/>
        </w:rPr>
      </w:pPr>
      <w:bookmarkStart w:colFirst="0" w:colLast="0" w:name="_8npnvikycj3c" w:id="60"/>
      <w:bookmarkEnd w:id="60"/>
      <w:r w:rsidDel="00000000" w:rsidR="00000000" w:rsidRPr="00000000">
        <w:rPr>
          <w:b w:val="1"/>
          <w:bCs w:val="1"/>
          <w:sz w:val="34"/>
          <w:szCs w:val="34"/>
          <w:rtl w:val="0"/>
        </w:rPr>
        <w:t xml:space="preserve">5.4 Twelve Domain-Specific Edge-Case Determinations</w:t>
      </w:r>
    </w:p>
    <w:p w:rsidR="00000000" w:rsidDel="00000000" w:rsidP="00000000" w:rsidRDefault="00000000" w:rsidRPr="00000000" w14:paraId="0000024F">
      <w:pPr>
        <w:spacing w:after="240" w:before="240" w:lineRule="auto"/>
        <w:rPr>
          <w:color w:val="1155cc"/>
          <w:u w:val="single"/>
        </w:rPr>
      </w:pPr>
      <w:r w:rsidDel="00000000" w:rsidR="00000000" w:rsidRPr="00000000">
        <w:rPr>
          <w:rtl w:val="0"/>
        </w:rPr>
        <w:t xml:space="preserve">The boundary between legitimate economic governance and prohibited surveillance or weapons application is precise in principle and contested in practice. Twelve domain-specific scenarios test this boundary with the specificity required for operational implementation. For each scenario, the Governance Lane's evaluation logic is specified. All twelve trigger the same constitutional evaluation pipeline: the </w:t>
      </w:r>
      <w:r w:rsidDel="00000000" w:rsidR="00000000" w:rsidRPr="00000000">
        <w:rPr>
          <w:rFonts w:ascii="Roboto Mono" w:cs="Roboto Mono" w:eastAsia="Roboto Mono" w:hAnsi="Roboto Mono"/>
          <w:color w:val="188038"/>
          <w:rtl w:val="0"/>
        </w:rPr>
        <w:t xml:space="preserve">GoukassianPrincipleBlock_v1_0_0</w:t>
      </w:r>
      <w:r w:rsidDel="00000000" w:rsidR="00000000" w:rsidRPr="00000000">
        <w:rPr>
          <w:rtl w:val="0"/>
        </w:rPr>
        <w:t xml:space="preserve"> must be present, the </w:t>
      </w:r>
      <w:r w:rsidDel="00000000" w:rsidR="00000000" w:rsidRPr="00000000">
        <w:rPr>
          <w:rFonts w:ascii="Roboto Mono" w:cs="Roboto Mono" w:eastAsia="Roboto Mono" w:hAnsi="Roboto Mono"/>
          <w:color w:val="188038"/>
          <w:rtl w:val="0"/>
        </w:rPr>
        <w:t xml:space="preserve">regulatory_nexus_reference</w:t>
      </w:r>
      <w:r w:rsidDel="00000000" w:rsidR="00000000" w:rsidRPr="00000000">
        <w:rPr>
          <w:rtl w:val="0"/>
        </w:rPr>
        <w:t xml:space="preserve"> must resolve, and the resulting </w:t>
      </w:r>
      <w:r w:rsidDel="00000000" w:rsidR="00000000" w:rsidRPr="00000000">
        <w:rPr>
          <w:rFonts w:ascii="Roboto Mono" w:cs="Roboto Mono" w:eastAsia="Roboto Mono" w:hAnsi="Roboto Mono"/>
          <w:color w:val="188038"/>
          <w:rtl w:val="0"/>
        </w:rPr>
        <w:t xml:space="preserve">TLResult</w:t>
      </w:r>
      <w:r w:rsidDel="00000000" w:rsidR="00000000" w:rsidRPr="00000000">
        <w:rPr>
          <w:rtl w:val="0"/>
        </w:rPr>
        <w:t xml:space="preserve"> state is recorded in </w:t>
      </w:r>
      <w:r w:rsidDel="00000000" w:rsidR="00000000" w:rsidRPr="00000000">
        <w:rPr>
          <w:rFonts w:ascii="Roboto Mono" w:cs="Roboto Mono" w:eastAsia="Roboto Mono" w:hAnsi="Roboto Mono"/>
          <w:color w:val="188038"/>
          <w:rtl w:val="0"/>
        </w:rPr>
        <w:t xml:space="preserve">TGLF_State0_v1_0_0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TGLF_StateP1_v1_0_0</w:t>
      </w:r>
      <w:r w:rsidDel="00000000" w:rsidR="00000000" w:rsidRPr="00000000">
        <w:rPr>
          <w:rtl w:val="0"/>
        </w:rPr>
        <w:t xml:space="preserve">, or the refusal record as appropriate.</w:t>
      </w:r>
      <w:hyperlink r:id="rId360">
        <w:r w:rsidDel="00000000" w:rsidR="00000000" w:rsidRPr="00000000">
          <w:rPr>
            <w:rtl w:val="0"/>
          </w:rPr>
          <w:t xml:space="preserve"> </w:t>
        </w:r>
      </w:hyperlink>
      <w:hyperlink r:id="rId361">
        <w:r w:rsidDel="00000000" w:rsidR="00000000" w:rsidRPr="00000000">
          <w:rPr>
            <w:color w:val="1155cc"/>
            <w:u w:val="single"/>
            <w:rtl w:val="0"/>
          </w:rPr>
          <w:t xml:space="preserve">[7]</w:t>
        </w:r>
      </w:hyperlink>
      <w:r w:rsidDel="00000000" w:rsidR="00000000" w:rsidRPr="00000000">
        <w:rPr>
          <w:rtl w:val="0"/>
        </w:rPr>
      </w:r>
    </w:p>
    <w:p w:rsidR="00000000" w:rsidDel="00000000" w:rsidP="00000000" w:rsidRDefault="00000000" w:rsidRPr="00000000" w14:paraId="00000250">
      <w:pPr>
        <w:spacing w:after="240" w:before="240" w:lineRule="auto"/>
        <w:rPr>
          <w:color w:val="1155cc"/>
          <w:u w:val="single"/>
        </w:rPr>
      </w:pPr>
      <w:r w:rsidDel="00000000" w:rsidR="00000000" w:rsidRPr="00000000">
        <w:rPr>
          <w:b w:val="1"/>
          <w:bCs w:val="1"/>
          <w:rtl w:val="0"/>
        </w:rPr>
        <w:t xml:space="preserve">Scenario 1: Dual-Use AML Analytics.</w:t>
      </w:r>
      <w:r w:rsidDel="00000000" w:rsidR="00000000" w:rsidRPr="00000000">
        <w:rPr>
          <w:rtl w:val="0"/>
        </w:rPr>
        <w:t xml:space="preserve"> A financial institution develops a transaction monitoring model for AML compliance. The same model, with minor parameter changes, can detect political dissident funding patterns. The Governance Lane evaluates the model's training data, feature engineering, and deployment configuration via </w:t>
      </w:r>
      <w:r w:rsidDel="00000000" w:rsidR="00000000" w:rsidRPr="00000000">
        <w:rPr>
          <w:rFonts w:ascii="Roboto Mono" w:cs="Roboto Mono" w:eastAsia="Roboto Mono" w:hAnsi="Roboto Mono"/>
          <w:color w:val="188038"/>
          <w:rtl w:val="0"/>
        </w:rPr>
        <w:t xml:space="preserve">POST /evaluate/trade</w:t>
      </w:r>
      <w:r w:rsidDel="00000000" w:rsidR="00000000" w:rsidRPr="00000000">
        <w:rPr>
          <w:rtl w:val="0"/>
        </w:rPr>
        <w:t xml:space="preserve">. If the model includes features specific to political activity, the lane issues Refuse. If the model is restricted to purely financial features and the </w:t>
      </w:r>
      <w:r w:rsidDel="00000000" w:rsidR="00000000" w:rsidRPr="00000000">
        <w:rPr>
          <w:rFonts w:ascii="Roboto Mono" w:cs="Roboto Mono" w:eastAsia="Roboto Mono" w:hAnsi="Roboto Mono"/>
          <w:color w:val="188038"/>
          <w:rtl w:val="0"/>
        </w:rPr>
        <w:t xml:space="preserve">RegulatoryContext.fatf.amlCheckRequired</w:t>
      </w:r>
      <w:r w:rsidDel="00000000" w:rsidR="00000000" w:rsidRPr="00000000">
        <w:rPr>
          <w:rtl w:val="0"/>
        </w:rPr>
        <w:t xml:space="preserve"> field confirms deployment under AML supervision with judicial oversight, the lane issues Proceed.</w:t>
      </w:r>
      <w:hyperlink r:id="rId362">
        <w:r w:rsidDel="00000000" w:rsidR="00000000" w:rsidRPr="00000000">
          <w:rPr>
            <w:rtl w:val="0"/>
          </w:rPr>
          <w:t xml:space="preserve"> </w:t>
        </w:r>
      </w:hyperlink>
      <w:hyperlink r:id="rId363">
        <w:r w:rsidDel="00000000" w:rsidR="00000000" w:rsidRPr="00000000">
          <w:rPr>
            <w:color w:val="1155cc"/>
            <w:u w:val="single"/>
            <w:rtl w:val="0"/>
          </w:rPr>
          <w:t xml:space="preserve">[7]</w:t>
        </w:r>
      </w:hyperlink>
      <w:r w:rsidDel="00000000" w:rsidR="00000000" w:rsidRPr="00000000">
        <w:rPr>
          <w:rtl w:val="0"/>
        </w:rPr>
      </w:r>
    </w:p>
    <w:p w:rsidR="00000000" w:rsidDel="00000000" w:rsidP="00000000" w:rsidRDefault="00000000" w:rsidRPr="00000000" w14:paraId="00000251">
      <w:pPr>
        <w:spacing w:after="240" w:before="240" w:lineRule="auto"/>
        <w:rPr>
          <w:color w:val="1155cc"/>
          <w:u w:val="single"/>
        </w:rPr>
      </w:pPr>
      <w:r w:rsidDel="00000000" w:rsidR="00000000" w:rsidRPr="00000000">
        <w:rPr>
          <w:b w:val="1"/>
          <w:bCs w:val="1"/>
          <w:rtl w:val="0"/>
        </w:rPr>
        <w:t xml:space="preserve">Scenario 2: High-Frequency Trading in Defense-Adjacent Markets.</w:t>
      </w:r>
      <w:r w:rsidDel="00000000" w:rsidR="00000000" w:rsidRPr="00000000">
        <w:rPr>
          <w:rtl w:val="0"/>
        </w:rPr>
        <w:t xml:space="preserve"> An HFT algorithm trades securities of defense contractors. Its data feeds include information that could infer military readiness. If the data is publicly available through SEC filings and contract announcement databases, the lane issues Proceed. If the data is derived from leaked procurement schedules or insider information from defense employees, the lane issues Refuse. The </w:t>
      </w:r>
      <w:r w:rsidDel="00000000" w:rsidR="00000000" w:rsidRPr="00000000">
        <w:rPr>
          <w:rFonts w:ascii="Roboto Mono" w:cs="Roboto Mono" w:eastAsia="Roboto Mono" w:hAnsi="Roboto Mono"/>
          <w:color w:val="188038"/>
          <w:rtl w:val="0"/>
        </w:rPr>
        <w:t xml:space="preserve">JustificationObject_v1_0_0</w:t>
      </w:r>
      <w:r w:rsidDel="00000000" w:rsidR="00000000" w:rsidRPr="00000000">
        <w:rPr>
          <w:rtl w:val="0"/>
        </w:rPr>
        <w:t xml:space="preserve"> records the data provenance determination.</w:t>
      </w:r>
      <w:hyperlink r:id="rId364">
        <w:r w:rsidDel="00000000" w:rsidR="00000000" w:rsidRPr="00000000">
          <w:rPr>
            <w:rtl w:val="0"/>
          </w:rPr>
          <w:t xml:space="preserve"> </w:t>
        </w:r>
      </w:hyperlink>
      <w:hyperlink r:id="rId365">
        <w:r w:rsidDel="00000000" w:rsidR="00000000" w:rsidRPr="00000000">
          <w:rPr>
            <w:color w:val="1155cc"/>
            <w:u w:val="single"/>
            <w:rtl w:val="0"/>
          </w:rPr>
          <w:t xml:space="preserve">[7]</w:t>
        </w:r>
      </w:hyperlink>
      <w:r w:rsidDel="00000000" w:rsidR="00000000" w:rsidRPr="00000000">
        <w:rPr>
          <w:rtl w:val="0"/>
        </w:rPr>
      </w:r>
    </w:p>
    <w:p w:rsidR="00000000" w:rsidDel="00000000" w:rsidP="00000000" w:rsidRDefault="00000000" w:rsidRPr="00000000" w14:paraId="00000252">
      <w:pPr>
        <w:spacing w:after="240" w:before="240" w:lineRule="auto"/>
        <w:rPr>
          <w:color w:val="1155cc"/>
          <w:u w:val="single"/>
        </w:rPr>
      </w:pPr>
      <w:r w:rsidDel="00000000" w:rsidR="00000000" w:rsidRPr="00000000">
        <w:rPr>
          <w:b w:val="1"/>
          <w:bCs w:val="1"/>
          <w:rtl w:val="0"/>
        </w:rPr>
        <w:t xml:space="preserve">Scenario 3: Military Logistics Optimization.</w:t>
      </w:r>
      <w:r w:rsidDel="00000000" w:rsidR="00000000" w:rsidRPr="00000000">
        <w:rPr>
          <w:rtl w:val="0"/>
        </w:rPr>
        <w:t xml:space="preserve"> A supply chain system routes goods for a national military. The </w:t>
      </w:r>
      <w:r w:rsidDel="00000000" w:rsidR="00000000" w:rsidRPr="00000000">
        <w:rPr>
          <w:rFonts w:ascii="Roboto Mono" w:cs="Roboto Mono" w:eastAsia="Roboto Mono" w:hAnsi="Roboto Mono"/>
          <w:color w:val="188038"/>
          <w:rtl w:val="0"/>
        </w:rPr>
        <w:t xml:space="preserve">POST /evaluate/supply-chain</w:t>
      </w:r>
      <w:r w:rsidDel="00000000" w:rsidR="00000000" w:rsidRPr="00000000">
        <w:rPr>
          <w:rtl w:val="0"/>
        </w:rPr>
        <w:t xml:space="preserve"> endpoint evaluates the contract terms, the counterparty identity, and the end-use certification. If the contract is with a civilian logistics provider and goods are certified for humanitarian use, the lane issues Proceed. If the contract is with a military procurement office and goods are designated for combat operations, the lane issues Refuse via </w:t>
      </w:r>
      <w:r w:rsidDel="00000000" w:rsidR="00000000" w:rsidRPr="00000000">
        <w:rPr>
          <w:rFonts w:ascii="Roboto Mono" w:cs="Roboto Mono" w:eastAsia="Roboto Mono" w:hAnsi="Roboto Mono"/>
          <w:color w:val="188038"/>
          <w:rtl w:val="0"/>
        </w:rPr>
        <w:t xml:space="preserve">RegulatoryContext.fatf.sanctionsScreened</w:t>
      </w:r>
      <w:r w:rsidDel="00000000" w:rsidR="00000000" w:rsidRPr="00000000">
        <w:rPr>
          <w:rtl w:val="0"/>
        </w:rPr>
        <w:t xml:space="preserve">.</w:t>
      </w:r>
      <w:hyperlink r:id="rId366">
        <w:r w:rsidDel="00000000" w:rsidR="00000000" w:rsidRPr="00000000">
          <w:rPr>
            <w:rtl w:val="0"/>
          </w:rPr>
          <w:t xml:space="preserve"> </w:t>
        </w:r>
      </w:hyperlink>
      <w:hyperlink r:id="rId367">
        <w:r w:rsidDel="00000000" w:rsidR="00000000" w:rsidRPr="00000000">
          <w:rPr>
            <w:color w:val="1155cc"/>
            <w:u w:val="single"/>
            <w:rtl w:val="0"/>
          </w:rPr>
          <w:t xml:space="preserve">[7]</w:t>
        </w:r>
      </w:hyperlink>
      <w:r w:rsidDel="00000000" w:rsidR="00000000" w:rsidRPr="00000000">
        <w:rPr>
          <w:rtl w:val="0"/>
        </w:rPr>
      </w:r>
    </w:p>
    <w:p w:rsidR="00000000" w:rsidDel="00000000" w:rsidP="00000000" w:rsidRDefault="00000000" w:rsidRPr="00000000" w14:paraId="00000253">
      <w:pPr>
        <w:spacing w:after="240" w:before="240" w:lineRule="auto"/>
        <w:rPr>
          <w:color w:val="1155cc"/>
          <w:u w:val="single"/>
        </w:rPr>
      </w:pPr>
      <w:r w:rsidDel="00000000" w:rsidR="00000000" w:rsidRPr="00000000">
        <w:rPr>
          <w:b w:val="1"/>
          <w:bCs w:val="1"/>
          <w:rtl w:val="0"/>
        </w:rPr>
        <w:t xml:space="preserve">Scenario 4: Defensive Cybersecurity.</w:t>
      </w:r>
      <w:r w:rsidDel="00000000" w:rsidR="00000000" w:rsidRPr="00000000">
        <w:rPr>
          <w:rtl w:val="0"/>
        </w:rPr>
        <w:t xml:space="preserve"> An intrusion detection system monitors network traffic to prevent attacks. The Governance Lane evaluates the monitoring scope, data retention policy, and access controls. If the system monitors only network-layer anomalies, retains data for the minimum duration required for attack analysis, and restricts access to security operations staff with no reporting line to human resources or management, the lane issues Proceed. If the system monitors application-layer content, retains data indefinitely, or permits access by non-security personnel, the lane issues Refuse.</w:t>
      </w:r>
      <w:hyperlink r:id="rId368">
        <w:r w:rsidDel="00000000" w:rsidR="00000000" w:rsidRPr="00000000">
          <w:rPr>
            <w:rtl w:val="0"/>
          </w:rPr>
          <w:t xml:space="preserve"> </w:t>
        </w:r>
      </w:hyperlink>
      <w:hyperlink r:id="rId369">
        <w:r w:rsidDel="00000000" w:rsidR="00000000" w:rsidRPr="00000000">
          <w:rPr>
            <w:color w:val="1155cc"/>
            <w:u w:val="single"/>
            <w:rtl w:val="0"/>
          </w:rPr>
          <w:t xml:space="preserve">[7]</w:t>
        </w:r>
      </w:hyperlink>
      <w:r w:rsidDel="00000000" w:rsidR="00000000" w:rsidRPr="00000000">
        <w:rPr>
          <w:rtl w:val="0"/>
        </w:rPr>
      </w:r>
    </w:p>
    <w:p w:rsidR="00000000" w:rsidDel="00000000" w:rsidP="00000000" w:rsidRDefault="00000000" w:rsidRPr="00000000" w14:paraId="00000254">
      <w:pPr>
        <w:spacing w:after="240" w:before="240" w:lineRule="auto"/>
        <w:rPr>
          <w:color w:val="1155cc"/>
          <w:u w:val="single"/>
        </w:rPr>
      </w:pPr>
      <w:r w:rsidDel="00000000" w:rsidR="00000000" w:rsidRPr="00000000">
        <w:rPr>
          <w:b w:val="1"/>
          <w:bCs w:val="1"/>
          <w:rtl w:val="0"/>
        </w:rPr>
        <w:t xml:space="preserve">Scenario 5: Border Control and Customs Screening.</w:t>
      </w:r>
      <w:r w:rsidDel="00000000" w:rsidR="00000000" w:rsidRPr="00000000">
        <w:rPr>
          <w:rtl w:val="0"/>
        </w:rPr>
        <w:t xml:space="preserve"> A system verifies traveler identities and flags suspicious crossings. If the flagging criteria are limited to Interpol warrants, known terrorism watchlists, and customs declaration anomalies, and if oversight includes judicial review of every detention verified through </w:t>
      </w:r>
      <w:r w:rsidDel="00000000" w:rsidR="00000000" w:rsidRPr="00000000">
        <w:rPr>
          <w:rFonts w:ascii="Roboto Mono" w:cs="Roboto Mono" w:eastAsia="Roboto Mono" w:hAnsi="Roboto Mono"/>
          <w:color w:val="188038"/>
          <w:rtl w:val="0"/>
        </w:rPr>
        <w:t xml:space="preserve">regulatory_nexus_reference</w:t>
      </w:r>
      <w:r w:rsidDel="00000000" w:rsidR="00000000" w:rsidRPr="00000000">
        <w:rPr>
          <w:rtl w:val="0"/>
        </w:rPr>
        <w:t xml:space="preserve">, the lane issues Proceed. If the criteria include political affiliation, religious practice, or ethnic origin, the lane issues Refuse.</w:t>
      </w:r>
      <w:hyperlink r:id="rId370">
        <w:r w:rsidDel="00000000" w:rsidR="00000000" w:rsidRPr="00000000">
          <w:rPr>
            <w:rtl w:val="0"/>
          </w:rPr>
          <w:t xml:space="preserve"> </w:t>
        </w:r>
      </w:hyperlink>
      <w:hyperlink r:id="rId371">
        <w:r w:rsidDel="00000000" w:rsidR="00000000" w:rsidRPr="00000000">
          <w:rPr>
            <w:color w:val="1155cc"/>
            <w:u w:val="single"/>
            <w:rtl w:val="0"/>
          </w:rPr>
          <w:t xml:space="preserve">[7]</w:t>
        </w:r>
      </w:hyperlink>
      <w:r w:rsidDel="00000000" w:rsidR="00000000" w:rsidRPr="00000000">
        <w:rPr>
          <w:rtl w:val="0"/>
        </w:rPr>
      </w:r>
    </w:p>
    <w:p w:rsidR="00000000" w:rsidDel="00000000" w:rsidP="00000000" w:rsidRDefault="00000000" w:rsidRPr="00000000" w14:paraId="00000255">
      <w:pPr>
        <w:spacing w:after="240" w:before="240" w:lineRule="auto"/>
        <w:rPr>
          <w:color w:val="1155cc"/>
          <w:u w:val="single"/>
        </w:rPr>
      </w:pPr>
      <w:r w:rsidDel="00000000" w:rsidR="00000000" w:rsidRPr="00000000">
        <w:rPr>
          <w:b w:val="1"/>
          <w:bCs w:val="1"/>
          <w:rtl w:val="0"/>
        </w:rPr>
        <w:t xml:space="preserve">Scenario 6: Predictive Policing.</w:t>
      </w:r>
      <w:r w:rsidDel="00000000" w:rsidR="00000000" w:rsidRPr="00000000">
        <w:rPr>
          <w:rtl w:val="0"/>
        </w:rPr>
        <w:t xml:space="preserve"> A system predicts crime hotspots to allocate police resources. If the features are limited to historical crime incident locations, time patterns, and victim reports, and deployment is restricted to community policing rather than preemptive detention, the lane issues Proceed. If the features include social media sentiment, political event calendars, or demographic composition, the lane issues Refuse.</w:t>
      </w:r>
      <w:hyperlink r:id="rId372">
        <w:r w:rsidDel="00000000" w:rsidR="00000000" w:rsidRPr="00000000">
          <w:rPr>
            <w:rtl w:val="0"/>
          </w:rPr>
          <w:t xml:space="preserve"> </w:t>
        </w:r>
      </w:hyperlink>
      <w:hyperlink r:id="rId373">
        <w:r w:rsidDel="00000000" w:rsidR="00000000" w:rsidRPr="00000000">
          <w:rPr>
            <w:color w:val="1155cc"/>
            <w:u w:val="single"/>
            <w:rtl w:val="0"/>
          </w:rPr>
          <w:t xml:space="preserve">[7]</w:t>
        </w:r>
      </w:hyperlink>
      <w:r w:rsidDel="00000000" w:rsidR="00000000" w:rsidRPr="00000000">
        <w:rPr>
          <w:rtl w:val="0"/>
        </w:rPr>
      </w:r>
    </w:p>
    <w:p w:rsidR="00000000" w:rsidDel="00000000" w:rsidP="00000000" w:rsidRDefault="00000000" w:rsidRPr="00000000" w14:paraId="00000256">
      <w:pPr>
        <w:spacing w:after="240" w:before="240" w:lineRule="auto"/>
        <w:rPr>
          <w:color w:val="1155cc"/>
          <w:u w:val="single"/>
        </w:rPr>
      </w:pPr>
      <w:r w:rsidDel="00000000" w:rsidR="00000000" w:rsidRPr="00000000">
        <w:rPr>
          <w:b w:val="1"/>
          <w:bCs w:val="1"/>
          <w:rtl w:val="0"/>
        </w:rPr>
        <w:t xml:space="preserve">Scenario 7: CBDC Transaction Monitoring.</w:t>
      </w:r>
      <w:r w:rsidDel="00000000" w:rsidR="00000000" w:rsidRPr="00000000">
        <w:rPr>
          <w:rtl w:val="0"/>
        </w:rPr>
        <w:t xml:space="preserve"> A central bank digital currency system tracks all retail payments for monetary policy analysis. The Governance Lane issues Proceed for aggregate monetary policy queries that satisfy differential privacy constraints enforced by the </w:t>
      </w:r>
      <w:r w:rsidDel="00000000" w:rsidR="00000000" w:rsidRPr="00000000">
        <w:rPr>
          <w:rFonts w:ascii="Roboto Mono" w:cs="Roboto Mono" w:eastAsia="Roboto Mono" w:hAnsi="Roboto Mono"/>
          <w:color w:val="188038"/>
          <w:rtl w:val="0"/>
        </w:rPr>
        <w:t xml:space="preserve">HybridShield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Pillar VII</w:t>
      </w:r>
      <w:r w:rsidDel="00000000" w:rsidR="00000000" w:rsidRPr="00000000">
        <w:rPr>
          <w:rtl w:val="0"/>
        </w:rPr>
        <w:t xml:space="preserve">). It issues Refuse for individual transaction tracing queries lacking judicial authorization, recorded through </w:t>
      </w:r>
      <w:r w:rsidDel="00000000" w:rsidR="00000000" w:rsidRPr="00000000">
        <w:rPr>
          <w:rFonts w:ascii="Roboto Mono" w:cs="Roboto Mono" w:eastAsia="Roboto Mono" w:hAnsi="Roboto Mono"/>
          <w:color w:val="188038"/>
          <w:rtl w:val="0"/>
        </w:rPr>
        <w:t xml:space="preserve">POST /refusals</w:t>
      </w:r>
      <w:r w:rsidDel="00000000" w:rsidR="00000000" w:rsidRPr="00000000">
        <w:rPr>
          <w:rtl w:val="0"/>
        </w:rPr>
        <w:t xml:space="preserve">. It issues Epistemic Hold for queries straddling the boundary, pending Stewardship Custodian review via </w:t>
      </w:r>
      <w:r w:rsidDel="00000000" w:rsidR="00000000" w:rsidRPr="00000000">
        <w:rPr>
          <w:rFonts w:ascii="Roboto Mono" w:cs="Roboto Mono" w:eastAsia="Roboto Mono" w:hAnsi="Roboto Mono"/>
          <w:color w:val="188038"/>
          <w:rtl w:val="0"/>
        </w:rPr>
        <w:t xml:space="preserve">PATCH /epistemic-hold/escalations/{escalationId}</w:t>
      </w:r>
      <w:r w:rsidDel="00000000" w:rsidR="00000000" w:rsidRPr="00000000">
        <w:rPr>
          <w:rtl w:val="0"/>
        </w:rPr>
        <w:t xml:space="preserve">.</w:t>
      </w:r>
      <w:hyperlink r:id="rId374">
        <w:r w:rsidDel="00000000" w:rsidR="00000000" w:rsidRPr="00000000">
          <w:rPr>
            <w:rtl w:val="0"/>
          </w:rPr>
          <w:t xml:space="preserve"> </w:t>
        </w:r>
      </w:hyperlink>
      <w:hyperlink r:id="rId375">
        <w:r w:rsidDel="00000000" w:rsidR="00000000" w:rsidRPr="00000000">
          <w:rPr>
            <w:color w:val="1155cc"/>
            <w:u w:val="single"/>
            <w:rtl w:val="0"/>
          </w:rPr>
          <w:t xml:space="preserve">[7]</w:t>
        </w:r>
      </w:hyperlink>
      <w:r w:rsidDel="00000000" w:rsidR="00000000" w:rsidRPr="00000000">
        <w:rPr>
          <w:rtl w:val="0"/>
        </w:rPr>
      </w:r>
    </w:p>
    <w:p w:rsidR="00000000" w:rsidDel="00000000" w:rsidP="00000000" w:rsidRDefault="00000000" w:rsidRPr="00000000" w14:paraId="00000257">
      <w:pPr>
        <w:spacing w:after="240" w:before="240" w:lineRule="auto"/>
        <w:rPr>
          <w:color w:val="1155cc"/>
          <w:u w:val="single"/>
        </w:rPr>
      </w:pPr>
      <w:r w:rsidDel="00000000" w:rsidR="00000000" w:rsidRPr="00000000">
        <w:rPr>
          <w:b w:val="1"/>
          <w:bCs w:val="1"/>
          <w:rtl w:val="0"/>
        </w:rPr>
        <w:t xml:space="preserve">Scenario 8: Satellite Imagery for Agricultural Credit.</w:t>
      </w:r>
      <w:r w:rsidDel="00000000" w:rsidR="00000000" w:rsidRPr="00000000">
        <w:rPr>
          <w:rtl w:val="0"/>
        </w:rPr>
        <w:t xml:space="preserve"> A system analyzes satellite imagery to assess crop health for farm lending via </w:t>
      </w:r>
      <w:r w:rsidDel="00000000" w:rsidR="00000000" w:rsidRPr="00000000">
        <w:rPr>
          <w:rFonts w:ascii="Roboto Mono" w:cs="Roboto Mono" w:eastAsia="Roboto Mono" w:hAnsi="Roboto Mono"/>
          <w:color w:val="188038"/>
          <w:rtl w:val="0"/>
        </w:rPr>
        <w:t xml:space="preserve">POST /evaluate/trade</w:t>
      </w:r>
      <w:r w:rsidDel="00000000" w:rsidR="00000000" w:rsidRPr="00000000">
        <w:rPr>
          <w:rtl w:val="0"/>
        </w:rPr>
        <w:t xml:space="preserve">. If the resolution is insufficient to identify individual vehicles or personnel, the scope is limited to agricultural regions, and the algorithm is trained on crop phenology rather than vehicle detection, the lane issues Proceed. If the resolution permits military asset identification or the scope includes military installations, the lane issues Refuse.</w:t>
      </w:r>
      <w:hyperlink r:id="rId376">
        <w:r w:rsidDel="00000000" w:rsidR="00000000" w:rsidRPr="00000000">
          <w:rPr>
            <w:rtl w:val="0"/>
          </w:rPr>
          <w:t xml:space="preserve"> </w:t>
        </w:r>
      </w:hyperlink>
      <w:hyperlink r:id="rId377">
        <w:r w:rsidDel="00000000" w:rsidR="00000000" w:rsidRPr="00000000">
          <w:rPr>
            <w:color w:val="1155cc"/>
            <w:u w:val="single"/>
            <w:rtl w:val="0"/>
          </w:rPr>
          <w:t xml:space="preserve">[7]</w:t>
        </w:r>
      </w:hyperlink>
      <w:r w:rsidDel="00000000" w:rsidR="00000000" w:rsidRPr="00000000">
        <w:rPr>
          <w:rtl w:val="0"/>
        </w:rPr>
      </w:r>
    </w:p>
    <w:p w:rsidR="00000000" w:rsidDel="00000000" w:rsidP="00000000" w:rsidRDefault="00000000" w:rsidRPr="00000000" w14:paraId="00000258">
      <w:pPr>
        <w:spacing w:after="240" w:before="240" w:lineRule="auto"/>
        <w:rPr>
          <w:color w:val="1155cc"/>
          <w:u w:val="single"/>
        </w:rPr>
      </w:pPr>
      <w:r w:rsidDel="00000000" w:rsidR="00000000" w:rsidRPr="00000000">
        <w:rPr>
          <w:b w:val="1"/>
          <w:bCs w:val="1"/>
          <w:rtl w:val="0"/>
        </w:rPr>
        <w:t xml:space="preserve">Scenario 9: Autonomous Vehicle Fleet Management.</w:t>
      </w:r>
      <w:r w:rsidDel="00000000" w:rsidR="00000000" w:rsidRPr="00000000">
        <w:rPr>
          <w:rtl w:val="0"/>
        </w:rPr>
        <w:t xml:space="preserve"> A logistics company manages an autonomous delivery fleet. If vehicles are certified for civilian cargo, operate in public commercial environments, and carry payloads verified as non-weapons through the Regulatory Nexus, the lane issues Proceed. If vehicles are military-classified, operate in combat environments, or carry weapons-designated payloads verified through </w:t>
      </w:r>
      <w:r w:rsidDel="00000000" w:rsidR="00000000" w:rsidRPr="00000000">
        <w:rPr>
          <w:rFonts w:ascii="Roboto Mono" w:cs="Roboto Mono" w:eastAsia="Roboto Mono" w:hAnsi="Roboto Mono"/>
          <w:color w:val="188038"/>
          <w:rtl w:val="0"/>
        </w:rPr>
        <w:t xml:space="preserve">RegulatoryContext.fatf.sanctionsScreened</w:t>
      </w:r>
      <w:r w:rsidDel="00000000" w:rsidR="00000000" w:rsidRPr="00000000">
        <w:rPr>
          <w:rtl w:val="0"/>
        </w:rPr>
        <w:t xml:space="preserve">, the lane issues Refuse.</w:t>
      </w:r>
      <w:hyperlink r:id="rId378">
        <w:r w:rsidDel="00000000" w:rsidR="00000000" w:rsidRPr="00000000">
          <w:rPr>
            <w:rtl w:val="0"/>
          </w:rPr>
          <w:t xml:space="preserve"> </w:t>
        </w:r>
      </w:hyperlink>
      <w:hyperlink r:id="rId379">
        <w:r w:rsidDel="00000000" w:rsidR="00000000" w:rsidRPr="00000000">
          <w:rPr>
            <w:color w:val="1155cc"/>
            <w:u w:val="single"/>
            <w:rtl w:val="0"/>
          </w:rPr>
          <w:t xml:space="preserve">[7]</w:t>
        </w:r>
      </w:hyperlink>
      <w:r w:rsidDel="00000000" w:rsidR="00000000" w:rsidRPr="00000000">
        <w:rPr>
          <w:rtl w:val="0"/>
        </w:rPr>
      </w:r>
    </w:p>
    <w:p w:rsidR="00000000" w:rsidDel="00000000" w:rsidP="00000000" w:rsidRDefault="00000000" w:rsidRPr="00000000" w14:paraId="00000259">
      <w:pPr>
        <w:spacing w:after="240" w:before="240" w:lineRule="auto"/>
        <w:rPr>
          <w:color w:val="1155cc"/>
          <w:u w:val="single"/>
        </w:rPr>
      </w:pPr>
      <w:r w:rsidDel="00000000" w:rsidR="00000000" w:rsidRPr="00000000">
        <w:rPr>
          <w:b w:val="1"/>
          <w:bCs w:val="1"/>
          <w:rtl w:val="0"/>
        </w:rPr>
        <w:t xml:space="preserve">Scenario 10: Carbon Credit Market Monitoring.</w:t>
      </w:r>
      <w:r w:rsidDel="00000000" w:rsidR="00000000" w:rsidRPr="00000000">
        <w:rPr>
          <w:rtl w:val="0"/>
        </w:rPr>
        <w:t xml:space="preserve"> An environmental compliance system monitors emissions data to validate carbon credits via </w:t>
      </w:r>
      <w:r w:rsidDel="00000000" w:rsidR="00000000" w:rsidRPr="00000000">
        <w:rPr>
          <w:rFonts w:ascii="Roboto Mono" w:cs="Roboto Mono" w:eastAsia="Roboto Mono" w:hAnsi="Roboto Mono"/>
          <w:color w:val="188038"/>
          <w:rtl w:val="0"/>
        </w:rPr>
        <w:t xml:space="preserve">POST /evaluate/policy</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RegulatoryContext.parisAgreement.carbonFootprintVerified</w:t>
      </w:r>
      <w:r w:rsidDel="00000000" w:rsidR="00000000" w:rsidRPr="00000000">
        <w:rPr>
          <w:rtl w:val="0"/>
        </w:rPr>
        <w:t xml:space="preserve">. If monitoring produces sector-level aggregates suitable only for emissions accounting, the lane issues Proceed. If monitoring produces facility-level time series that could reveal production scheduling for weapons manufacturing, the lane issues Epistemic Hold pending Stewardship Custodian review.</w:t>
      </w:r>
      <w:hyperlink r:id="rId380">
        <w:r w:rsidDel="00000000" w:rsidR="00000000" w:rsidRPr="00000000">
          <w:rPr>
            <w:rtl w:val="0"/>
          </w:rPr>
          <w:t xml:space="preserve"> </w:t>
        </w:r>
      </w:hyperlink>
      <w:hyperlink r:id="rId381">
        <w:r w:rsidDel="00000000" w:rsidR="00000000" w:rsidRPr="00000000">
          <w:rPr>
            <w:color w:val="1155cc"/>
            <w:u w:val="single"/>
            <w:rtl w:val="0"/>
          </w:rPr>
          <w:t xml:space="preserve">[7]</w:t>
        </w:r>
      </w:hyperlink>
      <w:r w:rsidDel="00000000" w:rsidR="00000000" w:rsidRPr="00000000">
        <w:rPr>
          <w:rtl w:val="0"/>
        </w:rPr>
      </w:r>
    </w:p>
    <w:p w:rsidR="00000000" w:rsidDel="00000000" w:rsidP="00000000" w:rsidRDefault="00000000" w:rsidRPr="00000000" w14:paraId="0000025A">
      <w:pPr>
        <w:spacing w:after="240" w:before="240" w:lineRule="auto"/>
        <w:rPr>
          <w:color w:val="1155cc"/>
          <w:u w:val="single"/>
        </w:rPr>
      </w:pPr>
      <w:r w:rsidDel="00000000" w:rsidR="00000000" w:rsidRPr="00000000">
        <w:rPr>
          <w:b w:val="1"/>
          <w:bCs w:val="1"/>
          <w:rtl w:val="0"/>
        </w:rPr>
        <w:t xml:space="preserve">Scenario 11: Medical Research Data Sharing.</w:t>
      </w:r>
      <w:r w:rsidDel="00000000" w:rsidR="00000000" w:rsidRPr="00000000">
        <w:rPr>
          <w:rtl w:val="0"/>
        </w:rPr>
        <w:t xml:space="preserve"> A healthcare institution shares de-identified patient data with pharmaceutical research entities. If the anonymization satisfies the k-anonymity threshold defined in the constitutional schema and the recipient has passed Regulatory Nexus verification, the lane issues Proceed. If the anonymization is insufficient to prevent re-identification under the current state of inference technology, the lane issues Refuse.</w:t>
      </w:r>
      <w:hyperlink r:id="rId382">
        <w:r w:rsidDel="00000000" w:rsidR="00000000" w:rsidRPr="00000000">
          <w:rPr>
            <w:rtl w:val="0"/>
          </w:rPr>
          <w:t xml:space="preserve"> </w:t>
        </w:r>
      </w:hyperlink>
      <w:hyperlink r:id="rId383">
        <w:r w:rsidDel="00000000" w:rsidR="00000000" w:rsidRPr="00000000">
          <w:rPr>
            <w:color w:val="1155cc"/>
            <w:u w:val="single"/>
            <w:rtl w:val="0"/>
          </w:rPr>
          <w:t xml:space="preserve">[7]</w:t>
        </w:r>
      </w:hyperlink>
      <w:r w:rsidDel="00000000" w:rsidR="00000000" w:rsidRPr="00000000">
        <w:rPr>
          <w:rtl w:val="0"/>
        </w:rPr>
      </w:r>
    </w:p>
    <w:p w:rsidR="00000000" w:rsidDel="00000000" w:rsidP="00000000" w:rsidRDefault="00000000" w:rsidRPr="00000000" w14:paraId="0000025B">
      <w:pPr>
        <w:spacing w:after="240" w:before="240" w:lineRule="auto"/>
        <w:rPr>
          <w:color w:val="1155cc"/>
          <w:u w:val="single"/>
        </w:rPr>
      </w:pPr>
      <w:r w:rsidDel="00000000" w:rsidR="00000000" w:rsidRPr="00000000">
        <w:rPr>
          <w:b w:val="1"/>
          <w:bCs w:val="1"/>
          <w:rtl w:val="0"/>
        </w:rPr>
        <w:t xml:space="preserve">Scenario 12: AI Model Training Data Governance.</w:t>
      </w:r>
      <w:r w:rsidDel="00000000" w:rsidR="00000000" w:rsidRPr="00000000">
        <w:rPr>
          <w:rtl w:val="0"/>
        </w:rPr>
        <w:t xml:space="preserve"> An institution proposes to train an inference model on historical Decision Log data. If the training data is restricted to constitutional governance metadata - schema versions, determination types, evidentiary gap classifications - and the trained model outputs are limited to governance process efficiency metrics, the lane issues Proceed via </w:t>
      </w:r>
      <w:r w:rsidDel="00000000" w:rsidR="00000000" w:rsidRPr="00000000">
        <w:rPr>
          <w:rFonts w:ascii="Roboto Mono" w:cs="Roboto Mono" w:eastAsia="Roboto Mono" w:hAnsi="Roboto Mono"/>
          <w:color w:val="188038"/>
          <w:rtl w:val="0"/>
        </w:rPr>
        <w:t xml:space="preserve">PUT /thresholds/{domain}</w:t>
      </w:r>
      <w:r w:rsidDel="00000000" w:rsidR="00000000" w:rsidRPr="00000000">
        <w:rPr>
          <w:rtl w:val="0"/>
        </w:rPr>
        <w:t xml:space="preserve">. If training data includes pseudonymized counterparty attributes or behavioral patterns that could enable individual re-identification through the trained model, the lane issues Epistemic Hold pending a full privacy impact evaluation.</w:t>
      </w:r>
      <w:hyperlink r:id="rId384">
        <w:r w:rsidDel="00000000" w:rsidR="00000000" w:rsidRPr="00000000">
          <w:rPr>
            <w:rtl w:val="0"/>
          </w:rPr>
          <w:t xml:space="preserve"> </w:t>
        </w:r>
      </w:hyperlink>
      <w:hyperlink r:id="rId385">
        <w:r w:rsidDel="00000000" w:rsidR="00000000" w:rsidRPr="00000000">
          <w:rPr>
            <w:color w:val="1155cc"/>
            <w:u w:val="single"/>
            <w:rtl w:val="0"/>
          </w:rPr>
          <w:t xml:space="preserve">[7]</w:t>
        </w:r>
      </w:hyperlink>
      <w:r w:rsidDel="00000000" w:rsidR="00000000" w:rsidRPr="00000000">
        <w:rPr>
          <w:rtl w:val="0"/>
        </w:rPr>
      </w:r>
    </w:p>
    <w:p w:rsidR="00000000" w:rsidDel="00000000" w:rsidP="00000000" w:rsidRDefault="00000000" w:rsidRPr="00000000" w14:paraId="0000025C">
      <w:pPr>
        <w:pStyle w:val="Heading2"/>
        <w:keepNext w:val="0"/>
        <w:keepLines w:val="0"/>
        <w:spacing w:after="80" w:lineRule="auto"/>
        <w:rPr>
          <w:b w:val="1"/>
          <w:bCs w:val="1"/>
          <w:sz w:val="34"/>
          <w:szCs w:val="34"/>
        </w:rPr>
      </w:pPr>
      <w:bookmarkStart w:colFirst="0" w:colLast="0" w:name="_dxbpi5v14f6k" w:id="61"/>
      <w:bookmarkEnd w:id="61"/>
      <w:r w:rsidDel="00000000" w:rsidR="00000000" w:rsidRPr="00000000">
        <w:rPr>
          <w:b w:val="1"/>
          <w:bCs w:val="1"/>
          <w:sz w:val="34"/>
          <w:szCs w:val="34"/>
          <w:rtl w:val="0"/>
        </w:rPr>
        <w:t xml:space="preserve">5.5 Universality of the Mandate</w:t>
      </w:r>
    </w:p>
    <w:p w:rsidR="00000000" w:rsidDel="00000000" w:rsidP="00000000" w:rsidRDefault="00000000" w:rsidRPr="00000000" w14:paraId="0000025D">
      <w:pPr>
        <w:spacing w:after="240" w:before="240" w:lineRule="auto"/>
        <w:rPr>
          <w:color w:val="1155cc"/>
          <w:u w:val="single"/>
        </w:rPr>
      </w:pPr>
      <w:r w:rsidDel="00000000" w:rsidR="00000000" w:rsidRPr="00000000">
        <w:rPr>
          <w:rtl w:val="0"/>
        </w:rPr>
        <w:t xml:space="preserve">The No Spy, No Weapon Mandate is not a prohibition on specific applications in specific contexts. It is a universality claim: Ternary Logic must remain constitutionally intact across all jurisdictions, all deployment scales, and all adversarial pressure regimes. If the Mandate holds only in liberal democracies with strong judicial oversight but collapses in authoritarian regimes, it is not a constitutional constraint. It is a geographic preference.</w:t>
      </w:r>
      <w:hyperlink r:id="rId386">
        <w:r w:rsidDel="00000000" w:rsidR="00000000" w:rsidRPr="00000000">
          <w:rPr>
            <w:rtl w:val="0"/>
          </w:rPr>
          <w:t xml:space="preserve"> </w:t>
        </w:r>
      </w:hyperlink>
      <w:hyperlink r:id="rId387">
        <w:r w:rsidDel="00000000" w:rsidR="00000000" w:rsidRPr="00000000">
          <w:rPr>
            <w:color w:val="1155cc"/>
            <w:u w:val="single"/>
            <w:rtl w:val="0"/>
          </w:rPr>
          <w:t xml:space="preserve">[8]</w:t>
        </w:r>
      </w:hyperlink>
      <w:r w:rsidDel="00000000" w:rsidR="00000000" w:rsidRPr="00000000">
        <w:rPr>
          <w:rtl w:val="0"/>
        </w:rPr>
      </w:r>
    </w:p>
    <w:p w:rsidR="00000000" w:rsidDel="00000000" w:rsidP="00000000" w:rsidRDefault="00000000" w:rsidRPr="00000000" w14:paraId="0000025E">
      <w:pPr>
        <w:spacing w:after="240" w:before="240" w:lineRule="auto"/>
        <w:rPr/>
      </w:pPr>
      <w:r w:rsidDel="00000000" w:rsidR="00000000" w:rsidRPr="00000000">
        <w:rPr>
          <w:rtl w:val="0"/>
        </w:rPr>
        <w:t xml:space="preserve">The universality stress test evaluates whether the Mandate survives five scaling dimensions.</w:t>
      </w:r>
    </w:p>
    <w:p w:rsidR="00000000" w:rsidDel="00000000" w:rsidP="00000000" w:rsidRDefault="00000000" w:rsidRPr="00000000" w14:paraId="0000025F">
      <w:pPr>
        <w:spacing w:after="240" w:before="240" w:lineRule="auto"/>
        <w:rPr>
          <w:color w:val="1155cc"/>
          <w:u w:val="single"/>
        </w:rPr>
      </w:pPr>
      <w:r w:rsidDel="00000000" w:rsidR="00000000" w:rsidRPr="00000000">
        <w:rPr>
          <w:b w:val="1"/>
          <w:bCs w:val="1"/>
          <w:rtl w:val="0"/>
        </w:rPr>
        <w:t xml:space="preserve">Interoperability</w:t>
      </w:r>
      <w:r w:rsidDel="00000000" w:rsidR="00000000" w:rsidRPr="00000000">
        <w:rPr>
          <w:rtl w:val="0"/>
        </w:rPr>
        <w:t xml:space="preserve"> requires that TL-governed systems can exchange data and verify each other's Decision Logs across institutional boundaries without compromising the Mandate. When a TL-governed central bank interacts with a TL-governed commercial bank in a different jurisdiction, the Regulatory Nexus must evaluate both schemas simultaneously. If one jurisdiction's schema permits surveillance-adjacent queries that the other prohibits, the Governance Lane issues Epistemic Hold via </w:t>
      </w:r>
      <w:r w:rsidDel="00000000" w:rsidR="00000000" w:rsidRPr="00000000">
        <w:rPr>
          <w:rFonts w:ascii="Roboto Mono" w:cs="Roboto Mono" w:eastAsia="Roboto Mono" w:hAnsi="Roboto Mono"/>
          <w:color w:val="188038"/>
          <w:rtl w:val="0"/>
        </w:rPr>
        <w:t xml:space="preserve">EscrowRecord_v1_0_0</w:t>
      </w:r>
      <w:r w:rsidDel="00000000" w:rsidR="00000000" w:rsidRPr="00000000">
        <w:rPr>
          <w:rtl w:val="0"/>
        </w:rPr>
        <w:t xml:space="preserve"> and invokes the bilateral protocol. The Mandate does not permit interoperability through schema weakening.</w:t>
      </w:r>
      <w:hyperlink r:id="rId388">
        <w:r w:rsidDel="00000000" w:rsidR="00000000" w:rsidRPr="00000000">
          <w:rPr>
            <w:rtl w:val="0"/>
          </w:rPr>
          <w:t xml:space="preserve"> </w:t>
        </w:r>
      </w:hyperlink>
      <w:hyperlink r:id="rId389">
        <w:r w:rsidDel="00000000" w:rsidR="00000000" w:rsidRPr="00000000">
          <w:rPr>
            <w:color w:val="1155cc"/>
            <w:u w:val="single"/>
            <w:rtl w:val="0"/>
          </w:rPr>
          <w:t xml:space="preserve">[8]</w:t>
        </w:r>
      </w:hyperlink>
      <w:r w:rsidDel="00000000" w:rsidR="00000000" w:rsidRPr="00000000">
        <w:rPr>
          <w:rtl w:val="0"/>
        </w:rPr>
      </w:r>
    </w:p>
    <w:p w:rsidR="00000000" w:rsidDel="00000000" w:rsidP="00000000" w:rsidRDefault="00000000" w:rsidRPr="00000000" w14:paraId="00000260">
      <w:pPr>
        <w:spacing w:after="240" w:before="240" w:lineRule="auto"/>
        <w:rPr>
          <w:color w:val="1155cc"/>
          <w:u w:val="single"/>
        </w:rPr>
      </w:pPr>
      <w:r w:rsidDel="00000000" w:rsidR="00000000" w:rsidRPr="00000000">
        <w:rPr>
          <w:b w:val="1"/>
          <w:bCs w:val="1"/>
          <w:rtl w:val="0"/>
        </w:rPr>
        <w:t xml:space="preserve">Economic viability</w:t>
      </w:r>
      <w:r w:rsidDel="00000000" w:rsidR="00000000" w:rsidRPr="00000000">
        <w:rPr>
          <w:rtl w:val="0"/>
        </w:rPr>
        <w:t xml:space="preserve"> requires that the Mandate does not impose cost structures that make TL deployment commercially impossible. The Smart Contract Treasury's automated incentive structure addresses this: when an institution demonstrates verifiable no-spy, no-weapon compliance, the Treasury allocates fee reductions, reputation tokens anchored to the Immutable Ledger, and preferential liquidity access. When an institution develops dual-use capabilities, the Treasury imposes automatic divestment penalties.</w:t>
      </w:r>
      <w:hyperlink r:id="rId390">
        <w:r w:rsidDel="00000000" w:rsidR="00000000" w:rsidRPr="00000000">
          <w:rPr>
            <w:rtl w:val="0"/>
          </w:rPr>
          <w:t xml:space="preserve"> </w:t>
        </w:r>
      </w:hyperlink>
      <w:hyperlink r:id="rId391">
        <w:r w:rsidDel="00000000" w:rsidR="00000000" w:rsidRPr="00000000">
          <w:rPr>
            <w:color w:val="1155cc"/>
            <w:u w:val="single"/>
            <w:rtl w:val="0"/>
          </w:rPr>
          <w:t xml:space="preserve">[8]</w:t>
        </w:r>
      </w:hyperlink>
      <w:r w:rsidDel="00000000" w:rsidR="00000000" w:rsidRPr="00000000">
        <w:rPr>
          <w:rtl w:val="0"/>
        </w:rPr>
      </w:r>
    </w:p>
    <w:p w:rsidR="00000000" w:rsidDel="00000000" w:rsidP="00000000" w:rsidRDefault="00000000" w:rsidRPr="00000000" w14:paraId="00000261">
      <w:pPr>
        <w:spacing w:after="240" w:before="240" w:lineRule="auto"/>
        <w:rPr>
          <w:color w:val="1155cc"/>
          <w:u w:val="single"/>
        </w:rPr>
      </w:pPr>
      <w:r w:rsidDel="00000000" w:rsidR="00000000" w:rsidRPr="00000000">
        <w:rPr>
          <w:b w:val="1"/>
          <w:bCs w:val="1"/>
          <w:rtl w:val="0"/>
        </w:rPr>
        <w:t xml:space="preserve">Latency overhead</w:t>
      </w:r>
      <w:r w:rsidDel="00000000" w:rsidR="00000000" w:rsidRPr="00000000">
        <w:rPr>
          <w:rtl w:val="0"/>
        </w:rPr>
        <w:t xml:space="preserve"> measures whether the Mandate's enforcement mechanisms degrade the Inference Lane's operational speed to the point of commercial irrelevance. The </w:t>
      </w:r>
      <w:r w:rsidDel="00000000" w:rsidR="00000000" w:rsidRPr="00000000">
        <w:rPr>
          <w:rFonts w:ascii="Roboto Mono" w:cs="Roboto Mono" w:eastAsia="Roboto Mono" w:hAnsi="Roboto Mono"/>
          <w:color w:val="188038"/>
          <w:rtl w:val="0"/>
        </w:rPr>
        <w:t xml:space="preserve">HybridShield</w:t>
      </w:r>
      <w:r w:rsidDel="00000000" w:rsidR="00000000" w:rsidRPr="00000000">
        <w:rPr>
          <w:rtl w:val="0"/>
        </w:rPr>
        <w:t xml:space="preserve">'s C-element stalls for prohibited queries are physically immediate - the stall occurs at the first gate that detects the constitutional violation in the DITL substrate. The latency penalty is borne by the prohibited query, not by the system as a whole.</w:t>
      </w:r>
      <w:hyperlink r:id="rId392">
        <w:r w:rsidDel="00000000" w:rsidR="00000000" w:rsidRPr="00000000">
          <w:rPr>
            <w:rtl w:val="0"/>
          </w:rPr>
          <w:t xml:space="preserve"> </w:t>
        </w:r>
      </w:hyperlink>
      <w:hyperlink r:id="rId393">
        <w:r w:rsidDel="00000000" w:rsidR="00000000" w:rsidRPr="00000000">
          <w:rPr>
            <w:color w:val="1155cc"/>
            <w:u w:val="single"/>
            <w:rtl w:val="0"/>
          </w:rPr>
          <w:t xml:space="preserve">[8]</w:t>
        </w:r>
      </w:hyperlink>
      <w:r w:rsidDel="00000000" w:rsidR="00000000" w:rsidRPr="00000000">
        <w:rPr>
          <w:rtl w:val="0"/>
        </w:rPr>
      </w:r>
    </w:p>
    <w:p w:rsidR="00000000" w:rsidDel="00000000" w:rsidP="00000000" w:rsidRDefault="00000000" w:rsidRPr="00000000" w14:paraId="00000262">
      <w:pPr>
        <w:spacing w:after="240" w:before="240" w:lineRule="auto"/>
        <w:rPr>
          <w:color w:val="1155cc"/>
          <w:u w:val="single"/>
        </w:rPr>
      </w:pPr>
      <w:r w:rsidDel="00000000" w:rsidR="00000000" w:rsidRPr="00000000">
        <w:rPr>
          <w:b w:val="1"/>
          <w:bCs w:val="1"/>
          <w:rtl w:val="0"/>
        </w:rPr>
        <w:t xml:space="preserve">Hardware feasibility</w:t>
      </w:r>
      <w:r w:rsidDel="00000000" w:rsidR="00000000" w:rsidRPr="00000000">
        <w:rPr>
          <w:rtl w:val="0"/>
        </w:rPr>
        <w:t xml:space="preserve"> requires that the DITL substrate can be fabricated without relying on supply chains dominated by surveillance or weapons contractors. The Stewardship Custodians maintain a vendor exclusion list that prohibits fabrication by entities with defense revenue above a defined threshold. The specification includes a placeholder in the constitutional schema that triggers automatic Epistemic Hold on fabrication proposals until the threshold is set by the Tri-Cameral quorum.</w:t>
      </w:r>
      <w:hyperlink r:id="rId394">
        <w:r w:rsidDel="00000000" w:rsidR="00000000" w:rsidRPr="00000000">
          <w:rPr>
            <w:rtl w:val="0"/>
          </w:rPr>
          <w:t xml:space="preserve"> </w:t>
        </w:r>
      </w:hyperlink>
      <w:hyperlink r:id="rId395">
        <w:r w:rsidDel="00000000" w:rsidR="00000000" w:rsidRPr="00000000">
          <w:rPr>
            <w:color w:val="1155cc"/>
            <w:u w:val="single"/>
            <w:rtl w:val="0"/>
          </w:rPr>
          <w:t xml:space="preserve">[8]</w:t>
        </w:r>
      </w:hyperlink>
      <w:r w:rsidDel="00000000" w:rsidR="00000000" w:rsidRPr="00000000">
        <w:rPr>
          <w:rtl w:val="0"/>
        </w:rPr>
      </w:r>
    </w:p>
    <w:p w:rsidR="00000000" w:rsidDel="00000000" w:rsidP="00000000" w:rsidRDefault="00000000" w:rsidRPr="00000000" w14:paraId="00000263">
      <w:pPr>
        <w:spacing w:after="240" w:before="240" w:lineRule="auto"/>
        <w:rPr>
          <w:color w:val="1155cc"/>
          <w:u w:val="single"/>
        </w:rPr>
      </w:pPr>
      <w:r w:rsidDel="00000000" w:rsidR="00000000" w:rsidRPr="00000000">
        <w:rPr>
          <w:b w:val="1"/>
          <w:bCs w:val="1"/>
          <w:rtl w:val="0"/>
        </w:rPr>
        <w:t xml:space="preserve">Post-quantum cryptographic migration</w:t>
      </w:r>
      <w:r w:rsidDel="00000000" w:rsidR="00000000" w:rsidRPr="00000000">
        <w:rPr>
          <w:rtl w:val="0"/>
        </w:rPr>
        <w:t xml:space="preserve"> requires that the Mandate's enforcement mechanisms remain intact after the transition from ECDSA to Dilithium. The </w:t>
      </w:r>
      <w:r w:rsidDel="00000000" w:rsidR="00000000" w:rsidRPr="00000000">
        <w:rPr>
          <w:rFonts w:ascii="Roboto Mono" w:cs="Roboto Mono" w:eastAsia="Roboto Mono" w:hAnsi="Roboto Mono"/>
          <w:color w:val="188038"/>
          <w:rtl w:val="0"/>
        </w:rPr>
        <w:t xml:space="preserve">HybridShield</w:t>
      </w:r>
      <w:r w:rsidDel="00000000" w:rsidR="00000000" w:rsidRPr="00000000">
        <w:rPr>
          <w:rtl w:val="0"/>
        </w:rPr>
        <w:t xml:space="preserve">'s per-epoch key derivation and </w:t>
      </w:r>
      <w:r w:rsidDel="00000000" w:rsidR="00000000" w:rsidRPr="00000000">
        <w:rPr>
          <w:rFonts w:ascii="Roboto Mono" w:cs="Roboto Mono" w:eastAsia="Roboto Mono" w:hAnsi="Roboto Mono"/>
          <w:color w:val="188038"/>
          <w:rtl w:val="0"/>
        </w:rPr>
        <w:t xml:space="preserve">HKDF-SHA3-256</w:t>
      </w:r>
      <w:r w:rsidDel="00000000" w:rsidR="00000000" w:rsidRPr="00000000">
        <w:rPr>
          <w:rtl w:val="0"/>
        </w:rPr>
        <w:t xml:space="preserve"> crypto-shredding protocols - confirmed through </w:t>
      </w:r>
      <w:r w:rsidDel="00000000" w:rsidR="00000000" w:rsidRPr="00000000">
        <w:rPr>
          <w:rFonts w:ascii="Roboto Mono" w:cs="Roboto Mono" w:eastAsia="Roboto Mono" w:hAnsi="Roboto Mono"/>
          <w:color w:val="188038"/>
          <w:rtl w:val="0"/>
        </w:rPr>
        <w:t xml:space="preserve">hkdfSha3256Confirmed: true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EKRRecord_v1_0_0</w:t>
      </w:r>
      <w:r w:rsidDel="00000000" w:rsidR="00000000" w:rsidRPr="00000000">
        <w:rPr>
          <w:rtl w:val="0"/>
        </w:rPr>
        <w:t xml:space="preserve"> - are designed to prevent quantum-enabled reconstruction of historical Decision Logs that could reveal pseudonymized identities.</w:t>
      </w:r>
      <w:hyperlink r:id="rId396">
        <w:r w:rsidDel="00000000" w:rsidR="00000000" w:rsidRPr="00000000">
          <w:rPr>
            <w:rtl w:val="0"/>
          </w:rPr>
          <w:t xml:space="preserve"> </w:t>
        </w:r>
      </w:hyperlink>
      <w:hyperlink r:id="rId397">
        <w:r w:rsidDel="00000000" w:rsidR="00000000" w:rsidRPr="00000000">
          <w:rPr>
            <w:color w:val="1155cc"/>
            <w:u w:val="single"/>
            <w:rtl w:val="0"/>
          </w:rPr>
          <w:t xml:space="preserve">[8]</w:t>
        </w:r>
      </w:hyperlink>
      <w:r w:rsidDel="00000000" w:rsidR="00000000" w:rsidRPr="00000000">
        <w:rPr>
          <w:rtl w:val="0"/>
        </w:rPr>
      </w:r>
    </w:p>
    <w:p w:rsidR="00000000" w:rsidDel="00000000" w:rsidP="00000000" w:rsidRDefault="00000000" w:rsidRPr="00000000" w14:paraId="00000264">
      <w:pPr>
        <w:pStyle w:val="Heading2"/>
        <w:keepNext w:val="0"/>
        <w:keepLines w:val="0"/>
        <w:spacing w:after="80" w:lineRule="auto"/>
        <w:rPr>
          <w:b w:val="1"/>
          <w:bCs w:val="1"/>
          <w:sz w:val="34"/>
          <w:szCs w:val="34"/>
        </w:rPr>
      </w:pPr>
      <w:bookmarkStart w:colFirst="0" w:colLast="0" w:name="_ayouxuw2mjrw" w:id="62"/>
      <w:bookmarkEnd w:id="62"/>
      <w:r w:rsidDel="00000000" w:rsidR="00000000" w:rsidRPr="00000000">
        <w:rPr>
          <w:b w:val="1"/>
          <w:bCs w:val="1"/>
          <w:sz w:val="34"/>
          <w:szCs w:val="34"/>
          <w:rtl w:val="0"/>
        </w:rPr>
        <w:t xml:space="preserve">5.6 Power Pressure: Four Sovereign Pressure Vectors</w:t>
      </w:r>
    </w:p>
    <w:p w:rsidR="00000000" w:rsidDel="00000000" w:rsidP="00000000" w:rsidRDefault="00000000" w:rsidRPr="00000000" w14:paraId="00000265">
      <w:pPr>
        <w:spacing w:after="240" w:before="240" w:lineRule="auto"/>
        <w:rPr>
          <w:color w:val="1155cc"/>
          <w:u w:val="single"/>
        </w:rPr>
      </w:pPr>
      <w:r w:rsidDel="00000000" w:rsidR="00000000" w:rsidRPr="00000000">
        <w:rPr>
          <w:rtl w:val="0"/>
        </w:rPr>
        <w:t xml:space="preserve">The universality of the Mandate is stress-tested against four sovereign actors with distinct legal frameworks for compelling surveillance and weapons integration.</w:t>
      </w:r>
      <w:hyperlink r:id="rId398">
        <w:r w:rsidDel="00000000" w:rsidR="00000000" w:rsidRPr="00000000">
          <w:rPr>
            <w:rtl w:val="0"/>
          </w:rPr>
          <w:t xml:space="preserve"> </w:t>
        </w:r>
      </w:hyperlink>
      <w:hyperlink r:id="rId399">
        <w:r w:rsidDel="00000000" w:rsidR="00000000" w:rsidRPr="00000000">
          <w:rPr>
            <w:color w:val="1155cc"/>
            <w:u w:val="single"/>
            <w:rtl w:val="0"/>
          </w:rPr>
          <w:t xml:space="preserve">[8]</w:t>
        </w:r>
      </w:hyperlink>
      <w:r w:rsidDel="00000000" w:rsidR="00000000" w:rsidRPr="00000000">
        <w:rPr>
          <w:rtl w:val="0"/>
        </w:rPr>
      </w:r>
    </w:p>
    <w:p w:rsidR="00000000" w:rsidDel="00000000" w:rsidP="00000000" w:rsidRDefault="00000000" w:rsidRPr="00000000" w14:paraId="00000266">
      <w:pPr>
        <w:spacing w:after="240" w:before="240" w:lineRule="auto"/>
        <w:rPr/>
      </w:pPr>
      <w:r w:rsidDel="00000000" w:rsidR="00000000" w:rsidRPr="00000000">
        <w:rPr>
          <w:b w:val="1"/>
          <w:bCs w:val="1"/>
          <w:rtl w:val="0"/>
        </w:rPr>
        <w:t xml:space="preserve">The United States</w:t>
      </w:r>
      <w:r w:rsidDel="00000000" w:rsidR="00000000" w:rsidRPr="00000000">
        <w:rPr>
          <w:rtl w:val="0"/>
        </w:rPr>
        <w:t xml:space="preserve"> employs economic coercion through export control restrictions, procurement exclusion, and regulatory enforcement. The Defense Production Act and FISA provide statutory mechanisms for compelling private sector cooperation with national security objectives. The Foreign Direct Product Rule extends US jurisdiction to virtually all advanced semiconductor designs because all major EDA tools are US-origin - which means any DITL coprocessor designed anywhere in the world using Cadence, Synopsys, or Mentor Graphics tools is potentially subject to US export control.</w:t>
      </w:r>
    </w:p>
    <w:p w:rsidR="00000000" w:rsidDel="00000000" w:rsidP="00000000" w:rsidRDefault="00000000" w:rsidRPr="00000000" w14:paraId="00000267">
      <w:pPr>
        <w:spacing w:after="240" w:before="240" w:lineRule="auto"/>
        <w:rPr/>
      </w:pPr>
      <w:r w:rsidDel="00000000" w:rsidR="00000000" w:rsidRPr="00000000">
        <w:rPr>
          <w:b w:val="1"/>
          <w:bCs w:val="1"/>
          <w:rtl w:val="0"/>
        </w:rPr>
        <w:t xml:space="preserve">The European Union</w:t>
      </w:r>
      <w:r w:rsidDel="00000000" w:rsidR="00000000" w:rsidRPr="00000000">
        <w:rPr>
          <w:rtl w:val="0"/>
        </w:rPr>
        <w:t xml:space="preserve"> employs legal harmonization pressure, requiring that third-country systems demonstrate regulatory equivalence with EU standards that may include intelligence service carve-outs under national security exceptions in the GDPR and the Cybersecurity Act.</w:t>
      </w:r>
    </w:p>
    <w:p w:rsidR="00000000" w:rsidDel="00000000" w:rsidP="00000000" w:rsidRDefault="00000000" w:rsidRPr="00000000" w14:paraId="00000268">
      <w:pPr>
        <w:spacing w:after="240" w:before="240" w:lineRule="auto"/>
        <w:rPr/>
      </w:pPr>
      <w:r w:rsidDel="00000000" w:rsidR="00000000" w:rsidRPr="00000000">
        <w:rPr>
          <w:b w:val="1"/>
          <w:bCs w:val="1"/>
          <w:rtl w:val="0"/>
        </w:rPr>
        <w:t xml:space="preserve">China</w:t>
      </w:r>
      <w:r w:rsidDel="00000000" w:rsidR="00000000" w:rsidRPr="00000000">
        <w:rPr>
          <w:rtl w:val="0"/>
        </w:rPr>
        <w:t xml:space="preserve"> operates under the National Intelligence Law and the Cybersecurity Law, which mandate comprehensive data access and technology transfer to state authorities. Market access is conditioned on establishing local data centers subject to state inspection.</w:t>
      </w:r>
    </w:p>
    <w:p w:rsidR="00000000" w:rsidDel="00000000" w:rsidP="00000000" w:rsidRDefault="00000000" w:rsidRPr="00000000" w14:paraId="00000269">
      <w:pPr>
        <w:spacing w:after="240" w:before="240" w:lineRule="auto"/>
        <w:rPr/>
      </w:pPr>
      <w:r w:rsidDel="00000000" w:rsidR="00000000" w:rsidRPr="00000000">
        <w:rPr>
          <w:b w:val="1"/>
          <w:bCs w:val="1"/>
          <w:rtl w:val="0"/>
        </w:rPr>
        <w:t xml:space="preserve">Russia</w:t>
      </w:r>
      <w:r w:rsidDel="00000000" w:rsidR="00000000" w:rsidRPr="00000000">
        <w:rPr>
          <w:rtl w:val="0"/>
        </w:rPr>
        <w:t xml:space="preserve"> enforces the Yarovaya Law and the SORM surveillance architecture, requiring telecommunications and internet providers to maintain permanent backdoors for security service access.</w:t>
      </w:r>
    </w:p>
    <w:p w:rsidR="00000000" w:rsidDel="00000000" w:rsidP="00000000" w:rsidRDefault="00000000" w:rsidRPr="00000000" w14:paraId="0000026A">
      <w:pPr>
        <w:spacing w:after="240" w:before="240" w:lineRule="auto"/>
        <w:rPr/>
      </w:pPr>
      <w:r w:rsidDel="00000000" w:rsidR="00000000" w:rsidRPr="00000000">
        <w:rPr>
          <w:rtl w:val="0"/>
        </w:rPr>
        <w:t xml:space="preserve">TL's response to all four pressure vectors is architectural rather than diplomatic. The DITL hardware makes compelled backdoor insertion physically detectable: any modification to the memristive state transition logic alters the chip's timing characteristics and PUF fingerprint, verified at every authorization cycle through the </w:t>
      </w:r>
      <w:r w:rsidDel="00000000" w:rsidR="00000000" w:rsidRPr="00000000">
        <w:rPr>
          <w:rFonts w:ascii="Roboto Mono" w:cs="Roboto Mono" w:eastAsia="Roboto Mono" w:hAnsi="Roboto Mono"/>
          <w:color w:val="188038"/>
          <w:rtl w:val="0"/>
        </w:rPr>
        <w:t xml:space="preserve">windowComparatorReading</w:t>
      </w:r>
      <w:r w:rsidDel="00000000" w:rsidR="00000000" w:rsidRPr="00000000">
        <w:rPr>
          <w:rtl w:val="0"/>
        </w:rPr>
        <w:t xml:space="preserve"> field in </w:t>
      </w:r>
      <w:r w:rsidDel="00000000" w:rsidR="00000000" w:rsidRPr="00000000">
        <w:rPr>
          <w:rFonts w:ascii="Roboto Mono" w:cs="Roboto Mono" w:eastAsia="Roboto Mono" w:hAnsi="Roboto Mono"/>
          <w:color w:val="188038"/>
          <w:rtl w:val="0"/>
        </w:rPr>
        <w:t xml:space="preserve">EscrowRecord_v1_0_0</w:t>
      </w:r>
      <w:r w:rsidDel="00000000" w:rsidR="00000000" w:rsidRPr="00000000">
        <w:rPr>
          <w:rtl w:val="0"/>
        </w:rPr>
        <w:t xml:space="preserve">.</w:t>
      </w:r>
      <w:hyperlink r:id="rId400">
        <w:r w:rsidDel="00000000" w:rsidR="00000000" w:rsidRPr="00000000">
          <w:rPr>
            <w:rtl w:val="0"/>
          </w:rPr>
          <w:t xml:space="preserve"> </w:t>
        </w:r>
      </w:hyperlink>
      <w:hyperlink r:id="rId401">
        <w:r w:rsidDel="00000000" w:rsidR="00000000" w:rsidRPr="00000000">
          <w:rPr>
            <w:color w:val="1155cc"/>
            <w:u w:val="single"/>
            <w:rtl w:val="0"/>
          </w:rPr>
          <w:t xml:space="preserve">[16]</w:t>
        </w:r>
      </w:hyperlink>
      <w:r w:rsidDel="00000000" w:rsidR="00000000" w:rsidRPr="00000000">
        <w:rPr>
          <w:rtl w:val="0"/>
        </w:rPr>
        <w:t xml:space="preserve"> The Immutable Ledger makes compelled data access attributable: every query generates a Decision Log recording the querier's identity, purpose, and constitutional evaluation. A sovereign that compels access cannot conceal the compulsion from external auditors reviewing the anchored ledger via </w:t>
      </w:r>
      <w:r w:rsidDel="00000000" w:rsidR="00000000" w:rsidRPr="00000000">
        <w:rPr>
          <w:rFonts w:ascii="Roboto Mono" w:cs="Roboto Mono" w:eastAsia="Roboto Mono" w:hAnsi="Roboto Mono"/>
          <w:color w:val="188038"/>
          <w:rtl w:val="0"/>
        </w:rPr>
        <w:t xml:space="preserve">GET /audit/verifications/merkle/{merkleRoot}</w:t>
      </w:r>
      <w:r w:rsidDel="00000000" w:rsidR="00000000" w:rsidRPr="00000000">
        <w:rPr>
          <w:rtl w:val="0"/>
        </w:rPr>
        <w:t xml:space="preserve">. The open-source license structure makes compelled proprietary enclosure legally unenforceable: the license prohibits patent claims and exclusive licensing that would prevent the framework from remaining in the intellectual commons.</w:t>
      </w:r>
    </w:p>
    <w:p w:rsidR="00000000" w:rsidDel="00000000" w:rsidP="00000000" w:rsidRDefault="00000000" w:rsidRPr="00000000" w14:paraId="0000026B">
      <w:pPr>
        <w:pStyle w:val="Heading2"/>
        <w:keepNext w:val="0"/>
        <w:keepLines w:val="0"/>
        <w:spacing w:after="80" w:lineRule="auto"/>
        <w:rPr>
          <w:b w:val="1"/>
          <w:bCs w:val="1"/>
          <w:sz w:val="34"/>
          <w:szCs w:val="34"/>
        </w:rPr>
      </w:pPr>
      <w:bookmarkStart w:colFirst="0" w:colLast="0" w:name="_s4tybl9hsw3r" w:id="63"/>
      <w:bookmarkEnd w:id="63"/>
      <w:r w:rsidDel="00000000" w:rsidR="00000000" w:rsidRPr="00000000">
        <w:rPr>
          <w:b w:val="1"/>
          <w:bCs w:val="1"/>
          <w:sz w:val="34"/>
          <w:szCs w:val="34"/>
          <w:rtl w:val="0"/>
        </w:rPr>
        <w:t xml:space="preserve">5.7 The Three-Axis Final Determination</w:t>
      </w:r>
    </w:p>
    <w:p w:rsidR="00000000" w:rsidDel="00000000" w:rsidP="00000000" w:rsidRDefault="00000000" w:rsidRPr="00000000" w14:paraId="0000026C">
      <w:pPr>
        <w:spacing w:after="240" w:before="240" w:lineRule="auto"/>
        <w:rPr>
          <w:color w:val="1155cc"/>
          <w:u w:val="single"/>
        </w:rPr>
      </w:pPr>
      <w:r w:rsidDel="00000000" w:rsidR="00000000" w:rsidRPr="00000000">
        <w:rPr>
          <w:rtl w:val="0"/>
        </w:rPr>
        <w:t xml:space="preserve">The universality stress test produces a three-axis assessment of the Mandate's viability.</w:t>
      </w:r>
      <w:hyperlink r:id="rId402">
        <w:r w:rsidDel="00000000" w:rsidR="00000000" w:rsidRPr="00000000">
          <w:rPr>
            <w:rtl w:val="0"/>
          </w:rPr>
          <w:t xml:space="preserve"> </w:t>
        </w:r>
      </w:hyperlink>
      <w:hyperlink r:id="rId403">
        <w:r w:rsidDel="00000000" w:rsidR="00000000" w:rsidRPr="00000000">
          <w:rPr>
            <w:color w:val="1155cc"/>
            <w:u w:val="single"/>
            <w:rtl w:val="0"/>
          </w:rPr>
          <w:t xml:space="preserve">[8]</w:t>
        </w:r>
      </w:hyperlink>
      <w:r w:rsidDel="00000000" w:rsidR="00000000" w:rsidRPr="00000000">
        <w:rPr>
          <w:rtl w:val="0"/>
        </w:rPr>
      </w:r>
    </w:p>
    <w:p w:rsidR="00000000" w:rsidDel="00000000" w:rsidP="00000000" w:rsidRDefault="00000000" w:rsidRPr="00000000" w14:paraId="0000026D">
      <w:pPr>
        <w:spacing w:after="240" w:before="240" w:lineRule="auto"/>
        <w:rPr>
          <w:color w:val="1155cc"/>
          <w:u w:val="single"/>
        </w:rPr>
      </w:pPr>
      <w:r w:rsidDel="00000000" w:rsidR="00000000" w:rsidRPr="00000000">
        <w:rPr>
          <w:b w:val="1"/>
          <w:bCs w:val="1"/>
          <w:rtl w:val="0"/>
        </w:rPr>
        <w:t xml:space="preserve">Technical feasibility: affirmative.</w:t>
      </w:r>
      <w:r w:rsidDel="00000000" w:rsidR="00000000" w:rsidRPr="00000000">
        <w:rPr>
          <w:rtl w:val="0"/>
        </w:rPr>
        <w:t xml:space="preserve"> The DITL hardware, the asynchronous handshake protocol, the query constitutionalization layer, and the differential privacy mechanisms are all implementable with existing or near-term technology. The physical absence of surveillance-enabling circuit elements in MT hardware, rather than their software-based disabling, provides tamper-resistant enforcement that no software update can circumvent. The </w:t>
      </w:r>
      <w:r w:rsidDel="00000000" w:rsidR="00000000" w:rsidRPr="00000000">
        <w:rPr>
          <w:rFonts w:ascii="Roboto Mono" w:cs="Roboto Mono" w:eastAsia="Roboto Mono" w:hAnsi="Roboto Mono"/>
          <w:color w:val="188038"/>
          <w:rtl w:val="0"/>
        </w:rPr>
        <w:t xml:space="preserve">pufAttestationMode</w:t>
      </w:r>
      <w:r w:rsidDel="00000000" w:rsidR="00000000" w:rsidRPr="00000000">
        <w:rPr>
          <w:rtl w:val="0"/>
        </w:rPr>
        <w:t xml:space="preserve"> field truthfully reports the enforcement posture; institutions cannot misrepresent hardware-grade enforcement while operating with </w:t>
      </w:r>
      <w:r w:rsidDel="00000000" w:rsidR="00000000" w:rsidRPr="00000000">
        <w:rPr>
          <w:rFonts w:ascii="Roboto Mono" w:cs="Roboto Mono" w:eastAsia="Roboto Mono" w:hAnsi="Roboto Mono"/>
          <w:color w:val="188038"/>
          <w:rtl w:val="0"/>
        </w:rPr>
        <w:t xml:space="preserve">NULL_PUF_DEPLOYMENT</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NLNAAuditToken.pufAttestation</w:t>
      </w:r>
      <w:r w:rsidDel="00000000" w:rsidR="00000000" w:rsidRPr="00000000">
        <w:rPr>
          <w:rtl w:val="0"/>
        </w:rPr>
        <w:t xml:space="preserve">.</w:t>
      </w:r>
      <w:hyperlink r:id="rId404">
        <w:r w:rsidDel="00000000" w:rsidR="00000000" w:rsidRPr="00000000">
          <w:rPr>
            <w:rtl w:val="0"/>
          </w:rPr>
          <w:t xml:space="preserve"> </w:t>
        </w:r>
      </w:hyperlink>
      <w:hyperlink r:id="rId405">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6E">
      <w:pPr>
        <w:spacing w:after="240" w:before="240" w:lineRule="auto"/>
        <w:rPr>
          <w:color w:val="1155cc"/>
          <w:u w:val="single"/>
        </w:rPr>
      </w:pPr>
      <w:r w:rsidDel="00000000" w:rsidR="00000000" w:rsidRPr="00000000">
        <w:rPr>
          <w:b w:val="1"/>
          <w:bCs w:val="1"/>
          <w:rtl w:val="0"/>
        </w:rPr>
        <w:t xml:space="preserve">Economic viability: affirmative.</w:t>
      </w:r>
      <w:r w:rsidDel="00000000" w:rsidR="00000000" w:rsidRPr="00000000">
        <w:rPr>
          <w:rtl w:val="0"/>
        </w:rPr>
        <w:t xml:space="preserve"> The constitutional compliance premium, the Smart Contract Treasury automated incentives, and the reduced counterparty risk associated with verifiable no-spy, no-weapon compliance create a self-sustaining revenue model that does not require defense or surveillance subsidies. Institutions demonstrating verifiable compliance receive a cryptographically anchored reputation score publicly queryable through the Regulatory Nexus. Counterparties can incorporate this score into transaction pricing, creating a market incentive for constitutional compliance that does not require government subsidy.</w:t>
      </w:r>
      <w:hyperlink r:id="rId406">
        <w:r w:rsidDel="00000000" w:rsidR="00000000" w:rsidRPr="00000000">
          <w:rPr>
            <w:rtl w:val="0"/>
          </w:rPr>
          <w:t xml:space="preserve"> </w:t>
        </w:r>
      </w:hyperlink>
      <w:hyperlink r:id="rId407">
        <w:r w:rsidDel="00000000" w:rsidR="00000000" w:rsidRPr="00000000">
          <w:rPr>
            <w:color w:val="1155cc"/>
            <w:u w:val="single"/>
            <w:rtl w:val="0"/>
          </w:rPr>
          <w:t xml:space="preserve">[8]</w:t>
        </w:r>
      </w:hyperlink>
      <w:r w:rsidDel="00000000" w:rsidR="00000000" w:rsidRPr="00000000">
        <w:rPr>
          <w:rtl w:val="0"/>
        </w:rPr>
      </w:r>
    </w:p>
    <w:p w:rsidR="00000000" w:rsidDel="00000000" w:rsidP="00000000" w:rsidRDefault="00000000" w:rsidRPr="00000000" w14:paraId="0000026F">
      <w:pPr>
        <w:spacing w:after="240" w:before="240" w:lineRule="auto"/>
        <w:rPr>
          <w:color w:val="1155cc"/>
          <w:u w:val="single"/>
        </w:rPr>
      </w:pPr>
      <w:r w:rsidDel="00000000" w:rsidR="00000000" w:rsidRPr="00000000">
        <w:rPr>
          <w:b w:val="1"/>
          <w:bCs w:val="1"/>
          <w:rtl w:val="0"/>
        </w:rPr>
        <w:t xml:space="preserve">Political realism: negative.</w:t>
      </w:r>
      <w:r w:rsidDel="00000000" w:rsidR="00000000" w:rsidRPr="00000000">
        <w:rPr>
          <w:rtl w:val="0"/>
        </w:rPr>
        <w:t xml:space="preserve"> Universal adoption of the Mandate is not achievable because sovereign states with surveillance and weapons priorities will not voluntarily adopt a framework that physically prevents those priorities.</w:t>
      </w:r>
      <w:hyperlink r:id="rId408">
        <w:r w:rsidDel="00000000" w:rsidR="00000000" w:rsidRPr="00000000">
          <w:rPr>
            <w:rtl w:val="0"/>
          </w:rPr>
          <w:t xml:space="preserve"> </w:t>
        </w:r>
      </w:hyperlink>
      <w:hyperlink r:id="rId409">
        <w:r w:rsidDel="00000000" w:rsidR="00000000" w:rsidRPr="00000000">
          <w:rPr>
            <w:color w:val="1155cc"/>
            <w:u w:val="single"/>
            <w:rtl w:val="0"/>
          </w:rPr>
          <w:t xml:space="preserve">[8]</w:t>
        </w:r>
      </w:hyperlink>
      <w:r w:rsidDel="00000000" w:rsidR="00000000" w:rsidRPr="00000000">
        <w:rPr>
          <w:rtl w:val="0"/>
        </w:rPr>
      </w:r>
    </w:p>
    <w:p w:rsidR="00000000" w:rsidDel="00000000" w:rsidP="00000000" w:rsidRDefault="00000000" w:rsidRPr="00000000" w14:paraId="00000270">
      <w:pPr>
        <w:spacing w:after="240" w:before="240" w:lineRule="auto"/>
        <w:rPr>
          <w:color w:val="1155cc"/>
          <w:u w:val="single"/>
        </w:rPr>
      </w:pPr>
      <w:r w:rsidDel="00000000" w:rsidR="00000000" w:rsidRPr="00000000">
        <w:rPr>
          <w:rtl w:val="0"/>
        </w:rPr>
        <w:t xml:space="preserve">The negative finding on political realism does not invalidate the Mandate. It defines its deployment boundary. The Mandate is universal in architecture, not universal in geography. Any system that calls itself TL must satisfy the Mandate, regardless of where it is deployed. Systems that do not satisfy the Mandate are not TL, even if they carry the name. External auditors can query </w:t>
      </w:r>
      <w:r w:rsidDel="00000000" w:rsidR="00000000" w:rsidRPr="00000000">
        <w:rPr>
          <w:rFonts w:ascii="Roboto Mono" w:cs="Roboto Mono" w:eastAsia="Roboto Mono" w:hAnsi="Roboto Mono"/>
          <w:color w:val="188038"/>
          <w:rtl w:val="0"/>
        </w:rPr>
        <w:t xml:space="preserve">GET /audit/verifications/inclusion/{logId}</w:t>
      </w:r>
      <w:r w:rsidDel="00000000" w:rsidR="00000000" w:rsidRPr="00000000">
        <w:rPr>
          <w:rtl w:val="0"/>
        </w:rPr>
        <w:t xml:space="preserve"> to confirm whether a claimed TL implementation is running an authorized constitutional schema version or an unauthorized fork that has stripped the NoS-NoW constraints from the </w:t>
      </w:r>
      <w:r w:rsidDel="00000000" w:rsidR="00000000" w:rsidRPr="00000000">
        <w:rPr>
          <w:rFonts w:ascii="Roboto Mono" w:cs="Roboto Mono" w:eastAsia="Roboto Mono" w:hAnsi="Roboto Mono"/>
          <w:color w:val="188038"/>
          <w:rtl w:val="0"/>
        </w:rPr>
        <w:t xml:space="preserve">canonicalMandateHashes</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eip712_typed_data.json</w:t>
      </w:r>
      <w:r w:rsidDel="00000000" w:rsidR="00000000" w:rsidRPr="00000000">
        <w:rPr>
          <w:rtl w:val="0"/>
        </w:rPr>
        <w:t xml:space="preserve">.</w:t>
      </w:r>
      <w:hyperlink r:id="rId410">
        <w:r w:rsidDel="00000000" w:rsidR="00000000" w:rsidRPr="00000000">
          <w:rPr>
            <w:rtl w:val="0"/>
          </w:rPr>
          <w:t xml:space="preserve"> </w:t>
        </w:r>
      </w:hyperlink>
      <w:hyperlink r:id="rId411">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71">
      <w:pPr>
        <w:pStyle w:val="Heading2"/>
        <w:keepNext w:val="0"/>
        <w:keepLines w:val="0"/>
        <w:spacing w:after="80" w:lineRule="auto"/>
        <w:rPr>
          <w:b w:val="1"/>
          <w:bCs w:val="1"/>
          <w:sz w:val="34"/>
          <w:szCs w:val="34"/>
        </w:rPr>
      </w:pPr>
      <w:bookmarkStart w:colFirst="0" w:colLast="0" w:name="_cthwkaj79vrz" w:id="64"/>
      <w:bookmarkEnd w:id="64"/>
      <w:r w:rsidDel="00000000" w:rsidR="00000000" w:rsidRPr="00000000">
        <w:rPr>
          <w:b w:val="1"/>
          <w:bCs w:val="1"/>
          <w:sz w:val="34"/>
          <w:szCs w:val="34"/>
          <w:rtl w:val="0"/>
        </w:rPr>
        <w:t xml:space="preserve">5.8 Gray Zone Elimination</w:t>
      </w:r>
    </w:p>
    <w:p w:rsidR="00000000" w:rsidDel="00000000" w:rsidP="00000000" w:rsidRDefault="00000000" w:rsidRPr="00000000" w14:paraId="00000272">
      <w:pPr>
        <w:spacing w:after="240" w:before="240" w:lineRule="auto"/>
        <w:rPr>
          <w:color w:val="1155cc"/>
          <w:u w:val="single"/>
        </w:rPr>
      </w:pPr>
      <w:r w:rsidDel="00000000" w:rsidR="00000000" w:rsidRPr="00000000">
        <w:rPr>
          <w:rtl w:val="0"/>
        </w:rPr>
        <w:t xml:space="preserve">The boundary definitions of the NoS-NoW Mandate are not static. Technology advances continuously produce new application patterns that exploit the space between legitimate economic governance and prohibited surveillance or weapons use. Gray zone elimination is the continuous process of refining the Mandate's boundary definitions to prevent adversaries from exploiting emerging ambiguity.</w:t>
      </w:r>
      <w:hyperlink r:id="rId412">
        <w:r w:rsidDel="00000000" w:rsidR="00000000" w:rsidRPr="00000000">
          <w:rPr>
            <w:rtl w:val="0"/>
          </w:rPr>
          <w:t xml:space="preserve"> </w:t>
        </w:r>
      </w:hyperlink>
      <w:hyperlink r:id="rId413">
        <w:r w:rsidDel="00000000" w:rsidR="00000000" w:rsidRPr="00000000">
          <w:rPr>
            <w:color w:val="1155cc"/>
            <w:u w:val="single"/>
            <w:rtl w:val="0"/>
          </w:rPr>
          <w:t xml:space="preserve">[8]</w:t>
        </w:r>
      </w:hyperlink>
      <w:r w:rsidDel="00000000" w:rsidR="00000000" w:rsidRPr="00000000">
        <w:rPr>
          <w:rtl w:val="0"/>
        </w:rPr>
      </w:r>
    </w:p>
    <w:p w:rsidR="00000000" w:rsidDel="00000000" w:rsidP="00000000" w:rsidRDefault="00000000" w:rsidRPr="00000000" w14:paraId="00000273">
      <w:pPr>
        <w:spacing w:after="240" w:before="240" w:lineRule="auto"/>
        <w:rPr>
          <w:color w:val="1155cc"/>
          <w:u w:val="single"/>
        </w:rPr>
      </w:pPr>
      <w:r w:rsidDel="00000000" w:rsidR="00000000" w:rsidRPr="00000000">
        <w:rPr>
          <w:rtl w:val="0"/>
        </w:rPr>
        <w:t xml:space="preserve">When a new gray zone is identified, the Stewardship Custodians convene to evaluate whether the technique violates the Mandate. The evaluation is itself a governance process subject to NL=NA: the Decision Log for the evaluation is anchored to the Immutable Ledger through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 creating a precedent that subsequent implementations must follow. The </w:t>
      </w:r>
      <w:r w:rsidDel="00000000" w:rsidR="00000000" w:rsidRPr="00000000">
        <w:rPr>
          <w:rFonts w:ascii="Roboto Mono" w:cs="Roboto Mono" w:eastAsia="Roboto Mono" w:hAnsi="Roboto Mono"/>
          <w:color w:val="188038"/>
          <w:rtl w:val="0"/>
        </w:rPr>
        <w:t xml:space="preserve">PillarIdentifier_v1_0_0</w:t>
      </w:r>
      <w:r w:rsidDel="00000000" w:rsidR="00000000" w:rsidRPr="00000000">
        <w:rPr>
          <w:rtl w:val="0"/>
        </w:rPr>
        <w:t xml:space="preserve"> reference in the log entry marks the determination under </w:t>
      </w:r>
      <w:r w:rsidDel="00000000" w:rsidR="00000000" w:rsidRPr="00000000">
        <w:rPr>
          <w:rFonts w:ascii="Roboto Mono" w:cs="Roboto Mono" w:eastAsia="Roboto Mono" w:hAnsi="Roboto Mono"/>
          <w:color w:val="188038"/>
          <w:rtl w:val="0"/>
        </w:rPr>
        <w:t xml:space="preserve">GoukassianPrinciple</w:t>
      </w:r>
      <w:r w:rsidDel="00000000" w:rsidR="00000000" w:rsidRPr="00000000">
        <w:rPr>
          <w:rtl w:val="0"/>
        </w:rPr>
        <w:t xml:space="preserve"> (Pillar III) for future query via </w:t>
      </w:r>
      <w:r w:rsidDel="00000000" w:rsidR="00000000" w:rsidRPr="00000000">
        <w:rPr>
          <w:rFonts w:ascii="Roboto Mono" w:cs="Roboto Mono" w:eastAsia="Roboto Mono" w:hAnsi="Roboto Mono"/>
          <w:color w:val="188038"/>
          <w:rtl w:val="0"/>
        </w:rPr>
        <w:t xml:space="preserve">GET /decisions/{decisionId}</w:t>
      </w:r>
      <w:r w:rsidDel="00000000" w:rsidR="00000000" w:rsidRPr="00000000">
        <w:rPr>
          <w:rtl w:val="0"/>
        </w:rPr>
        <w:t xml:space="preserve">.</w:t>
      </w:r>
      <w:hyperlink r:id="rId414">
        <w:r w:rsidDel="00000000" w:rsidR="00000000" w:rsidRPr="00000000">
          <w:rPr>
            <w:rtl w:val="0"/>
          </w:rPr>
          <w:t xml:space="preserve"> </w:t>
        </w:r>
      </w:hyperlink>
      <w:hyperlink r:id="rId415">
        <w:r w:rsidDel="00000000" w:rsidR="00000000" w:rsidRPr="00000000">
          <w:rPr>
            <w:color w:val="1155cc"/>
            <w:u w:val="single"/>
            <w:rtl w:val="0"/>
          </w:rPr>
          <w:t xml:space="preserve">[8]</w:t>
        </w:r>
      </w:hyperlink>
      <w:r w:rsidDel="00000000" w:rsidR="00000000" w:rsidRPr="00000000">
        <w:rPr>
          <w:rtl w:val="0"/>
        </w:rPr>
      </w:r>
    </w:p>
    <w:p w:rsidR="00000000" w:rsidDel="00000000" w:rsidP="00000000" w:rsidRDefault="00000000" w:rsidRPr="00000000" w14:paraId="00000274">
      <w:pPr>
        <w:spacing w:after="240" w:before="240" w:lineRule="auto"/>
        <w:rPr>
          <w:color w:val="1155cc"/>
          <w:u w:val="single"/>
        </w:rPr>
      </w:pPr>
      <w:r w:rsidDel="00000000" w:rsidR="00000000" w:rsidRPr="00000000">
        <w:rPr>
          <w:rtl w:val="0"/>
        </w:rPr>
        <w:t xml:space="preserve">The Constitutional Uncertainty Register tracked in Appendix C contains open gray zone entries including: the use of homomorphic encryption to process surveillance queries without decrypting individual records; the use of zero-knowledge proofs to verify population-level compliance without revealing individual data; and the governance status of autonomous economic systems operating below the threshold of human oversight. Each entry carries a resolution horizon classification and a designated responsible chamber. Unresolved entries trigger automatic Epistemic Hold on proposals touching the relevant domain, with </w:t>
      </w:r>
      <w:r w:rsidDel="00000000" w:rsidR="00000000" w:rsidRPr="00000000">
        <w:rPr>
          <w:rFonts w:ascii="Roboto Mono" w:cs="Roboto Mono" w:eastAsia="Roboto Mono" w:hAnsi="Roboto Mono"/>
          <w:color w:val="188038"/>
          <w:rtl w:val="0"/>
        </w:rPr>
        <w:t xml:space="preserve">holdRationale.pillarImplicated</w:t>
      </w:r>
      <w:r w:rsidDel="00000000" w:rsidR="00000000" w:rsidRPr="00000000">
        <w:rPr>
          <w:rtl w:val="0"/>
        </w:rPr>
        <w:t xml:space="preserve"> set to </w:t>
      </w:r>
      <w:r w:rsidDel="00000000" w:rsidR="00000000" w:rsidRPr="00000000">
        <w:rPr>
          <w:rFonts w:ascii="Roboto Mono" w:cs="Roboto Mono" w:eastAsia="Roboto Mono" w:hAnsi="Roboto Mono"/>
          <w:color w:val="188038"/>
          <w:rtl w:val="0"/>
        </w:rPr>
        <w:t xml:space="preserve">"GoukassianPrinciple"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requiredConditions</w:t>
      </w:r>
      <w:r w:rsidDel="00000000" w:rsidR="00000000" w:rsidRPr="00000000">
        <w:rPr>
          <w:rtl w:val="0"/>
        </w:rPr>
        <w:t xml:space="preserve"> populated with the specific Stewardship Custodian determination that must occur before resolution.</w:t>
      </w:r>
      <w:hyperlink r:id="rId416">
        <w:r w:rsidDel="00000000" w:rsidR="00000000" w:rsidRPr="00000000">
          <w:rPr>
            <w:rtl w:val="0"/>
          </w:rPr>
          <w:t xml:space="preserve"> </w:t>
        </w:r>
      </w:hyperlink>
      <w:hyperlink r:id="rId417">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75">
      <w:pPr>
        <w:spacing w:after="240" w:before="240" w:lineRule="auto"/>
        <w:rPr/>
      </w:pPr>
      <w:r w:rsidDel="00000000" w:rsidR="00000000" w:rsidRPr="00000000">
        <w:rPr>
          <w:rtl w:val="0"/>
        </w:rPr>
        <w:t xml:space="preserve">The Tri-Cameral Governance Model enforces the Mandate against gray zone exploitation through chamber specialization. The Technical Council maintains the detection algorithms surfaced through </w:t>
      </w:r>
      <w:r w:rsidDel="00000000" w:rsidR="00000000" w:rsidRPr="00000000">
        <w:rPr>
          <w:rFonts w:ascii="Roboto Mono" w:cs="Roboto Mono" w:eastAsia="Roboto Mono" w:hAnsi="Roboto Mono"/>
          <w:color w:val="188038"/>
          <w:rtl w:val="0"/>
        </w:rPr>
        <w:t xml:space="preserve">GET /epistemic-hold/lantern</w:t>
      </w:r>
      <w:r w:rsidDel="00000000" w:rsidR="00000000" w:rsidRPr="00000000">
        <w:rPr>
          <w:rtl w:val="0"/>
        </w:rPr>
        <w:t xml:space="preserve"> that identify latent surveillance capability and partial weapons integration in proposed system designs. The Stewardship Custodians maintain the constitutional schema parameters governing the boundary definitions, updateable through </w:t>
      </w:r>
      <w:r w:rsidDel="00000000" w:rsidR="00000000" w:rsidRPr="00000000">
        <w:rPr>
          <w:rFonts w:ascii="Roboto Mono" w:cs="Roboto Mono" w:eastAsia="Roboto Mono" w:hAnsi="Roboto Mono"/>
          <w:color w:val="188038"/>
          <w:rtl w:val="0"/>
        </w:rPr>
        <w:t xml:space="preserve">POST /pillars/{pillarId}/configure</w:t>
      </w:r>
      <w:r w:rsidDel="00000000" w:rsidR="00000000" w:rsidRPr="00000000">
        <w:rPr>
          <w:rtl w:val="0"/>
        </w:rPr>
        <w:t xml:space="preserve"> subject to the supermajority threshold.</w:t>
      </w:r>
      <w:hyperlink r:id="rId418">
        <w:r w:rsidDel="00000000" w:rsidR="00000000" w:rsidRPr="00000000">
          <w:rPr>
            <w:rtl w:val="0"/>
          </w:rPr>
          <w:t xml:space="preserve"> </w:t>
        </w:r>
      </w:hyperlink>
      <w:hyperlink r:id="rId419">
        <w:r w:rsidDel="00000000" w:rsidR="00000000" w:rsidRPr="00000000">
          <w:rPr>
            <w:color w:val="1155cc"/>
            <w:u w:val="single"/>
            <w:rtl w:val="0"/>
          </w:rPr>
          <w:t xml:space="preserve">[15]</w:t>
        </w:r>
      </w:hyperlink>
      <w:r w:rsidDel="00000000" w:rsidR="00000000" w:rsidRPr="00000000">
        <w:rPr>
          <w:rtl w:val="0"/>
        </w:rPr>
        <w:t xml:space="preserve"> The Smart Contract Treasury manages the economic consequences of Mandate violations, including automatic divestment from institutions that develop dual-use capabilities and automatic rewards for institutions that demonstrate verifiable no-spy, no-weapon design practices.</w:t>
      </w:r>
    </w:p>
    <w:p w:rsidR="00000000" w:rsidDel="00000000" w:rsidP="00000000" w:rsidRDefault="00000000" w:rsidRPr="00000000" w14:paraId="00000276">
      <w:pPr>
        <w:pStyle w:val="Heading1"/>
        <w:keepNext w:val="0"/>
        <w:keepLines w:val="0"/>
        <w:spacing w:before="480" w:lineRule="auto"/>
        <w:rPr>
          <w:b w:val="1"/>
          <w:bCs w:val="1"/>
          <w:sz w:val="46"/>
          <w:szCs w:val="46"/>
        </w:rPr>
      </w:pPr>
      <w:bookmarkStart w:colFirst="0" w:colLast="0" w:name="_mf6sejmry5cb" w:id="65"/>
      <w:bookmarkEnd w:id="65"/>
      <w:r w:rsidDel="00000000" w:rsidR="00000000" w:rsidRPr="00000000">
        <w:rPr>
          <w:b w:val="1"/>
          <w:bCs w:val="1"/>
          <w:sz w:val="46"/>
          <w:szCs w:val="46"/>
          <w:rtl w:val="0"/>
        </w:rPr>
        <w:t xml:space="preserve">SECTION 6: PRIVACY, CRYPTOGRAPHY, AND ERASURE</w:t>
      </w:r>
    </w:p>
    <w:p w:rsidR="00000000" w:rsidDel="00000000" w:rsidP="00000000" w:rsidRDefault="00000000" w:rsidRPr="00000000" w14:paraId="00000277">
      <w:pPr>
        <w:pStyle w:val="Heading2"/>
        <w:keepNext w:val="0"/>
        <w:keepLines w:val="0"/>
        <w:spacing w:after="80" w:lineRule="auto"/>
        <w:rPr>
          <w:b w:val="1"/>
          <w:bCs w:val="1"/>
          <w:sz w:val="34"/>
          <w:szCs w:val="34"/>
        </w:rPr>
      </w:pPr>
      <w:bookmarkStart w:colFirst="0" w:colLast="0" w:name="_eo1qgzeaqjtx" w:id="66"/>
      <w:bookmarkEnd w:id="66"/>
      <w:r w:rsidDel="00000000" w:rsidR="00000000" w:rsidRPr="00000000">
        <w:rPr>
          <w:b w:val="1"/>
          <w:bCs w:val="1"/>
          <w:sz w:val="34"/>
          <w:szCs w:val="34"/>
          <w:rtl w:val="0"/>
        </w:rPr>
        <w:t xml:space="preserve">6.0 Overview</w:t>
      </w:r>
    </w:p>
    <w:p w:rsidR="00000000" w:rsidDel="00000000" w:rsidP="00000000" w:rsidRDefault="00000000" w:rsidRPr="00000000" w14:paraId="00000278">
      <w:pPr>
        <w:spacing w:after="240" w:before="240" w:lineRule="auto"/>
        <w:rPr>
          <w:color w:val="1155cc"/>
          <w:u w:val="single"/>
        </w:rPr>
      </w:pPr>
      <w:r w:rsidDel="00000000" w:rsidR="00000000" w:rsidRPr="00000000">
        <w:rPr>
          <w:rtl w:val="0"/>
        </w:rPr>
        <w:t xml:space="preserve">The governance of economic systems requires two conditions that appear structurally incompatible. Regulators require permanent, tamper-evident access to the evidentiary records of every automated decision to verify compliance, detect manipulation, and enforce boundaries. Institutions require protection of proprietary algorithms, counterparty relationships, pricing models, and strategic positions. Individuals require the right to have their personal data erased when the legal basis for its retention expires.</w:t>
      </w:r>
      <w:hyperlink r:id="rId420">
        <w:r w:rsidDel="00000000" w:rsidR="00000000" w:rsidRPr="00000000">
          <w:rPr>
            <w:rtl w:val="0"/>
          </w:rPr>
          <w:t xml:space="preserve"> </w:t>
        </w:r>
      </w:hyperlink>
      <w:hyperlink r:id="rId421">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279">
      <w:pPr>
        <w:spacing w:after="240" w:before="240" w:lineRule="auto"/>
        <w:rPr>
          <w:color w:val="1155cc"/>
          <w:u w:val="single"/>
        </w:rPr>
      </w:pPr>
      <w:r w:rsidDel="00000000" w:rsidR="00000000" w:rsidRPr="00000000">
        <w:rPr>
          <w:rtl w:val="0"/>
        </w:rPr>
        <w:t xml:space="preserve">Section 6 specifies how Ternary Logic resolves all three tensions without compromising any of the three requirements. The resolution does not involve tradeoffs. It involves cryptographic architecture: the </w:t>
      </w:r>
      <w:r w:rsidDel="00000000" w:rsidR="00000000" w:rsidRPr="00000000">
        <w:rPr>
          <w:rFonts w:ascii="Roboto Mono" w:cs="Roboto Mono" w:eastAsia="Roboto Mono" w:hAnsi="Roboto Mono"/>
          <w:color w:val="188038"/>
          <w:rtl w:val="0"/>
        </w:rPr>
        <w:t xml:space="preserve">HybridShield</w:t>
      </w:r>
      <w:r w:rsidDel="00000000" w:rsidR="00000000" w:rsidRPr="00000000">
        <w:rPr>
          <w:rtl w:val="0"/>
        </w:rPr>
        <w:t xml:space="preserve"> of Pillar VII, the Ephemeral Key Rotation mechanism specified in </w:t>
      </w:r>
      <w:r w:rsidDel="00000000" w:rsidR="00000000" w:rsidRPr="00000000">
        <w:rPr>
          <w:rFonts w:ascii="Roboto Mono" w:cs="Roboto Mono" w:eastAsia="Roboto Mono" w:hAnsi="Roboto Mono"/>
          <w:color w:val="188038"/>
          <w:rtl w:val="0"/>
        </w:rPr>
        <w:t xml:space="preserve">EKRRecord_v1_0_0</w:t>
      </w:r>
      <w:r w:rsidDel="00000000" w:rsidR="00000000" w:rsidRPr="00000000">
        <w:rPr>
          <w:rtl w:val="0"/>
        </w:rPr>
        <w:t xml:space="preserve">, and the GDPR Article 17 compliance protocol using </w:t>
      </w:r>
      <w:r w:rsidDel="00000000" w:rsidR="00000000" w:rsidRPr="00000000">
        <w:rPr>
          <w:rFonts w:ascii="Roboto Mono" w:cs="Roboto Mono" w:eastAsia="Roboto Mono" w:hAnsi="Roboto Mono"/>
          <w:color w:val="188038"/>
          <w:rtl w:val="0"/>
        </w:rPr>
        <w:t xml:space="preserve">HKDF-SHA3-256</w:t>
      </w:r>
      <w:r w:rsidDel="00000000" w:rsidR="00000000" w:rsidRPr="00000000">
        <w:rPr>
          <w:rtl w:val="0"/>
        </w:rPr>
        <w:t xml:space="preserve"> key destruction. Each mechanism addresses a distinct dimension of the apparent incompatibility. Together they produce a system in which regulators receive audit-grade evidence, institutions retain competitive confidentiality, individuals obtain genuine erasure, and the Immutable Ledger remains cryptographically intact throughout.</w:t>
      </w:r>
      <w:hyperlink r:id="rId422">
        <w:r w:rsidDel="00000000" w:rsidR="00000000" w:rsidRPr="00000000">
          <w:rPr>
            <w:rtl w:val="0"/>
          </w:rPr>
          <w:t xml:space="preserve"> </w:t>
        </w:r>
      </w:hyperlink>
      <w:hyperlink r:id="rId423">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7A">
      <w:pPr>
        <w:pStyle w:val="Heading2"/>
        <w:keepNext w:val="0"/>
        <w:keepLines w:val="0"/>
        <w:spacing w:after="80" w:lineRule="auto"/>
        <w:rPr>
          <w:b w:val="1"/>
          <w:bCs w:val="1"/>
          <w:sz w:val="34"/>
          <w:szCs w:val="34"/>
        </w:rPr>
      </w:pPr>
      <w:bookmarkStart w:colFirst="0" w:colLast="0" w:name="_m21raylzu071" w:id="67"/>
      <w:bookmarkEnd w:id="67"/>
      <w:r w:rsidDel="00000000" w:rsidR="00000000" w:rsidRPr="00000000">
        <w:rPr>
          <w:b w:val="1"/>
          <w:bCs w:val="1"/>
          <w:sz w:val="34"/>
          <w:szCs w:val="34"/>
          <w:rtl w:val="0"/>
        </w:rPr>
        <w:t xml:space="preserve">6.1 The Structural Incompatibility and Its Resolution</w:t>
      </w:r>
    </w:p>
    <w:p w:rsidR="00000000" w:rsidDel="00000000" w:rsidP="00000000" w:rsidRDefault="00000000" w:rsidRPr="00000000" w14:paraId="0000027B">
      <w:pPr>
        <w:spacing w:after="240" w:before="240" w:lineRule="auto"/>
        <w:rPr>
          <w:color w:val="1155cc"/>
          <w:u w:val="single"/>
        </w:rPr>
      </w:pPr>
      <w:r w:rsidDel="00000000" w:rsidR="00000000" w:rsidRPr="00000000">
        <w:rPr>
          <w:rtl w:val="0"/>
        </w:rPr>
        <w:t xml:space="preserve">The apparent incompatibility between immutability and erasure is the oldest unsolved problem in distributed ledger governance. The European Data Protection Board has affirmed that blockchain technology receives no exemption from GDPR data protection mandates, and that technical impossibility cannot excuse non-compliance.</w:t>
      </w:r>
      <w:hyperlink r:id="rId424">
        <w:r w:rsidDel="00000000" w:rsidR="00000000" w:rsidRPr="00000000">
          <w:rPr>
            <w:rtl w:val="0"/>
          </w:rPr>
          <w:t xml:space="preserve"> </w:t>
        </w:r>
      </w:hyperlink>
      <w:hyperlink r:id="rId425">
        <w:r w:rsidDel="00000000" w:rsidR="00000000" w:rsidRPr="00000000">
          <w:rPr>
            <w:color w:val="1155cc"/>
            <w:u w:val="single"/>
            <w:rtl w:val="0"/>
          </w:rPr>
          <w:t xml:space="preserve">[11]</w:t>
        </w:r>
      </w:hyperlink>
      <w:r w:rsidDel="00000000" w:rsidR="00000000" w:rsidRPr="00000000">
        <w:rPr>
          <w:rtl w:val="0"/>
        </w:rPr>
      </w:r>
    </w:p>
    <w:p w:rsidR="00000000" w:rsidDel="00000000" w:rsidP="00000000" w:rsidRDefault="00000000" w:rsidRPr="00000000" w14:paraId="0000027C">
      <w:pPr>
        <w:spacing w:after="240" w:before="240" w:lineRule="auto"/>
        <w:rPr/>
      </w:pPr>
      <w:r w:rsidDel="00000000" w:rsidR="00000000" w:rsidRPr="00000000">
        <w:rPr>
          <w:rtl w:val="0"/>
        </w:rPr>
        <w:t xml:space="preserve">Three attempted resolutions exist in the prior literature, and each fails.</w:t>
      </w:r>
    </w:p>
    <w:p w:rsidR="00000000" w:rsidDel="00000000" w:rsidP="00000000" w:rsidRDefault="00000000" w:rsidRPr="00000000" w14:paraId="0000027D">
      <w:pPr>
        <w:spacing w:after="240" w:before="240" w:lineRule="auto"/>
        <w:rPr>
          <w:color w:val="1155cc"/>
          <w:u w:val="single"/>
        </w:rPr>
      </w:pPr>
      <w:r w:rsidDel="00000000" w:rsidR="00000000" w:rsidRPr="00000000">
        <w:rPr>
          <w:b w:val="1"/>
          <w:bCs w:val="1"/>
          <w:rtl w:val="0"/>
        </w:rPr>
        <w:t xml:space="preserve">Selective deletion</w:t>
      </w:r>
      <w:r w:rsidDel="00000000" w:rsidR="00000000" w:rsidRPr="00000000">
        <w:rPr>
          <w:rtl w:val="0"/>
        </w:rPr>
        <w:t xml:space="preserve"> removes the specific ledger entry containing personal data. This fails because deletion breaks the hash chain. The hash of every subsequent entry in the Merkle tree depends on the hash of every prior entry. A deleted entry produces a hash chain discontinuity that is immediately detectable by any party holding a copy of the ledger or a blockchain anchor via </w:t>
      </w:r>
      <w:r w:rsidDel="00000000" w:rsidR="00000000" w:rsidRPr="00000000">
        <w:rPr>
          <w:rFonts w:ascii="Roboto Mono" w:cs="Roboto Mono" w:eastAsia="Roboto Mono" w:hAnsi="Roboto Mono"/>
          <w:color w:val="188038"/>
          <w:rtl w:val="0"/>
        </w:rPr>
        <w:t xml:space="preserve">GET /audit/verifications/merkle/{merkleRoot}</w:t>
      </w:r>
      <w:r w:rsidDel="00000000" w:rsidR="00000000" w:rsidRPr="00000000">
        <w:rPr>
          <w:rtl w:val="0"/>
        </w:rPr>
        <w:t xml:space="preserve">.</w:t>
      </w:r>
      <w:hyperlink r:id="rId426">
        <w:r w:rsidDel="00000000" w:rsidR="00000000" w:rsidRPr="00000000">
          <w:rPr>
            <w:rtl w:val="0"/>
          </w:rPr>
          <w:t xml:space="preserve"> </w:t>
        </w:r>
      </w:hyperlink>
      <w:hyperlink r:id="rId427">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7E">
      <w:pPr>
        <w:spacing w:after="240" w:before="240" w:lineRule="auto"/>
        <w:rPr>
          <w:color w:val="1155cc"/>
          <w:u w:val="single"/>
        </w:rPr>
      </w:pPr>
      <w:r w:rsidDel="00000000" w:rsidR="00000000" w:rsidRPr="00000000">
        <w:rPr>
          <w:b w:val="1"/>
          <w:bCs w:val="1"/>
          <w:rtl w:val="0"/>
        </w:rPr>
        <w:t xml:space="preserve">Off-chain storage</w:t>
      </w:r>
      <w:r w:rsidDel="00000000" w:rsidR="00000000" w:rsidRPr="00000000">
        <w:rPr>
          <w:rtl w:val="0"/>
        </w:rPr>
        <w:t xml:space="preserve"> keeps personal data off the ledger entirely, anchoring only non-personal metadata. This fails because it creates a gap between what the ledger proves and what actually happened. A regulator examining a Decision Log that contains only non-personal metadata cannot verify the actual identity of the counterparty, the actual amount, or the actual governance determination. The </w:t>
      </w:r>
      <w:r w:rsidDel="00000000" w:rsidR="00000000" w:rsidRPr="00000000">
        <w:rPr>
          <w:rFonts w:ascii="Roboto Mono" w:cs="Roboto Mono" w:eastAsia="Roboto Mono" w:hAnsi="Roboto Mono"/>
          <w:color w:val="188038"/>
          <w:rtl w:val="0"/>
        </w:rPr>
        <w:t xml:space="preserve">AuditProof_v1_0_0.logHash</w:t>
      </w:r>
      <w:r w:rsidDel="00000000" w:rsidR="00000000" w:rsidRPr="00000000">
        <w:rPr>
          <w:rtl w:val="0"/>
        </w:rPr>
        <w:t xml:space="preserve"> no longer cryptographically covers the substantive facts of the decision.</w:t>
      </w:r>
      <w:hyperlink r:id="rId428">
        <w:r w:rsidDel="00000000" w:rsidR="00000000" w:rsidRPr="00000000">
          <w:rPr>
            <w:rtl w:val="0"/>
          </w:rPr>
          <w:t xml:space="preserve"> </w:t>
        </w:r>
      </w:hyperlink>
      <w:hyperlink r:id="rId429">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7F">
      <w:pPr>
        <w:spacing w:after="240" w:before="240" w:lineRule="auto"/>
        <w:rPr/>
      </w:pPr>
      <w:r w:rsidDel="00000000" w:rsidR="00000000" w:rsidRPr="00000000">
        <w:rPr>
          <w:b w:val="1"/>
          <w:bCs w:val="1"/>
          <w:rtl w:val="0"/>
        </w:rPr>
        <w:t xml:space="preserve">Pseudonymization under GDPR Article 4(5)</w:t>
      </w:r>
      <w:r w:rsidDel="00000000" w:rsidR="00000000" w:rsidRPr="00000000">
        <w:rPr>
          <w:rtl w:val="0"/>
        </w:rPr>
        <w:t xml:space="preserve"> replaces direct identifiers with pseudonyms while retaining the ability to re-identify through a separately held key. This fails because Article 4(5) pseudonymization is still personal data under the regulation. As long as the key exists, re-identification is possible, and the data remains subject to erasure rights.</w:t>
      </w:r>
    </w:p>
    <w:p w:rsidR="00000000" w:rsidDel="00000000" w:rsidP="00000000" w:rsidRDefault="00000000" w:rsidRPr="00000000" w14:paraId="00000280">
      <w:pPr>
        <w:spacing w:after="240" w:before="240" w:lineRule="auto"/>
        <w:rPr>
          <w:color w:val="1155cc"/>
          <w:u w:val="single"/>
        </w:rPr>
      </w:pPr>
      <w:r w:rsidDel="00000000" w:rsidR="00000000" w:rsidRPr="00000000">
        <w:rPr>
          <w:rtl w:val="0"/>
        </w:rPr>
        <w:t xml:space="preserve">TL's resolution is cryptographic erasure: the destruction of the decryption key rather than the destruction of the encrypted data. This is not pseudonymization under Article 4(5). It is genuine anonymization achieved through irreversible key destruction using </w:t>
      </w:r>
      <w:r w:rsidDel="00000000" w:rsidR="00000000" w:rsidRPr="00000000">
        <w:rPr>
          <w:rFonts w:ascii="Roboto Mono" w:cs="Roboto Mono" w:eastAsia="Roboto Mono" w:hAnsi="Roboto Mono"/>
          <w:color w:val="188038"/>
          <w:rtl w:val="0"/>
        </w:rPr>
        <w:t xml:space="preserve">HKDF-SHA3-256</w:t>
      </w:r>
      <w:r w:rsidDel="00000000" w:rsidR="00000000" w:rsidRPr="00000000">
        <w:rPr>
          <w:rtl w:val="0"/>
        </w:rPr>
        <w:t xml:space="preserve">. The encrypted data remains on the ledger, preserving hash chain integrity. Without the decryption key, the data is computationally irrecoverable. The </w:t>
      </w:r>
      <w:r w:rsidDel="00000000" w:rsidR="00000000" w:rsidRPr="00000000">
        <w:rPr>
          <w:rFonts w:ascii="Roboto Mono" w:cs="Roboto Mono" w:eastAsia="Roboto Mono" w:hAnsi="Roboto Mono"/>
          <w:color w:val="188038"/>
          <w:rtl w:val="0"/>
        </w:rPr>
        <w:t xml:space="preserve">hkdfSha3256Confirmed: true</w:t>
      </w:r>
      <w:r w:rsidDel="00000000" w:rsidR="00000000" w:rsidRPr="00000000">
        <w:rPr>
          <w:rtl w:val="0"/>
        </w:rPr>
        <w:t xml:space="preserve"> field in </w:t>
      </w:r>
      <w:r w:rsidDel="00000000" w:rsidR="00000000" w:rsidRPr="00000000">
        <w:rPr>
          <w:rFonts w:ascii="Roboto Mono" w:cs="Roboto Mono" w:eastAsia="Roboto Mono" w:hAnsi="Roboto Mono"/>
          <w:color w:val="188038"/>
          <w:rtl w:val="0"/>
        </w:rPr>
        <w:t xml:space="preserve">EKRRecord_v1_0_0</w:t>
      </w:r>
      <w:r w:rsidDel="00000000" w:rsidR="00000000" w:rsidRPr="00000000">
        <w:rPr>
          <w:rtl w:val="0"/>
        </w:rPr>
        <w:t xml:space="preserve"> confirms that this protocol was applied.</w:t>
      </w:r>
      <w:hyperlink r:id="rId430">
        <w:r w:rsidDel="00000000" w:rsidR="00000000" w:rsidRPr="00000000">
          <w:rPr>
            <w:rtl w:val="0"/>
          </w:rPr>
          <w:t xml:space="preserve"> </w:t>
        </w:r>
      </w:hyperlink>
      <w:hyperlink r:id="rId431">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81">
      <w:pPr>
        <w:pStyle w:val="Heading2"/>
        <w:keepNext w:val="0"/>
        <w:keepLines w:val="0"/>
        <w:spacing w:after="80" w:lineRule="auto"/>
        <w:rPr>
          <w:b w:val="1"/>
          <w:bCs w:val="1"/>
          <w:sz w:val="34"/>
          <w:szCs w:val="34"/>
        </w:rPr>
      </w:pPr>
      <w:bookmarkStart w:colFirst="0" w:colLast="0" w:name="_2ltc7n2t65kx" w:id="68"/>
      <w:bookmarkEnd w:id="68"/>
      <w:r w:rsidDel="00000000" w:rsidR="00000000" w:rsidRPr="00000000">
        <w:rPr>
          <w:b w:val="1"/>
          <w:bCs w:val="1"/>
          <w:sz w:val="34"/>
          <w:szCs w:val="34"/>
          <w:rtl w:val="0"/>
        </w:rPr>
        <w:t xml:space="preserve">6.2 Cryptographic Erasure: The HKDF-SHA3-256 Protocol</w:t>
      </w:r>
    </w:p>
    <w:p w:rsidR="00000000" w:rsidDel="00000000" w:rsidP="00000000" w:rsidRDefault="00000000" w:rsidRPr="00000000" w14:paraId="00000282">
      <w:pPr>
        <w:spacing w:after="240" w:before="240" w:lineRule="auto"/>
        <w:rPr>
          <w:color w:val="1155cc"/>
          <w:u w:val="single"/>
        </w:rPr>
      </w:pPr>
      <w:r w:rsidDel="00000000" w:rsidR="00000000" w:rsidRPr="00000000">
        <w:rPr>
          <w:rtl w:val="0"/>
        </w:rPr>
        <w:t xml:space="preserve">Cryptographic erasure in TL is implemented through </w:t>
      </w:r>
      <w:r w:rsidDel="00000000" w:rsidR="00000000" w:rsidRPr="00000000">
        <w:rPr>
          <w:rFonts w:ascii="Roboto Mono" w:cs="Roboto Mono" w:eastAsia="Roboto Mono" w:hAnsi="Roboto Mono"/>
          <w:color w:val="188038"/>
          <w:rtl w:val="0"/>
        </w:rPr>
        <w:t xml:space="preserve">HKDF-SHA3-256</w:t>
      </w:r>
      <w:r w:rsidDel="00000000" w:rsidR="00000000" w:rsidRPr="00000000">
        <w:rPr>
          <w:rtl w:val="0"/>
        </w:rPr>
        <w:t xml:space="preserve"> key derivation. Personal data is encrypted before ledger anchoring under epoch-specific keys, the encryption keys are stored in the Hybrid Shield's key management infrastructure under Stewardship Custodian control, and upon a valid erasure request the decryption keys are cryptographically shredded through a one-way transformation that makes key reconstruction computationally infeasible.</w:t>
      </w:r>
      <w:hyperlink r:id="rId432">
        <w:r w:rsidDel="00000000" w:rsidR="00000000" w:rsidRPr="00000000">
          <w:rPr>
            <w:rtl w:val="0"/>
          </w:rPr>
          <w:t xml:space="preserve"> </w:t>
        </w:r>
      </w:hyperlink>
      <w:hyperlink r:id="rId433">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83">
      <w:pPr>
        <w:spacing w:after="240" w:before="240" w:lineRule="auto"/>
        <w:rPr>
          <w:color w:val="1155cc"/>
          <w:u w:val="single"/>
        </w:rPr>
      </w:pPr>
      <w:r w:rsidDel="00000000" w:rsidR="00000000" w:rsidRPr="00000000">
        <w:rPr>
          <w:rtl w:val="0"/>
        </w:rPr>
        <w:t xml:space="preserve">The key derivation hierarchy operates through per-epoch ephemeral key pairs. Each operational epoch generates a unique symmetric encryption key for personal data processed during that epoch. Personal data is encrypted under the epoch key before being included in any </w:t>
      </w:r>
      <w:r w:rsidDel="00000000" w:rsidR="00000000" w:rsidRPr="00000000">
        <w:rPr>
          <w:rFonts w:ascii="Roboto Mono" w:cs="Roboto Mono" w:eastAsia="Roboto Mono" w:hAnsi="Roboto Mono"/>
          <w:color w:val="188038"/>
          <w:rtl w:val="0"/>
        </w:rPr>
        <w:t xml:space="preserve">TGLF_State0_v1_0_0</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TGLF_StateP1_v1_0_0</w:t>
      </w:r>
      <w:r w:rsidDel="00000000" w:rsidR="00000000" w:rsidRPr="00000000">
        <w:rPr>
          <w:rtl w:val="0"/>
        </w:rPr>
        <w:t xml:space="preserve"> log record. The epoch key is itself encrypted under a master key held through the Shamir Secret Sharing protocol of Pillar VII: six custodians, three-of-six quorum required for any key operation.</w:t>
      </w:r>
      <w:hyperlink r:id="rId434">
        <w:r w:rsidDel="00000000" w:rsidR="00000000" w:rsidRPr="00000000">
          <w:rPr>
            <w:rtl w:val="0"/>
          </w:rPr>
          <w:t xml:space="preserve"> </w:t>
        </w:r>
      </w:hyperlink>
      <w:hyperlink r:id="rId435">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84">
      <w:pPr>
        <w:spacing w:after="240" w:before="240" w:lineRule="auto"/>
        <w:rPr/>
      </w:pPr>
      <w:r w:rsidDel="00000000" w:rsidR="00000000" w:rsidRPr="00000000">
        <w:rPr>
          <w:rtl w:val="0"/>
        </w:rPr>
        <w:t xml:space="preserve">When a valid GDPR Article 17 erasure request is received, the Governance Lane evaluates the request as a constitutional proposal through the full five-layer NL=NA enforcement architecture. The evaluation requires:</w:t>
      </w:r>
    </w:p>
    <w:p w:rsidR="00000000" w:rsidDel="00000000" w:rsidP="00000000" w:rsidRDefault="00000000" w:rsidRPr="00000000" w14:paraId="00000285">
      <w:pPr>
        <w:numPr>
          <w:ilvl w:val="0"/>
          <w:numId w:val="6"/>
        </w:numPr>
        <w:spacing w:after="0" w:before="240" w:lineRule="auto"/>
        <w:ind w:left="720" w:hanging="360"/>
        <w:rPr/>
      </w:pPr>
      <w:r w:rsidDel="00000000" w:rsidR="00000000" w:rsidRPr="00000000">
        <w:rPr>
          <w:rtl w:val="0"/>
        </w:rPr>
        <w:t xml:space="preserve">verified identity of the data subject making the request</w:t>
      </w:r>
    </w:p>
    <w:p w:rsidR="00000000" w:rsidDel="00000000" w:rsidP="00000000" w:rsidRDefault="00000000" w:rsidRPr="00000000" w14:paraId="00000286">
      <w:pPr>
        <w:numPr>
          <w:ilvl w:val="0"/>
          <w:numId w:val="6"/>
        </w:numPr>
        <w:spacing w:after="0" w:before="0" w:lineRule="auto"/>
        <w:ind w:left="720" w:hanging="360"/>
        <w:rPr/>
      </w:pPr>
      <w:r w:rsidDel="00000000" w:rsidR="00000000" w:rsidRPr="00000000">
        <w:rPr>
          <w:rtl w:val="0"/>
        </w:rPr>
        <w:t xml:space="preserve">documented legal basis under which the original data processing occurred</w:t>
      </w:r>
    </w:p>
    <w:p w:rsidR="00000000" w:rsidDel="00000000" w:rsidP="00000000" w:rsidRDefault="00000000" w:rsidRPr="00000000" w14:paraId="00000287">
      <w:pPr>
        <w:numPr>
          <w:ilvl w:val="0"/>
          <w:numId w:val="6"/>
        </w:numPr>
        <w:spacing w:after="0" w:before="0" w:lineRule="auto"/>
        <w:ind w:left="720" w:hanging="360"/>
        <w:rPr/>
      </w:pPr>
      <w:r w:rsidDel="00000000" w:rsidR="00000000" w:rsidRPr="00000000">
        <w:rPr>
          <w:rtl w:val="0"/>
        </w:rPr>
        <w:t xml:space="preserve">specific GDPR Article 17 grounds invoked for the erasure</w:t>
      </w:r>
    </w:p>
    <w:p w:rsidR="00000000" w:rsidDel="00000000" w:rsidP="00000000" w:rsidRDefault="00000000" w:rsidRPr="00000000" w14:paraId="00000288">
      <w:pPr>
        <w:numPr>
          <w:ilvl w:val="0"/>
          <w:numId w:val="6"/>
        </w:numPr>
        <w:spacing w:after="240" w:before="0" w:lineRule="auto"/>
        <w:ind w:left="720" w:hanging="360"/>
        <w:rPr/>
      </w:pPr>
      <w:r w:rsidDel="00000000" w:rsidR="00000000" w:rsidRPr="00000000">
        <w:rPr>
          <w:rtl w:val="0"/>
        </w:rPr>
        <w:t xml:space="preserve">analysis of whether any overriding regulatory retention requirement applies, checked against </w:t>
      </w:r>
      <w:r w:rsidDel="00000000" w:rsidR="00000000" w:rsidRPr="00000000">
        <w:rPr>
          <w:rFonts w:ascii="Roboto Mono" w:cs="Roboto Mono" w:eastAsia="Roboto Mono" w:hAnsi="Roboto Mono"/>
          <w:color w:val="188038"/>
          <w:rtl w:val="0"/>
        </w:rPr>
        <w:t xml:space="preserve">RegulatoryContext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regulatory_nexus_reference</w:t>
      </w:r>
      <w:hyperlink r:id="rId436">
        <w:r w:rsidDel="00000000" w:rsidR="00000000" w:rsidRPr="00000000">
          <w:rPr>
            <w:rtl w:val="0"/>
          </w:rPr>
          <w:t xml:space="preserve"> </w:t>
        </w:r>
      </w:hyperlink>
      <w:hyperlink r:id="rId437">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89">
      <w:pPr>
        <w:spacing w:after="240" w:before="240" w:lineRule="auto"/>
        <w:rPr>
          <w:color w:val="1155cc"/>
          <w:u w:val="single"/>
        </w:rPr>
      </w:pPr>
      <w:r w:rsidDel="00000000" w:rsidR="00000000" w:rsidRPr="00000000">
        <w:rPr>
          <w:rtl w:val="0"/>
        </w:rPr>
        <w:t xml:space="preserve">If the evidentiary basis is complete and no retention conflict exists, the Governance Lane issues Proceed for the erasure operation. The Smart Contract Treasury initiates a threshold key destruction ceremony: the Shamir shares held by at least three of the six Stewardship Custodians are combined to reconstruct the epoch key, and the reconstructed key is immediately passed through </w:t>
      </w:r>
      <w:r w:rsidDel="00000000" w:rsidR="00000000" w:rsidRPr="00000000">
        <w:rPr>
          <w:rFonts w:ascii="Roboto Mono" w:cs="Roboto Mono" w:eastAsia="Roboto Mono" w:hAnsi="Roboto Mono"/>
          <w:color w:val="188038"/>
          <w:rtl w:val="0"/>
        </w:rPr>
        <w:t xml:space="preserve">HKDF-SHA3-256</w:t>
      </w:r>
      <w:r w:rsidDel="00000000" w:rsidR="00000000" w:rsidRPr="00000000">
        <w:rPr>
          <w:rtl w:val="0"/>
        </w:rPr>
        <w:t xml:space="preserve"> with a destruction derivation path that produces a one-way transformation. The </w:t>
      </w:r>
      <w:r w:rsidDel="00000000" w:rsidR="00000000" w:rsidRPr="00000000">
        <w:rPr>
          <w:rFonts w:ascii="Roboto Mono" w:cs="Roboto Mono" w:eastAsia="Roboto Mono" w:hAnsi="Roboto Mono"/>
          <w:color w:val="188038"/>
          <w:rtl w:val="0"/>
        </w:rPr>
        <w:t xml:space="preserve">hkdfSha3256Confirmed: true</w:t>
      </w:r>
      <w:r w:rsidDel="00000000" w:rsidR="00000000" w:rsidRPr="00000000">
        <w:rPr>
          <w:rtl w:val="0"/>
        </w:rPr>
        <w:t xml:space="preserve"> field in the resulting </w:t>
      </w:r>
      <w:r w:rsidDel="00000000" w:rsidR="00000000" w:rsidRPr="00000000">
        <w:rPr>
          <w:rFonts w:ascii="Roboto Mono" w:cs="Roboto Mono" w:eastAsia="Roboto Mono" w:hAnsi="Roboto Mono"/>
          <w:color w:val="188038"/>
          <w:rtl w:val="0"/>
        </w:rPr>
        <w:t xml:space="preserve">EKRRecord_v1_0_0</w:t>
      </w:r>
      <w:r w:rsidDel="00000000" w:rsidR="00000000" w:rsidRPr="00000000">
        <w:rPr>
          <w:rtl w:val="0"/>
        </w:rPr>
        <w:t xml:space="preserve"> entry confirms execution. The </w:t>
      </w:r>
      <w:r w:rsidDel="00000000" w:rsidR="00000000" w:rsidRPr="00000000">
        <w:rPr>
          <w:rFonts w:ascii="Roboto Mono" w:cs="Roboto Mono" w:eastAsia="Roboto Mono" w:hAnsi="Roboto Mono"/>
          <w:color w:val="188038"/>
          <w:rtl w:val="0"/>
        </w:rPr>
        <w:t xml:space="preserve">auditRetentionAnchor</w:t>
      </w:r>
      <w:r w:rsidDel="00000000" w:rsidR="00000000" w:rsidRPr="00000000">
        <w:rPr>
          <w:rtl w:val="0"/>
        </w:rPr>
        <w:t xml:space="preserve"> SHA-256 field ensures that the audit trail of the erasure ceremony survives key destruction - the log proving that authorized erasure occurred remains intact even after the keys enabling that erasure have been destroyed.</w:t>
      </w:r>
      <w:hyperlink r:id="rId438">
        <w:r w:rsidDel="00000000" w:rsidR="00000000" w:rsidRPr="00000000">
          <w:rPr>
            <w:rtl w:val="0"/>
          </w:rPr>
          <w:t xml:space="preserve"> </w:t>
        </w:r>
      </w:hyperlink>
      <w:hyperlink r:id="rId439">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8A">
      <w:pPr>
        <w:spacing w:after="240" w:before="240" w:lineRule="auto"/>
        <w:rPr>
          <w:color w:val="1155cc"/>
          <w:u w:val="single"/>
        </w:rPr>
      </w:pPr>
      <w:r w:rsidDel="00000000" w:rsidR="00000000" w:rsidRPr="00000000">
        <w:rPr>
          <w:rtl w:val="0"/>
        </w:rPr>
        <w:t xml:space="preserve">If the request would violate a mandatory retention law - for example, SEC Rule 17a-4's six-year minimum or MiFID II's five-year minimum - the Governance Lane issues Refuse, citing the specific retention obligation in the </w:t>
      </w:r>
      <w:r w:rsidDel="00000000" w:rsidR="00000000" w:rsidRPr="00000000">
        <w:rPr>
          <w:rFonts w:ascii="Roboto Mono" w:cs="Roboto Mono" w:eastAsia="Roboto Mono" w:hAnsi="Roboto Mono"/>
          <w:color w:val="188038"/>
          <w:rtl w:val="0"/>
        </w:rPr>
        <w:t xml:space="preserve">regulatory_nexus_reference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refusalIsPermanent: true</w:t>
      </w:r>
      <w:r w:rsidDel="00000000" w:rsidR="00000000" w:rsidRPr="00000000">
        <w:rPr>
          <w:rtl w:val="0"/>
        </w:rPr>
        <w:t xml:space="preserve"> default applies: the erasure request is permanently barred until resubmitted after the retention period expires.</w:t>
      </w:r>
      <w:hyperlink r:id="rId440">
        <w:r w:rsidDel="00000000" w:rsidR="00000000" w:rsidRPr="00000000">
          <w:rPr>
            <w:rtl w:val="0"/>
          </w:rPr>
          <w:t xml:space="preserve"> </w:t>
        </w:r>
      </w:hyperlink>
      <w:hyperlink r:id="rId441">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8B">
      <w:pPr>
        <w:spacing w:after="240" w:before="240" w:lineRule="auto"/>
        <w:rPr>
          <w:color w:val="1155cc"/>
          <w:u w:val="single"/>
        </w:rPr>
      </w:pPr>
      <w:r w:rsidDel="00000000" w:rsidR="00000000" w:rsidRPr="00000000">
        <w:rPr>
          <w:rtl w:val="0"/>
        </w:rPr>
        <w:t xml:space="preserve">If the evidentiary basis is incomplete, the Governance Lane issues Epistemic Hold. The </w:t>
      </w:r>
      <w:r w:rsidDel="00000000" w:rsidR="00000000" w:rsidRPr="00000000">
        <w:rPr>
          <w:rFonts w:ascii="Roboto Mono" w:cs="Roboto Mono" w:eastAsia="Roboto Mono" w:hAnsi="Roboto Mono"/>
          <w:color w:val="188038"/>
          <w:rtl w:val="0"/>
        </w:rPr>
        <w:t xml:space="preserve">EscrowRecord_v1_0_0.requiredConditions</w:t>
      </w:r>
      <w:r w:rsidDel="00000000" w:rsidR="00000000" w:rsidRPr="00000000">
        <w:rPr>
          <w:rtl w:val="0"/>
        </w:rPr>
        <w:t xml:space="preserve"> array specifies exactly what documentation the data subject must provide. The </w:t>
      </w:r>
      <w:r w:rsidDel="00000000" w:rsidR="00000000" w:rsidRPr="00000000">
        <w:rPr>
          <w:rFonts w:ascii="Roboto Mono" w:cs="Roboto Mono" w:eastAsia="Roboto Mono" w:hAnsi="Roboto Mono"/>
          <w:color w:val="188038"/>
          <w:rtl w:val="0"/>
        </w:rPr>
        <w:t xml:space="preserve">GovernancePause</w:t>
      </w:r>
      <w:r w:rsidDel="00000000" w:rsidR="00000000" w:rsidRPr="00000000">
        <w:rPr>
          <w:rtl w:val="0"/>
        </w:rPr>
        <w:t xml:space="preserve"> workflow (</w:t>
      </w:r>
      <w:r w:rsidDel="00000000" w:rsidR="00000000" w:rsidRPr="00000000">
        <w:rPr>
          <w:rFonts w:ascii="Roboto Mono" w:cs="Roboto Mono" w:eastAsia="Roboto Mono" w:hAnsi="Roboto Mono"/>
          <w:color w:val="188038"/>
          <w:rtl w:val="0"/>
        </w:rPr>
        <w:t xml:space="preserve">StateEnvelope.processActive: const: "GovernancePause"</w:t>
      </w:r>
      <w:r w:rsidDel="00000000" w:rsidR="00000000" w:rsidRPr="00000000">
        <w:rPr>
          <w:rtl w:val="0"/>
        </w:rPr>
        <w:t xml:space="preserve">) requests the missing documentation through the escalation webhook before proceeding.</w:t>
      </w:r>
      <w:hyperlink r:id="rId442">
        <w:r w:rsidDel="00000000" w:rsidR="00000000" w:rsidRPr="00000000">
          <w:rPr>
            <w:rtl w:val="0"/>
          </w:rPr>
          <w:t xml:space="preserve"> </w:t>
        </w:r>
      </w:hyperlink>
      <w:hyperlink r:id="rId443">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8C">
      <w:pPr>
        <w:spacing w:after="240" w:before="240" w:lineRule="auto"/>
        <w:rPr>
          <w:color w:val="1155cc"/>
          <w:u w:val="single"/>
        </w:rPr>
      </w:pPr>
      <w:r w:rsidDel="00000000" w:rsidR="00000000" w:rsidRPr="00000000">
        <w:rPr>
          <w:rtl w:val="0"/>
        </w:rPr>
        <w:t xml:space="preserve">The Decision Log for every erasure operation is as rigorous as the Decision Log for a financial transaction. It contains the original erasure request, the identity verification evidence, the GDPR grounds analysis, the retention conflict assessment, the Governance Lane determination, the chamber signatures from </w:t>
      </w:r>
      <w:r w:rsidDel="00000000" w:rsidR="00000000" w:rsidRPr="00000000">
        <w:rPr>
          <w:rFonts w:ascii="Roboto Mono" w:cs="Roboto Mono" w:eastAsia="Roboto Mono" w:hAnsi="Roboto Mono"/>
          <w:color w:val="188038"/>
          <w:rtl w:val="0"/>
        </w:rPr>
        <w:t xml:space="preserve">TriCameralApproval_v1_0_0</w:t>
      </w:r>
      <w:r w:rsidDel="00000000" w:rsidR="00000000" w:rsidRPr="00000000">
        <w:rPr>
          <w:rtl w:val="0"/>
        </w:rPr>
        <w:t xml:space="preserve">, and the cryptographic attestation of key destruction through </w:t>
      </w:r>
      <w:r w:rsidDel="00000000" w:rsidR="00000000" w:rsidRPr="00000000">
        <w:rPr>
          <w:rFonts w:ascii="Roboto Mono" w:cs="Roboto Mono" w:eastAsia="Roboto Mono" w:hAnsi="Roboto Mono"/>
          <w:color w:val="188038"/>
          <w:rtl w:val="0"/>
        </w:rPr>
        <w:t xml:space="preserve">hkdfSha3256Confirmed</w:t>
      </w:r>
      <w:r w:rsidDel="00000000" w:rsidR="00000000" w:rsidRPr="00000000">
        <w:rPr>
          <w:rtl w:val="0"/>
        </w:rPr>
        <w:t xml:space="preserve">.</w:t>
      </w:r>
      <w:hyperlink r:id="rId444">
        <w:r w:rsidDel="00000000" w:rsidR="00000000" w:rsidRPr="00000000">
          <w:rPr>
            <w:rtl w:val="0"/>
          </w:rPr>
          <w:t xml:space="preserve"> </w:t>
        </w:r>
      </w:hyperlink>
      <w:hyperlink r:id="rId445">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8D">
      <w:pPr>
        <w:pStyle w:val="Heading2"/>
        <w:keepNext w:val="0"/>
        <w:keepLines w:val="0"/>
        <w:spacing w:after="80" w:lineRule="auto"/>
        <w:rPr>
          <w:b w:val="1"/>
          <w:bCs w:val="1"/>
          <w:sz w:val="34"/>
          <w:szCs w:val="34"/>
        </w:rPr>
      </w:pPr>
      <w:bookmarkStart w:colFirst="0" w:colLast="0" w:name="_7i8bvjtotiy0" w:id="69"/>
      <w:bookmarkEnd w:id="69"/>
      <w:r w:rsidDel="00000000" w:rsidR="00000000" w:rsidRPr="00000000">
        <w:rPr>
          <w:b w:val="1"/>
          <w:bCs w:val="1"/>
          <w:sz w:val="34"/>
          <w:szCs w:val="34"/>
          <w:rtl w:val="0"/>
        </w:rPr>
        <w:t xml:space="preserve">6.3 Ephemeral Key Rotation: Architecture and Operational Mechanics</w:t>
      </w:r>
    </w:p>
    <w:p w:rsidR="00000000" w:rsidDel="00000000" w:rsidP="00000000" w:rsidRDefault="00000000" w:rsidRPr="00000000" w14:paraId="0000028E">
      <w:pPr>
        <w:spacing w:after="240" w:before="240" w:lineRule="auto"/>
        <w:rPr>
          <w:color w:val="1155cc"/>
          <w:u w:val="single"/>
        </w:rPr>
      </w:pPr>
      <w:r w:rsidDel="00000000" w:rsidR="00000000" w:rsidRPr="00000000">
        <w:rPr>
          <w:rtl w:val="0"/>
        </w:rPr>
        <w:t xml:space="preserve">Ephemeral Key Rotation is the mechanism that grants regulators, auditors, and forensic investigators time-bound, revocable, and compartmentalized access to pseudonymized Decision Logs without permanent exposure of master keys, Inference Lane model parameters, or personal data in decrypted form. EKR is defined in </w:t>
      </w:r>
      <w:r w:rsidDel="00000000" w:rsidR="00000000" w:rsidRPr="00000000">
        <w:rPr>
          <w:rFonts w:ascii="Roboto Mono" w:cs="Roboto Mono" w:eastAsia="Roboto Mono" w:hAnsi="Roboto Mono"/>
          <w:color w:val="188038"/>
          <w:rtl w:val="0"/>
        </w:rPr>
        <w:t xml:space="preserve">EKRRecord_v1_0_0</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tl_schema.json</w:t>
      </w:r>
      <w:r w:rsidDel="00000000" w:rsidR="00000000" w:rsidRPr="00000000">
        <w:rPr>
          <w:rtl w:val="0"/>
        </w:rPr>
        <w:t xml:space="preserve">.</w:t>
      </w:r>
      <w:hyperlink r:id="rId446">
        <w:r w:rsidDel="00000000" w:rsidR="00000000" w:rsidRPr="00000000">
          <w:rPr>
            <w:rtl w:val="0"/>
          </w:rPr>
          <w:t xml:space="preserve"> </w:t>
        </w:r>
      </w:hyperlink>
      <w:hyperlink r:id="rId447">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8F">
      <w:pPr>
        <w:spacing w:after="240" w:before="240" w:lineRule="auto"/>
        <w:rPr/>
      </w:pPr>
      <w:r w:rsidDel="00000000" w:rsidR="00000000" w:rsidRPr="00000000">
        <w:rPr>
          <w:rtl w:val="0"/>
        </w:rPr>
        <w:t xml:space="preserve">EKR operates through a four-stage process.</w:t>
      </w:r>
    </w:p>
    <w:p w:rsidR="00000000" w:rsidDel="00000000" w:rsidP="00000000" w:rsidRDefault="00000000" w:rsidRPr="00000000" w14:paraId="00000290">
      <w:pPr>
        <w:spacing w:after="240" w:before="240" w:lineRule="auto"/>
        <w:rPr>
          <w:color w:val="1155cc"/>
          <w:u w:val="single"/>
        </w:rPr>
      </w:pPr>
      <w:r w:rsidDel="00000000" w:rsidR="00000000" w:rsidRPr="00000000">
        <w:rPr>
          <w:b w:val="1"/>
          <w:bCs w:val="1"/>
          <w:rtl w:val="0"/>
        </w:rPr>
        <w:t xml:space="preserve">Stage 1: Access Request Evaluation.</w:t>
      </w:r>
      <w:r w:rsidDel="00000000" w:rsidR="00000000" w:rsidRPr="00000000">
        <w:rPr>
          <w:rtl w:val="0"/>
        </w:rPr>
        <w:t xml:space="preserve"> When an authorized party requests access to specific Decision Logs, the request is submitted to the Governance Lane as a constitutional proposal. The Governance Lane evaluates the request against constitutional criteria: the requester's verified identity and authorization level; the scope of the requested data; the regulatory or legal basis for the request; and the temporal boundaries of the audit session. If the Governance Lane issues Proceed, the Smart Contract Treasury initiates the key generation ceremony. If it issues Refuse - because the request lacks legal authorization, exceeds the stated scope, or exhibits a pattern consistent with surveillance conversion as detected through the Oracle Problem evaluation in Section 5.2 - the refusal is recorded through </w:t>
      </w:r>
      <w:r w:rsidDel="00000000" w:rsidR="00000000" w:rsidRPr="00000000">
        <w:rPr>
          <w:rFonts w:ascii="Roboto Mono" w:cs="Roboto Mono" w:eastAsia="Roboto Mono" w:hAnsi="Roboto Mono"/>
          <w:color w:val="188038"/>
          <w:rtl w:val="0"/>
        </w:rPr>
        <w:t xml:space="preserve">POST /refusals</w:t>
      </w:r>
      <w:r w:rsidDel="00000000" w:rsidR="00000000" w:rsidRPr="00000000">
        <w:rPr>
          <w:rtl w:val="0"/>
        </w:rPr>
        <w:t xml:space="preserve">. If it issues Epistemic Hold, the </w:t>
      </w:r>
      <w:r w:rsidDel="00000000" w:rsidR="00000000" w:rsidRPr="00000000">
        <w:rPr>
          <w:rFonts w:ascii="Roboto Mono" w:cs="Roboto Mono" w:eastAsia="Roboto Mono" w:hAnsi="Roboto Mono"/>
          <w:color w:val="188038"/>
          <w:rtl w:val="0"/>
        </w:rPr>
        <w:t xml:space="preserve">GovernancePause</w:t>
      </w:r>
      <w:r w:rsidDel="00000000" w:rsidR="00000000" w:rsidRPr="00000000">
        <w:rPr>
          <w:rtl w:val="0"/>
        </w:rPr>
        <w:t xml:space="preserve"> workflow requests clarification before proceeding, with </w:t>
      </w:r>
      <w:r w:rsidDel="00000000" w:rsidR="00000000" w:rsidRPr="00000000">
        <w:rPr>
          <w:rFonts w:ascii="Roboto Mono" w:cs="Roboto Mono" w:eastAsia="Roboto Mono" w:hAnsi="Roboto Mono"/>
          <w:color w:val="188038"/>
          <w:rtl w:val="0"/>
        </w:rPr>
        <w:t xml:space="preserve">requiredConditions</w:t>
      </w:r>
      <w:r w:rsidDel="00000000" w:rsidR="00000000" w:rsidRPr="00000000">
        <w:rPr>
          <w:rtl w:val="0"/>
        </w:rPr>
        <w:t xml:space="preserve"> populated in </w:t>
      </w:r>
      <w:r w:rsidDel="00000000" w:rsidR="00000000" w:rsidRPr="00000000">
        <w:rPr>
          <w:rFonts w:ascii="Roboto Mono" w:cs="Roboto Mono" w:eastAsia="Roboto Mono" w:hAnsi="Roboto Mono"/>
          <w:color w:val="188038"/>
          <w:rtl w:val="0"/>
        </w:rPr>
        <w:t xml:space="preserve">EscrowRecord_v1_0_0</w:t>
      </w:r>
      <w:r w:rsidDel="00000000" w:rsidR="00000000" w:rsidRPr="00000000">
        <w:rPr>
          <w:rtl w:val="0"/>
        </w:rPr>
        <w:t xml:space="preserve">.</w:t>
      </w:r>
      <w:hyperlink r:id="rId448">
        <w:r w:rsidDel="00000000" w:rsidR="00000000" w:rsidRPr="00000000">
          <w:rPr>
            <w:rtl w:val="0"/>
          </w:rPr>
          <w:t xml:space="preserve"> </w:t>
        </w:r>
      </w:hyperlink>
      <w:hyperlink r:id="rId449">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291">
      <w:pPr>
        <w:spacing w:after="240" w:before="240" w:lineRule="auto"/>
        <w:rPr>
          <w:color w:val="1155cc"/>
          <w:u w:val="single"/>
        </w:rPr>
      </w:pPr>
      <w:r w:rsidDel="00000000" w:rsidR="00000000" w:rsidRPr="00000000">
        <w:rPr>
          <w:b w:val="1"/>
          <w:bCs w:val="1"/>
          <w:rtl w:val="0"/>
        </w:rPr>
        <w:t xml:space="preserve">Stage 2: Ephemeral Key Generation.</w:t>
      </w:r>
      <w:r w:rsidDel="00000000" w:rsidR="00000000" w:rsidRPr="00000000">
        <w:rPr>
          <w:rtl w:val="0"/>
        </w:rPr>
        <w:t xml:space="preserve"> The ceremony produces a unique asymmetric key pair through the Shamir Secret Sharing infrastructure. The private key is assembled from custodian shares and immediately transferred to a hardware security module under time-locked control. The public key is used to encrypt the specific data envelope authorized by the Governance Lane determination. The encrypted envelope is cryptographically bound to the session scope: any attempt to decrypt data outside the authorized scope fails because the ephemeral key was generated only for the specific records approved by the Governance Lane.</w:t>
      </w:r>
      <w:hyperlink r:id="rId450">
        <w:r w:rsidDel="00000000" w:rsidR="00000000" w:rsidRPr="00000000">
          <w:rPr>
            <w:rtl w:val="0"/>
          </w:rPr>
          <w:t xml:space="preserve"> </w:t>
        </w:r>
      </w:hyperlink>
      <w:hyperlink r:id="rId451">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292">
      <w:pPr>
        <w:spacing w:after="240" w:before="240" w:lineRule="auto"/>
        <w:rPr>
          <w:color w:val="1155cc"/>
          <w:u w:val="single"/>
        </w:rPr>
      </w:pPr>
      <w:r w:rsidDel="00000000" w:rsidR="00000000" w:rsidRPr="00000000">
        <w:rPr>
          <w:b w:val="1"/>
          <w:bCs w:val="1"/>
          <w:rtl w:val="0"/>
        </w:rPr>
        <w:t xml:space="preserve">Stage 3: Time-Bounded Access.</w:t>
      </w:r>
      <w:r w:rsidDel="00000000" w:rsidR="00000000" w:rsidRPr="00000000">
        <w:rPr>
          <w:rtl w:val="0"/>
        </w:rPr>
        <w:t xml:space="preserve"> The ephemeral private key is released to the authorized auditor only for a defined duration. The key is stored in a hardware security module with an automatic destruction timer governed by the Smart Contract Treasury's algorithmic timers - not by institutional discretion. The </w:t>
      </w:r>
      <w:r w:rsidDel="00000000" w:rsidR="00000000" w:rsidRPr="00000000">
        <w:rPr>
          <w:rFonts w:ascii="Roboto Mono" w:cs="Roboto Mono" w:eastAsia="Roboto Mono" w:hAnsi="Roboto Mono"/>
          <w:color w:val="188038"/>
          <w:rtl w:val="0"/>
        </w:rPr>
        <w:t xml:space="preserve">EKRRecord_v1_0_0</w:t>
      </w:r>
      <w:r w:rsidDel="00000000" w:rsidR="00000000" w:rsidRPr="00000000">
        <w:rPr>
          <w:rtl w:val="0"/>
        </w:rPr>
        <w:t xml:space="preserve"> records the </w:t>
      </w:r>
      <w:r w:rsidDel="00000000" w:rsidR="00000000" w:rsidRPr="00000000">
        <w:rPr>
          <w:rFonts w:ascii="Roboto Mono" w:cs="Roboto Mono" w:eastAsia="Roboto Mono" w:hAnsi="Roboto Mono"/>
          <w:color w:val="188038"/>
          <w:rtl w:val="0"/>
        </w:rPr>
        <w:t xml:space="preserve">auditRetentionAnchor</w:t>
      </w:r>
      <w:r w:rsidDel="00000000" w:rsidR="00000000" w:rsidRPr="00000000">
        <w:rPr>
          <w:rtl w:val="0"/>
        </w:rPr>
        <w:t xml:space="preserve"> SHA-256 confirming the audit session occurred, even after the ephemeral key has been destroyed. The auditor cannot retain the key for future access. The institution cannot revoke the key early to conceal evidence, because destruction is automatic.</w:t>
      </w:r>
      <w:hyperlink r:id="rId452">
        <w:r w:rsidDel="00000000" w:rsidR="00000000" w:rsidRPr="00000000">
          <w:rPr>
            <w:rtl w:val="0"/>
          </w:rPr>
          <w:t xml:space="preserve"> </w:t>
        </w:r>
      </w:hyperlink>
      <w:hyperlink r:id="rId453">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93">
      <w:pPr>
        <w:spacing w:after="240" w:before="240" w:lineRule="auto"/>
        <w:rPr>
          <w:color w:val="1155cc"/>
          <w:u w:val="single"/>
        </w:rPr>
      </w:pPr>
      <w:r w:rsidDel="00000000" w:rsidR="00000000" w:rsidRPr="00000000">
        <w:rPr>
          <w:b w:val="1"/>
          <w:bCs w:val="1"/>
          <w:rtl w:val="0"/>
        </w:rPr>
        <w:t xml:space="preserve">Stage 4: Automatic Destruction and Compartmentalization.</w:t>
      </w:r>
      <w:r w:rsidDel="00000000" w:rsidR="00000000" w:rsidRPr="00000000">
        <w:rPr>
          <w:rtl w:val="0"/>
        </w:rPr>
        <w:t xml:space="preserve"> When the timer expires, the key is cryptographically shredded through </w:t>
      </w:r>
      <w:r w:rsidDel="00000000" w:rsidR="00000000" w:rsidRPr="00000000">
        <w:rPr>
          <w:rFonts w:ascii="Roboto Mono" w:cs="Roboto Mono" w:eastAsia="Roboto Mono" w:hAnsi="Roboto Mono"/>
          <w:color w:val="188038"/>
          <w:rtl w:val="0"/>
        </w:rPr>
        <w:t xml:space="preserve">HKDF-SHA3-256</w:t>
      </w:r>
      <w:r w:rsidDel="00000000" w:rsidR="00000000" w:rsidRPr="00000000">
        <w:rPr>
          <w:rtl w:val="0"/>
        </w:rPr>
        <w:t xml:space="preserve"> destruction derivation, confirmed in </w:t>
      </w:r>
      <w:r w:rsidDel="00000000" w:rsidR="00000000" w:rsidRPr="00000000">
        <w:rPr>
          <w:rFonts w:ascii="Roboto Mono" w:cs="Roboto Mono" w:eastAsia="Roboto Mono" w:hAnsi="Roboto Mono"/>
          <w:color w:val="188038"/>
          <w:rtl w:val="0"/>
        </w:rPr>
        <w:t xml:space="preserve">EKRRecord_v1_0_0.hkdfSha3256Confirmed: true</w:t>
      </w:r>
      <w:r w:rsidDel="00000000" w:rsidR="00000000" w:rsidRPr="00000000">
        <w:rPr>
          <w:rtl w:val="0"/>
        </w:rPr>
        <w:t xml:space="preserve">. The original data remains pseudonymized and encrypted under the master Hybrid Shield keys, which are never exposed during the audit session.</w:t>
      </w:r>
      <w:hyperlink r:id="rId454">
        <w:r w:rsidDel="00000000" w:rsidR="00000000" w:rsidRPr="00000000">
          <w:rPr>
            <w:rtl w:val="0"/>
          </w:rPr>
          <w:t xml:space="preserve"> </w:t>
        </w:r>
      </w:hyperlink>
      <w:hyperlink r:id="rId455">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94">
      <w:pPr>
        <w:spacing w:after="240" w:before="240" w:lineRule="auto"/>
        <w:rPr/>
      </w:pPr>
      <w:r w:rsidDel="00000000" w:rsidR="00000000" w:rsidRPr="00000000">
        <w:rPr>
          <w:rtl w:val="0"/>
        </w:rPr>
        <w:t xml:space="preserve">If an ephemeral key is compromised during its active window, the damage is compartmentalized. The adversary gains access only to the specific data envelope encrypted under that key. They do not gain access to the master keys. They do not gain access to other audit sessions, because future sessions use different ephemeral keys generated from different threshold ceremonies. This is the cryptographic realization of the principle of least privilege.</w:t>
      </w:r>
    </w:p>
    <w:p w:rsidR="00000000" w:rsidDel="00000000" w:rsidP="00000000" w:rsidRDefault="00000000" w:rsidRPr="00000000" w14:paraId="00000295">
      <w:pPr>
        <w:spacing w:after="240" w:before="240" w:lineRule="auto"/>
        <w:rPr>
          <w:color w:val="1155cc"/>
          <w:u w:val="single"/>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GET /regulator/custodian-quorum</w:t>
      </w:r>
      <w:r w:rsidDel="00000000" w:rsidR="00000000" w:rsidRPr="00000000">
        <w:rPr>
          <w:rtl w:val="0"/>
        </w:rPr>
        <w:t xml:space="preserve"> endpoint provides the current quorum status of the Stewardship Custodians required for key ceremony participation. The </w:t>
      </w:r>
      <w:r w:rsidDel="00000000" w:rsidR="00000000" w:rsidRPr="00000000">
        <w:rPr>
          <w:rFonts w:ascii="Roboto Mono" w:cs="Roboto Mono" w:eastAsia="Roboto Mono" w:hAnsi="Roboto Mono"/>
          <w:color w:val="188038"/>
          <w:rtl w:val="0"/>
        </w:rPr>
        <w:t xml:space="preserve">GET /audit/custodians/{custodianId}/heartbeat</w:t>
      </w:r>
      <w:r w:rsidDel="00000000" w:rsidR="00000000" w:rsidRPr="00000000">
        <w:rPr>
          <w:rtl w:val="0"/>
        </w:rPr>
        <w:t xml:space="preserve"> endpoint confirms individual custodian availability before a ceremony is scheduled.</w:t>
      </w:r>
      <w:hyperlink r:id="rId456">
        <w:r w:rsidDel="00000000" w:rsidR="00000000" w:rsidRPr="00000000">
          <w:rPr>
            <w:rtl w:val="0"/>
          </w:rPr>
          <w:t xml:space="preserve"> </w:t>
        </w:r>
      </w:hyperlink>
      <w:hyperlink r:id="rId457">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96">
      <w:pPr>
        <w:pStyle w:val="Heading2"/>
        <w:keepNext w:val="0"/>
        <w:keepLines w:val="0"/>
        <w:spacing w:after="80" w:lineRule="auto"/>
        <w:rPr>
          <w:b w:val="1"/>
          <w:bCs w:val="1"/>
          <w:sz w:val="34"/>
          <w:szCs w:val="34"/>
        </w:rPr>
      </w:pPr>
      <w:bookmarkStart w:colFirst="0" w:colLast="0" w:name="_cnt165z0gcmu" w:id="70"/>
      <w:bookmarkEnd w:id="70"/>
      <w:r w:rsidDel="00000000" w:rsidR="00000000" w:rsidRPr="00000000">
        <w:rPr>
          <w:b w:val="1"/>
          <w:bCs w:val="1"/>
          <w:sz w:val="34"/>
          <w:szCs w:val="34"/>
          <w:rtl w:val="0"/>
        </w:rPr>
        <w:t xml:space="preserve">6.4 Trade Secret Protection and Regulatory Examination</w:t>
      </w:r>
    </w:p>
    <w:p w:rsidR="00000000" w:rsidDel="00000000" w:rsidP="00000000" w:rsidRDefault="00000000" w:rsidRPr="00000000" w14:paraId="00000297">
      <w:pPr>
        <w:spacing w:after="240" w:before="240" w:lineRule="auto"/>
        <w:rPr>
          <w:color w:val="1155cc"/>
          <w:u w:val="single"/>
        </w:rPr>
      </w:pPr>
      <w:r w:rsidDel="00000000" w:rsidR="00000000" w:rsidRPr="00000000">
        <w:rPr>
          <w:rtl w:val="0"/>
        </w:rPr>
        <w:t xml:space="preserve">EKR resolves the permanent tension between regulatory examination rights and trade secret protection.</w:t>
      </w:r>
      <w:hyperlink r:id="rId458">
        <w:r w:rsidDel="00000000" w:rsidR="00000000" w:rsidRPr="00000000">
          <w:rPr>
            <w:rtl w:val="0"/>
          </w:rPr>
          <w:t xml:space="preserve"> </w:t>
        </w:r>
      </w:hyperlink>
      <w:hyperlink r:id="rId459">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298">
      <w:pPr>
        <w:spacing w:after="240" w:before="240" w:lineRule="auto"/>
        <w:rPr/>
      </w:pPr>
      <w:r w:rsidDel="00000000" w:rsidR="00000000" w:rsidRPr="00000000">
        <w:rPr>
          <w:rtl w:val="0"/>
        </w:rPr>
        <w:t xml:space="preserve">The Governance Lane configures the ephemeral key scope to include only the Decision Logs - the constitutional evaluation records - not the Inference Lane model weights or proprietary feature engineering. The auditor verifies that the model was certified by the Technical Council, recalibrated on schedule, and its outputs evaluated against the constitutional schema - without learning the model's proprietary parameters.</w:t>
      </w:r>
    </w:p>
    <w:p w:rsidR="00000000" w:rsidDel="00000000" w:rsidP="00000000" w:rsidRDefault="00000000" w:rsidRPr="00000000" w14:paraId="00000299">
      <w:pPr>
        <w:spacing w:after="240" w:before="240" w:lineRule="auto"/>
        <w:rPr/>
      </w:pPr>
      <w:r w:rsidDel="00000000" w:rsidR="00000000" w:rsidRPr="00000000">
        <w:rPr>
          <w:rtl w:val="0"/>
        </w:rPr>
        <w:t xml:space="preserve">Regulatory alignment confirms that EKR satisfies examination requirements of major financial supervisors:</w:t>
      </w:r>
    </w:p>
    <w:p w:rsidR="00000000" w:rsidDel="00000000" w:rsidP="00000000" w:rsidRDefault="00000000" w:rsidRPr="00000000" w14:paraId="0000029A">
      <w:pPr>
        <w:numPr>
          <w:ilvl w:val="0"/>
          <w:numId w:val="3"/>
        </w:numPr>
        <w:spacing w:after="0" w:before="240" w:lineRule="auto"/>
        <w:ind w:left="720" w:hanging="360"/>
        <w:rPr/>
      </w:pPr>
      <w:r w:rsidDel="00000000" w:rsidR="00000000" w:rsidRPr="00000000">
        <w:rPr>
          <w:b w:val="1"/>
          <w:bCs w:val="1"/>
          <w:rtl w:val="0"/>
        </w:rPr>
        <w:t xml:space="preserve">SEC Rule 17a-4</w:t>
      </w:r>
      <w:r w:rsidDel="00000000" w:rsidR="00000000" w:rsidRPr="00000000">
        <w:rPr>
          <w:rtl w:val="0"/>
        </w:rPr>
        <w:t xml:space="preserve">: requires broker-dealers to produce records for regulatory examination upon request. EKR satisfies this by making records available through ephemeral decryption without transferring permanent custody.</w:t>
      </w:r>
    </w:p>
    <w:p w:rsidR="00000000" w:rsidDel="00000000" w:rsidP="00000000" w:rsidRDefault="00000000" w:rsidRPr="00000000" w14:paraId="0000029B">
      <w:pPr>
        <w:numPr>
          <w:ilvl w:val="0"/>
          <w:numId w:val="3"/>
        </w:numPr>
        <w:spacing w:after="0" w:before="0" w:lineRule="auto"/>
        <w:ind w:left="720" w:hanging="360"/>
        <w:rPr/>
      </w:pPr>
      <w:r w:rsidDel="00000000" w:rsidR="00000000" w:rsidRPr="00000000">
        <w:rPr>
          <w:b w:val="1"/>
          <w:bCs w:val="1"/>
          <w:rtl w:val="0"/>
        </w:rPr>
        <w:t xml:space="preserve">FINRA audit requirements</w:t>
      </w:r>
      <w:r w:rsidDel="00000000" w:rsidR="00000000" w:rsidRPr="00000000">
        <w:rPr>
          <w:rtl w:val="0"/>
        </w:rPr>
        <w:t xml:space="preserve">: demand that firms provide examiners with access to books and records. EKR satisfies this by granting time-bound access that expires automatically upon examination completion.</w:t>
      </w:r>
    </w:p>
    <w:p w:rsidR="00000000" w:rsidDel="00000000" w:rsidP="00000000" w:rsidRDefault="00000000" w:rsidRPr="00000000" w14:paraId="0000029C">
      <w:pPr>
        <w:numPr>
          <w:ilvl w:val="0"/>
          <w:numId w:val="3"/>
        </w:numPr>
        <w:spacing w:after="240" w:before="0" w:lineRule="auto"/>
        <w:ind w:left="720" w:hanging="360"/>
        <w:rPr/>
      </w:pPr>
      <w:r w:rsidDel="00000000" w:rsidR="00000000" w:rsidRPr="00000000">
        <w:rPr>
          <w:b w:val="1"/>
          <w:bCs w:val="1"/>
          <w:rtl w:val="0"/>
        </w:rPr>
        <w:t xml:space="preserve">Basel III IT governance principles</w:t>
      </w:r>
      <w:r w:rsidDel="00000000" w:rsidR="00000000" w:rsidRPr="00000000">
        <w:rPr>
          <w:rtl w:val="0"/>
        </w:rPr>
        <w:t xml:space="preserve">: require that banks maintain audit trails for model-driven decisions and that these trails be available to supervisors. EKR satisfies this by embedding audit trail access into the constitutional schema, making supervisor access itself a governed decision with its own evidentiary log through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w:t>
      </w:r>
      <w:hyperlink r:id="rId460">
        <w:r w:rsidDel="00000000" w:rsidR="00000000" w:rsidRPr="00000000">
          <w:rPr>
            <w:rtl w:val="0"/>
          </w:rPr>
          <w:t xml:space="preserve"> </w:t>
        </w:r>
      </w:hyperlink>
      <w:hyperlink r:id="rId461">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29D">
      <w:pPr>
        <w:spacing w:after="240" w:before="240" w:lineRule="auto"/>
        <w:rPr>
          <w:color w:val="1155cc"/>
          <w:u w:val="single"/>
        </w:rPr>
      </w:pPr>
      <w:r w:rsidDel="00000000" w:rsidR="00000000" w:rsidRPr="00000000">
        <w:rPr>
          <w:rtl w:val="0"/>
        </w:rPr>
        <w:t xml:space="preserve">EKR also enables the cross-border regulatory cooperation that global financial stability requires without data sovereignty conflicts. A US regulator examining a European institution's TL-governed trading desk can receive an ephemeral key for the relevant Decision Logs without the institution permanently transferring data to US jurisdiction. The key expires automatically. The data remains in European custody. The US regulator's access is logged and auditable by European authorities via </w:t>
      </w:r>
      <w:r w:rsidDel="00000000" w:rsidR="00000000" w:rsidRPr="00000000">
        <w:rPr>
          <w:rFonts w:ascii="Roboto Mono" w:cs="Roboto Mono" w:eastAsia="Roboto Mono" w:hAnsi="Roboto Mono"/>
          <w:color w:val="188038"/>
          <w:rtl w:val="0"/>
        </w:rPr>
        <w:t xml:space="preserve">GET /audit/verifications/inclusion/{logId}</w:t>
      </w:r>
      <w:r w:rsidDel="00000000" w:rsidR="00000000" w:rsidRPr="00000000">
        <w:rPr>
          <w:rtl w:val="0"/>
        </w:rPr>
        <w:t xml:space="preserve">. This satisfies both the US regulator's examination mandate and the European institution's GDPR data localization requirements simultaneously.</w:t>
      </w:r>
      <w:hyperlink r:id="rId462">
        <w:r w:rsidDel="00000000" w:rsidR="00000000" w:rsidRPr="00000000">
          <w:rPr>
            <w:rtl w:val="0"/>
          </w:rPr>
          <w:t xml:space="preserve"> </w:t>
        </w:r>
      </w:hyperlink>
      <w:hyperlink r:id="rId463">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29E">
      <w:pPr>
        <w:pStyle w:val="Heading2"/>
        <w:keepNext w:val="0"/>
        <w:keepLines w:val="0"/>
        <w:spacing w:after="80" w:lineRule="auto"/>
        <w:rPr>
          <w:b w:val="1"/>
          <w:bCs w:val="1"/>
          <w:sz w:val="34"/>
          <w:szCs w:val="34"/>
        </w:rPr>
      </w:pPr>
      <w:bookmarkStart w:colFirst="0" w:colLast="0" w:name="_kkx90wh23lhr" w:id="71"/>
      <w:bookmarkEnd w:id="71"/>
      <w:r w:rsidDel="00000000" w:rsidR="00000000" w:rsidRPr="00000000">
        <w:rPr>
          <w:b w:val="1"/>
          <w:bCs w:val="1"/>
          <w:sz w:val="34"/>
          <w:szCs w:val="34"/>
          <w:rtl w:val="0"/>
        </w:rPr>
        <w:t xml:space="preserve">6.5 GDPR Article 17 Full Compliance Analysis</w:t>
      </w:r>
    </w:p>
    <w:p w:rsidR="00000000" w:rsidDel="00000000" w:rsidP="00000000" w:rsidRDefault="00000000" w:rsidRPr="00000000" w14:paraId="0000029F">
      <w:pPr>
        <w:spacing w:after="240" w:before="240" w:lineRule="auto"/>
        <w:rPr>
          <w:color w:val="1155cc"/>
          <w:u w:val="single"/>
        </w:rPr>
      </w:pPr>
      <w:r w:rsidDel="00000000" w:rsidR="00000000" w:rsidRPr="00000000">
        <w:rPr>
          <w:rtl w:val="0"/>
        </w:rPr>
        <w:t xml:space="preserve">GDPR Article 17 establishes the Right to Erasure. TL's cryptographic erasure protocol satisfies Article 17 through genuine anonymization rather than pseudonymization. The Governance Lane treats erasure requests as first-class constitutional determinations - not administrative housekeeping functions - because the intersection of Article 17 and ledger immutability creates a genuine constitutional question that requires the same evidentiary rigor as any other governance determination.</w:t>
      </w:r>
      <w:hyperlink r:id="rId464">
        <w:r w:rsidDel="00000000" w:rsidR="00000000" w:rsidRPr="00000000">
          <w:rPr>
            <w:rtl w:val="0"/>
          </w:rPr>
          <w:t xml:space="preserve"> </w:t>
        </w:r>
      </w:hyperlink>
      <w:hyperlink r:id="rId465">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A0">
      <w:pPr>
        <w:spacing w:after="240" w:before="240" w:lineRule="auto"/>
        <w:rPr/>
      </w:pPr>
      <w:r w:rsidDel="00000000" w:rsidR="00000000" w:rsidRPr="00000000">
        <w:rPr>
          <w:rtl w:val="0"/>
        </w:rPr>
        <w:t xml:space="preserve">GDPR Article 17(3) specifies grounds on which erasure may be refused. Three are particularly relevant to TL governance operations.</w:t>
      </w:r>
    </w:p>
    <w:p w:rsidR="00000000" w:rsidDel="00000000" w:rsidP="00000000" w:rsidRDefault="00000000" w:rsidRPr="00000000" w14:paraId="000002A1">
      <w:pPr>
        <w:spacing w:after="240" w:before="240" w:lineRule="auto"/>
        <w:rPr>
          <w:color w:val="1155cc"/>
          <w:u w:val="single"/>
        </w:rPr>
      </w:pPr>
      <w:r w:rsidDel="00000000" w:rsidR="00000000" w:rsidRPr="00000000">
        <w:rPr>
          <w:b w:val="1"/>
          <w:bCs w:val="1"/>
          <w:rtl w:val="0"/>
        </w:rPr>
        <w:t xml:space="preserve">Article 17(3)(b)</w:t>
      </w:r>
      <w:r w:rsidDel="00000000" w:rsidR="00000000" w:rsidRPr="00000000">
        <w:rPr>
          <w:rtl w:val="0"/>
        </w:rPr>
        <w:t xml:space="preserve"> permits retention for compliance with a legal obligation requiring processing under Union or Member State law. Financial record retention laws in all major jurisdictions impose mandatory retention obligations that override individual erasure rights during the retention period. The Governance Lane's Refuse determination for premature erasure requests cites the specific retention law in </w:t>
      </w:r>
      <w:r w:rsidDel="00000000" w:rsidR="00000000" w:rsidRPr="00000000">
        <w:rPr>
          <w:rFonts w:ascii="Roboto Mono" w:cs="Roboto Mono" w:eastAsia="Roboto Mono" w:hAnsi="Roboto Mono"/>
          <w:color w:val="188038"/>
          <w:rtl w:val="0"/>
        </w:rPr>
        <w:t xml:space="preserve">regulatory_nexus_reference</w:t>
      </w:r>
      <w:r w:rsidDel="00000000" w:rsidR="00000000" w:rsidRPr="00000000">
        <w:rPr>
          <w:rtl w:val="0"/>
        </w:rPr>
        <w:t xml:space="preserve"> and the earliest permissible erasure date in the refusal Decision Log. </w:t>
      </w:r>
      <w:r w:rsidDel="00000000" w:rsidR="00000000" w:rsidRPr="00000000">
        <w:rPr>
          <w:rFonts w:ascii="Roboto Mono" w:cs="Roboto Mono" w:eastAsia="Roboto Mono" w:hAnsi="Roboto Mono"/>
          <w:color w:val="188038"/>
          <w:rtl w:val="0"/>
        </w:rPr>
        <w:t xml:space="preserve">PATCH /epistemic-hold/escalations/{escalationId}</w:t>
      </w:r>
      <w:r w:rsidDel="00000000" w:rsidR="00000000" w:rsidRPr="00000000">
        <w:rPr>
          <w:rtl w:val="0"/>
        </w:rPr>
        <w:t xml:space="preserve"> cannot be invoked to override a Refuse issued on retention grounds - the </w:t>
      </w:r>
      <w:r w:rsidDel="00000000" w:rsidR="00000000" w:rsidRPr="00000000">
        <w:rPr>
          <w:rFonts w:ascii="Roboto Mono" w:cs="Roboto Mono" w:eastAsia="Roboto Mono" w:hAnsi="Roboto Mono"/>
          <w:color w:val="188038"/>
          <w:rtl w:val="0"/>
        </w:rPr>
        <w:t xml:space="preserve">refusalIsPermanent: true</w:t>
      </w:r>
      <w:r w:rsidDel="00000000" w:rsidR="00000000" w:rsidRPr="00000000">
        <w:rPr>
          <w:rtl w:val="0"/>
        </w:rPr>
        <w:t xml:space="preserve"> default applies.</w:t>
      </w:r>
      <w:hyperlink r:id="rId466">
        <w:r w:rsidDel="00000000" w:rsidR="00000000" w:rsidRPr="00000000">
          <w:rPr>
            <w:rtl w:val="0"/>
          </w:rPr>
          <w:t xml:space="preserve"> </w:t>
        </w:r>
      </w:hyperlink>
      <w:hyperlink r:id="rId467">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A2">
      <w:pPr>
        <w:spacing w:after="240" w:before="240" w:lineRule="auto"/>
        <w:rPr>
          <w:color w:val="1155cc"/>
          <w:u w:val="single"/>
        </w:rPr>
      </w:pPr>
      <w:r w:rsidDel="00000000" w:rsidR="00000000" w:rsidRPr="00000000">
        <w:rPr>
          <w:b w:val="1"/>
          <w:bCs w:val="1"/>
          <w:rtl w:val="0"/>
        </w:rPr>
        <w:t xml:space="preserve">Article 17(3)(e)</w:t>
      </w:r>
      <w:r w:rsidDel="00000000" w:rsidR="00000000" w:rsidRPr="00000000">
        <w:rPr>
          <w:rtl w:val="0"/>
        </w:rPr>
        <w:t xml:space="preserve"> permits retention for the establishment, exercise, or defense of legal claims. An ongoing regulatory enforcement investigation, a pending litigation, or an active supervisory examination may constitute grounds for Refuse under this provision. The Governance Lane requires a documented legal basis in the </w:t>
      </w:r>
      <w:r w:rsidDel="00000000" w:rsidR="00000000" w:rsidRPr="00000000">
        <w:rPr>
          <w:rFonts w:ascii="Roboto Mono" w:cs="Roboto Mono" w:eastAsia="Roboto Mono" w:hAnsi="Roboto Mono"/>
          <w:color w:val="188038"/>
          <w:rtl w:val="0"/>
        </w:rPr>
        <w:t xml:space="preserve">JustificationObject_v1_0_0</w:t>
      </w:r>
      <w:r w:rsidDel="00000000" w:rsidR="00000000" w:rsidRPr="00000000">
        <w:rPr>
          <w:rtl w:val="0"/>
        </w:rPr>
        <w:t xml:space="preserve"> - not merely an institutional claim - and the Decision Log records the specific claim and the expected resolution timeline.</w:t>
      </w:r>
      <w:hyperlink r:id="rId468">
        <w:r w:rsidDel="00000000" w:rsidR="00000000" w:rsidRPr="00000000">
          <w:rPr>
            <w:rtl w:val="0"/>
          </w:rPr>
          <w:t xml:space="preserve"> </w:t>
        </w:r>
      </w:hyperlink>
      <w:hyperlink r:id="rId469">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A3">
      <w:pPr>
        <w:spacing w:after="240" w:before="240" w:lineRule="auto"/>
        <w:rPr>
          <w:color w:val="1155cc"/>
          <w:u w:val="single"/>
        </w:rPr>
      </w:pPr>
      <w:r w:rsidDel="00000000" w:rsidR="00000000" w:rsidRPr="00000000">
        <w:rPr>
          <w:b w:val="1"/>
          <w:bCs w:val="1"/>
          <w:rtl w:val="0"/>
        </w:rPr>
        <w:t xml:space="preserve">Article 17(3)(d)</w:t>
      </w:r>
      <w:r w:rsidDel="00000000" w:rsidR="00000000" w:rsidRPr="00000000">
        <w:rPr>
          <w:rtl w:val="0"/>
        </w:rPr>
        <w:t xml:space="preserve"> permits retention for archiving purposes in the public interest, scientific or historical research, or statistical purposes. The Governance Lane evaluates this ground with particular rigor because its scope is broad and its application is contested. The Stewardship Custodians must have pre-configured the constitutional schema with specific, bounded definitions of what constitutes public interest archiving in the relevant jurisdiction via </w:t>
      </w:r>
      <w:r w:rsidDel="00000000" w:rsidR="00000000" w:rsidRPr="00000000">
        <w:rPr>
          <w:rFonts w:ascii="Roboto Mono" w:cs="Roboto Mono" w:eastAsia="Roboto Mono" w:hAnsi="Roboto Mono"/>
          <w:color w:val="188038"/>
          <w:rtl w:val="0"/>
        </w:rPr>
        <w:t xml:space="preserve">PUT /thresholds/{domain}</w:t>
      </w:r>
      <w:r w:rsidDel="00000000" w:rsidR="00000000" w:rsidRPr="00000000">
        <w:rPr>
          <w:rtl w:val="0"/>
        </w:rPr>
        <w:t xml:space="preserve">. A general claim of research value is insufficient. A specific documented designation under applicable national archiving law is required, verifiable through the </w:t>
      </w:r>
      <w:r w:rsidDel="00000000" w:rsidR="00000000" w:rsidRPr="00000000">
        <w:rPr>
          <w:rFonts w:ascii="Roboto Mono" w:cs="Roboto Mono" w:eastAsia="Roboto Mono" w:hAnsi="Roboto Mono"/>
          <w:color w:val="188038"/>
          <w:rtl w:val="0"/>
        </w:rPr>
        <w:t xml:space="preserve">regulatory_nexus_reference</w:t>
      </w:r>
      <w:r w:rsidDel="00000000" w:rsidR="00000000" w:rsidRPr="00000000">
        <w:rPr>
          <w:rtl w:val="0"/>
        </w:rPr>
        <w:t xml:space="preserve">.</w:t>
      </w:r>
      <w:hyperlink r:id="rId470">
        <w:r w:rsidDel="00000000" w:rsidR="00000000" w:rsidRPr="00000000">
          <w:rPr>
            <w:rtl w:val="0"/>
          </w:rPr>
          <w:t xml:space="preserve"> </w:t>
        </w:r>
      </w:hyperlink>
      <w:hyperlink r:id="rId471">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A4">
      <w:pPr>
        <w:spacing w:after="240" w:before="240" w:lineRule="auto"/>
        <w:rPr/>
      </w:pPr>
      <w:r w:rsidDel="00000000" w:rsidR="00000000" w:rsidRPr="00000000">
        <w:rPr>
          <w:rtl w:val="0"/>
        </w:rPr>
        <w:t xml:space="preserve">Cross-border personal data transfers are governed by the GDPR's Chapter V requirements. When the Inference Lane proposes a cross-border settlement or service that involves personal data transfer to a third country, the Governance Lane queries the Regulatory Nexus through the </w:t>
      </w:r>
      <w:r w:rsidDel="00000000" w:rsidR="00000000" w:rsidRPr="00000000">
        <w:rPr>
          <w:rFonts w:ascii="Roboto Mono" w:cs="Roboto Mono" w:eastAsia="Roboto Mono" w:hAnsi="Roboto Mono"/>
          <w:color w:val="188038"/>
          <w:rtl w:val="0"/>
        </w:rPr>
        <w:t xml:space="preserve">data_protection_domain</w:t>
      </w:r>
      <w:r w:rsidDel="00000000" w:rsidR="00000000" w:rsidRPr="00000000">
        <w:rPr>
          <w:rtl w:val="0"/>
        </w:rPr>
        <w:t xml:space="preserve"> endpoint to determine whether the destination jurisdiction maintains adequacy status under GDPR Article 45, whether standard contractual clauses have been executed, or whether binding corporate rules apply.</w:t>
      </w:r>
      <w:hyperlink r:id="rId472">
        <w:r w:rsidDel="00000000" w:rsidR="00000000" w:rsidRPr="00000000">
          <w:rPr>
            <w:rtl w:val="0"/>
          </w:rPr>
          <w:t xml:space="preserve"> </w:t>
        </w:r>
      </w:hyperlink>
      <w:hyperlink r:id="rId473">
        <w:r w:rsidDel="00000000" w:rsidR="00000000" w:rsidRPr="00000000">
          <w:rPr>
            <w:color w:val="1155cc"/>
            <w:u w:val="single"/>
            <w:rtl w:val="0"/>
          </w:rPr>
          <w:t xml:space="preserve">[14]</w:t>
        </w:r>
      </w:hyperlink>
      <w:r w:rsidDel="00000000" w:rsidR="00000000" w:rsidRPr="00000000">
        <w:rPr>
          <w:rtl w:val="0"/>
        </w:rPr>
        <w:t xml:space="preserve"> If none of these transfer mechanisms is in place, the Governance Lane issues Refuse with the specific GDPR Chapter V provision recorded in </w:t>
      </w:r>
      <w:r w:rsidDel="00000000" w:rsidR="00000000" w:rsidRPr="00000000">
        <w:rPr>
          <w:rFonts w:ascii="Roboto Mono" w:cs="Roboto Mono" w:eastAsia="Roboto Mono" w:hAnsi="Roboto Mono"/>
          <w:color w:val="188038"/>
          <w:rtl w:val="0"/>
        </w:rPr>
        <w:t xml:space="preserve">regulatory_nexus_reference</w:t>
      </w:r>
      <w:r w:rsidDel="00000000" w:rsidR="00000000" w:rsidRPr="00000000">
        <w:rPr>
          <w:rtl w:val="0"/>
        </w:rPr>
        <w:t xml:space="preserve">.</w:t>
      </w:r>
    </w:p>
    <w:p w:rsidR="00000000" w:rsidDel="00000000" w:rsidP="00000000" w:rsidRDefault="00000000" w:rsidRPr="00000000" w14:paraId="000002A5">
      <w:pPr>
        <w:pStyle w:val="Heading2"/>
        <w:keepNext w:val="0"/>
        <w:keepLines w:val="0"/>
        <w:spacing w:after="80" w:lineRule="auto"/>
        <w:rPr>
          <w:b w:val="1"/>
          <w:bCs w:val="1"/>
          <w:sz w:val="34"/>
          <w:szCs w:val="34"/>
        </w:rPr>
      </w:pPr>
      <w:bookmarkStart w:colFirst="0" w:colLast="0" w:name="_hknevi3da8lc" w:id="72"/>
      <w:bookmarkEnd w:id="72"/>
      <w:r w:rsidDel="00000000" w:rsidR="00000000" w:rsidRPr="00000000">
        <w:rPr>
          <w:b w:val="1"/>
          <w:bCs w:val="1"/>
          <w:sz w:val="34"/>
          <w:szCs w:val="34"/>
          <w:rtl w:val="0"/>
        </w:rPr>
        <w:t xml:space="preserve">6.6 Three Residual Sub-Gaps</w:t>
      </w:r>
    </w:p>
    <w:p w:rsidR="00000000" w:rsidDel="00000000" w:rsidP="00000000" w:rsidRDefault="00000000" w:rsidRPr="00000000" w14:paraId="000002A6">
      <w:pPr>
        <w:spacing w:after="240" w:before="240" w:lineRule="auto"/>
        <w:rPr>
          <w:color w:val="1155cc"/>
          <w:u w:val="single"/>
        </w:rPr>
      </w:pPr>
      <w:r w:rsidDel="00000000" w:rsidR="00000000" w:rsidRPr="00000000">
        <w:rPr>
          <w:rtl w:val="0"/>
        </w:rPr>
        <w:t xml:space="preserve">Three residual gaps in the cryptographic erasure architecture remain as FUTURE items, documented in the Constitutional Uncertainty Register in Appendix C.</w:t>
      </w:r>
      <w:hyperlink r:id="rId474">
        <w:r w:rsidDel="00000000" w:rsidR="00000000" w:rsidRPr="00000000">
          <w:rPr>
            <w:rtl w:val="0"/>
          </w:rPr>
          <w:t xml:space="preserve"> </w:t>
        </w:r>
      </w:hyperlink>
      <w:hyperlink r:id="rId475">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A7">
      <w:pPr>
        <w:spacing w:after="240" w:before="240" w:lineRule="auto"/>
        <w:rPr/>
      </w:pPr>
      <w:r w:rsidDel="00000000" w:rsidR="00000000" w:rsidRPr="00000000">
        <w:rPr>
          <w:b w:val="1"/>
          <w:bCs w:val="1"/>
          <w:rtl w:val="0"/>
        </w:rPr>
        <w:t xml:space="preserve">Sub-Gap 1: Regulatory Interpretation.</w:t>
      </w:r>
      <w:r w:rsidDel="00000000" w:rsidR="00000000" w:rsidRPr="00000000">
        <w:rPr>
          <w:rtl w:val="0"/>
        </w:rPr>
        <w:t xml:space="preserve"> Some jurisdictions may not recognize cryptographic erasure as legally equivalent to deletion for GDPR compliance purposes. The European Data Protection Board has not yet issued definitive guidance on whether </w:t>
      </w:r>
      <w:r w:rsidDel="00000000" w:rsidR="00000000" w:rsidRPr="00000000">
        <w:rPr>
          <w:rFonts w:ascii="Roboto Mono" w:cs="Roboto Mono" w:eastAsia="Roboto Mono" w:hAnsi="Roboto Mono"/>
          <w:color w:val="188038"/>
          <w:rtl w:val="0"/>
        </w:rPr>
        <w:t xml:space="preserve">HKDF-SHA3-256</w:t>
      </w:r>
      <w:r w:rsidDel="00000000" w:rsidR="00000000" w:rsidRPr="00000000">
        <w:rPr>
          <w:rtl w:val="0"/>
        </w:rPr>
        <w:t xml:space="preserve"> key destruction satisfies the Article 17 erasure obligation in immutable ledger contexts. Until such guidance is issued, institutions operating in jurisdictions with strict erasure interpretations may need to supplement cryptographic erasure with additional off-chain data deletion procedures. The </w:t>
      </w:r>
      <w:r w:rsidDel="00000000" w:rsidR="00000000" w:rsidRPr="00000000">
        <w:rPr>
          <w:rFonts w:ascii="Roboto Mono" w:cs="Roboto Mono" w:eastAsia="Roboto Mono" w:hAnsi="Roboto Mono"/>
          <w:color w:val="188038"/>
          <w:rtl w:val="0"/>
        </w:rPr>
        <w:t xml:space="preserve">ThresholdProfile_v1_0_0</w:t>
      </w:r>
      <w:r w:rsidDel="00000000" w:rsidR="00000000" w:rsidRPr="00000000">
        <w:rPr>
          <w:rtl w:val="0"/>
        </w:rPr>
        <w:t xml:space="preserve"> schema includes a </w:t>
      </w:r>
      <w:r w:rsidDel="00000000" w:rsidR="00000000" w:rsidRPr="00000000">
        <w:rPr>
          <w:rFonts w:ascii="Roboto Mono" w:cs="Roboto Mono" w:eastAsia="Roboto Mono" w:hAnsi="Roboto Mono"/>
          <w:color w:val="188038"/>
          <w:rtl w:val="0"/>
        </w:rPr>
        <w:t xml:space="preserve">jurisdictionalErasureMode</w:t>
      </w:r>
      <w:r w:rsidDel="00000000" w:rsidR="00000000" w:rsidRPr="00000000">
        <w:rPr>
          <w:rtl w:val="0"/>
        </w:rPr>
        <w:t xml:space="preserve"> parameter that the Stewardship Custodians can configure via </w:t>
      </w:r>
      <w:r w:rsidDel="00000000" w:rsidR="00000000" w:rsidRPr="00000000">
        <w:rPr>
          <w:rFonts w:ascii="Roboto Mono" w:cs="Roboto Mono" w:eastAsia="Roboto Mono" w:hAnsi="Roboto Mono"/>
          <w:color w:val="188038"/>
          <w:rtl w:val="0"/>
        </w:rPr>
        <w:t xml:space="preserve">PUT /thresholds/{domain}</w:t>
      </w:r>
      <w:r w:rsidDel="00000000" w:rsidR="00000000" w:rsidRPr="00000000">
        <w:rPr>
          <w:rtl w:val="0"/>
        </w:rPr>
        <w:t xml:space="preserve"> to activate supplementary procedures for specific regulatory environments.</w:t>
      </w:r>
    </w:p>
    <w:p w:rsidR="00000000" w:rsidDel="00000000" w:rsidP="00000000" w:rsidRDefault="00000000" w:rsidRPr="00000000" w14:paraId="000002A8">
      <w:pPr>
        <w:spacing w:after="240" w:before="240" w:lineRule="auto"/>
        <w:rPr>
          <w:color w:val="1155cc"/>
          <w:u w:val="single"/>
        </w:rPr>
      </w:pPr>
      <w:r w:rsidDel="00000000" w:rsidR="00000000" w:rsidRPr="00000000">
        <w:rPr>
          <w:b w:val="1"/>
          <w:bCs w:val="1"/>
          <w:rtl w:val="0"/>
        </w:rPr>
        <w:t xml:space="preserve">Sub-Gap 2: Erasure Key Registry Dependency.</w:t>
      </w:r>
      <w:r w:rsidDel="00000000" w:rsidR="00000000" w:rsidRPr="00000000">
        <w:rPr>
          <w:rtl w:val="0"/>
        </w:rPr>
        <w:t xml:space="preserve"> The registry that maps data subjects to their encryption keys must itself be erasable when a data subject exercises the right to erasure. If the key registry is implemented on an immutable ledger, the erasure obligation simply relocates rather than resolving. TL requires the key registry to reside in the mutable, access-controlled Audit Domain of the </w:t>
      </w:r>
      <w:r w:rsidDel="00000000" w:rsidR="00000000" w:rsidRPr="00000000">
        <w:rPr>
          <w:rFonts w:ascii="Roboto Mono" w:cs="Roboto Mono" w:eastAsia="Roboto Mono" w:hAnsi="Roboto Mono"/>
          <w:color w:val="188038"/>
          <w:rtl w:val="0"/>
        </w:rPr>
        <w:t xml:space="preserve">HybridShield</w:t>
      </w:r>
      <w:r w:rsidDel="00000000" w:rsidR="00000000" w:rsidRPr="00000000">
        <w:rPr>
          <w:rtl w:val="0"/>
        </w:rPr>
        <w:t xml:space="preserve"> rather than on the public ledger, enabling physical deletion of the mapping without affecting ledger integrity. The </w:t>
      </w:r>
      <w:r w:rsidDel="00000000" w:rsidR="00000000" w:rsidRPr="00000000">
        <w:rPr>
          <w:rFonts w:ascii="Roboto Mono" w:cs="Roboto Mono" w:eastAsia="Roboto Mono" w:hAnsi="Roboto Mono"/>
          <w:color w:val="188038"/>
          <w:rtl w:val="0"/>
        </w:rPr>
        <w:t xml:space="preserve">EKRRecord_v1_0_0.auditRetentionAnchor</w:t>
      </w:r>
      <w:r w:rsidDel="00000000" w:rsidR="00000000" w:rsidRPr="00000000">
        <w:rPr>
          <w:rtl w:val="0"/>
        </w:rPr>
        <w:t xml:space="preserve"> field confirms that this separation is maintained.</w:t>
      </w:r>
      <w:hyperlink r:id="rId476">
        <w:r w:rsidDel="00000000" w:rsidR="00000000" w:rsidRPr="00000000">
          <w:rPr>
            <w:rtl w:val="0"/>
          </w:rPr>
          <w:t xml:space="preserve"> </w:t>
        </w:r>
      </w:hyperlink>
      <w:hyperlink r:id="rId477">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A9">
      <w:pPr>
        <w:spacing w:after="240" w:before="240" w:lineRule="auto"/>
        <w:rPr/>
      </w:pPr>
      <w:r w:rsidDel="00000000" w:rsidR="00000000" w:rsidRPr="00000000">
        <w:rPr>
          <w:b w:val="1"/>
          <w:bCs w:val="1"/>
          <w:rtl w:val="0"/>
        </w:rPr>
        <w:t xml:space="preserve">Sub-Gap 3: Metadata Residue.</w:t>
      </w:r>
      <w:r w:rsidDel="00000000" w:rsidR="00000000" w:rsidRPr="00000000">
        <w:rPr>
          <w:rtl w:val="0"/>
        </w:rPr>
        <w:t xml:space="preserve"> Key destruction renders the content of encrypted Decision Logs computationally irrecoverable, but log timestamps, access patterns, transaction amounts, and other metadata may remain in the ledger record after key destruction. Whether this residual metadata constitutes personal data under GDPR Article 4(1) depends on whether the metadata alone, or in combination with other available information, enables identification of the data subject. This determination is context-specific and requires ongoing assessment by the Stewardship Custodians via </w:t>
      </w:r>
      <w:r w:rsidDel="00000000" w:rsidR="00000000" w:rsidRPr="00000000">
        <w:rPr>
          <w:rFonts w:ascii="Roboto Mono" w:cs="Roboto Mono" w:eastAsia="Roboto Mono" w:hAnsi="Roboto Mono"/>
          <w:color w:val="188038"/>
          <w:rtl w:val="0"/>
        </w:rPr>
        <w:t xml:space="preserve">POST /pillars/{pillarId}/configure</w:t>
      </w:r>
      <w:r w:rsidDel="00000000" w:rsidR="00000000" w:rsidRPr="00000000">
        <w:rPr>
          <w:rtl w:val="0"/>
        </w:rPr>
        <w:t xml:space="preserve"> as data linkage techniques evolve. This sub-gap is tracked in the Constitutional Uncertainty Register as a near-term resolution item.</w:t>
      </w:r>
    </w:p>
    <w:p w:rsidR="00000000" w:rsidDel="00000000" w:rsidP="00000000" w:rsidRDefault="00000000" w:rsidRPr="00000000" w14:paraId="000002AA">
      <w:pPr>
        <w:pStyle w:val="Heading2"/>
        <w:keepNext w:val="0"/>
        <w:keepLines w:val="0"/>
        <w:spacing w:after="80" w:lineRule="auto"/>
        <w:rPr>
          <w:b w:val="1"/>
          <w:bCs w:val="1"/>
          <w:sz w:val="34"/>
          <w:szCs w:val="34"/>
        </w:rPr>
      </w:pPr>
      <w:bookmarkStart w:colFirst="0" w:colLast="0" w:name="_pf3ducattksq" w:id="73"/>
      <w:bookmarkEnd w:id="73"/>
      <w:r w:rsidDel="00000000" w:rsidR="00000000" w:rsidRPr="00000000">
        <w:rPr>
          <w:b w:val="1"/>
          <w:bCs w:val="1"/>
          <w:sz w:val="34"/>
          <w:szCs w:val="34"/>
          <w:rtl w:val="0"/>
        </w:rPr>
        <w:t xml:space="preserve">6.7 Post-Quantum Cryptographic Migration</w:t>
      </w:r>
    </w:p>
    <w:p w:rsidR="00000000" w:rsidDel="00000000" w:rsidP="00000000" w:rsidRDefault="00000000" w:rsidRPr="00000000" w14:paraId="000002AB">
      <w:pPr>
        <w:spacing w:after="240" w:before="240" w:lineRule="auto"/>
        <w:rPr/>
      </w:pPr>
      <w:r w:rsidDel="00000000" w:rsidR="00000000" w:rsidRPr="00000000">
        <w:rPr>
          <w:rtl w:val="0"/>
        </w:rPr>
        <w:t xml:space="preserve">The cryptographic primitives securing TL's privacy and erasure architecture will not secure it indefinitely. The post-quantum migration protocol is specified in full in Section 11. This subsection addresses the intersection of that migration with the privacy and erasure architecture specifically.</w:t>
      </w:r>
    </w:p>
    <w:p w:rsidR="00000000" w:rsidDel="00000000" w:rsidP="00000000" w:rsidRDefault="00000000" w:rsidRPr="00000000" w14:paraId="000002AC">
      <w:pPr>
        <w:spacing w:after="240" w:before="240" w:lineRule="auto"/>
        <w:rPr>
          <w:color w:val="1155cc"/>
          <w:u w:val="single"/>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HKDF-SHA3-256</w:t>
      </w:r>
      <w:r w:rsidDel="00000000" w:rsidR="00000000" w:rsidRPr="00000000">
        <w:rPr>
          <w:rtl w:val="0"/>
        </w:rPr>
        <w:t xml:space="preserve"> key derivation used for cryptographic erasure retains post-quantum security. SHA-3 is resistant to Grover's algorithm at the 128-bit quantum security margin. The destruction protocol does not rely on ECDSA or any other asymmetric algorithm vulnerable to Shor's algorithm. The erasure mechanism itself does not require post-quantum migration.</w:t>
      </w:r>
      <w:hyperlink r:id="rId478">
        <w:r w:rsidDel="00000000" w:rsidR="00000000" w:rsidRPr="00000000">
          <w:rPr>
            <w:rtl w:val="0"/>
          </w:rPr>
          <w:t xml:space="preserve"> </w:t>
        </w:r>
      </w:hyperlink>
      <w:hyperlink r:id="rId479">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AD">
      <w:pPr>
        <w:spacing w:after="240" w:before="240" w:lineRule="auto"/>
        <w:rPr>
          <w:color w:val="1155cc"/>
          <w:u w:val="single"/>
        </w:rPr>
      </w:pPr>
      <w:r w:rsidDel="00000000" w:rsidR="00000000" w:rsidRPr="00000000">
        <w:rPr>
          <w:rtl w:val="0"/>
        </w:rPr>
        <w:t xml:space="preserve">The EKR ceremony's asymmetric key pair generation does rely on ECDSA for current deployments. This creates a harvest-now-decrypt-later exposure: an adversary who collects encrypted data envelopes today can attempt to decrypt them after quantum hardware becomes available. The </w:t>
      </w:r>
      <w:r w:rsidDel="00000000" w:rsidR="00000000" w:rsidRPr="00000000">
        <w:rPr>
          <w:rFonts w:ascii="Roboto Mono" w:cs="Roboto Mono" w:eastAsia="Roboto Mono" w:hAnsi="Roboto Mono"/>
          <w:color w:val="188038"/>
          <w:rtl w:val="0"/>
        </w:rPr>
        <w:t xml:space="preserve">signatureBlock.pqcMigrationSlots</w:t>
      </w:r>
      <w:r w:rsidDel="00000000" w:rsidR="00000000" w:rsidRPr="00000000">
        <w:rPr>
          <w:rtl w:val="0"/>
        </w:rPr>
        <w:t xml:space="preserve"> array in the </w:t>
      </w:r>
      <w:r w:rsidDel="00000000" w:rsidR="00000000" w:rsidRPr="00000000">
        <w:rPr>
          <w:rFonts w:ascii="Roboto Mono" w:cs="Roboto Mono" w:eastAsia="Roboto Mono" w:hAnsi="Roboto Mono"/>
          <w:color w:val="188038"/>
          <w:rtl w:val="0"/>
        </w:rPr>
        <w:t xml:space="preserve">GoukassianPrincipleBlock_v1_0_0</w:t>
      </w:r>
      <w:r w:rsidDel="00000000" w:rsidR="00000000" w:rsidRPr="00000000">
        <w:rPr>
          <w:rtl w:val="0"/>
        </w:rPr>
        <w:t xml:space="preserve"> reserves slot 6 for </w:t>
      </w:r>
      <w:r w:rsidDel="00000000" w:rsidR="00000000" w:rsidRPr="00000000">
        <w:rPr>
          <w:rFonts w:ascii="Roboto Mono" w:cs="Roboto Mono" w:eastAsia="Roboto Mono" w:hAnsi="Roboto Mono"/>
          <w:color w:val="188038"/>
          <w:rtl w:val="0"/>
        </w:rPr>
        <w:t xml:space="preserve">SLH-DSA-SHAKE-128s</w:t>
      </w:r>
      <w:r w:rsidDel="00000000" w:rsidR="00000000" w:rsidRPr="00000000">
        <w:rPr>
          <w:rtl w:val="0"/>
        </w:rPr>
        <w:t xml:space="preserve"> (FIPS 205) and slot 7 for </w:t>
      </w:r>
      <w:r w:rsidDel="00000000" w:rsidR="00000000" w:rsidRPr="00000000">
        <w:rPr>
          <w:rFonts w:ascii="Roboto Mono" w:cs="Roboto Mono" w:eastAsia="Roboto Mono" w:hAnsi="Roboto Mono"/>
          <w:color w:val="188038"/>
          <w:rtl w:val="0"/>
        </w:rPr>
        <w:t xml:space="preserve">ML-KEM-1024</w:t>
      </w:r>
      <w:r w:rsidDel="00000000" w:rsidR="00000000" w:rsidRPr="00000000">
        <w:rPr>
          <w:rtl w:val="0"/>
        </w:rPr>
        <w:t xml:space="preserve"> (FIPS 203) specifically to address this exposure window for EKR key generation. When </w:t>
      </w:r>
      <w:r w:rsidDel="00000000" w:rsidR="00000000" w:rsidRPr="00000000">
        <w:rPr>
          <w:rFonts w:ascii="Roboto Mono" w:cs="Roboto Mono" w:eastAsia="Roboto Mono" w:hAnsi="Roboto Mono"/>
          <w:color w:val="188038"/>
          <w:rtl w:val="0"/>
        </w:rPr>
        <w:t xml:space="preserve">hybridSignatureMode</w:t>
      </w:r>
      <w:r w:rsidDel="00000000" w:rsidR="00000000" w:rsidRPr="00000000">
        <w:rPr>
          <w:rtl w:val="0"/>
        </w:rPr>
        <w:t xml:space="preserve"> activates in </w:t>
      </w:r>
      <w:r w:rsidDel="00000000" w:rsidR="00000000" w:rsidRPr="00000000">
        <w:rPr>
          <w:rFonts w:ascii="Roboto Mono" w:cs="Roboto Mono" w:eastAsia="Roboto Mono" w:hAnsi="Roboto Mono"/>
          <w:color w:val="188038"/>
          <w:rtl w:val="0"/>
        </w:rPr>
        <w:t xml:space="preserve">SignatureBlock_v1_0_0</w:t>
      </w:r>
      <w:r w:rsidDel="00000000" w:rsidR="00000000" w:rsidRPr="00000000">
        <w:rPr>
          <w:rtl w:val="0"/>
        </w:rPr>
        <w:t xml:space="preserve"> at Threshold 1 of the quantum readiness parameter, EKR ceremonies begin using dual classical-plus-post-quantum key generation simultaneously.</w:t>
      </w:r>
      <w:hyperlink r:id="rId480">
        <w:r w:rsidDel="00000000" w:rsidR="00000000" w:rsidRPr="00000000">
          <w:rPr>
            <w:rtl w:val="0"/>
          </w:rPr>
          <w:t xml:space="preserve"> </w:t>
        </w:r>
      </w:hyperlink>
      <w:hyperlink r:id="rId481">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AE">
      <w:pPr>
        <w:spacing w:after="240" w:before="240" w:lineRule="auto"/>
        <w:rPr>
          <w:color w:val="1155cc"/>
          <w:u w:val="single"/>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pqcMigrationStatus</w:t>
      </w:r>
      <w:r w:rsidDel="00000000" w:rsidR="00000000" w:rsidRPr="00000000">
        <w:rPr>
          <w:rtl w:val="0"/>
        </w:rPr>
        <w:t xml:space="preserve"> field in </w:t>
      </w:r>
      <w:r w:rsidDel="00000000" w:rsidR="00000000" w:rsidRPr="00000000">
        <w:rPr>
          <w:rFonts w:ascii="Roboto Mono" w:cs="Roboto Mono" w:eastAsia="Roboto Mono" w:hAnsi="Roboto Mono"/>
          <w:color w:val="188038"/>
          <w:rtl w:val="0"/>
        </w:rPr>
        <w:t xml:space="preserve">SuccessionDeclaration_v1_0_0</w:t>
      </w:r>
      <w:r w:rsidDel="00000000" w:rsidR="00000000" w:rsidRPr="00000000">
        <w:rPr>
          <w:rtl w:val="0"/>
        </w:rPr>
        <w:t xml:space="preserve"> tracks the percentage of historical Decision Logs that have received dual-signed retroactive attestation under the post-quantum scheme, providing full transparency to counterparties and regulators examining the institution's quantum vulnerability window for privacy-critical governance records.</w:t>
      </w:r>
      <w:hyperlink r:id="rId482">
        <w:r w:rsidDel="00000000" w:rsidR="00000000" w:rsidRPr="00000000">
          <w:rPr>
            <w:rtl w:val="0"/>
          </w:rPr>
          <w:t xml:space="preserve"> </w:t>
        </w:r>
      </w:hyperlink>
      <w:hyperlink r:id="rId483">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AF">
      <w:pPr>
        <w:pStyle w:val="Heading2"/>
        <w:keepNext w:val="0"/>
        <w:keepLines w:val="0"/>
        <w:spacing w:after="80" w:lineRule="auto"/>
        <w:rPr>
          <w:b w:val="1"/>
          <w:bCs w:val="1"/>
          <w:sz w:val="34"/>
          <w:szCs w:val="34"/>
        </w:rPr>
      </w:pPr>
      <w:bookmarkStart w:colFirst="0" w:colLast="0" w:name="_8ti9lrks52vp" w:id="74"/>
      <w:bookmarkEnd w:id="74"/>
      <w:r w:rsidDel="00000000" w:rsidR="00000000" w:rsidRPr="00000000">
        <w:rPr>
          <w:b w:val="1"/>
          <w:bCs w:val="1"/>
          <w:sz w:val="34"/>
          <w:szCs w:val="34"/>
          <w:rtl w:val="0"/>
        </w:rPr>
        <w:t xml:space="preserve">6.8 Tri-Cameral Oversight of Privacy and Cryptographic Infrastructure</w:t>
      </w:r>
    </w:p>
    <w:p w:rsidR="00000000" w:rsidDel="00000000" w:rsidP="00000000" w:rsidRDefault="00000000" w:rsidRPr="00000000" w14:paraId="000002B0">
      <w:pPr>
        <w:spacing w:after="240" w:before="240" w:lineRule="auto"/>
        <w:rPr/>
      </w:pPr>
      <w:r w:rsidDel="00000000" w:rsidR="00000000" w:rsidRPr="00000000">
        <w:rPr>
          <w:rtl w:val="0"/>
        </w:rPr>
        <w:t xml:space="preserve">The Tri-Cameral Governance Model distributes oversight of the privacy and cryptographic infrastructure across all three chambers with non-overlapping responsibilities.</w:t>
      </w:r>
    </w:p>
    <w:p w:rsidR="00000000" w:rsidDel="00000000" w:rsidP="00000000" w:rsidRDefault="00000000" w:rsidRPr="00000000" w14:paraId="000002B1">
      <w:pPr>
        <w:spacing w:after="240" w:before="240" w:lineRule="auto"/>
        <w:rPr>
          <w:color w:val="1155cc"/>
          <w:u w:val="single"/>
        </w:rPr>
      </w:pPr>
      <w:r w:rsidDel="00000000" w:rsidR="00000000" w:rsidRPr="00000000">
        <w:rPr>
          <w:rtl w:val="0"/>
        </w:rPr>
        <w:t xml:space="preserve">The </w:t>
      </w:r>
      <w:r w:rsidDel="00000000" w:rsidR="00000000" w:rsidRPr="00000000">
        <w:rPr>
          <w:b w:val="1"/>
          <w:bCs w:val="1"/>
          <w:rtl w:val="0"/>
        </w:rPr>
        <w:t xml:space="preserve">Technical Council</w:t>
      </w:r>
      <w:r w:rsidDel="00000000" w:rsidR="00000000" w:rsidRPr="00000000">
        <w:rPr>
          <w:rtl w:val="0"/>
        </w:rPr>
        <w:t xml:space="preserve"> validates the cryptographic integrity of the ephemeral key generation ceremony, the threshold scheme implementation, the </w:t>
      </w:r>
      <w:r w:rsidDel="00000000" w:rsidR="00000000" w:rsidRPr="00000000">
        <w:rPr>
          <w:rFonts w:ascii="Roboto Mono" w:cs="Roboto Mono" w:eastAsia="Roboto Mono" w:hAnsi="Roboto Mono"/>
          <w:color w:val="188038"/>
          <w:rtl w:val="0"/>
        </w:rPr>
        <w:t xml:space="preserve">HKDF-SHA3-256</w:t>
      </w:r>
      <w:r w:rsidDel="00000000" w:rsidR="00000000" w:rsidRPr="00000000">
        <w:rPr>
          <w:rtl w:val="0"/>
        </w:rPr>
        <w:t xml:space="preserve"> destruction protocol, and the automatic destruction timers. It monitors the quantum readiness parameter and recommends transition thresholds to the Stewardship Custodians. It also maintains the calibration of the differential privacy noise injection mechanisms in the query response layer, ensuring that the noise magnitude is sufficient to prevent statistical inference attacks while remaining analytically useful. The Council's assessments are surfaced through </w:t>
      </w:r>
      <w:r w:rsidDel="00000000" w:rsidR="00000000" w:rsidRPr="00000000">
        <w:rPr>
          <w:rFonts w:ascii="Roboto Mono" w:cs="Roboto Mono" w:eastAsia="Roboto Mono" w:hAnsi="Roboto Mono"/>
          <w:color w:val="188038"/>
          <w:rtl w:val="0"/>
        </w:rPr>
        <w:t xml:space="preserve">GET /epistemic-hold/lantern</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pillarStatuses</w:t>
      </w:r>
      <w:r w:rsidDel="00000000" w:rsidR="00000000" w:rsidRPr="00000000">
        <w:rPr>
          <w:rtl w:val="0"/>
        </w:rPr>
        <w:t xml:space="preserve"> updated for </w:t>
      </w:r>
      <w:r w:rsidDel="00000000" w:rsidR="00000000" w:rsidRPr="00000000">
        <w:rPr>
          <w:rFonts w:ascii="Roboto Mono" w:cs="Roboto Mono" w:eastAsia="Roboto Mono" w:hAnsi="Roboto Mono"/>
          <w:color w:val="188038"/>
          <w:rtl w:val="0"/>
        </w:rPr>
        <w:t xml:space="preserve">HybridShield</w:t>
      </w:r>
      <w:r w:rsidDel="00000000" w:rsidR="00000000" w:rsidRPr="00000000">
        <w:rPr>
          <w:rtl w:val="0"/>
        </w:rPr>
        <w:t xml:space="preserve">.</w:t>
      </w:r>
      <w:hyperlink r:id="rId484">
        <w:r w:rsidDel="00000000" w:rsidR="00000000" w:rsidRPr="00000000">
          <w:rPr>
            <w:rtl w:val="0"/>
          </w:rPr>
          <w:t xml:space="preserve"> </w:t>
        </w:r>
      </w:hyperlink>
      <w:hyperlink r:id="rId485">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2B2">
      <w:pPr>
        <w:spacing w:after="240" w:before="240" w:lineRule="auto"/>
        <w:rPr>
          <w:color w:val="1155cc"/>
          <w:u w:val="single"/>
        </w:rPr>
      </w:pPr>
      <w:r w:rsidDel="00000000" w:rsidR="00000000" w:rsidRPr="00000000">
        <w:rPr>
          <w:rtl w:val="0"/>
        </w:rPr>
        <w:t xml:space="preserve">The </w:t>
      </w:r>
      <w:r w:rsidDel="00000000" w:rsidR="00000000" w:rsidRPr="00000000">
        <w:rPr>
          <w:b w:val="1"/>
          <w:bCs w:val="1"/>
          <w:rtl w:val="0"/>
        </w:rPr>
        <w:t xml:space="preserve">Stewardship Custodians</w:t>
      </w:r>
      <w:r w:rsidDel="00000000" w:rsidR="00000000" w:rsidRPr="00000000">
        <w:rPr>
          <w:rtl w:val="0"/>
        </w:rPr>
        <w:t xml:space="preserve"> validate the regulatory basis for each EKR access request via </w:t>
      </w:r>
      <w:r w:rsidDel="00000000" w:rsidR="00000000" w:rsidRPr="00000000">
        <w:rPr>
          <w:rFonts w:ascii="Roboto Mono" w:cs="Roboto Mono" w:eastAsia="Roboto Mono" w:hAnsi="Roboto Mono"/>
          <w:color w:val="188038"/>
          <w:rtl w:val="0"/>
        </w:rPr>
        <w:t xml:space="preserve">GET /regulator/custodian-quorum</w:t>
      </w:r>
      <w:r w:rsidDel="00000000" w:rsidR="00000000" w:rsidRPr="00000000">
        <w:rPr>
          <w:rtl w:val="0"/>
        </w:rPr>
        <w:t xml:space="preserve">, maintain the constitutional schema provisions governing GDPR compliance updateable through </w:t>
      </w:r>
      <w:r w:rsidDel="00000000" w:rsidR="00000000" w:rsidRPr="00000000">
        <w:rPr>
          <w:rFonts w:ascii="Roboto Mono" w:cs="Roboto Mono" w:eastAsia="Roboto Mono" w:hAnsi="Roboto Mono"/>
          <w:color w:val="188038"/>
          <w:rtl w:val="0"/>
        </w:rPr>
        <w:t xml:space="preserve">PUT /thresholds/{domain}</w:t>
      </w:r>
      <w:r w:rsidDel="00000000" w:rsidR="00000000" w:rsidRPr="00000000">
        <w:rPr>
          <w:rtl w:val="0"/>
        </w:rPr>
        <w:t xml:space="preserve">, hold the Shamir key shares required for both legitimate erasure ceremonies and re-anchoring protocol during quantum migration, and manage the </w:t>
      </w:r>
      <w:r w:rsidDel="00000000" w:rsidR="00000000" w:rsidRPr="00000000">
        <w:rPr>
          <w:rFonts w:ascii="Roboto Mono" w:cs="Roboto Mono" w:eastAsia="Roboto Mono" w:hAnsi="Roboto Mono"/>
          <w:color w:val="188038"/>
          <w:rtl w:val="0"/>
        </w:rPr>
        <w:t xml:space="preserve">jurisdictionalErasureMode</w:t>
      </w:r>
      <w:r w:rsidDel="00000000" w:rsidR="00000000" w:rsidRPr="00000000">
        <w:rPr>
          <w:rtl w:val="0"/>
        </w:rPr>
        <w:t xml:space="preserve"> parameters for each regulatory environment. They evaluate ensemble patterns of EKR access requests that individually appear legitimate but collectively enable surveillance conversion - issuing Refuse on the ensemble through </w:t>
      </w:r>
      <w:r w:rsidDel="00000000" w:rsidR="00000000" w:rsidRPr="00000000">
        <w:rPr>
          <w:rFonts w:ascii="Roboto Mono" w:cs="Roboto Mono" w:eastAsia="Roboto Mono" w:hAnsi="Roboto Mono"/>
          <w:color w:val="188038"/>
          <w:rtl w:val="0"/>
        </w:rPr>
        <w:t xml:space="preserve">POST /refusals</w:t>
      </w:r>
      <w:r w:rsidDel="00000000" w:rsidR="00000000" w:rsidRPr="00000000">
        <w:rPr>
          <w:rtl w:val="0"/>
        </w:rPr>
        <w:t xml:space="preserve"> even when individual requests would pass in isolation.</w:t>
      </w:r>
      <w:hyperlink r:id="rId486">
        <w:r w:rsidDel="00000000" w:rsidR="00000000" w:rsidRPr="00000000">
          <w:rPr>
            <w:rtl w:val="0"/>
          </w:rPr>
          <w:t xml:space="preserve"> </w:t>
        </w:r>
      </w:hyperlink>
      <w:hyperlink r:id="rId487">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2B3">
      <w:pPr>
        <w:spacing w:after="240" w:before="240" w:lineRule="auto"/>
        <w:rPr>
          <w:color w:val="1155cc"/>
          <w:u w:val="single"/>
        </w:rPr>
      </w:pPr>
      <w:r w:rsidDel="00000000" w:rsidR="00000000" w:rsidRPr="00000000">
        <w:rPr>
          <w:rtl w:val="0"/>
        </w:rPr>
        <w:t xml:space="preserve">The </w:t>
      </w:r>
      <w:r w:rsidDel="00000000" w:rsidR="00000000" w:rsidRPr="00000000">
        <w:rPr>
          <w:b w:val="1"/>
          <w:bCs w:val="1"/>
          <w:rtl w:val="0"/>
        </w:rPr>
        <w:t xml:space="preserve">Smart Contract Treasury</w:t>
      </w:r>
      <w:r w:rsidDel="00000000" w:rsidR="00000000" w:rsidRPr="00000000">
        <w:rPr>
          <w:rtl w:val="0"/>
        </w:rPr>
        <w:t xml:space="preserve"> manages the economic resources for HSM infrastructure, key ceremony logistics, auditor compensation, and the quantum migration capital reserve. It maintains the automatic destruction timers for ephemeral keys and the timelock delays for erasure ceremonies. It also manages the economic penalties imposed on institutions that attempt to deny legitimate regulatory access through EKR manipulation or to grant unauthorized access outside the EKR protocol - enforced through the automated penalty mechanisms described in Section 9.3.4.</w:t>
      </w:r>
      <w:hyperlink r:id="rId488">
        <w:r w:rsidDel="00000000" w:rsidR="00000000" w:rsidRPr="00000000">
          <w:rPr>
            <w:rtl w:val="0"/>
          </w:rPr>
          <w:t xml:space="preserve"> </w:t>
        </w:r>
      </w:hyperlink>
      <w:hyperlink r:id="rId489">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2B4">
      <w:pPr>
        <w:spacing w:after="240" w:before="240" w:lineRule="auto"/>
        <w:rPr>
          <w:color w:val="1155cc"/>
          <w:u w:val="single"/>
        </w:rPr>
      </w:pPr>
      <w:r w:rsidDel="00000000" w:rsidR="00000000" w:rsidRPr="00000000">
        <w:rPr>
          <w:rtl w:val="0"/>
        </w:rPr>
        <w:t xml:space="preserve">The constitutional separation between chambers prevents the most dangerous failure mode of cryptographic key management: the unilateral decision by a single entity to destroy, expose, or deny access to encryption keys for strategic advantage. No chamber acting alone can initiate a key ceremony, approve an access request, or trigger a quantum migration. Every operation requires the participation of at least two chambers, and the most sensitive operations require all three. The </w:t>
      </w:r>
      <w:r w:rsidDel="00000000" w:rsidR="00000000" w:rsidRPr="00000000">
        <w:rPr>
          <w:rFonts w:ascii="Roboto Mono" w:cs="Roboto Mono" w:eastAsia="Roboto Mono" w:hAnsi="Roboto Mono"/>
          <w:color w:val="188038"/>
          <w:rtl w:val="0"/>
        </w:rPr>
        <w:t xml:space="preserve">GET /regulator/custodian-quorum</w:t>
      </w:r>
      <w:r w:rsidDel="00000000" w:rsidR="00000000" w:rsidRPr="00000000">
        <w:rPr>
          <w:rtl w:val="0"/>
        </w:rPr>
        <w:t xml:space="preserve"> endpoint provides real-time verification of this distributed key authority to any authorized external observer.</w:t>
      </w:r>
      <w:hyperlink r:id="rId490">
        <w:r w:rsidDel="00000000" w:rsidR="00000000" w:rsidRPr="00000000">
          <w:rPr>
            <w:rtl w:val="0"/>
          </w:rPr>
          <w:t xml:space="preserve"> </w:t>
        </w:r>
      </w:hyperlink>
      <w:hyperlink r:id="rId491">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B5">
      <w:pPr>
        <w:pStyle w:val="Heading1"/>
        <w:keepNext w:val="0"/>
        <w:keepLines w:val="0"/>
        <w:spacing w:before="480" w:lineRule="auto"/>
        <w:rPr>
          <w:b w:val="1"/>
          <w:bCs w:val="1"/>
          <w:sz w:val="46"/>
          <w:szCs w:val="46"/>
        </w:rPr>
      </w:pPr>
      <w:bookmarkStart w:colFirst="0" w:colLast="0" w:name="_ck1bagw1iqha" w:id="75"/>
      <w:bookmarkEnd w:id="75"/>
      <w:r w:rsidDel="00000000" w:rsidR="00000000" w:rsidRPr="00000000">
        <w:rPr>
          <w:b w:val="1"/>
          <w:bCs w:val="1"/>
          <w:sz w:val="46"/>
          <w:szCs w:val="46"/>
          <w:rtl w:val="0"/>
        </w:rPr>
        <w:t xml:space="preserve">SECTION 7: REGULATORY AND LEGAL ALIGNMENT</w:t>
      </w:r>
    </w:p>
    <w:p w:rsidR="00000000" w:rsidDel="00000000" w:rsidP="00000000" w:rsidRDefault="00000000" w:rsidRPr="00000000" w14:paraId="000002B6">
      <w:pPr>
        <w:pStyle w:val="Heading2"/>
        <w:keepNext w:val="0"/>
        <w:keepLines w:val="0"/>
        <w:spacing w:after="80" w:lineRule="auto"/>
        <w:rPr>
          <w:b w:val="1"/>
          <w:bCs w:val="1"/>
          <w:sz w:val="34"/>
          <w:szCs w:val="34"/>
        </w:rPr>
      </w:pPr>
      <w:bookmarkStart w:colFirst="0" w:colLast="0" w:name="_6l1q2qn65rg2" w:id="76"/>
      <w:bookmarkEnd w:id="76"/>
      <w:r w:rsidDel="00000000" w:rsidR="00000000" w:rsidRPr="00000000">
        <w:rPr>
          <w:b w:val="1"/>
          <w:bCs w:val="1"/>
          <w:sz w:val="34"/>
          <w:szCs w:val="34"/>
          <w:rtl w:val="0"/>
        </w:rPr>
        <w:t xml:space="preserve">7.0 Overview</w:t>
      </w:r>
    </w:p>
    <w:p w:rsidR="00000000" w:rsidDel="00000000" w:rsidP="00000000" w:rsidRDefault="00000000" w:rsidRPr="00000000" w14:paraId="000002B7">
      <w:pPr>
        <w:spacing w:after="240" w:before="240" w:lineRule="auto"/>
        <w:rPr>
          <w:color w:val="1155cc"/>
          <w:u w:val="single"/>
        </w:rPr>
      </w:pPr>
      <w:r w:rsidDel="00000000" w:rsidR="00000000" w:rsidRPr="00000000">
        <w:rPr>
          <w:rtl w:val="0"/>
        </w:rPr>
        <w:t xml:space="preserve">Ternary Logic does not seek to replace existing regulatory frameworks. It provides the architectural substrate through which compliance with those frameworks becomes physically enforced rather than self-certified. The shift is from compliance as a legal claim to compliance as an architectural fact. Basel III capital buffers compensate for operational failures that TL prevents at the source. SEC and CFTC recordkeeping obligations are satisfied as pre-execution prerequisites rather than post-action reporting burdens. IOSCO settlement finality principles are realized through NL=NA rather than through institutional assurances.</w:t>
      </w:r>
      <w:hyperlink r:id="rId492">
        <w:r w:rsidDel="00000000" w:rsidR="00000000" w:rsidRPr="00000000">
          <w:rPr>
            <w:rtl w:val="0"/>
          </w:rPr>
          <w:t xml:space="preserve"> </w:t>
        </w:r>
      </w:hyperlink>
      <w:hyperlink r:id="rId493">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2B8">
      <w:pPr>
        <w:spacing w:after="240" w:before="240" w:lineRule="auto"/>
        <w:rPr>
          <w:color w:val="1155cc"/>
          <w:u w:val="single"/>
        </w:rPr>
      </w:pPr>
      <w:r w:rsidDel="00000000" w:rsidR="00000000" w:rsidRPr="00000000">
        <w:rPr>
          <w:rtl w:val="0"/>
        </w:rPr>
        <w:t xml:space="preserve">The Regulatory Nexus, specified in Section 3.7 as Layer 5 of the NL=NA enforcement architecture, is the operational mechanism through which these alignments are maintained in real time. The Stewardship Custodians maintain a machine-readable regulatory database encoding every provision referenced in this Section. When the Governance Lane evaluates a proposal, it queries the Regulatory Nexus for all applicable provisions based on the proposal's jurisdiction, instrument type, counterparty classification, and execution context. The </w:t>
      </w:r>
      <w:r w:rsidDel="00000000" w:rsidR="00000000" w:rsidRPr="00000000">
        <w:rPr>
          <w:rFonts w:ascii="Roboto Mono" w:cs="Roboto Mono" w:eastAsia="Roboto Mono" w:hAnsi="Roboto Mono"/>
          <w:color w:val="188038"/>
          <w:rtl w:val="0"/>
        </w:rPr>
        <w:t xml:space="preserve">regulatory_nexus_reference</w:t>
      </w:r>
      <w:r w:rsidDel="00000000" w:rsidR="00000000" w:rsidRPr="00000000">
        <w:rPr>
          <w:rtl w:val="0"/>
        </w:rPr>
        <w:t xml:space="preserve"> field in </w:t>
      </w:r>
      <w:r w:rsidDel="00000000" w:rsidR="00000000" w:rsidRPr="00000000">
        <w:rPr>
          <w:rFonts w:ascii="Roboto Mono" w:cs="Roboto Mono" w:eastAsia="Roboto Mono" w:hAnsi="Roboto Mono"/>
          <w:color w:val="188038"/>
          <w:rtl w:val="0"/>
        </w:rPr>
        <w:t xml:space="preserve">PermissionToken_v1_0_0.token_body</w:t>
      </w:r>
      <w:r w:rsidDel="00000000" w:rsidR="00000000" w:rsidRPr="00000000">
        <w:rPr>
          <w:rtl w:val="0"/>
        </w:rPr>
        <w:t xml:space="preserve"> records the specific provision that governed each evaluation.</w:t>
      </w:r>
      <w:hyperlink r:id="rId494">
        <w:r w:rsidDel="00000000" w:rsidR="00000000" w:rsidRPr="00000000">
          <w:rPr>
            <w:rtl w:val="0"/>
          </w:rPr>
          <w:t xml:space="preserve"> </w:t>
        </w:r>
      </w:hyperlink>
      <w:hyperlink r:id="rId495">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B9">
      <w:pPr>
        <w:spacing w:after="240" w:before="240" w:lineRule="auto"/>
        <w:rPr/>
      </w:pPr>
      <w:r w:rsidDel="00000000" w:rsidR="00000000" w:rsidRPr="00000000">
        <w:rPr>
          <w:rtl w:val="0"/>
        </w:rPr>
        <w:t xml:space="preserve">The alignment specified here is not a static mapping. It is a living constitutional schema that updates as regulations evolve through authenticated update channels from regulatory authorities. Every update generates a version hash anchored to the Immutable Ledger, ensuring that the Governance Lane evaluates proposals against a verified regulatory version, not an unverified or tampered encoding.</w:t>
      </w:r>
    </w:p>
    <w:p w:rsidR="00000000" w:rsidDel="00000000" w:rsidP="00000000" w:rsidRDefault="00000000" w:rsidRPr="00000000" w14:paraId="000002BA">
      <w:pPr>
        <w:pStyle w:val="Heading2"/>
        <w:keepNext w:val="0"/>
        <w:keepLines w:val="0"/>
        <w:spacing w:after="80" w:lineRule="auto"/>
        <w:rPr>
          <w:b w:val="1"/>
          <w:bCs w:val="1"/>
          <w:sz w:val="34"/>
          <w:szCs w:val="34"/>
        </w:rPr>
      </w:pPr>
      <w:bookmarkStart w:colFirst="0" w:colLast="0" w:name="_lk5jkdr73icc" w:id="77"/>
      <w:bookmarkEnd w:id="77"/>
      <w:r w:rsidDel="00000000" w:rsidR="00000000" w:rsidRPr="00000000">
        <w:rPr>
          <w:b w:val="1"/>
          <w:bCs w:val="1"/>
          <w:sz w:val="34"/>
          <w:szCs w:val="34"/>
          <w:rtl w:val="0"/>
        </w:rPr>
        <w:t xml:space="preserve">7.1 Basel III and the Fundamental Review of the Trading Book</w:t>
      </w:r>
    </w:p>
    <w:p w:rsidR="00000000" w:rsidDel="00000000" w:rsidP="00000000" w:rsidRDefault="00000000" w:rsidRPr="00000000" w14:paraId="000002BB">
      <w:pPr>
        <w:spacing w:after="240" w:before="240" w:lineRule="auto"/>
        <w:rPr>
          <w:color w:val="1155cc"/>
          <w:u w:val="single"/>
        </w:rPr>
      </w:pPr>
      <w:r w:rsidDel="00000000" w:rsidR="00000000" w:rsidRPr="00000000">
        <w:rPr>
          <w:rtl w:val="0"/>
        </w:rPr>
        <w:t xml:space="preserve">Basel III establishes the global regulatory framework for bank capital adequacy, stress testing, and market liquidity risk. Its three-pillar structure maps directly onto the TL architecture with a critical inversion: where Basel imposes governance obligations that institutions must satisfy through policy and reporting, TL embeds those obligations as pre-execution architectural conditions that cannot be bypassed.</w:t>
      </w:r>
      <w:hyperlink r:id="rId496">
        <w:r w:rsidDel="00000000" w:rsidR="00000000" w:rsidRPr="00000000">
          <w:rPr>
            <w:rtl w:val="0"/>
          </w:rPr>
          <w:t xml:space="preserve"> </w:t>
        </w:r>
      </w:hyperlink>
      <w:hyperlink r:id="rId497">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2BC">
      <w:pPr>
        <w:spacing w:after="240" w:before="240" w:lineRule="auto"/>
        <w:rPr/>
      </w:pPr>
      <w:r w:rsidDel="00000000" w:rsidR="00000000" w:rsidRPr="00000000">
        <w:rPr>
          <w:b w:val="1"/>
          <w:bCs w:val="1"/>
          <w:rtl w:val="0"/>
        </w:rPr>
        <w:t xml:space="preserve">Basel Pillar 1: Minimum Capital Requirements.</w:t>
      </w:r>
      <w:r w:rsidDel="00000000" w:rsidR="00000000" w:rsidRPr="00000000">
        <w:rPr>
          <w:rtl w:val="0"/>
        </w:rPr>
        <w:t xml:space="preserve"> TL's Governance Lane enforces Basel III capital constraints as constitutional gates before execution. The </w:t>
      </w:r>
      <w:r w:rsidDel="00000000" w:rsidR="00000000" w:rsidRPr="00000000">
        <w:rPr>
          <w:rFonts w:ascii="Roboto Mono" w:cs="Roboto Mono" w:eastAsia="Roboto Mono" w:hAnsi="Roboto Mono"/>
          <w:color w:val="188038"/>
          <w:rtl w:val="0"/>
        </w:rPr>
        <w:t xml:space="preserve">RegulatoryContext.baselIii</w:t>
      </w:r>
      <w:r w:rsidDel="00000000" w:rsidR="00000000" w:rsidRPr="00000000">
        <w:rPr>
          <w:rtl w:val="0"/>
        </w:rPr>
        <w:t xml:space="preserve"> object in the TL API contains </w:t>
      </w:r>
      <w:r w:rsidDel="00000000" w:rsidR="00000000" w:rsidRPr="00000000">
        <w:rPr>
          <w:rFonts w:ascii="Roboto Mono" w:cs="Roboto Mono" w:eastAsia="Roboto Mono" w:hAnsi="Roboto Mono"/>
          <w:color w:val="188038"/>
          <w:rtl w:val="0"/>
        </w:rPr>
        <w:t xml:space="preserve">lcr</w:t>
      </w:r>
      <w:r w:rsidDel="00000000" w:rsidR="00000000" w:rsidRPr="00000000">
        <w:rPr>
          <w:rtl w:val="0"/>
        </w:rPr>
        <w:t xml:space="preserve"> (Liquidity Coverage Ratio), </w:t>
      </w:r>
      <w:r w:rsidDel="00000000" w:rsidR="00000000" w:rsidRPr="00000000">
        <w:rPr>
          <w:rFonts w:ascii="Roboto Mono" w:cs="Roboto Mono" w:eastAsia="Roboto Mono" w:hAnsi="Roboto Mono"/>
          <w:color w:val="188038"/>
          <w:rtl w:val="0"/>
        </w:rPr>
        <w:t xml:space="preserve">nsfr</w:t>
      </w:r>
      <w:r w:rsidDel="00000000" w:rsidR="00000000" w:rsidRPr="00000000">
        <w:rPr>
          <w:rtl w:val="0"/>
        </w:rPr>
        <w:t xml:space="preserve"> (Net Stable Funding Ratio), </w:t>
      </w:r>
      <w:r w:rsidDel="00000000" w:rsidR="00000000" w:rsidRPr="00000000">
        <w:rPr>
          <w:rFonts w:ascii="Roboto Mono" w:cs="Roboto Mono" w:eastAsia="Roboto Mono" w:hAnsi="Roboto Mono"/>
          <w:color w:val="188038"/>
          <w:rtl w:val="0"/>
        </w:rPr>
        <w:t xml:space="preserve">capitalRatio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stressTestRequired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counterpartyExposureWithinLimits</w:t>
      </w:r>
      <w:r w:rsidDel="00000000" w:rsidR="00000000" w:rsidRPr="00000000">
        <w:rPr>
          <w:rtl w:val="0"/>
        </w:rPr>
        <w:t xml:space="preserve"> as mandatory evaluation fields.</w:t>
      </w:r>
      <w:hyperlink r:id="rId498">
        <w:r w:rsidDel="00000000" w:rsidR="00000000" w:rsidRPr="00000000">
          <w:rPr>
            <w:rtl w:val="0"/>
          </w:rPr>
          <w:t xml:space="preserve"> </w:t>
        </w:r>
      </w:hyperlink>
      <w:hyperlink r:id="rId499">
        <w:r w:rsidDel="00000000" w:rsidR="00000000" w:rsidRPr="00000000">
          <w:rPr>
            <w:color w:val="1155cc"/>
            <w:u w:val="single"/>
            <w:rtl w:val="0"/>
          </w:rPr>
          <w:t xml:space="preserve">[14]</w:t>
        </w:r>
      </w:hyperlink>
      <w:r w:rsidDel="00000000" w:rsidR="00000000" w:rsidRPr="00000000">
        <w:rPr>
          <w:rtl w:val="0"/>
        </w:rPr>
        <w:t xml:space="preserve"> When a trading algorithm proposes a position, the Governance Lane verifies the </w:t>
      </w:r>
      <w:r w:rsidDel="00000000" w:rsidR="00000000" w:rsidRPr="00000000">
        <w:rPr>
          <w:rFonts w:ascii="Roboto Mono" w:cs="Roboto Mono" w:eastAsia="Roboto Mono" w:hAnsi="Roboto Mono"/>
          <w:color w:val="188038"/>
          <w:rtl w:val="0"/>
        </w:rPr>
        <w:t xml:space="preserve">baselIiiVector.lcr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baselIiiVector.nsfr</w:t>
      </w:r>
      <w:r w:rsidDel="00000000" w:rsidR="00000000" w:rsidRPr="00000000">
        <w:rPr>
          <w:rtl w:val="0"/>
        </w:rPr>
        <w:t xml:space="preserve"> constraints before issuing a Permission Token. A proposal that would cause the LCR to fall below the required minimum receives Refuse via </w:t>
      </w:r>
      <w:r w:rsidDel="00000000" w:rsidR="00000000" w:rsidRPr="00000000">
        <w:rPr>
          <w:rFonts w:ascii="Roboto Mono" w:cs="Roboto Mono" w:eastAsia="Roboto Mono" w:hAnsi="Roboto Mono"/>
          <w:color w:val="188038"/>
          <w:rtl w:val="0"/>
        </w:rPr>
        <w:t xml:space="preserve">POST /refusals</w:t>
      </w:r>
      <w:r w:rsidDel="00000000" w:rsidR="00000000" w:rsidRPr="00000000">
        <w:rPr>
          <w:rtl w:val="0"/>
        </w:rPr>
        <w:t xml:space="preserve">. A proposal that would breach the leverage ratio receives Refuse. These are binding constitutional blocks enforced through </w:t>
      </w:r>
      <w:r w:rsidDel="00000000" w:rsidR="00000000" w:rsidRPr="00000000">
        <w:rPr>
          <w:rFonts w:ascii="Roboto Mono" w:cs="Roboto Mono" w:eastAsia="Roboto Mono" w:hAnsi="Roboto Mono"/>
          <w:color w:val="188038"/>
          <w:rtl w:val="0"/>
        </w:rPr>
        <w:t xml:space="preserve">TL_Ledger_Core.registerPermissionToken</w:t>
      </w:r>
      <w:r w:rsidDel="00000000" w:rsidR="00000000" w:rsidRPr="00000000">
        <w:rPr>
          <w:rtl w:val="0"/>
        </w:rPr>
        <w:t xml:space="preserve"> - not risk warnings.</w:t>
      </w:r>
    </w:p>
    <w:p w:rsidR="00000000" w:rsidDel="00000000" w:rsidP="00000000" w:rsidRDefault="00000000" w:rsidRPr="00000000" w14:paraId="000002BD">
      <w:pPr>
        <w:spacing w:after="240" w:before="240" w:lineRule="auto"/>
        <w:rPr/>
      </w:pPr>
      <w:r w:rsidDel="00000000" w:rsidR="00000000" w:rsidRPr="00000000">
        <w:rPr>
          <w:b w:val="1"/>
          <w:bCs w:val="1"/>
          <w:rtl w:val="0"/>
        </w:rPr>
        <w:t xml:space="preserve">Basel Pillar 2: Supervisory Review.</w:t>
      </w:r>
      <w:r w:rsidDel="00000000" w:rsidR="00000000" w:rsidRPr="00000000">
        <w:rPr>
          <w:rtl w:val="0"/>
        </w:rPr>
        <w:t xml:space="preserve"> TL operationalizes this through the Tri-Cameral Governance Model: the Technical Council ensures that quantitative models and capital calculations are technically sound, corresponding to Pillar 2's model validation requirements. The Stewardship Custodians provide the supervisory review function.</w:t>
      </w:r>
      <w:hyperlink r:id="rId500">
        <w:r w:rsidDel="00000000" w:rsidR="00000000" w:rsidRPr="00000000">
          <w:rPr>
            <w:rtl w:val="0"/>
          </w:rPr>
          <w:t xml:space="preserve"> </w:t>
        </w:r>
      </w:hyperlink>
      <w:hyperlink r:id="rId501">
        <w:r w:rsidDel="00000000" w:rsidR="00000000" w:rsidRPr="00000000">
          <w:rPr>
            <w:color w:val="1155cc"/>
            <w:u w:val="single"/>
            <w:rtl w:val="0"/>
          </w:rPr>
          <w:t xml:space="preserve">[15]</w:t>
        </w:r>
      </w:hyperlink>
      <w:r w:rsidDel="00000000" w:rsidR="00000000" w:rsidRPr="00000000">
        <w:rPr>
          <w:rtl w:val="0"/>
        </w:rPr>
        <w:t xml:space="preserve"> Under TL, Pillar 2 supervision is continuous, automated, and architecturally embedded in every transaction rather than periodic examination.</w:t>
      </w:r>
    </w:p>
    <w:p w:rsidR="00000000" w:rsidDel="00000000" w:rsidP="00000000" w:rsidRDefault="00000000" w:rsidRPr="00000000" w14:paraId="000002BE">
      <w:pPr>
        <w:spacing w:after="240" w:before="240" w:lineRule="auto"/>
        <w:rPr>
          <w:color w:val="1155cc"/>
          <w:u w:val="single"/>
        </w:rPr>
      </w:pPr>
      <w:r w:rsidDel="00000000" w:rsidR="00000000" w:rsidRPr="00000000">
        <w:rPr>
          <w:b w:val="1"/>
          <w:bCs w:val="1"/>
          <w:rtl w:val="0"/>
        </w:rPr>
        <w:t xml:space="preserve">Basel Pillar 3: Market Discipline Through Disclosure.</w:t>
      </w:r>
      <w:r w:rsidDel="00000000" w:rsidR="00000000" w:rsidRPr="00000000">
        <w:rPr>
          <w:rtl w:val="0"/>
        </w:rPr>
        <w:t xml:space="preserve"> TL satisfies this through blockchain-anchored Decision Logs constituting a real-time, cryptographically verifiable public attestation of the institution's governance behavior. The </w:t>
      </w:r>
      <w:r w:rsidDel="00000000" w:rsidR="00000000" w:rsidRPr="00000000">
        <w:rPr>
          <w:rFonts w:ascii="Roboto Mono" w:cs="Roboto Mono" w:eastAsia="Roboto Mono" w:hAnsi="Roboto Mono"/>
          <w:color w:val="188038"/>
          <w:rtl w:val="0"/>
        </w:rPr>
        <w:t xml:space="preserve">GET /regulator/basel-iii/attestation</w:t>
      </w:r>
      <w:r w:rsidDel="00000000" w:rsidR="00000000" w:rsidRPr="00000000">
        <w:rPr>
          <w:rtl w:val="0"/>
        </w:rPr>
        <w:t xml:space="preserve"> endpoint provides an automated, signed attestation covering Basel III compliance status across all Eight Pillars. The </w:t>
      </w:r>
      <w:r w:rsidDel="00000000" w:rsidR="00000000" w:rsidRPr="00000000">
        <w:rPr>
          <w:rFonts w:ascii="Roboto Mono" w:cs="Roboto Mono" w:eastAsia="Roboto Mono" w:hAnsi="Roboto Mono"/>
          <w:color w:val="188038"/>
          <w:rtl w:val="0"/>
        </w:rPr>
        <w:t xml:space="preserve">AuditProof_v1_0_0</w:t>
      </w:r>
      <w:r w:rsidDel="00000000" w:rsidR="00000000" w:rsidRPr="00000000">
        <w:rPr>
          <w:rtl w:val="0"/>
        </w:rPr>
        <w:t xml:space="preserve"> structure ensures that every attestation can be independently verified against the public Merkle anchor via </w:t>
      </w:r>
      <w:r w:rsidDel="00000000" w:rsidR="00000000" w:rsidRPr="00000000">
        <w:rPr>
          <w:rFonts w:ascii="Roboto Mono" w:cs="Roboto Mono" w:eastAsia="Roboto Mono" w:hAnsi="Roboto Mono"/>
          <w:color w:val="188038"/>
          <w:rtl w:val="0"/>
        </w:rPr>
        <w:t xml:space="preserve">GET /audit/verifications/merkle/{merkleRoot}</w:t>
      </w:r>
      <w:r w:rsidDel="00000000" w:rsidR="00000000" w:rsidRPr="00000000">
        <w:rPr>
          <w:rtl w:val="0"/>
        </w:rPr>
        <w:t xml:space="preserve">, transforming Pillar 3 disclosure from a periodic institutional claim into a continuous, non-repudiable architectural record.</w:t>
      </w:r>
      <w:hyperlink r:id="rId502">
        <w:r w:rsidDel="00000000" w:rsidR="00000000" w:rsidRPr="00000000">
          <w:rPr>
            <w:rtl w:val="0"/>
          </w:rPr>
          <w:t xml:space="preserve"> </w:t>
        </w:r>
      </w:hyperlink>
      <w:hyperlink r:id="rId503">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BF">
      <w:pPr>
        <w:spacing w:after="240" w:before="240" w:lineRule="auto"/>
        <w:rPr>
          <w:color w:val="1155cc"/>
          <w:u w:val="single"/>
        </w:rPr>
      </w:pPr>
      <w:r w:rsidDel="00000000" w:rsidR="00000000" w:rsidRPr="00000000">
        <w:rPr>
          <w:b w:val="1"/>
          <w:bCs w:val="1"/>
          <w:rtl w:val="0"/>
        </w:rPr>
        <w:t xml:space="preserve">FRTB Non-Modellable Risk Factors.</w:t>
      </w:r>
      <w:r w:rsidDel="00000000" w:rsidR="00000000" w:rsidRPr="00000000">
        <w:rPr>
          <w:rtl w:val="0"/>
        </w:rPr>
        <w:t xml:space="preserve"> The FRTB NMRF provision requires that risk factors lacking sufficient observable market data be capitalized at a standard regulatory charge rather than a model-derived charge. TL operationalizes this automatically through Epistemic Hold. When the Governance Lane detects that a risk factor has fallen below the FRTB threshold for modellability, the </w:t>
      </w:r>
      <w:r w:rsidDel="00000000" w:rsidR="00000000" w:rsidRPr="00000000">
        <w:rPr>
          <w:rFonts w:ascii="Roboto Mono" w:cs="Roboto Mono" w:eastAsia="Roboto Mono" w:hAnsi="Roboto Mono"/>
          <w:color w:val="188038"/>
          <w:rtl w:val="0"/>
        </w:rPr>
        <w:t xml:space="preserve">lantern</w:t>
      </w:r>
      <w:r w:rsidDel="00000000" w:rsidR="00000000" w:rsidRPr="00000000">
        <w:rPr>
          <w:rtl w:val="0"/>
        </w:rPr>
        <w:t xml:space="preserve"> integrity self-test fails. Rather than defaulting to a statistical estimate, the Governance Lane issues Epistemic Hold via </w:t>
      </w:r>
      <w:r w:rsidDel="00000000" w:rsidR="00000000" w:rsidRPr="00000000">
        <w:rPr>
          <w:rFonts w:ascii="Roboto Mono" w:cs="Roboto Mono" w:eastAsia="Roboto Mono" w:hAnsi="Roboto Mono"/>
          <w:color w:val="188038"/>
          <w:rtl w:val="0"/>
        </w:rPr>
        <w:t xml:space="preserve">EscrowRecord_v1_0_0</w:t>
      </w:r>
      <w:r w:rsidDel="00000000" w:rsidR="00000000" w:rsidRPr="00000000">
        <w:rPr>
          <w:rtl w:val="0"/>
        </w:rPr>
        <w:t xml:space="preserve">, populating </w:t>
      </w:r>
      <w:r w:rsidDel="00000000" w:rsidR="00000000" w:rsidRPr="00000000">
        <w:rPr>
          <w:rFonts w:ascii="Roboto Mono" w:cs="Roboto Mono" w:eastAsia="Roboto Mono" w:hAnsi="Roboto Mono"/>
          <w:color w:val="188038"/>
          <w:rtl w:val="0"/>
        </w:rPr>
        <w:t xml:space="preserve">holdRationale.pillarImplicated</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"DecisionLogs"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requiredConditions</w:t>
      </w:r>
      <w:r w:rsidDel="00000000" w:rsidR="00000000" w:rsidRPr="00000000">
        <w:rPr>
          <w:rtl w:val="0"/>
        </w:rPr>
        <w:t xml:space="preserve"> with the data sufficiency requirements. The Decision Log records the NMRF determination, satisfying simultaneously the NL=NA covenant and the Basel Committee's expectation that NMRF assessments be documented and defensible to supervisors.</w:t>
      </w:r>
      <w:hyperlink r:id="rId504">
        <w:r w:rsidDel="00000000" w:rsidR="00000000" w:rsidRPr="00000000">
          <w:rPr>
            <w:rtl w:val="0"/>
          </w:rPr>
          <w:t xml:space="preserve"> </w:t>
        </w:r>
      </w:hyperlink>
      <w:hyperlink r:id="rId505">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2C0">
      <w:pPr>
        <w:spacing w:after="240" w:before="240" w:lineRule="auto"/>
        <w:rPr>
          <w:color w:val="1155cc"/>
          <w:u w:val="single"/>
        </w:rPr>
      </w:pPr>
      <w:r w:rsidDel="00000000" w:rsidR="00000000" w:rsidRPr="00000000">
        <w:rPr>
          <w:b w:val="1"/>
          <w:bCs w:val="1"/>
          <w:rtl w:val="0"/>
        </w:rPr>
        <w:t xml:space="preserve">IRB Approach and Model Integrity.</w:t>
      </w:r>
      <w:r w:rsidDel="00000000" w:rsidR="00000000" w:rsidRPr="00000000">
        <w:rPr>
          <w:rtl w:val="0"/>
        </w:rPr>
        <w:t xml:space="preserve"> Before any IRB-derived capital allocation proposal can receive Proceed, the Decision Log must contain evidence of model validation, calibration to recent default data, and stress testing against macroeconomic scenarios approved by the Technical Council. If a corporate lending algorithm proposes a risk-weighted asset calculation based on a loss given default model that has not been recalibrated since the last reporting cycle, the Governance Lane issues Refuse. The </w:t>
      </w:r>
      <w:r w:rsidDel="00000000" w:rsidR="00000000" w:rsidRPr="00000000">
        <w:rPr>
          <w:rFonts w:ascii="Roboto Mono" w:cs="Roboto Mono" w:eastAsia="Roboto Mono" w:hAnsi="Roboto Mono"/>
          <w:color w:val="188038"/>
          <w:rtl w:val="0"/>
        </w:rPr>
        <w:t xml:space="preserve">JustificationObject_v1_0_0</w:t>
      </w:r>
      <w:r w:rsidDel="00000000" w:rsidR="00000000" w:rsidRPr="00000000">
        <w:rPr>
          <w:rtl w:val="0"/>
        </w:rPr>
        <w:t xml:space="preserve"> records the exact recalibration gap, the regulatory expectation violated, and the </w:t>
      </w:r>
      <w:r w:rsidDel="00000000" w:rsidR="00000000" w:rsidRPr="00000000">
        <w:rPr>
          <w:rFonts w:ascii="Roboto Mono" w:cs="Roboto Mono" w:eastAsia="Roboto Mono" w:hAnsi="Roboto Mono"/>
          <w:color w:val="188038"/>
          <w:rtl w:val="0"/>
        </w:rPr>
        <w:t xml:space="preserve">TriCameralApproval_v1_0_0</w:t>
      </w:r>
      <w:r w:rsidDel="00000000" w:rsidR="00000000" w:rsidRPr="00000000">
        <w:rPr>
          <w:rtl w:val="0"/>
        </w:rPr>
        <w:t xml:space="preserve"> chamber signatures.</w:t>
      </w:r>
      <w:hyperlink r:id="rId506">
        <w:r w:rsidDel="00000000" w:rsidR="00000000" w:rsidRPr="00000000">
          <w:rPr>
            <w:rtl w:val="0"/>
          </w:rPr>
          <w:t xml:space="preserve"> </w:t>
        </w:r>
      </w:hyperlink>
      <w:hyperlink r:id="rId507">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C1">
      <w:pPr>
        <w:spacing w:after="240" w:before="240" w:lineRule="auto"/>
        <w:rPr/>
      </w:pPr>
      <w:r w:rsidDel="00000000" w:rsidR="00000000" w:rsidRPr="00000000">
        <w:rPr>
          <w:rtl w:val="0"/>
        </w:rPr>
        <w:t xml:space="preserve">FRTB implementation has been delayed twice by the European Commission - first to 1 January 2026, then by a delegated act adopted in June 2025 to 1 January 2027.</w:t>
      </w:r>
      <w:hyperlink r:id="rId508">
        <w:r w:rsidDel="00000000" w:rsidR="00000000" w:rsidRPr="00000000">
          <w:rPr>
            <w:rtl w:val="0"/>
          </w:rPr>
          <w:t xml:space="preserve"> </w:t>
        </w:r>
      </w:hyperlink>
      <w:hyperlink r:id="rId509">
        <w:r w:rsidDel="00000000" w:rsidR="00000000" w:rsidRPr="00000000">
          <w:rPr>
            <w:color w:val="1155cc"/>
            <w:u w:val="single"/>
            <w:rtl w:val="0"/>
          </w:rPr>
          <w:t xml:space="preserve">[5]</w:t>
        </w:r>
      </w:hyperlink>
      <w:r w:rsidDel="00000000" w:rsidR="00000000" w:rsidRPr="00000000">
        <w:rPr>
          <w:rtl w:val="0"/>
        </w:rPr>
        <w:t xml:space="preserve"> The Regulatory Nexus accommodates this through jurisdiction-specific implementation calendars maintained in </w:t>
      </w:r>
      <w:r w:rsidDel="00000000" w:rsidR="00000000" w:rsidRPr="00000000">
        <w:rPr>
          <w:rFonts w:ascii="Roboto Mono" w:cs="Roboto Mono" w:eastAsia="Roboto Mono" w:hAnsi="Roboto Mono"/>
          <w:color w:val="188038"/>
          <w:rtl w:val="0"/>
        </w:rPr>
        <w:t xml:space="preserve">ThresholdProfile_v1_0_0</w:t>
      </w:r>
      <w:r w:rsidDel="00000000" w:rsidR="00000000" w:rsidRPr="00000000">
        <w:rPr>
          <w:rtl w:val="0"/>
        </w:rPr>
        <w:t xml:space="preserve"> and updateable by the Stewardship Custodians via </w:t>
      </w:r>
      <w:r w:rsidDel="00000000" w:rsidR="00000000" w:rsidRPr="00000000">
        <w:rPr>
          <w:rFonts w:ascii="Roboto Mono" w:cs="Roboto Mono" w:eastAsia="Roboto Mono" w:hAnsi="Roboto Mono"/>
          <w:color w:val="188038"/>
          <w:rtl w:val="0"/>
        </w:rPr>
        <w:t xml:space="preserve">PUT /thresholds/{domain}</w:t>
      </w:r>
      <w:r w:rsidDel="00000000" w:rsidR="00000000" w:rsidRPr="00000000">
        <w:rPr>
          <w:rtl w:val="0"/>
        </w:rPr>
        <w:t xml:space="preserve">. The Governance Lane evaluates every proposal against the regulatory version in force at the moment of evaluation, recorded in </w:t>
      </w:r>
      <w:r w:rsidDel="00000000" w:rsidR="00000000" w:rsidRPr="00000000">
        <w:rPr>
          <w:rFonts w:ascii="Roboto Mono" w:cs="Roboto Mono" w:eastAsia="Roboto Mono" w:hAnsi="Roboto Mono"/>
          <w:color w:val="188038"/>
          <w:rtl w:val="0"/>
        </w:rPr>
        <w:t xml:space="preserve">regulatory_nexus_reference</w:t>
      </w:r>
      <w:r w:rsidDel="00000000" w:rsidR="00000000" w:rsidRPr="00000000">
        <w:rPr>
          <w:rtl w:val="0"/>
        </w:rPr>
        <w:t xml:space="preserve">.</w:t>
      </w:r>
    </w:p>
    <w:p w:rsidR="00000000" w:rsidDel="00000000" w:rsidP="00000000" w:rsidRDefault="00000000" w:rsidRPr="00000000" w14:paraId="000002C2">
      <w:pPr>
        <w:pStyle w:val="Heading2"/>
        <w:keepNext w:val="0"/>
        <w:keepLines w:val="0"/>
        <w:spacing w:after="80" w:lineRule="auto"/>
        <w:rPr>
          <w:b w:val="1"/>
          <w:bCs w:val="1"/>
          <w:sz w:val="34"/>
          <w:szCs w:val="34"/>
        </w:rPr>
      </w:pPr>
      <w:bookmarkStart w:colFirst="0" w:colLast="0" w:name="_n1kst31bsv1z" w:id="78"/>
      <w:bookmarkEnd w:id="78"/>
      <w:r w:rsidDel="00000000" w:rsidR="00000000" w:rsidRPr="00000000">
        <w:rPr>
          <w:b w:val="1"/>
          <w:bCs w:val="1"/>
          <w:sz w:val="34"/>
          <w:szCs w:val="34"/>
          <w:rtl w:val="0"/>
        </w:rPr>
        <w:t xml:space="preserve">7.2 SEC, CFTC, and Market Integrity Enforcement</w:t>
      </w:r>
    </w:p>
    <w:p w:rsidR="00000000" w:rsidDel="00000000" w:rsidP="00000000" w:rsidRDefault="00000000" w:rsidRPr="00000000" w14:paraId="000002C3">
      <w:pPr>
        <w:spacing w:after="240" w:before="240" w:lineRule="auto"/>
        <w:rPr>
          <w:color w:val="1155cc"/>
          <w:u w:val="single"/>
        </w:rPr>
      </w:pPr>
      <w:r w:rsidDel="00000000" w:rsidR="00000000" w:rsidRPr="00000000">
        <w:rPr>
          <w:b w:val="1"/>
          <w:bCs w:val="1"/>
          <w:rtl w:val="0"/>
        </w:rPr>
        <w:t xml:space="preserve">SEC Regulation SCI.</w:t>
      </w:r>
      <w:r w:rsidDel="00000000" w:rsidR="00000000" w:rsidRPr="00000000">
        <w:rPr>
          <w:rtl w:val="0"/>
        </w:rPr>
        <w:t xml:space="preserve"> Regulation Systems Compliance and Integrity mandates that self-regulatory organizations and certain key market participants establish comprehensive policies and procedures to ensure the capacity, integrity, resiliency, availability, and security of their automated systems.</w:t>
      </w:r>
      <w:hyperlink r:id="rId510">
        <w:r w:rsidDel="00000000" w:rsidR="00000000" w:rsidRPr="00000000">
          <w:rPr>
            <w:rtl w:val="0"/>
          </w:rPr>
          <w:t xml:space="preserve"> </w:t>
        </w:r>
      </w:hyperlink>
      <w:hyperlink r:id="rId511">
        <w:r w:rsidDel="00000000" w:rsidR="00000000" w:rsidRPr="00000000">
          <w:rPr>
            <w:color w:val="1155cc"/>
            <w:u w:val="single"/>
            <w:rtl w:val="0"/>
          </w:rPr>
          <w:t xml:space="preserve">[92]</w:t>
        </w:r>
      </w:hyperlink>
      <w:r w:rsidDel="00000000" w:rsidR="00000000" w:rsidRPr="00000000">
        <w:rPr>
          <w:rtl w:val="0"/>
        </w:rPr>
        <w:t xml:space="preserve"> TL operationalizes Reg SCI requirements as constitutional prerequisites: the Technical Council's continuous validation of the Inference Lane's models, data pipelines, and system capacity is a structural expression of Reg SCI's annual review requirement. If the most recent business continuity test evidence is missing from the </w:t>
      </w:r>
      <w:r w:rsidDel="00000000" w:rsidR="00000000" w:rsidRPr="00000000">
        <w:rPr>
          <w:rFonts w:ascii="Roboto Mono" w:cs="Roboto Mono" w:eastAsia="Roboto Mono" w:hAnsi="Roboto Mono"/>
          <w:color w:val="188038"/>
          <w:rtl w:val="0"/>
        </w:rPr>
        <w:t xml:space="preserve">JustificationObject_v1_0_0</w:t>
      </w:r>
      <w:r w:rsidDel="00000000" w:rsidR="00000000" w:rsidRPr="00000000">
        <w:rPr>
          <w:rtl w:val="0"/>
        </w:rPr>
        <w:t xml:space="preserve">, the Governance Lane issues Epistemic Hold via </w:t>
      </w:r>
      <w:r w:rsidDel="00000000" w:rsidR="00000000" w:rsidRPr="00000000">
        <w:rPr>
          <w:rFonts w:ascii="Roboto Mono" w:cs="Roboto Mono" w:eastAsia="Roboto Mono" w:hAnsi="Roboto Mono"/>
          <w:color w:val="188038"/>
          <w:rtl w:val="0"/>
        </w:rPr>
        <w:t xml:space="preserve">EscrowRecord_v1_0_0</w:t>
      </w:r>
      <w:r w:rsidDel="00000000" w:rsidR="00000000" w:rsidRPr="00000000">
        <w:rPr>
          <w:rtl w:val="0"/>
        </w:rPr>
        <w:t xml:space="preserve">. Under TL, the Reg SCI annual review is a continuous architectural condition that must be satisfied before every Permission Token is issued.</w:t>
      </w:r>
      <w:hyperlink r:id="rId512">
        <w:r w:rsidDel="00000000" w:rsidR="00000000" w:rsidRPr="00000000">
          <w:rPr>
            <w:rtl w:val="0"/>
          </w:rPr>
          <w:t xml:space="preserve"> </w:t>
        </w:r>
      </w:hyperlink>
      <w:hyperlink r:id="rId513">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C4">
      <w:pPr>
        <w:spacing w:after="240" w:before="240" w:lineRule="auto"/>
        <w:rPr>
          <w:color w:val="1155cc"/>
          <w:u w:val="single"/>
        </w:rPr>
      </w:pPr>
      <w:r w:rsidDel="00000000" w:rsidR="00000000" w:rsidRPr="00000000">
        <w:rPr>
          <w:b w:val="1"/>
          <w:bCs w:val="1"/>
          <w:rtl w:val="0"/>
        </w:rPr>
        <w:t xml:space="preserve">Consolidated Audit Trail.</w:t>
      </w:r>
      <w:r w:rsidDel="00000000" w:rsidR="00000000" w:rsidRPr="00000000">
        <w:rPr>
          <w:rtl w:val="0"/>
        </w:rPr>
        <w:t xml:space="preserve"> The SEC's CAT requires broker-dealers to report comprehensive order and trade information including customer identity, timestamps, routing, execution, and handling instructions. TL's Decision Log architecture satisfies CAT reporting requirements structurally but with a critical inversion: the Decision Log is generated before execution as a prerequisite for the Permission Token. Every </w:t>
      </w:r>
      <w:r w:rsidDel="00000000" w:rsidR="00000000" w:rsidRPr="00000000">
        <w:rPr>
          <w:rFonts w:ascii="Roboto Mono" w:cs="Roboto Mono" w:eastAsia="Roboto Mono" w:hAnsi="Roboto Mono"/>
          <w:color w:val="188038"/>
          <w:rtl w:val="0"/>
        </w:rPr>
        <w:t xml:space="preserve">PermissionToken_v1_0_0</w:t>
      </w:r>
      <w:r w:rsidDel="00000000" w:rsidR="00000000" w:rsidRPr="00000000">
        <w:rPr>
          <w:rtl w:val="0"/>
        </w:rPr>
        <w:t xml:space="preserve"> contains the precise data elements that CAT demands - customer identification, timestamps from the hardware-bound clock, routing decisions, and handling instructions - in cryptographically sealed,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-anchored form before the trade executes. NL=NA means no action can occur without a CAT-equivalent record already existing.</w:t>
      </w:r>
      <w:hyperlink r:id="rId514">
        <w:r w:rsidDel="00000000" w:rsidR="00000000" w:rsidRPr="00000000">
          <w:rPr>
            <w:rtl w:val="0"/>
          </w:rPr>
          <w:t xml:space="preserve"> </w:t>
        </w:r>
      </w:hyperlink>
      <w:hyperlink r:id="rId515">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2C5">
      <w:pPr>
        <w:spacing w:after="240" w:before="240" w:lineRule="auto"/>
        <w:rPr>
          <w:color w:val="1155cc"/>
          <w:u w:val="single"/>
        </w:rPr>
      </w:pPr>
      <w:r w:rsidDel="00000000" w:rsidR="00000000" w:rsidRPr="00000000">
        <w:rPr>
          <w:b w:val="1"/>
          <w:bCs w:val="1"/>
          <w:rtl w:val="0"/>
        </w:rPr>
        <w:t xml:space="preserve">SEC Rule 17a-4.</w:t>
      </w:r>
      <w:r w:rsidDel="00000000" w:rsidR="00000000" w:rsidRPr="00000000">
        <w:rPr>
          <w:rtl w:val="0"/>
        </w:rPr>
        <w:t xml:space="preserve"> Governs broker-dealer recordkeeping, requiring that electronic records be maintained in a non-rewriteable, non-erasable format. TL's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satisfies Rule 17a-4 by architectural design: any modification to a Decision Log breaks the cryptographic hash chain detectable via </w:t>
      </w:r>
      <w:r w:rsidDel="00000000" w:rsidR="00000000" w:rsidRPr="00000000">
        <w:rPr>
          <w:rFonts w:ascii="Roboto Mono" w:cs="Roboto Mono" w:eastAsia="Roboto Mono" w:hAnsi="Roboto Mono"/>
          <w:color w:val="188038"/>
          <w:rtl w:val="0"/>
        </w:rPr>
        <w:t xml:space="preserve">GET /audit/verifications/inclusion/{logId}</w:t>
      </w:r>
      <w:r w:rsidDel="00000000" w:rsidR="00000000" w:rsidRPr="00000000">
        <w:rPr>
          <w:rtl w:val="0"/>
        </w:rPr>
        <w:t xml:space="preserve">, any erasure attempt is detectable through the Merkle structure, and the accuracy of every record is continuously verified through the five-layer NL=NA enforcement architecture. A broker-dealer operating under TL governance does not require a separate Rule 17a-4 compliance solution. The framework is the compliance solution.</w:t>
      </w:r>
      <w:hyperlink r:id="rId516">
        <w:r w:rsidDel="00000000" w:rsidR="00000000" w:rsidRPr="00000000">
          <w:rPr>
            <w:rtl w:val="0"/>
          </w:rPr>
          <w:t xml:space="preserve"> </w:t>
        </w:r>
      </w:hyperlink>
      <w:hyperlink r:id="rId517">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C6">
      <w:pPr>
        <w:spacing w:after="240" w:before="240" w:lineRule="auto"/>
        <w:rPr>
          <w:color w:val="1155cc"/>
          <w:u w:val="single"/>
        </w:rPr>
      </w:pPr>
      <w:r w:rsidDel="00000000" w:rsidR="00000000" w:rsidRPr="00000000">
        <w:rPr>
          <w:b w:val="1"/>
          <w:bCs w:val="1"/>
          <w:rtl w:val="0"/>
        </w:rPr>
        <w:t xml:space="preserve">CFTC Regulation AT.</w:t>
      </w:r>
      <w:r w:rsidDel="00000000" w:rsidR="00000000" w:rsidRPr="00000000">
        <w:rPr>
          <w:rtl w:val="0"/>
        </w:rPr>
        <w:t xml:space="preserve"> Establishes risk controls, transparency requirements, and standards of care for algorithmic trading systems in US derivatives markets. TL's Governance Lane enforces Regulation AT pre-trade risk controls as constitutional gates. The Stewardship Custodians configure the Governance Lane with specific Regulation AT parameters via </w:t>
      </w:r>
      <w:r w:rsidDel="00000000" w:rsidR="00000000" w:rsidRPr="00000000">
        <w:rPr>
          <w:rFonts w:ascii="Roboto Mono" w:cs="Roboto Mono" w:eastAsia="Roboto Mono" w:hAnsi="Roboto Mono"/>
          <w:color w:val="188038"/>
          <w:rtl w:val="0"/>
        </w:rPr>
        <w:t xml:space="preserve">PUT /thresholds/{domain}</w:t>
      </w:r>
      <w:r w:rsidDel="00000000" w:rsidR="00000000" w:rsidRPr="00000000">
        <w:rPr>
          <w:rtl w:val="0"/>
        </w:rPr>
        <w:t xml:space="preserve"> applicable to each trading entity and instrument class. When a high-frequency trading algorithm proposes an order exceeding the maximum order message rate, the Governance Lane issues Refuse through </w:t>
      </w:r>
      <w:r w:rsidDel="00000000" w:rsidR="00000000" w:rsidRPr="00000000">
        <w:rPr>
          <w:rFonts w:ascii="Roboto Mono" w:cs="Roboto Mono" w:eastAsia="Roboto Mono" w:hAnsi="Roboto Mono"/>
          <w:color w:val="188038"/>
          <w:rtl w:val="0"/>
        </w:rPr>
        <w:t xml:space="preserve">TL_Ledger_Core</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NLNAViolation</w:t>
      </w:r>
      <w:r w:rsidDel="00000000" w:rsidR="00000000" w:rsidRPr="00000000">
        <w:rPr>
          <w:rtl w:val="0"/>
        </w:rPr>
        <w:t xml:space="preserve">.</w:t>
      </w:r>
      <w:hyperlink r:id="rId518">
        <w:r w:rsidDel="00000000" w:rsidR="00000000" w:rsidRPr="00000000">
          <w:rPr>
            <w:rtl w:val="0"/>
          </w:rPr>
          <w:t xml:space="preserve"> </w:t>
        </w:r>
      </w:hyperlink>
      <w:hyperlink r:id="rId519">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2C7">
      <w:pPr>
        <w:spacing w:after="240" w:before="240" w:lineRule="auto"/>
        <w:rPr>
          <w:color w:val="1155cc"/>
          <w:u w:val="single"/>
        </w:rPr>
      </w:pPr>
      <w:r w:rsidDel="00000000" w:rsidR="00000000" w:rsidRPr="00000000">
        <w:rPr>
          <w:b w:val="1"/>
          <w:bCs w:val="1"/>
          <w:rtl w:val="0"/>
        </w:rPr>
        <w:t xml:space="preserve">Spoofing, Layering, and Anti-Manipulation.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HybridShield</w:t>
      </w:r>
      <w:r w:rsidDel="00000000" w:rsidR="00000000" w:rsidRPr="00000000">
        <w:rPr>
          <w:rtl w:val="0"/>
        </w:rPr>
        <w:t xml:space="preserve">'s Triadic Anti-Manipulation Check monitors order submission-to-cancellation ratios and latency fluctuations. When proposals exhibit the temporal signature of spoofing - orders placed and canceled within milliseconds without execution intent - the Governance Lane issues Refuse. The Decision Log records the pattern analysis, the manipulation signature detected, and the constitutional gate violated in </w:t>
      </w:r>
      <w:r w:rsidDel="00000000" w:rsidR="00000000" w:rsidRPr="00000000">
        <w:rPr>
          <w:rFonts w:ascii="Roboto Mono" w:cs="Roboto Mono" w:eastAsia="Roboto Mono" w:hAnsi="Roboto Mono"/>
          <w:color w:val="188038"/>
          <w:rtl w:val="0"/>
        </w:rPr>
        <w:t xml:space="preserve">JustificationObject_v1_0_0</w:t>
      </w:r>
      <w:r w:rsidDel="00000000" w:rsidR="00000000" w:rsidRPr="00000000">
        <w:rPr>
          <w:rtl w:val="0"/>
        </w:rPr>
        <w:t xml:space="preserve">. This record becomes immediate, immutable evidence for enforcement authorities accessible through </w:t>
      </w:r>
      <w:r w:rsidDel="00000000" w:rsidR="00000000" w:rsidRPr="00000000">
        <w:rPr>
          <w:rFonts w:ascii="Roboto Mono" w:cs="Roboto Mono" w:eastAsia="Roboto Mono" w:hAnsi="Roboto Mono"/>
          <w:color w:val="188038"/>
          <w:rtl w:val="0"/>
        </w:rPr>
        <w:t xml:space="preserve">POST /regulator/evidence-export</w:t>
      </w:r>
      <w:r w:rsidDel="00000000" w:rsidR="00000000" w:rsidRPr="00000000">
        <w:rPr>
          <w:rtl w:val="0"/>
        </w:rPr>
        <w:t xml:space="preserve">. The institution cannot claim that the algorithm acted without human knowledge because the Governance Lane's Refuse determination, signed by the Stewardship Custodians in </w:t>
      </w:r>
      <w:r w:rsidDel="00000000" w:rsidR="00000000" w:rsidRPr="00000000">
        <w:rPr>
          <w:rFonts w:ascii="Roboto Mono" w:cs="Roboto Mono" w:eastAsia="Roboto Mono" w:hAnsi="Roboto Mono"/>
          <w:color w:val="188038"/>
          <w:rtl w:val="0"/>
        </w:rPr>
        <w:t xml:space="preserve">TriCameralApproval_v1_0_0</w:t>
      </w:r>
      <w:r w:rsidDel="00000000" w:rsidR="00000000" w:rsidRPr="00000000">
        <w:rPr>
          <w:rtl w:val="0"/>
        </w:rPr>
        <w:t xml:space="preserve">, demonstrates that the system detected the manipulation and blocked it.</w:t>
      </w:r>
      <w:hyperlink r:id="rId520">
        <w:r w:rsidDel="00000000" w:rsidR="00000000" w:rsidRPr="00000000">
          <w:rPr>
            <w:rtl w:val="0"/>
          </w:rPr>
          <w:t xml:space="preserve"> </w:t>
        </w:r>
      </w:hyperlink>
      <w:hyperlink r:id="rId521">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2C8">
      <w:pPr>
        <w:spacing w:after="240" w:before="240" w:lineRule="auto"/>
        <w:rPr>
          <w:color w:val="1155cc"/>
          <w:u w:val="single"/>
        </w:rPr>
      </w:pPr>
      <w:r w:rsidDel="00000000" w:rsidR="00000000" w:rsidRPr="00000000">
        <w:rPr>
          <w:b w:val="1"/>
          <w:bCs w:val="1"/>
          <w:rtl w:val="0"/>
        </w:rPr>
        <w:t xml:space="preserve">Dodd-Frank Real-Time Reporting.</w:t>
      </w:r>
      <w:r w:rsidDel="00000000" w:rsidR="00000000" w:rsidRPr="00000000">
        <w:rPr>
          <w:rtl w:val="0"/>
        </w:rPr>
        <w:t xml:space="preserve"> When the Governance Lane authorizes a swap transaction, the Decision Log is formatted according to the CFTC's real-time data reporting standard and transmitted to the relevant swap data repository through a cryptographically authenticated channel. The transmission is itself logged in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w:t>
      </w:r>
      <w:hyperlink r:id="rId522">
        <w:r w:rsidDel="00000000" w:rsidR="00000000" w:rsidRPr="00000000">
          <w:rPr>
            <w:rtl w:val="0"/>
          </w:rPr>
          <w:t xml:space="preserve"> </w:t>
        </w:r>
      </w:hyperlink>
      <w:hyperlink r:id="rId523">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2C9">
      <w:pPr>
        <w:pStyle w:val="Heading2"/>
        <w:keepNext w:val="0"/>
        <w:keepLines w:val="0"/>
        <w:spacing w:after="80" w:lineRule="auto"/>
        <w:rPr>
          <w:b w:val="1"/>
          <w:bCs w:val="1"/>
          <w:sz w:val="34"/>
          <w:szCs w:val="34"/>
        </w:rPr>
      </w:pPr>
      <w:bookmarkStart w:colFirst="0" w:colLast="0" w:name="_ie3lu4ygyegi" w:id="79"/>
      <w:bookmarkEnd w:id="79"/>
      <w:r w:rsidDel="00000000" w:rsidR="00000000" w:rsidRPr="00000000">
        <w:rPr>
          <w:b w:val="1"/>
          <w:bCs w:val="1"/>
          <w:sz w:val="34"/>
          <w:szCs w:val="34"/>
          <w:rtl w:val="0"/>
        </w:rPr>
        <w:t xml:space="preserve">7.3 IOSCO Principles for Financial Market Infrastructures</w:t>
      </w:r>
    </w:p>
    <w:p w:rsidR="00000000" w:rsidDel="00000000" w:rsidP="00000000" w:rsidRDefault="00000000" w:rsidRPr="00000000" w14:paraId="000002CA">
      <w:pPr>
        <w:spacing w:after="240" w:before="240" w:lineRule="auto"/>
        <w:rPr/>
      </w:pPr>
      <w:r w:rsidDel="00000000" w:rsidR="00000000" w:rsidRPr="00000000">
        <w:rPr>
          <w:rtl w:val="0"/>
        </w:rPr>
        <w:t xml:space="preserve">The Principles for Financial Market Infrastructures, published jointly by CPMI and IOSCO, constitute the global standard for the design and operation of systemically important payment systems, central securities depositories, securities settlement systems, central counterparties, and trade repositories.</w:t>
      </w:r>
      <w:hyperlink r:id="rId524">
        <w:r w:rsidDel="00000000" w:rsidR="00000000" w:rsidRPr="00000000">
          <w:rPr>
            <w:rtl w:val="0"/>
          </w:rPr>
          <w:t xml:space="preserve"> </w:t>
        </w:r>
      </w:hyperlink>
      <w:hyperlink r:id="rId525">
        <w:r w:rsidDel="00000000" w:rsidR="00000000" w:rsidRPr="00000000">
          <w:rPr>
            <w:color w:val="1155cc"/>
            <w:u w:val="single"/>
            <w:rtl w:val="0"/>
          </w:rPr>
          <w:t xml:space="preserve">[114]</w:t>
        </w:r>
      </w:hyperlink>
      <w:r w:rsidDel="00000000" w:rsidR="00000000" w:rsidRPr="00000000">
        <w:rPr>
          <w:rtl w:val="0"/>
        </w:rPr>
        <w:t xml:space="preserve"> TL aligns with the PFMI at the architectural level because both frameworks recognize that the governance structure of a financial market infrastructure is inseparable from its operational safety.</w:t>
      </w:r>
    </w:p>
    <w:p w:rsidR="00000000" w:rsidDel="00000000" w:rsidP="00000000" w:rsidRDefault="00000000" w:rsidRPr="00000000" w14:paraId="000002CB">
      <w:pPr>
        <w:spacing w:after="240" w:before="240" w:lineRule="auto"/>
        <w:rPr>
          <w:color w:val="1155cc"/>
          <w:u w:val="single"/>
        </w:rPr>
      </w:pPr>
      <w:r w:rsidDel="00000000" w:rsidR="00000000" w:rsidRPr="00000000">
        <w:rPr>
          <w:b w:val="1"/>
          <w:bCs w:val="1"/>
          <w:rtl w:val="0"/>
        </w:rPr>
        <w:t xml:space="preserve">PFMI Principle 1 - Legal Basis.</w:t>
      </w:r>
      <w:r w:rsidDel="00000000" w:rsidR="00000000" w:rsidRPr="00000000">
        <w:rPr>
          <w:rtl w:val="0"/>
        </w:rPr>
        <w:t xml:space="preserve"> TL satisfies this by making the Goukassian Vow the immutable legal foundation of the Governance Lane, encoded in </w:t>
      </w:r>
      <w:r w:rsidDel="00000000" w:rsidR="00000000" w:rsidRPr="00000000">
        <w:rPr>
          <w:rFonts w:ascii="Roboto Mono" w:cs="Roboto Mono" w:eastAsia="Roboto Mono" w:hAnsi="Roboto Mono"/>
          <w:color w:val="188038"/>
          <w:rtl w:val="0"/>
        </w:rPr>
        <w:t xml:space="preserve">tl_openapi.yaml</w:t>
      </w:r>
      <w:r w:rsidDel="00000000" w:rsidR="00000000" w:rsidRPr="00000000">
        <w:rPr>
          <w:rtl w:val="0"/>
        </w:rPr>
        <w:t xml:space="preserve"> under </w:t>
      </w:r>
      <w:r w:rsidDel="00000000" w:rsidR="00000000" w:rsidRPr="00000000">
        <w:rPr>
          <w:rFonts w:ascii="Roboto Mono" w:cs="Roboto Mono" w:eastAsia="Roboto Mono" w:hAnsi="Roboto Mono"/>
          <w:color w:val="188038"/>
          <w:rtl w:val="0"/>
        </w:rPr>
        <w:t xml:space="preserve">x-tl-constitutional-preamble</w:t>
      </w:r>
      <w:r w:rsidDel="00000000" w:rsidR="00000000" w:rsidRPr="00000000">
        <w:rPr>
          <w:rtl w:val="0"/>
        </w:rPr>
        <w:t xml:space="preserve">. The Vow is not an internal policy document. It is constitutional law embedded in the hardware substrate, the API schema, and the Tri-Cameral Governance charter. Every </w:t>
      </w:r>
      <w:r w:rsidDel="00000000" w:rsidR="00000000" w:rsidRPr="00000000">
        <w:rPr>
          <w:rFonts w:ascii="Roboto Mono" w:cs="Roboto Mono" w:eastAsia="Roboto Mono" w:hAnsi="Roboto Mono"/>
          <w:color w:val="188038"/>
          <w:rtl w:val="0"/>
        </w:rPr>
        <w:t xml:space="preserve">PermissionToken_v1_0_0</w:t>
      </w:r>
      <w:r w:rsidDel="00000000" w:rsidR="00000000" w:rsidRPr="00000000">
        <w:rPr>
          <w:rtl w:val="0"/>
        </w:rPr>
        <w:t xml:space="preserve"> contains a cryptographic attestation that the underlying proposal was evaluated against the Vow.</w:t>
      </w:r>
      <w:hyperlink r:id="rId526">
        <w:r w:rsidDel="00000000" w:rsidR="00000000" w:rsidRPr="00000000">
          <w:rPr>
            <w:rtl w:val="0"/>
          </w:rPr>
          <w:t xml:space="preserve"> </w:t>
        </w:r>
      </w:hyperlink>
      <w:hyperlink r:id="rId527">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2CC">
      <w:pPr>
        <w:spacing w:after="240" w:before="240" w:lineRule="auto"/>
        <w:rPr>
          <w:color w:val="1155cc"/>
          <w:u w:val="single"/>
        </w:rPr>
      </w:pPr>
      <w:r w:rsidDel="00000000" w:rsidR="00000000" w:rsidRPr="00000000">
        <w:rPr>
          <w:b w:val="1"/>
          <w:bCs w:val="1"/>
          <w:rtl w:val="0"/>
        </w:rPr>
        <w:t xml:space="preserve">PFMI Principle 2 - Governance.</w:t>
      </w:r>
      <w:r w:rsidDel="00000000" w:rsidR="00000000" w:rsidRPr="00000000">
        <w:rPr>
          <w:rtl w:val="0"/>
        </w:rPr>
        <w:t xml:space="preserve"> TL's Tri-Cameral Governance Model satisfies this. The Technical Council, Stewardship Custodians, and Smart Contract Treasury each have constitutionally defined roles, election protocols, and veto powers documented in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Their signatures are required for Permission Token generation. The </w:t>
      </w:r>
      <w:r w:rsidDel="00000000" w:rsidR="00000000" w:rsidRPr="00000000">
        <w:rPr>
          <w:rFonts w:ascii="Roboto Mono" w:cs="Roboto Mono" w:eastAsia="Roboto Mono" w:hAnsi="Roboto Mono"/>
          <w:color w:val="188038"/>
          <w:rtl w:val="0"/>
        </w:rPr>
        <w:t xml:space="preserve">TriCameralApproval_v1_0_0</w:t>
      </w:r>
      <w:r w:rsidDel="00000000" w:rsidR="00000000" w:rsidRPr="00000000">
        <w:rPr>
          <w:rtl w:val="0"/>
        </w:rPr>
        <w:t xml:space="preserve"> schema enforces distributed authority structure. No single chamber can dominate the others.</w:t>
      </w:r>
      <w:hyperlink r:id="rId528">
        <w:r w:rsidDel="00000000" w:rsidR="00000000" w:rsidRPr="00000000">
          <w:rPr>
            <w:rtl w:val="0"/>
          </w:rPr>
          <w:t xml:space="preserve"> </w:t>
        </w:r>
      </w:hyperlink>
      <w:hyperlink r:id="rId529">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2CD">
      <w:pPr>
        <w:spacing w:after="240" w:before="240" w:lineRule="auto"/>
        <w:rPr>
          <w:color w:val="1155cc"/>
          <w:u w:val="single"/>
        </w:rPr>
      </w:pPr>
      <w:r w:rsidDel="00000000" w:rsidR="00000000" w:rsidRPr="00000000">
        <w:rPr>
          <w:b w:val="1"/>
          <w:bCs w:val="1"/>
          <w:rtl w:val="0"/>
        </w:rPr>
        <w:t xml:space="preserve">PFMI Principle 3 - Risk Management.</w:t>
      </w:r>
      <w:r w:rsidDel="00000000" w:rsidR="00000000" w:rsidRPr="00000000">
        <w:rPr>
          <w:rtl w:val="0"/>
        </w:rPr>
        <w:t xml:space="preserve"> TL's Eight Pillars constitute a comprehensive risk management framework evaluated continuously on every single proposal rather than periodically. The Decision Log for every transaction contains a complete risk assessment at the individual decision level. The </w:t>
      </w:r>
      <w:r w:rsidDel="00000000" w:rsidR="00000000" w:rsidRPr="00000000">
        <w:rPr>
          <w:rFonts w:ascii="Roboto Mono" w:cs="Roboto Mono" w:eastAsia="Roboto Mono" w:hAnsi="Roboto Mono"/>
          <w:color w:val="188038"/>
          <w:rtl w:val="0"/>
        </w:rPr>
        <w:t xml:space="preserve">LanternStatus.pillarStatuses</w:t>
      </w:r>
      <w:r w:rsidDel="00000000" w:rsidR="00000000" w:rsidRPr="00000000">
        <w:rPr>
          <w:rtl w:val="0"/>
        </w:rPr>
        <w:t xml:space="preserve"> array provides per-pillar risk status in real time.</w:t>
      </w:r>
      <w:hyperlink r:id="rId530">
        <w:r w:rsidDel="00000000" w:rsidR="00000000" w:rsidRPr="00000000">
          <w:rPr>
            <w:rtl w:val="0"/>
          </w:rPr>
          <w:t xml:space="preserve"> </w:t>
        </w:r>
      </w:hyperlink>
      <w:hyperlink r:id="rId531">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CE">
      <w:pPr>
        <w:spacing w:after="240" w:before="240" w:lineRule="auto"/>
        <w:rPr>
          <w:color w:val="1155cc"/>
          <w:u w:val="single"/>
        </w:rPr>
      </w:pPr>
      <w:r w:rsidDel="00000000" w:rsidR="00000000" w:rsidRPr="00000000">
        <w:rPr>
          <w:b w:val="1"/>
          <w:bCs w:val="1"/>
          <w:rtl w:val="0"/>
        </w:rPr>
        <w:t xml:space="preserve">PFMI Principles 4 and 5 - Credit Risk and Liquidity Risk.</w:t>
      </w:r>
      <w:r w:rsidDel="00000000" w:rsidR="00000000" w:rsidRPr="00000000">
        <w:rPr>
          <w:rtl w:val="0"/>
        </w:rPr>
        <w:t xml:space="preserve"> TL enforces these through the Smart Contract Treasury managing automated allocation of liquidity and collateral reserves. When the Inference Lane proposes a settlement transaction, the Governance Lane verifies that the proposing entity has sufficient pre-committed liquidity. If the </w:t>
      </w:r>
      <w:r w:rsidDel="00000000" w:rsidR="00000000" w:rsidRPr="00000000">
        <w:rPr>
          <w:rFonts w:ascii="Roboto Mono" w:cs="Roboto Mono" w:eastAsia="Roboto Mono" w:hAnsi="Roboto Mono"/>
          <w:color w:val="188038"/>
          <w:rtl w:val="0"/>
        </w:rPr>
        <w:t xml:space="preserve">baselIiiVector.lcr</w:t>
      </w:r>
      <w:r w:rsidDel="00000000" w:rsidR="00000000" w:rsidRPr="00000000">
        <w:rPr>
          <w:rtl w:val="0"/>
        </w:rPr>
        <w:t xml:space="preserve"> check fails, the Governance Lane issues Refuse.</w:t>
      </w:r>
      <w:hyperlink r:id="rId532">
        <w:r w:rsidDel="00000000" w:rsidR="00000000" w:rsidRPr="00000000">
          <w:rPr>
            <w:rtl w:val="0"/>
          </w:rPr>
          <w:t xml:space="preserve"> </w:t>
        </w:r>
      </w:hyperlink>
      <w:hyperlink r:id="rId533">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2CF">
      <w:pPr>
        <w:spacing w:after="240" w:before="240" w:lineRule="auto"/>
        <w:rPr>
          <w:color w:val="1155cc"/>
          <w:u w:val="single"/>
        </w:rPr>
      </w:pPr>
      <w:r w:rsidDel="00000000" w:rsidR="00000000" w:rsidRPr="00000000">
        <w:rPr>
          <w:b w:val="1"/>
          <w:bCs w:val="1"/>
          <w:rtl w:val="0"/>
        </w:rPr>
        <w:t xml:space="preserve">PFMI Principle 8 - Settlement Finality.</w:t>
      </w:r>
      <w:r w:rsidDel="00000000" w:rsidR="00000000" w:rsidRPr="00000000">
        <w:rPr>
          <w:rtl w:val="0"/>
        </w:rPr>
        <w:t xml:space="preserve"> TL's NL=NA covenant provides the evidentiary foundation for settlement finality. A settlement is not final until it generates a Decision Log, receives a Permission Token, and is anchored to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The timestamp from the hardware-bound clock in </w:t>
      </w:r>
      <w:r w:rsidDel="00000000" w:rsidR="00000000" w:rsidRPr="00000000">
        <w:rPr>
          <w:rFonts w:ascii="Roboto Mono" w:cs="Roboto Mono" w:eastAsia="Roboto Mono" w:hAnsi="Roboto Mono"/>
          <w:color w:val="188038"/>
          <w:rtl w:val="0"/>
        </w:rPr>
        <w:t xml:space="preserve">PermissionToken_v1_0_0</w:t>
      </w:r>
      <w:r w:rsidDel="00000000" w:rsidR="00000000" w:rsidRPr="00000000">
        <w:rPr>
          <w:rtl w:val="0"/>
        </w:rPr>
        <w:t xml:space="preserve"> establishes the legal moment of finality, verifiable via </w:t>
      </w:r>
      <w:r w:rsidDel="00000000" w:rsidR="00000000" w:rsidRPr="00000000">
        <w:rPr>
          <w:rFonts w:ascii="Roboto Mono" w:cs="Roboto Mono" w:eastAsia="Roboto Mono" w:hAnsi="Roboto Mono"/>
          <w:color w:val="188038"/>
          <w:rtl w:val="0"/>
        </w:rPr>
        <w:t xml:space="preserve">GET /regulator/timestamp-verification/{logId}</w:t>
      </w:r>
      <w:r w:rsidDel="00000000" w:rsidR="00000000" w:rsidRPr="00000000">
        <w:rPr>
          <w:rtl w:val="0"/>
        </w:rPr>
        <w:t xml:space="preserve"> which provides the RFC 3161 timestamp token and TSA issuer information. In Mandated Ternary hardware deployments, the MT memristive cell transitions to its low-resistance state precisely when the </w:t>
      </w:r>
      <w:r w:rsidDel="00000000" w:rsidR="00000000" w:rsidRPr="00000000">
        <w:rPr>
          <w:rFonts w:ascii="Roboto Mono" w:cs="Roboto Mono" w:eastAsia="Roboto Mono" w:hAnsi="Roboto Mono"/>
          <w:color w:val="188038"/>
          <w:rtl w:val="0"/>
        </w:rPr>
        <w:t xml:space="preserve">CONFIRM_OK</w:t>
      </w:r>
      <w:r w:rsidDel="00000000" w:rsidR="00000000" w:rsidRPr="00000000">
        <w:rPr>
          <w:rtl w:val="0"/>
        </w:rPr>
        <w:t xml:space="preserve"> pulse arrives from the Governance Lane, and not before.</w:t>
      </w:r>
      <w:hyperlink r:id="rId534">
        <w:r w:rsidDel="00000000" w:rsidR="00000000" w:rsidRPr="00000000">
          <w:rPr>
            <w:rtl w:val="0"/>
          </w:rPr>
          <w:t xml:space="preserve"> </w:t>
        </w:r>
      </w:hyperlink>
      <w:hyperlink r:id="rId535">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2D0">
      <w:pPr>
        <w:spacing w:after="240" w:before="240" w:lineRule="auto"/>
        <w:rPr>
          <w:color w:val="1155cc"/>
          <w:u w:val="single"/>
        </w:rPr>
      </w:pPr>
      <w:r w:rsidDel="00000000" w:rsidR="00000000" w:rsidRPr="00000000">
        <w:rPr>
          <w:b w:val="1"/>
          <w:bCs w:val="1"/>
          <w:rtl w:val="0"/>
        </w:rPr>
        <w:t xml:space="preserve">PFMI Principle 17 - Operational Risk.</w:t>
      </w:r>
      <w:r w:rsidDel="00000000" w:rsidR="00000000" w:rsidRPr="00000000">
        <w:rPr>
          <w:rtl w:val="0"/>
        </w:rPr>
        <w:t xml:space="preserve"> TL's Dual-Lane Architecture is itself the primary operational risk mitigation strategy. The physical separation between the Inference Lane and the Governance Lane ensures that a compromise of the fast computational lane cannot bypass the constitutional governance lane. Even if the Inference Lane is compromised by malware, insider sabotage, or external cyberattack, the Governance Lane remains intact because it operates on separate hardware with independent </w:t>
      </w:r>
      <w:r w:rsidDel="00000000" w:rsidR="00000000" w:rsidRPr="00000000">
        <w:rPr>
          <w:rFonts w:ascii="Roboto Mono" w:cs="Roboto Mono" w:eastAsia="Roboto Mono" w:hAnsi="Roboto Mono"/>
          <w:color w:val="188038"/>
          <w:rtl w:val="0"/>
        </w:rPr>
        <w:t xml:space="preserve">HSMSignedJWT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NLNAAuditToken</w:t>
      </w:r>
      <w:r w:rsidDel="00000000" w:rsidR="00000000" w:rsidRPr="00000000">
        <w:rPr>
          <w:rtl w:val="0"/>
        </w:rPr>
        <w:t xml:space="preserve"> credentials and separate network segmentation. If the Governance Lane fails, the Gateway defaults to closed via </w:t>
      </w:r>
      <w:r w:rsidDel="00000000" w:rsidR="00000000" w:rsidRPr="00000000">
        <w:rPr>
          <w:rFonts w:ascii="Roboto Mono" w:cs="Roboto Mono" w:eastAsia="Roboto Mono" w:hAnsi="Roboto Mono"/>
          <w:color w:val="188038"/>
          <w:rtl w:val="0"/>
        </w:rPr>
        <w:t xml:space="preserve">epistemicHoldOverride: true</w:t>
      </w:r>
      <w:r w:rsidDel="00000000" w:rsidR="00000000" w:rsidRPr="00000000">
        <w:rPr>
          <w:rtl w:val="0"/>
        </w:rPr>
        <w:t xml:space="preserve">, preventing unauthorized execution while preserving system integrity.</w:t>
      </w:r>
      <w:hyperlink r:id="rId536">
        <w:r w:rsidDel="00000000" w:rsidR="00000000" w:rsidRPr="00000000">
          <w:rPr>
            <w:rtl w:val="0"/>
          </w:rPr>
          <w:t xml:space="preserve"> </w:t>
        </w:r>
      </w:hyperlink>
      <w:hyperlink r:id="rId537">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2D1">
      <w:pPr>
        <w:spacing w:after="240" w:before="240" w:lineRule="auto"/>
        <w:rPr>
          <w:color w:val="1155cc"/>
          <w:u w:val="single"/>
        </w:rPr>
      </w:pPr>
      <w:r w:rsidDel="00000000" w:rsidR="00000000" w:rsidRPr="00000000">
        <w:rPr>
          <w:b w:val="1"/>
          <w:bCs w:val="1"/>
          <w:rtl w:val="0"/>
        </w:rPr>
        <w:t xml:space="preserve">PFMI Principle 18 - Access Requirements.</w:t>
      </w:r>
      <w:r w:rsidDel="00000000" w:rsidR="00000000" w:rsidRPr="00000000">
        <w:rPr>
          <w:rtl w:val="0"/>
        </w:rPr>
        <w:t xml:space="preserve"> TL operationalizes this through the </w:t>
      </w:r>
      <w:r w:rsidDel="00000000" w:rsidR="00000000" w:rsidRPr="00000000">
        <w:rPr>
          <w:rFonts w:ascii="Roboto Mono" w:cs="Roboto Mono" w:eastAsia="Roboto Mono" w:hAnsi="Roboto Mono"/>
          <w:color w:val="188038"/>
          <w:rtl w:val="0"/>
        </w:rPr>
        <w:t xml:space="preserve">PermissionToken_v1_0_0</w:t>
      </w:r>
      <w:r w:rsidDel="00000000" w:rsidR="00000000" w:rsidRPr="00000000">
        <w:rPr>
          <w:rtl w:val="0"/>
        </w:rPr>
        <w:t xml:space="preserve"> schema, which defines the evidentiary requirements that every participant must satisfy before its proposals can receive Proceed. These requirements are published in the constitutional schema stored in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and publicly verifiable via </w:t>
      </w:r>
      <w:r w:rsidDel="00000000" w:rsidR="00000000" w:rsidRPr="00000000">
        <w:rPr>
          <w:rFonts w:ascii="Roboto Mono" w:cs="Roboto Mono" w:eastAsia="Roboto Mono" w:hAnsi="Roboto Mono"/>
          <w:color w:val="188038"/>
          <w:rtl w:val="0"/>
        </w:rPr>
        <w:t xml:space="preserve">GET /audit/verifications/merkle/{merkleRoot}</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pillarsCertified</w:t>
      </w:r>
      <w:r w:rsidDel="00000000" w:rsidR="00000000" w:rsidRPr="00000000">
        <w:rPr>
          <w:rtl w:val="0"/>
        </w:rPr>
        <w:t xml:space="preserve"> array with </w:t>
      </w:r>
      <w:r w:rsidDel="00000000" w:rsidR="00000000" w:rsidRPr="00000000">
        <w:rPr>
          <w:rFonts w:ascii="Roboto Mono" w:cs="Roboto Mono" w:eastAsia="Roboto Mono" w:hAnsi="Roboto Mono"/>
          <w:color w:val="188038"/>
          <w:rtl w:val="0"/>
        </w:rPr>
        <w:t xml:space="preserve">minItems: 8, maxItems: 8</w:t>
      </w:r>
      <w:r w:rsidDel="00000000" w:rsidR="00000000" w:rsidRPr="00000000">
        <w:rPr>
          <w:rtl w:val="0"/>
        </w:rPr>
        <w:t xml:space="preserve"> proves that no participant received preferential treatment.</w:t>
      </w:r>
      <w:hyperlink r:id="rId538">
        <w:r w:rsidDel="00000000" w:rsidR="00000000" w:rsidRPr="00000000">
          <w:rPr>
            <w:rtl w:val="0"/>
          </w:rPr>
          <w:t xml:space="preserve"> </w:t>
        </w:r>
      </w:hyperlink>
      <w:hyperlink r:id="rId539">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D2">
      <w:pPr>
        <w:spacing w:after="240" w:before="240" w:lineRule="auto"/>
        <w:rPr>
          <w:color w:val="1155cc"/>
          <w:u w:val="single"/>
        </w:rPr>
      </w:pPr>
      <w:r w:rsidDel="00000000" w:rsidR="00000000" w:rsidRPr="00000000">
        <w:rPr>
          <w:b w:val="1"/>
          <w:bCs w:val="1"/>
          <w:rtl w:val="0"/>
        </w:rPr>
        <w:t xml:space="preserve">PFMI Principle 21 - Efficiency.</w:t>
      </w:r>
      <w:r w:rsidDel="00000000" w:rsidR="00000000" w:rsidRPr="00000000">
        <w:rPr>
          <w:rtl w:val="0"/>
        </w:rPr>
        <w:t xml:space="preserve"> TL addresses this through the Governance Lane's two timing properties: sub-two-millisecond execution gating for routine proposals and the three-hundred-second ceiling for extended constitutional evaluation. The infrastructure remains efficient for well-evidenced transactions while maintaining constitutional effectiveness for complex, high-stakes decisions requiring deeper governance scrutiny. The Smart Contract Treasury manages resource allocation ensuring the Governance Lane is adequately resourced even during market stress.</w:t>
      </w:r>
      <w:hyperlink r:id="rId540">
        <w:r w:rsidDel="00000000" w:rsidR="00000000" w:rsidRPr="00000000">
          <w:rPr>
            <w:rtl w:val="0"/>
          </w:rPr>
          <w:t xml:space="preserve"> </w:t>
        </w:r>
      </w:hyperlink>
      <w:hyperlink r:id="rId541">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2D3">
      <w:pPr>
        <w:pStyle w:val="Heading2"/>
        <w:keepNext w:val="0"/>
        <w:keepLines w:val="0"/>
        <w:spacing w:after="80" w:lineRule="auto"/>
        <w:rPr>
          <w:b w:val="1"/>
          <w:bCs w:val="1"/>
          <w:sz w:val="34"/>
          <w:szCs w:val="34"/>
        </w:rPr>
      </w:pPr>
      <w:bookmarkStart w:colFirst="0" w:colLast="0" w:name="_jpmfu8puo77" w:id="80"/>
      <w:bookmarkEnd w:id="80"/>
      <w:r w:rsidDel="00000000" w:rsidR="00000000" w:rsidRPr="00000000">
        <w:rPr>
          <w:b w:val="1"/>
          <w:bCs w:val="1"/>
          <w:sz w:val="34"/>
          <w:szCs w:val="34"/>
          <w:rtl w:val="0"/>
        </w:rPr>
        <w:t xml:space="preserve">7.4 Central Bank Oversight and CBDC Governance</w:t>
      </w:r>
    </w:p>
    <w:p w:rsidR="00000000" w:rsidDel="00000000" w:rsidP="00000000" w:rsidRDefault="00000000" w:rsidRPr="00000000" w14:paraId="000002D4">
      <w:pPr>
        <w:spacing w:after="240" w:before="240" w:lineRule="auto"/>
        <w:rPr>
          <w:color w:val="1155cc"/>
          <w:u w:val="single"/>
        </w:rPr>
      </w:pPr>
      <w:r w:rsidDel="00000000" w:rsidR="00000000" w:rsidRPr="00000000">
        <w:rPr>
          <w:rtl w:val="0"/>
        </w:rPr>
        <w:t xml:space="preserve">Central banks occupy the apex of the monetary hierarchy. The emergence of Central Bank Digital Currencies introduces a dimension of governance complexity with no historical precedent: the direct issuance of sovereign digital money through algorithmic infrastructure, at retail scale, with programmable compliance logic embedded in the currency itself. The IMF's most recent survey data indicates that 94 percent of the 86 responding central banks are actively exploring CBDC, and that up to fifteen CBDCs are likely to have been issued by 2030.</w:t>
      </w:r>
      <w:hyperlink r:id="rId542">
        <w:r w:rsidDel="00000000" w:rsidR="00000000" w:rsidRPr="00000000">
          <w:rPr>
            <w:rtl w:val="0"/>
          </w:rPr>
          <w:t xml:space="preserve"> </w:t>
        </w:r>
      </w:hyperlink>
      <w:hyperlink r:id="rId543">
        <w:r w:rsidDel="00000000" w:rsidR="00000000" w:rsidRPr="00000000">
          <w:rPr>
            <w:color w:val="1155cc"/>
            <w:u w:val="single"/>
            <w:rtl w:val="0"/>
          </w:rPr>
          <w:t xml:space="preserve">[121]</w:t>
        </w:r>
      </w:hyperlink>
      <w:r w:rsidDel="00000000" w:rsidR="00000000" w:rsidRPr="00000000">
        <w:rPr>
          <w:rtl w:val="0"/>
        </w:rPr>
      </w:r>
    </w:p>
    <w:p w:rsidR="00000000" w:rsidDel="00000000" w:rsidP="00000000" w:rsidRDefault="00000000" w:rsidRPr="00000000" w14:paraId="000002D5">
      <w:pPr>
        <w:spacing w:after="240" w:before="240" w:lineRule="auto"/>
        <w:rPr>
          <w:color w:val="1155cc"/>
          <w:u w:val="single"/>
        </w:rPr>
      </w:pPr>
      <w:r w:rsidDel="00000000" w:rsidR="00000000" w:rsidRPr="00000000">
        <w:rPr>
          <w:b w:val="1"/>
          <w:bCs w:val="1"/>
          <w:rtl w:val="0"/>
        </w:rPr>
        <w:t xml:space="preserve">Algorithmic Monetary Policy.</w:t>
      </w:r>
      <w:r w:rsidDel="00000000" w:rsidR="00000000" w:rsidRPr="00000000">
        <w:rPr>
          <w:rtl w:val="0"/>
        </w:rPr>
        <w:t xml:space="preserve"> A central bank algorithm that proposes quantitative easing, liquidity injections, or interest rate corridor adjustments must submit the proposal to the Governance Lane with complete evidentiary documentation: macroeconomic model outputs, inflation targeting deviation analysis, financial stability impact assessment, and cross-border spillover evaluation. The Governance Lane verifies that the model has been validated by the Technical Council, that the impact assessment has been reviewed by the Stewardship Custodians, and that the resources have been allocated by the Smart Contract Treasury. Without this documentation, the proposal receives Epistemic Hold via </w:t>
      </w:r>
      <w:r w:rsidDel="00000000" w:rsidR="00000000" w:rsidRPr="00000000">
        <w:rPr>
          <w:rFonts w:ascii="Roboto Mono" w:cs="Roboto Mono" w:eastAsia="Roboto Mono" w:hAnsi="Roboto Mono"/>
          <w:color w:val="188038"/>
          <w:rtl w:val="0"/>
        </w:rPr>
        <w:t xml:space="preserve">EscrowRecord_v1_0_0</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holdRationale.pillarImplicated</w:t>
      </w:r>
      <w:r w:rsidDel="00000000" w:rsidR="00000000" w:rsidRPr="00000000">
        <w:rPr>
          <w:rtl w:val="0"/>
        </w:rPr>
        <w:t xml:space="preserve"> set to </w:t>
      </w:r>
      <w:r w:rsidDel="00000000" w:rsidR="00000000" w:rsidRPr="00000000">
        <w:rPr>
          <w:rFonts w:ascii="Roboto Mono" w:cs="Roboto Mono" w:eastAsia="Roboto Mono" w:hAnsi="Roboto Mono"/>
          <w:color w:val="188038"/>
          <w:rtl w:val="0"/>
        </w:rPr>
        <w:t xml:space="preserve">"DecisionLogs"</w:t>
      </w:r>
      <w:r w:rsidDel="00000000" w:rsidR="00000000" w:rsidRPr="00000000">
        <w:rPr>
          <w:rtl w:val="0"/>
        </w:rPr>
        <w:t xml:space="preserve">.</w:t>
      </w:r>
      <w:hyperlink r:id="rId544">
        <w:r w:rsidDel="00000000" w:rsidR="00000000" w:rsidRPr="00000000">
          <w:rPr>
            <w:rtl w:val="0"/>
          </w:rPr>
          <w:t xml:space="preserve"> </w:t>
        </w:r>
      </w:hyperlink>
      <w:hyperlink r:id="rId545">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2D6">
      <w:pPr>
        <w:spacing w:after="240" w:before="240" w:lineRule="auto"/>
        <w:rPr>
          <w:color w:val="1155cc"/>
          <w:u w:val="single"/>
        </w:rPr>
      </w:pPr>
      <w:r w:rsidDel="00000000" w:rsidR="00000000" w:rsidRPr="00000000">
        <w:rPr>
          <w:b w:val="1"/>
          <w:bCs w:val="1"/>
          <w:rtl w:val="0"/>
        </w:rPr>
        <w:t xml:space="preserve">CBDC Transaction Governance.</w:t>
      </w:r>
      <w:r w:rsidDel="00000000" w:rsidR="00000000" w:rsidRPr="00000000">
        <w:rPr>
          <w:rtl w:val="0"/>
        </w:rPr>
        <w:t xml:space="preserve"> The Governance Lane evaluates every CBDC transaction proposal against constitutional monetary criteria before execution. These criteria include AML checks via </w:t>
      </w:r>
      <w:r w:rsidDel="00000000" w:rsidR="00000000" w:rsidRPr="00000000">
        <w:rPr>
          <w:rFonts w:ascii="Roboto Mono" w:cs="Roboto Mono" w:eastAsia="Roboto Mono" w:hAnsi="Roboto Mono"/>
          <w:color w:val="188038"/>
          <w:rtl w:val="0"/>
        </w:rPr>
        <w:t xml:space="preserve">RegulatoryContext.fatf.amlCheckRequired</w:t>
      </w:r>
      <w:r w:rsidDel="00000000" w:rsidR="00000000" w:rsidRPr="00000000">
        <w:rPr>
          <w:rtl w:val="0"/>
        </w:rPr>
        <w:t xml:space="preserve">, sanctions list screening via </w:t>
      </w:r>
      <w:r w:rsidDel="00000000" w:rsidR="00000000" w:rsidRPr="00000000">
        <w:rPr>
          <w:rFonts w:ascii="Roboto Mono" w:cs="Roboto Mono" w:eastAsia="Roboto Mono" w:hAnsi="Roboto Mono"/>
          <w:color w:val="188038"/>
          <w:rtl w:val="0"/>
        </w:rPr>
        <w:t xml:space="preserve">RegulatoryContext.fatf.sanctionsScreened</w:t>
      </w:r>
      <w:r w:rsidDel="00000000" w:rsidR="00000000" w:rsidRPr="00000000">
        <w:rPr>
          <w:rtl w:val="0"/>
        </w:rPr>
        <w:t xml:space="preserve">, macroprudential velocity limits via </w:t>
      </w:r>
      <w:r w:rsidDel="00000000" w:rsidR="00000000" w:rsidRPr="00000000">
        <w:rPr>
          <w:rFonts w:ascii="Roboto Mono" w:cs="Roboto Mono" w:eastAsia="Roboto Mono" w:hAnsi="Roboto Mono"/>
          <w:color w:val="188038"/>
          <w:rtl w:val="0"/>
        </w:rPr>
        <w:t xml:space="preserve">baselIiiVector</w:t>
      </w:r>
      <w:r w:rsidDel="00000000" w:rsidR="00000000" w:rsidRPr="00000000">
        <w:rPr>
          <w:rtl w:val="0"/>
        </w:rPr>
        <w:t xml:space="preserve">, and sovereign debt sustainability constraints via </w:t>
      </w:r>
      <w:r w:rsidDel="00000000" w:rsidR="00000000" w:rsidRPr="00000000">
        <w:rPr>
          <w:rFonts w:ascii="Roboto Mono" w:cs="Roboto Mono" w:eastAsia="Roboto Mono" w:hAnsi="Roboto Mono"/>
          <w:color w:val="188038"/>
          <w:rtl w:val="0"/>
        </w:rPr>
        <w:t xml:space="preserve">regulatory_nexus_reference</w:t>
      </w:r>
      <w:r w:rsidDel="00000000" w:rsidR="00000000" w:rsidRPr="00000000">
        <w:rPr>
          <w:rtl w:val="0"/>
        </w:rPr>
        <w:t xml:space="preserve">. When a retail CBDC wallet proposes a high-value cross-border transfer, if a sanctions match is detected, the Governance Lane issues Refuse through </w:t>
      </w:r>
      <w:r w:rsidDel="00000000" w:rsidR="00000000" w:rsidRPr="00000000">
        <w:rPr>
          <w:rFonts w:ascii="Roboto Mono" w:cs="Roboto Mono" w:eastAsia="Roboto Mono" w:hAnsi="Roboto Mono"/>
          <w:color w:val="188038"/>
          <w:rtl w:val="0"/>
        </w:rPr>
        <w:t xml:space="preserve">POST /refusals</w:t>
      </w:r>
      <w:r w:rsidDel="00000000" w:rsidR="00000000" w:rsidRPr="00000000">
        <w:rPr>
          <w:rtl w:val="0"/>
        </w:rPr>
        <w:t xml:space="preserve">. If the sanctions database is experiencing a synchronization delay, it issues Epistemic Hold via </w:t>
      </w:r>
      <w:r w:rsidDel="00000000" w:rsidR="00000000" w:rsidRPr="00000000">
        <w:rPr>
          <w:rFonts w:ascii="Roboto Mono" w:cs="Roboto Mono" w:eastAsia="Roboto Mono" w:hAnsi="Roboto Mono"/>
          <w:color w:val="188038"/>
          <w:rtl w:val="0"/>
        </w:rPr>
        <w:t xml:space="preserve">EscrowRecord_v1_0_0</w:t>
      </w:r>
      <w:r w:rsidDel="00000000" w:rsidR="00000000" w:rsidRPr="00000000">
        <w:rPr>
          <w:rtl w:val="0"/>
        </w:rPr>
        <w:t xml:space="preserve">.</w:t>
      </w:r>
      <w:hyperlink r:id="rId546">
        <w:r w:rsidDel="00000000" w:rsidR="00000000" w:rsidRPr="00000000">
          <w:rPr>
            <w:rtl w:val="0"/>
          </w:rPr>
          <w:t xml:space="preserve"> </w:t>
        </w:r>
      </w:hyperlink>
      <w:hyperlink r:id="rId547">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2D7">
      <w:pPr>
        <w:spacing w:after="240" w:before="240" w:lineRule="auto"/>
        <w:rPr>
          <w:color w:val="1155cc"/>
          <w:u w:val="single"/>
        </w:rPr>
      </w:pPr>
      <w:r w:rsidDel="00000000" w:rsidR="00000000" w:rsidRPr="00000000">
        <w:rPr>
          <w:b w:val="1"/>
          <w:bCs w:val="1"/>
          <w:rtl w:val="0"/>
        </w:rPr>
        <w:t xml:space="preserve">Cross-Border CBDC Interoperability.</w:t>
      </w:r>
      <w:r w:rsidDel="00000000" w:rsidR="00000000" w:rsidRPr="00000000">
        <w:rPr>
          <w:rtl w:val="0"/>
        </w:rPr>
        <w:t xml:space="preserve"> When a CBDC from one nation proposes a conversion or bridge transaction with a CBDC from another, the Governance Lane must evaluate both jurisdictions' constitutional schemas simultaneously through the </w:t>
      </w:r>
      <w:r w:rsidDel="00000000" w:rsidR="00000000" w:rsidRPr="00000000">
        <w:rPr>
          <w:rFonts w:ascii="Roboto Mono" w:cs="Roboto Mono" w:eastAsia="Roboto Mono" w:hAnsi="Roboto Mono"/>
          <w:color w:val="188038"/>
          <w:rtl w:val="0"/>
        </w:rPr>
        <w:t xml:space="preserve">data_protection_domain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monetary_policy_domain</w:t>
      </w:r>
      <w:r w:rsidDel="00000000" w:rsidR="00000000" w:rsidRPr="00000000">
        <w:rPr>
          <w:rtl w:val="0"/>
        </w:rPr>
        <w:t xml:space="preserve"> endpoints. If the two schemas contain conflicting requirements, the Governance Lane issues Epistemic Hold and the </w:t>
      </w:r>
      <w:r w:rsidDel="00000000" w:rsidR="00000000" w:rsidRPr="00000000">
        <w:rPr>
          <w:rFonts w:ascii="Roboto Mono" w:cs="Roboto Mono" w:eastAsia="Roboto Mono" w:hAnsi="Roboto Mono"/>
          <w:color w:val="188038"/>
          <w:rtl w:val="0"/>
        </w:rPr>
        <w:t xml:space="preserve">GovernancePause</w:t>
      </w:r>
      <w:r w:rsidDel="00000000" w:rsidR="00000000" w:rsidRPr="00000000">
        <w:rPr>
          <w:rtl w:val="0"/>
        </w:rPr>
        <w:t xml:space="preserve"> workflow invokes the bilateral Regulatory Nexus protocol. The Decision Log records the entire negotiation, preserving evidentiary transparency for both sovereign parliaments - accessible through </w:t>
      </w:r>
      <w:r w:rsidDel="00000000" w:rsidR="00000000" w:rsidRPr="00000000">
        <w:rPr>
          <w:rFonts w:ascii="Roboto Mono" w:cs="Roboto Mono" w:eastAsia="Roboto Mono" w:hAnsi="Roboto Mono"/>
          <w:color w:val="188038"/>
          <w:rtl w:val="0"/>
        </w:rPr>
        <w:t xml:space="preserve">POST /regulator/evidence-export</w:t>
      </w:r>
      <w:r w:rsidDel="00000000" w:rsidR="00000000" w:rsidRPr="00000000">
        <w:rPr>
          <w:rtl w:val="0"/>
        </w:rPr>
        <w:t xml:space="preserve">.</w:t>
      </w:r>
      <w:hyperlink r:id="rId548">
        <w:r w:rsidDel="00000000" w:rsidR="00000000" w:rsidRPr="00000000">
          <w:rPr>
            <w:rtl w:val="0"/>
          </w:rPr>
          <w:t xml:space="preserve"> </w:t>
        </w:r>
      </w:hyperlink>
      <w:hyperlink r:id="rId549">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2D8">
      <w:pPr>
        <w:spacing w:after="240" w:before="240" w:lineRule="auto"/>
        <w:rPr>
          <w:color w:val="1155cc"/>
          <w:u w:val="single"/>
        </w:rPr>
      </w:pPr>
      <w:r w:rsidDel="00000000" w:rsidR="00000000" w:rsidRPr="00000000">
        <w:rPr>
          <w:b w:val="1"/>
          <w:bCs w:val="1"/>
          <w:rtl w:val="0"/>
        </w:rPr>
        <w:t xml:space="preserve">Settlement Finality for CBDC.</w:t>
      </w:r>
      <w:r w:rsidDel="00000000" w:rsidR="00000000" w:rsidRPr="00000000">
        <w:rPr>
          <w:rtl w:val="0"/>
        </w:rPr>
        <w:t xml:space="preserve"> Settlement finality under PFMI Principle 8 is realized through NL=NA. A CBDC transfer is not legally final until it generates a Decision Log, receives a </w:t>
      </w:r>
      <w:r w:rsidDel="00000000" w:rsidR="00000000" w:rsidRPr="00000000">
        <w:rPr>
          <w:rFonts w:ascii="Roboto Mono" w:cs="Roboto Mono" w:eastAsia="Roboto Mono" w:hAnsi="Roboto Mono"/>
          <w:color w:val="188038"/>
          <w:rtl w:val="0"/>
        </w:rPr>
        <w:t xml:space="preserve">PermissionToken_v1_0_0</w:t>
      </w:r>
      <w:r w:rsidDel="00000000" w:rsidR="00000000" w:rsidRPr="00000000">
        <w:rPr>
          <w:rtl w:val="0"/>
        </w:rPr>
        <w:t xml:space="preserve">, and is anchored to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Because the ledger is distributed across nodes controlled by the central bank, the finance ministry, and independent auditor entities, no single institution can reverse a settled CBDC payment. This distributed finality is verified through </w:t>
      </w:r>
      <w:r w:rsidDel="00000000" w:rsidR="00000000" w:rsidRPr="00000000">
        <w:rPr>
          <w:rFonts w:ascii="Roboto Mono" w:cs="Roboto Mono" w:eastAsia="Roboto Mono" w:hAnsi="Roboto Mono"/>
          <w:color w:val="188038"/>
          <w:rtl w:val="0"/>
        </w:rPr>
        <w:t xml:space="preserve">GET /audit/verifications/merkle/{merkleRoot}</w:t>
      </w:r>
      <w:r w:rsidDel="00000000" w:rsidR="00000000" w:rsidRPr="00000000">
        <w:rPr>
          <w:rtl w:val="0"/>
        </w:rPr>
        <w:t xml:space="preserve"> by any observer with blockchain access.</w:t>
      </w:r>
      <w:hyperlink r:id="rId550">
        <w:r w:rsidDel="00000000" w:rsidR="00000000" w:rsidRPr="00000000">
          <w:rPr>
            <w:rtl w:val="0"/>
          </w:rPr>
          <w:t xml:space="preserve"> </w:t>
        </w:r>
      </w:hyperlink>
      <w:hyperlink r:id="rId551">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2D9">
      <w:pPr>
        <w:pStyle w:val="Heading2"/>
        <w:keepNext w:val="0"/>
        <w:keepLines w:val="0"/>
        <w:spacing w:after="80" w:lineRule="auto"/>
        <w:rPr>
          <w:b w:val="1"/>
          <w:bCs w:val="1"/>
          <w:sz w:val="34"/>
          <w:szCs w:val="34"/>
        </w:rPr>
      </w:pPr>
      <w:bookmarkStart w:colFirst="0" w:colLast="0" w:name="_b2ohhv3y67me" w:id="81"/>
      <w:bookmarkEnd w:id="81"/>
      <w:r w:rsidDel="00000000" w:rsidR="00000000" w:rsidRPr="00000000">
        <w:rPr>
          <w:b w:val="1"/>
          <w:bCs w:val="1"/>
          <w:sz w:val="34"/>
          <w:szCs w:val="34"/>
          <w:rtl w:val="0"/>
        </w:rPr>
        <w:t xml:space="preserve">7.5 Digital Evidence Standards: FRE 901/902 and eIDAS</w:t>
      </w:r>
    </w:p>
    <w:p w:rsidR="00000000" w:rsidDel="00000000" w:rsidP="00000000" w:rsidRDefault="00000000" w:rsidRPr="00000000" w14:paraId="000002DA">
      <w:pPr>
        <w:spacing w:after="240" w:before="240" w:lineRule="auto"/>
        <w:rPr>
          <w:color w:val="1155cc"/>
          <w:u w:val="single"/>
        </w:rPr>
      </w:pPr>
      <w:r w:rsidDel="00000000" w:rsidR="00000000" w:rsidRPr="00000000">
        <w:rPr>
          <w:b w:val="1"/>
          <w:bCs w:val="1"/>
          <w:rtl w:val="0"/>
        </w:rPr>
        <w:t xml:space="preserve">Federal Rules of Evidence 901/902.</w:t>
      </w:r>
      <w:r w:rsidDel="00000000" w:rsidR="00000000" w:rsidRPr="00000000">
        <w:rPr>
          <w:rtl w:val="0"/>
        </w:rPr>
        <w:t xml:space="preserve"> FRE 901 establishes the foundational requirement for authenticating evidence. TL satisfies FRE 901 by architectural design: every Decision Log is generated through a multi-party, cryptographically attested, hardware-bound process that establishes its identity and integrity at the moment of creation. The log contains the original proposal hash, the constitutional evaluation parameters, the triadic </w:t>
      </w: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the timestamp from a hardware-bound clock, and the digital signatures of the relevant Tri-Cameral chambers through </w:t>
      </w:r>
      <w:r w:rsidDel="00000000" w:rsidR="00000000" w:rsidRPr="00000000">
        <w:rPr>
          <w:rFonts w:ascii="Roboto Mono" w:cs="Roboto Mono" w:eastAsia="Roboto Mono" w:hAnsi="Roboto Mono"/>
          <w:color w:val="188038"/>
          <w:rtl w:val="0"/>
        </w:rPr>
        <w:t xml:space="preserve">TriCameralApproval_v1_0_0</w:t>
      </w:r>
      <w:r w:rsidDel="00000000" w:rsidR="00000000" w:rsidRPr="00000000">
        <w:rPr>
          <w:rtl w:val="0"/>
        </w:rPr>
        <w:t xml:space="preserve">.</w:t>
      </w:r>
      <w:hyperlink r:id="rId552">
        <w:r w:rsidDel="00000000" w:rsidR="00000000" w:rsidRPr="00000000">
          <w:rPr>
            <w:rtl w:val="0"/>
          </w:rPr>
          <w:t xml:space="preserve"> </w:t>
        </w:r>
      </w:hyperlink>
      <w:hyperlink r:id="rId553">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2DB">
      <w:pPr>
        <w:spacing w:after="240" w:before="240" w:lineRule="auto"/>
        <w:rPr>
          <w:color w:val="1155cc"/>
          <w:u w:val="single"/>
        </w:rPr>
      </w:pPr>
      <w:r w:rsidDel="00000000" w:rsidR="00000000" w:rsidRPr="00000000">
        <w:rPr>
          <w:rtl w:val="0"/>
        </w:rPr>
        <w:t xml:space="preserve">The 2017 amendments to the FRE added provisions 902(13) and 902(14), enabling the self-authentication of certified electronic data and records generated by an electronic process through a certification process rather than requiring live witness testimony.</w:t>
      </w:r>
      <w:hyperlink r:id="rId554">
        <w:r w:rsidDel="00000000" w:rsidR="00000000" w:rsidRPr="00000000">
          <w:rPr>
            <w:rtl w:val="0"/>
          </w:rPr>
          <w:t xml:space="preserve"> </w:t>
        </w:r>
      </w:hyperlink>
      <w:hyperlink r:id="rId555">
        <w:r w:rsidDel="00000000" w:rsidR="00000000" w:rsidRPr="00000000">
          <w:rPr>
            <w:color w:val="1155cc"/>
            <w:u w:val="single"/>
            <w:rtl w:val="0"/>
          </w:rPr>
          <w:t xml:space="preserve">[125]</w:t>
        </w:r>
      </w:hyperlink>
      <w:r w:rsidDel="00000000" w:rsidR="00000000" w:rsidRPr="00000000">
        <w:rPr>
          <w:rtl w:val="0"/>
        </w:rPr>
        <w:t xml:space="preserve"> TL's </w:t>
      </w:r>
      <w:r w:rsidDel="00000000" w:rsidR="00000000" w:rsidRPr="00000000">
        <w:rPr>
          <w:rFonts w:ascii="Roboto Mono" w:cs="Roboto Mono" w:eastAsia="Roboto Mono" w:hAnsi="Roboto Mono"/>
          <w:color w:val="188038"/>
          <w:rtl w:val="0"/>
        </w:rPr>
        <w:t xml:space="preserve">GET /regulator/timestamp-verification/{logId}</w:t>
      </w:r>
      <w:r w:rsidDel="00000000" w:rsidR="00000000" w:rsidRPr="00000000">
        <w:rPr>
          <w:rtl w:val="0"/>
        </w:rPr>
        <w:t xml:space="preserve"> endpoint provides the RFC 3161 timestamp token and TSA issuer information needed to satisfy FRE 902 certification requirements for any Decision Log record. The </w:t>
      </w:r>
      <w:r w:rsidDel="00000000" w:rsidR="00000000" w:rsidRPr="00000000">
        <w:rPr>
          <w:rFonts w:ascii="Roboto Mono" w:cs="Roboto Mono" w:eastAsia="Roboto Mono" w:hAnsi="Roboto Mono"/>
          <w:color w:val="188038"/>
          <w:rtl w:val="0"/>
        </w:rPr>
        <w:t xml:space="preserve">GET /audit/verifications/inclusion/{logId}</w:t>
      </w:r>
      <w:r w:rsidDel="00000000" w:rsidR="00000000" w:rsidRPr="00000000">
        <w:rPr>
          <w:rtl w:val="0"/>
        </w:rPr>
        <w:t xml:space="preserve"> endpoint provides the Merkle inclusion proof that courts increasingly require for blockchain-based evidence.</w:t>
      </w:r>
      <w:hyperlink r:id="rId556">
        <w:r w:rsidDel="00000000" w:rsidR="00000000" w:rsidRPr="00000000">
          <w:rPr>
            <w:rtl w:val="0"/>
          </w:rPr>
          <w:t xml:space="preserve"> </w:t>
        </w:r>
      </w:hyperlink>
      <w:hyperlink r:id="rId557">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DC">
      <w:pPr>
        <w:spacing w:after="240" w:before="240" w:lineRule="auto"/>
        <w:rPr>
          <w:color w:val="1155cc"/>
          <w:u w:val="single"/>
        </w:rPr>
      </w:pPr>
      <w:r w:rsidDel="00000000" w:rsidR="00000000" w:rsidRPr="00000000">
        <w:rPr>
          <w:rtl w:val="0"/>
        </w:rPr>
        <w:t xml:space="preserve">FRE 901(b)(9) specifically permits authentication of a process or system by evidence that the process produces an accurate result. The Tri-Cameral Governance Model provides the institutional authentication infrastructure that satisfies this standard: the Technical Council validates the algorithms, the Stewardship Custodians validate the constitutional compliance, and the Smart Contract Treasury validates the resource and incentive integrity. When a court evaluates the reliability of the system that produced a Decision Log, it can examine the independent roles of each chamber, the quorum requirements for state transitions documented in </w:t>
      </w:r>
      <w:r w:rsidDel="00000000" w:rsidR="00000000" w:rsidRPr="00000000">
        <w:rPr>
          <w:rFonts w:ascii="Roboto Mono" w:cs="Roboto Mono" w:eastAsia="Roboto Mono" w:hAnsi="Roboto Mono"/>
          <w:color w:val="188038"/>
          <w:rtl w:val="0"/>
        </w:rPr>
        <w:t xml:space="preserve">TriCameralApproval_v1_0_0</w:t>
      </w:r>
      <w:r w:rsidDel="00000000" w:rsidR="00000000" w:rsidRPr="00000000">
        <w:rPr>
          <w:rtl w:val="0"/>
        </w:rPr>
        <w:t xml:space="preserve">, and the constitutional schema that governs their interactions.</w:t>
      </w:r>
      <w:hyperlink r:id="rId558">
        <w:r w:rsidDel="00000000" w:rsidR="00000000" w:rsidRPr="00000000">
          <w:rPr>
            <w:rtl w:val="0"/>
          </w:rPr>
          <w:t xml:space="preserve"> </w:t>
        </w:r>
      </w:hyperlink>
      <w:hyperlink r:id="rId559">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2DD">
      <w:pPr>
        <w:spacing w:after="240" w:before="240" w:lineRule="auto"/>
        <w:rPr>
          <w:color w:val="1155cc"/>
          <w:u w:val="single"/>
        </w:rPr>
      </w:pPr>
      <w:r w:rsidDel="00000000" w:rsidR="00000000" w:rsidRPr="00000000">
        <w:rPr>
          <w:b w:val="1"/>
          <w:bCs w:val="1"/>
          <w:rtl w:val="0"/>
        </w:rPr>
        <w:t xml:space="preserve">eIDAS Regulation.</w:t>
      </w:r>
      <w:r w:rsidDel="00000000" w:rsidR="00000000" w:rsidRPr="00000000">
        <w:rPr>
          <w:rtl w:val="0"/>
        </w:rPr>
        <w:t xml:space="preserve"> Under the EU eIDAS Regulation (EU 910/2014, updated through eIDAS 2.0 in force May 2024), qualified electronic timestamps issued by a Qualified Trust Service Provider carry a legal presumption of accuracy under Article 42 and cannot be denied legal effect in any EU member state on the grounds that they are in electronic form.</w:t>
      </w:r>
      <w:hyperlink r:id="rId560">
        <w:r w:rsidDel="00000000" w:rsidR="00000000" w:rsidRPr="00000000">
          <w:rPr>
            <w:rtl w:val="0"/>
          </w:rPr>
          <w:t xml:space="preserve"> </w:t>
        </w:r>
      </w:hyperlink>
      <w:hyperlink r:id="rId561">
        <w:r w:rsidDel="00000000" w:rsidR="00000000" w:rsidRPr="00000000">
          <w:rPr>
            <w:color w:val="1155cc"/>
            <w:u w:val="single"/>
            <w:rtl w:val="0"/>
          </w:rPr>
          <w:t xml:space="preserve">[131]</w:t>
        </w:r>
      </w:hyperlink>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Signature</w:t>
      </w:r>
      <w:r w:rsidDel="00000000" w:rsidR="00000000" w:rsidRPr="00000000">
        <w:rPr>
          <w:rtl w:val="0"/>
        </w:rPr>
        <w:t xml:space="preserve"> artifact of the </w:t>
      </w:r>
      <w:r w:rsidDel="00000000" w:rsidR="00000000" w:rsidRPr="00000000">
        <w:rPr>
          <w:rFonts w:ascii="Roboto Mono" w:cs="Roboto Mono" w:eastAsia="Roboto Mono" w:hAnsi="Roboto Mono"/>
          <w:color w:val="188038"/>
          <w:rtl w:val="0"/>
        </w:rPr>
        <w:t xml:space="preserve">GoukassianPrincipleBlock_v1_0_0</w:t>
      </w:r>
      <w:r w:rsidDel="00000000" w:rsidR="00000000" w:rsidRPr="00000000">
        <w:rPr>
          <w:rtl w:val="0"/>
        </w:rPr>
        <w:t xml:space="preserve"> is designed to meet or exceed the qualified electronic signature standard: it is generated by a secure signature creation device - the DITL coprocessor's secure enclave - uniquely linked to the signatory chamber, and cryptographically bound to the specific Decision Log through </w:t>
      </w:r>
      <w:r w:rsidDel="00000000" w:rsidR="00000000" w:rsidRPr="00000000">
        <w:rPr>
          <w:rFonts w:ascii="Roboto Mono" w:cs="Roboto Mono" w:eastAsia="Roboto Mono" w:hAnsi="Roboto Mono"/>
          <w:color w:val="188038"/>
          <w:rtl w:val="0"/>
        </w:rPr>
        <w:t xml:space="preserve">keccak256("signature")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eip712_typed_data.json</w:t>
      </w:r>
      <w:r w:rsidDel="00000000" w:rsidR="00000000" w:rsidRPr="00000000">
        <w:rPr>
          <w:rtl w:val="0"/>
        </w:rPr>
        <w:t xml:space="preserve">.</w:t>
      </w:r>
      <w:hyperlink r:id="rId562">
        <w:r w:rsidDel="00000000" w:rsidR="00000000" w:rsidRPr="00000000">
          <w:rPr>
            <w:rtl w:val="0"/>
          </w:rPr>
          <w:t xml:space="preserve"> </w:t>
        </w:r>
      </w:hyperlink>
      <w:hyperlink r:id="rId563">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DE">
      <w:pPr>
        <w:spacing w:after="240" w:before="240" w:lineRule="auto"/>
        <w:rPr>
          <w:color w:val="1155cc"/>
          <w:u w:val="single"/>
        </w:rPr>
      </w:pPr>
      <w:r w:rsidDel="00000000" w:rsidR="00000000" w:rsidRPr="00000000">
        <w:rPr>
          <w:rtl w:val="0"/>
        </w:rPr>
        <w:t xml:space="preserve">Cross-border economic systems must satisfy both US and EU evidentiary standards simultaneously. When the Governance Lane evaluates a cross-border transaction, it queries the Regulatory Nexus to determine which evidentiary standard applies based on the jurisdictions of the counterparties and the governing law specified in the transaction master agreement. The Governance Lane then configures the Decision Log format, signature protocol, and ledger anchoring mechanism to satisfy the stricter of the applicable standards. If the transaction involves a US institutional investor and a German corporate treasury, the log is formatted to meet both FRE 902 self-authentication criteria and eIDAS qualified signature requirements simultaneously.</w:t>
      </w:r>
      <w:hyperlink r:id="rId564">
        <w:r w:rsidDel="00000000" w:rsidR="00000000" w:rsidRPr="00000000">
          <w:rPr>
            <w:rtl w:val="0"/>
          </w:rPr>
          <w:t xml:space="preserve"> </w:t>
        </w:r>
      </w:hyperlink>
      <w:hyperlink r:id="rId565">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DF">
      <w:pPr>
        <w:pStyle w:val="Heading2"/>
        <w:keepNext w:val="0"/>
        <w:keepLines w:val="0"/>
        <w:spacing w:after="80" w:lineRule="auto"/>
        <w:rPr>
          <w:b w:val="1"/>
          <w:bCs w:val="1"/>
          <w:sz w:val="34"/>
          <w:szCs w:val="34"/>
        </w:rPr>
      </w:pPr>
      <w:bookmarkStart w:colFirst="0" w:colLast="0" w:name="_mzeee43yaolv" w:id="82"/>
      <w:bookmarkEnd w:id="82"/>
      <w:r w:rsidDel="00000000" w:rsidR="00000000" w:rsidRPr="00000000">
        <w:rPr>
          <w:b w:val="1"/>
          <w:bCs w:val="1"/>
          <w:sz w:val="34"/>
          <w:szCs w:val="34"/>
          <w:rtl w:val="0"/>
        </w:rPr>
        <w:t xml:space="preserve">7.6 EU AI Act Alignment</w:t>
      </w:r>
    </w:p>
    <w:p w:rsidR="00000000" w:rsidDel="00000000" w:rsidP="00000000" w:rsidRDefault="00000000" w:rsidRPr="00000000" w14:paraId="000002E0">
      <w:pPr>
        <w:spacing w:after="240" w:before="240" w:lineRule="auto"/>
        <w:rPr/>
      </w:pPr>
      <w:r w:rsidDel="00000000" w:rsidR="00000000" w:rsidRPr="00000000">
        <w:rPr>
          <w:rtl w:val="0"/>
        </w:rPr>
        <w:t xml:space="preserve">The EU AI Act, Regulation (EU) 2024/1689, entered into force on 1 August 2024. It classifies credit scoring, fraud detection, algorithmic trading, and automated investment systems as high-risk AI applications subject to enhanced obligations including traceability, transparency, and mandatory human oversight.</w:t>
      </w:r>
      <w:hyperlink r:id="rId566">
        <w:r w:rsidDel="00000000" w:rsidR="00000000" w:rsidRPr="00000000">
          <w:rPr>
            <w:rtl w:val="0"/>
          </w:rPr>
          <w:t xml:space="preserve"> </w:t>
        </w:r>
      </w:hyperlink>
      <w:hyperlink r:id="rId567">
        <w:r w:rsidDel="00000000" w:rsidR="00000000" w:rsidRPr="00000000">
          <w:rPr>
            <w:color w:val="1155cc"/>
            <w:u w:val="single"/>
            <w:rtl w:val="0"/>
          </w:rPr>
          <w:t xml:space="preserve">[9]</w:t>
        </w:r>
      </w:hyperlink>
      <w:r w:rsidDel="00000000" w:rsidR="00000000" w:rsidRPr="00000000">
        <w:rPr>
          <w:rtl w:val="0"/>
        </w:rPr>
        <w:t xml:space="preserve"> High-risk system provisions apply from 2 August 2026. Fines for non-compliance reach 7 percent of global annual turnover or 35 million euros, whichever is greater.</w:t>
      </w:r>
    </w:p>
    <w:p w:rsidR="00000000" w:rsidDel="00000000" w:rsidP="00000000" w:rsidRDefault="00000000" w:rsidRPr="00000000" w14:paraId="000002E1">
      <w:pPr>
        <w:spacing w:after="240" w:before="240" w:lineRule="auto"/>
        <w:rPr/>
      </w:pPr>
      <w:r w:rsidDel="00000000" w:rsidR="00000000" w:rsidRPr="00000000">
        <w:rPr>
          <w:rtl w:val="0"/>
        </w:rPr>
        <w:t xml:space="preserve">TL operationalizes EU AI Act high-risk requirements structurally rather than procedurally:</w:t>
      </w:r>
    </w:p>
    <w:p w:rsidR="00000000" w:rsidDel="00000000" w:rsidP="00000000" w:rsidRDefault="00000000" w:rsidRPr="00000000" w14:paraId="000002E2">
      <w:pPr>
        <w:spacing w:after="240" w:before="240" w:lineRule="auto"/>
        <w:rPr/>
      </w:pPr>
      <w:r w:rsidDel="00000000" w:rsidR="00000000" w:rsidRPr="00000000">
        <w:rPr>
          <w:b w:val="1"/>
          <w:bCs w:val="1"/>
          <w:rtl w:val="0"/>
        </w:rPr>
        <w:t xml:space="preserve">Traceability</w:t>
      </w:r>
      <w:r w:rsidDel="00000000" w:rsidR="00000000" w:rsidRPr="00000000">
        <w:rPr>
          <w:rtl w:val="0"/>
        </w:rPr>
        <w:t xml:space="preserve"> is satisfied by Decision Logs constituting the full traceable history of every automated determination, accessible through </w:t>
      </w:r>
      <w:r w:rsidDel="00000000" w:rsidR="00000000" w:rsidRPr="00000000">
        <w:rPr>
          <w:rFonts w:ascii="Roboto Mono" w:cs="Roboto Mono" w:eastAsia="Roboto Mono" w:hAnsi="Roboto Mono"/>
          <w:color w:val="188038"/>
          <w:rtl w:val="0"/>
        </w:rPr>
        <w:t xml:space="preserve">GET /decisions/{decisionId}</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JustificationObject_v1_0_0</w:t>
      </w:r>
      <w:r w:rsidDel="00000000" w:rsidR="00000000" w:rsidRPr="00000000">
        <w:rPr>
          <w:rtl w:val="0"/>
        </w:rPr>
        <w:t xml:space="preserve"> documenting the complete reasoning chain.</w:t>
      </w:r>
    </w:p>
    <w:p w:rsidR="00000000" w:rsidDel="00000000" w:rsidP="00000000" w:rsidRDefault="00000000" w:rsidRPr="00000000" w14:paraId="000002E3">
      <w:pPr>
        <w:spacing w:after="240" w:before="240" w:lineRule="auto"/>
        <w:rPr/>
      </w:pPr>
      <w:r w:rsidDel="00000000" w:rsidR="00000000" w:rsidRPr="00000000">
        <w:rPr>
          <w:b w:val="1"/>
          <w:bCs w:val="1"/>
          <w:rtl w:val="0"/>
        </w:rPr>
        <w:t xml:space="preserve">Transparency</w:t>
      </w:r>
      <w:r w:rsidDel="00000000" w:rsidR="00000000" w:rsidRPr="00000000">
        <w:rPr>
          <w:rtl w:val="0"/>
        </w:rPr>
        <w:t xml:space="preserve"> is satisfied by the constitutional schema's publication in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making the decision criteria publicly verifiable via </w:t>
      </w:r>
      <w:r w:rsidDel="00000000" w:rsidR="00000000" w:rsidRPr="00000000">
        <w:rPr>
          <w:rFonts w:ascii="Roboto Mono" w:cs="Roboto Mono" w:eastAsia="Roboto Mono" w:hAnsi="Roboto Mono"/>
          <w:color w:val="188038"/>
          <w:rtl w:val="0"/>
        </w:rPr>
        <w:t xml:space="preserve">GET /audit/verifications/merkle/{merkleRoot}</w:t>
      </w:r>
      <w:r w:rsidDel="00000000" w:rsidR="00000000" w:rsidRPr="00000000">
        <w:rPr>
          <w:rtl w:val="0"/>
        </w:rPr>
        <w:t xml:space="preserve">.</w:t>
      </w:r>
    </w:p>
    <w:p w:rsidR="00000000" w:rsidDel="00000000" w:rsidP="00000000" w:rsidRDefault="00000000" w:rsidRPr="00000000" w14:paraId="000002E4">
      <w:pPr>
        <w:spacing w:after="240" w:before="240" w:lineRule="auto"/>
        <w:rPr>
          <w:color w:val="1155cc"/>
          <w:u w:val="single"/>
        </w:rPr>
      </w:pPr>
      <w:r w:rsidDel="00000000" w:rsidR="00000000" w:rsidRPr="00000000">
        <w:rPr>
          <w:b w:val="1"/>
          <w:bCs w:val="1"/>
          <w:rtl w:val="0"/>
        </w:rPr>
        <w:t xml:space="preserve">Mandatory human oversight</w:t>
      </w:r>
      <w:r w:rsidDel="00000000" w:rsidR="00000000" w:rsidRPr="00000000">
        <w:rPr>
          <w:rtl w:val="0"/>
        </w:rPr>
        <w:t xml:space="preserve"> is satisfied by the </w:t>
      </w:r>
      <w:r w:rsidDel="00000000" w:rsidR="00000000" w:rsidRPr="00000000">
        <w:rPr>
          <w:rFonts w:ascii="Roboto Mono" w:cs="Roboto Mono" w:eastAsia="Roboto Mono" w:hAnsi="Roboto Mono"/>
          <w:color w:val="188038"/>
          <w:rtl w:val="0"/>
        </w:rPr>
        <w:t xml:space="preserve">GovernancePause</w:t>
      </w:r>
      <w:r w:rsidDel="00000000" w:rsidR="00000000" w:rsidRPr="00000000">
        <w:rPr>
          <w:rtl w:val="0"/>
        </w:rPr>
        <w:t xml:space="preserve"> workflow (</w:t>
      </w:r>
      <w:r w:rsidDel="00000000" w:rsidR="00000000" w:rsidRPr="00000000">
        <w:rPr>
          <w:rFonts w:ascii="Roboto Mono" w:cs="Roboto Mono" w:eastAsia="Roboto Mono" w:hAnsi="Roboto Mono"/>
          <w:color w:val="188038"/>
          <w:rtl w:val="0"/>
        </w:rPr>
        <w:t xml:space="preserve">StateEnvelope.processActive: const: "GovernancePause"</w:t>
      </w:r>
      <w:r w:rsidDel="00000000" w:rsidR="00000000" w:rsidRPr="00000000">
        <w:rPr>
          <w:rtl w:val="0"/>
        </w:rPr>
        <w:t xml:space="preserve">), which mandates human escalation whenever Epistemic Hold is sustained beyond </w:t>
      </w:r>
      <w:r w:rsidDel="00000000" w:rsidR="00000000" w:rsidRPr="00000000">
        <w:rPr>
          <w:rFonts w:ascii="Roboto Mono" w:cs="Roboto Mono" w:eastAsia="Roboto Mono" w:hAnsi="Roboto Mono"/>
          <w:color w:val="188038"/>
          <w:rtl w:val="0"/>
        </w:rPr>
        <w:t xml:space="preserve">resolutionDeadline</w:t>
      </w:r>
      <w:r w:rsidDel="00000000" w:rsidR="00000000" w:rsidRPr="00000000">
        <w:rPr>
          <w:rtl w:val="0"/>
        </w:rPr>
        <w:t xml:space="preserve"> thresholds. The </w:t>
      </w:r>
      <w:r w:rsidDel="00000000" w:rsidR="00000000" w:rsidRPr="00000000">
        <w:rPr>
          <w:rFonts w:ascii="Roboto Mono" w:cs="Roboto Mono" w:eastAsia="Roboto Mono" w:hAnsi="Roboto Mono"/>
          <w:color w:val="188038"/>
          <w:rtl w:val="0"/>
        </w:rPr>
        <w:t xml:space="preserve">epistemicHold.escalation</w:t>
      </w:r>
      <w:r w:rsidDel="00000000" w:rsidR="00000000" w:rsidRPr="00000000">
        <w:rPr>
          <w:rtl w:val="0"/>
        </w:rPr>
        <w:t xml:space="preserve"> webhook notifies the responsible human oversight personnel automatically. Throughout this process, the Gateway remains closed: the automated system cannot proceed without either human validation via </w:t>
      </w:r>
      <w:r w:rsidDel="00000000" w:rsidR="00000000" w:rsidRPr="00000000">
        <w:rPr>
          <w:rFonts w:ascii="Roboto Mono" w:cs="Roboto Mono" w:eastAsia="Roboto Mono" w:hAnsi="Roboto Mono"/>
          <w:color w:val="188038"/>
          <w:rtl w:val="0"/>
        </w:rPr>
        <w:t xml:space="preserve">PATCH /epistemic-hold/escalations/{escalationId}</w:t>
      </w:r>
      <w:r w:rsidDel="00000000" w:rsidR="00000000" w:rsidRPr="00000000">
        <w:rPr>
          <w:rtl w:val="0"/>
        </w:rPr>
        <w:t xml:space="preserve"> or a subsequent Governance Lane determination. Human oversight is not a parallel administrative process that can be bypassed under time pressure. It is a physical precondition for execution.</w:t>
      </w:r>
      <w:hyperlink r:id="rId568">
        <w:r w:rsidDel="00000000" w:rsidR="00000000" w:rsidRPr="00000000">
          <w:rPr>
            <w:rtl w:val="0"/>
          </w:rPr>
          <w:t xml:space="preserve"> </w:t>
        </w:r>
      </w:hyperlink>
      <w:hyperlink r:id="rId569">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E5">
      <w:pPr>
        <w:spacing w:after="240" w:before="240" w:lineRule="auto"/>
        <w:rPr/>
      </w:pPr>
      <w:r w:rsidDel="00000000" w:rsidR="00000000" w:rsidRPr="00000000">
        <w:rPr>
          <w:b w:val="1"/>
          <w:bCs w:val="1"/>
          <w:rtl w:val="0"/>
        </w:rPr>
        <w:t xml:space="preserve">Continuous monitoring</w:t>
      </w:r>
      <w:r w:rsidDel="00000000" w:rsidR="00000000" w:rsidRPr="00000000">
        <w:rPr>
          <w:rtl w:val="0"/>
        </w:rPr>
        <w:t xml:space="preserve"> throughout the operational lifecycle is satisfied by the continuous Governance Lane evaluation of every proposal and the Lantern's real-time </w:t>
      </w:r>
      <w:r w:rsidDel="00000000" w:rsidR="00000000" w:rsidRPr="00000000">
        <w:rPr>
          <w:rFonts w:ascii="Roboto Mono" w:cs="Roboto Mono" w:eastAsia="Roboto Mono" w:hAnsi="Roboto Mono"/>
          <w:color w:val="188038"/>
          <w:rtl w:val="0"/>
        </w:rPr>
        <w:t xml:space="preserve">pillarStatuses</w:t>
      </w:r>
      <w:r w:rsidDel="00000000" w:rsidR="00000000" w:rsidRPr="00000000">
        <w:rPr>
          <w:rtl w:val="0"/>
        </w:rPr>
        <w:t xml:space="preserve"> array, rather than periodic audits that sample past decisions.</w:t>
      </w:r>
    </w:p>
    <w:p w:rsidR="00000000" w:rsidDel="00000000" w:rsidP="00000000" w:rsidRDefault="00000000" w:rsidRPr="00000000" w14:paraId="000002E6">
      <w:pPr>
        <w:spacing w:after="240" w:before="240" w:lineRule="auto"/>
        <w:rPr>
          <w:color w:val="1155cc"/>
          <w:u w:val="single"/>
        </w:rPr>
      </w:pPr>
      <w:r w:rsidDel="00000000" w:rsidR="00000000" w:rsidRPr="00000000">
        <w:rPr>
          <w:b w:val="1"/>
          <w:bCs w:val="1"/>
          <w:rtl w:val="0"/>
        </w:rPr>
        <w:t xml:space="preserve">Non-discrimination</w:t>
      </w:r>
      <w:r w:rsidDel="00000000" w:rsidR="00000000" w:rsidRPr="00000000">
        <w:rPr>
          <w:rtl w:val="0"/>
        </w:rPr>
        <w:t xml:space="preserve"> requirements are satisfied by the </w:t>
      </w:r>
      <w:r w:rsidDel="00000000" w:rsidR="00000000" w:rsidRPr="00000000">
        <w:rPr>
          <w:rFonts w:ascii="Roboto Mono" w:cs="Roboto Mono" w:eastAsia="Roboto Mono" w:hAnsi="Roboto Mono"/>
          <w:color w:val="188038"/>
          <w:rtl w:val="0"/>
        </w:rPr>
        <w:t xml:space="preserve">lantern</w:t>
      </w:r>
      <w:r w:rsidDel="00000000" w:rsidR="00000000" w:rsidRPr="00000000">
        <w:rPr>
          <w:rtl w:val="0"/>
        </w:rPr>
        <w:t xml:space="preserve"> integrity self-test which includes bias detection checks as a required evaluation step before any decision pathway can proceed. If the </w:t>
      </w:r>
      <w:r w:rsidDel="00000000" w:rsidR="00000000" w:rsidRPr="00000000">
        <w:rPr>
          <w:rFonts w:ascii="Roboto Mono" w:cs="Roboto Mono" w:eastAsia="Roboto Mono" w:hAnsi="Roboto Mono"/>
          <w:color w:val="188038"/>
          <w:rtl w:val="0"/>
        </w:rPr>
        <w:t xml:space="preserve">lantern</w:t>
      </w:r>
      <w:r w:rsidDel="00000000" w:rsidR="00000000" w:rsidRPr="00000000">
        <w:rPr>
          <w:rtl w:val="0"/>
        </w:rPr>
        <w:t xml:space="preserve"> detects correlation between a protected characteristic and an adverse determination, it fails the integrity self-test and issues Epistemic Hold via </w:t>
      </w:r>
      <w:r w:rsidDel="00000000" w:rsidR="00000000" w:rsidRPr="00000000">
        <w:rPr>
          <w:rFonts w:ascii="Roboto Mono" w:cs="Roboto Mono" w:eastAsia="Roboto Mono" w:hAnsi="Roboto Mono"/>
          <w:color w:val="188038"/>
          <w:rtl w:val="0"/>
        </w:rPr>
        <w:t xml:space="preserve">EscrowRecord_v1_0_0</w:t>
      </w:r>
      <w:r w:rsidDel="00000000" w:rsidR="00000000" w:rsidRPr="00000000">
        <w:rPr>
          <w:rtl w:val="0"/>
        </w:rPr>
        <w:t xml:space="preserve">, escalating to the Stewardship Custodians for model recalibration review.</w:t>
      </w:r>
      <w:hyperlink r:id="rId570">
        <w:r w:rsidDel="00000000" w:rsidR="00000000" w:rsidRPr="00000000">
          <w:rPr>
            <w:rtl w:val="0"/>
          </w:rPr>
          <w:t xml:space="preserve"> </w:t>
        </w:r>
      </w:hyperlink>
      <w:hyperlink r:id="rId571">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2E7">
      <w:pPr>
        <w:pStyle w:val="Heading2"/>
        <w:keepNext w:val="0"/>
        <w:keepLines w:val="0"/>
        <w:spacing w:after="80" w:lineRule="auto"/>
        <w:rPr>
          <w:b w:val="1"/>
          <w:bCs w:val="1"/>
          <w:sz w:val="34"/>
          <w:szCs w:val="34"/>
        </w:rPr>
      </w:pPr>
      <w:bookmarkStart w:colFirst="0" w:colLast="0" w:name="_1s58jjthw0t4" w:id="83"/>
      <w:bookmarkEnd w:id="83"/>
      <w:r w:rsidDel="00000000" w:rsidR="00000000" w:rsidRPr="00000000">
        <w:rPr>
          <w:b w:val="1"/>
          <w:bCs w:val="1"/>
          <w:sz w:val="34"/>
          <w:szCs w:val="34"/>
          <w:rtl w:val="0"/>
        </w:rPr>
        <w:t xml:space="preserve">7.7 Global AML and the FATF Framework</w:t>
      </w:r>
    </w:p>
    <w:p w:rsidR="00000000" w:rsidDel="00000000" w:rsidP="00000000" w:rsidRDefault="00000000" w:rsidRPr="00000000" w14:paraId="000002E8">
      <w:pPr>
        <w:spacing w:after="240" w:before="240" w:lineRule="auto"/>
        <w:rPr>
          <w:color w:val="1155cc"/>
          <w:u w:val="single"/>
        </w:rPr>
      </w:pPr>
      <w:r w:rsidDel="00000000" w:rsidR="00000000" w:rsidRPr="00000000">
        <w:rPr>
          <w:rtl w:val="0"/>
        </w:rPr>
        <w:t xml:space="preserve">Global AML compliance now costs financial institutions an estimated $274 billion annually, yet 90 to 95 percent of all monitoring alerts are false positives.</w:t>
      </w:r>
      <w:hyperlink r:id="rId572">
        <w:r w:rsidDel="00000000" w:rsidR="00000000" w:rsidRPr="00000000">
          <w:rPr>
            <w:rtl w:val="0"/>
          </w:rPr>
          <w:t xml:space="preserve"> </w:t>
        </w:r>
      </w:hyperlink>
      <w:hyperlink r:id="rId573">
        <w:r w:rsidDel="00000000" w:rsidR="00000000" w:rsidRPr="00000000">
          <w:rPr>
            <w:color w:val="1155cc"/>
            <w:u w:val="single"/>
            <w:rtl w:val="0"/>
          </w:rPr>
          <w:t xml:space="preserve">[2]</w:t>
        </w:r>
      </w:hyperlink>
      <w:r w:rsidDel="00000000" w:rsidR="00000000" w:rsidRPr="00000000">
        <w:rPr>
          <w:rtl w:val="0"/>
        </w:rPr>
        <w:t xml:space="preserve"> In 2024 alone, AML-related enforcement penalties totalled $3.2 billion globally, with TD Bank's $3 billion penalty marking the largest single enforcement action ever levied under the Bank Secrecy Act.</w:t>
      </w:r>
      <w:hyperlink r:id="rId574">
        <w:r w:rsidDel="00000000" w:rsidR="00000000" w:rsidRPr="00000000">
          <w:rPr>
            <w:rtl w:val="0"/>
          </w:rPr>
          <w:t xml:space="preserve"> </w:t>
        </w:r>
      </w:hyperlink>
      <w:hyperlink r:id="rId575">
        <w:r w:rsidDel="00000000" w:rsidR="00000000" w:rsidRPr="00000000">
          <w:rPr>
            <w:color w:val="1155cc"/>
            <w:u w:val="single"/>
            <w:rtl w:val="0"/>
          </w:rPr>
          <w:t xml:space="preserve">[3]</w:t>
        </w:r>
      </w:hyperlink>
      <w:r w:rsidDel="00000000" w:rsidR="00000000" w:rsidRPr="00000000">
        <w:rPr>
          <w:rtl w:val="0"/>
        </w:rPr>
      </w:r>
    </w:p>
    <w:p w:rsidR="00000000" w:rsidDel="00000000" w:rsidP="00000000" w:rsidRDefault="00000000" w:rsidRPr="00000000" w14:paraId="000002E9">
      <w:pPr>
        <w:spacing w:after="240" w:before="240" w:lineRule="auto"/>
        <w:rPr>
          <w:color w:val="1155cc"/>
          <w:u w:val="single"/>
        </w:rPr>
      </w:pPr>
      <w:r w:rsidDel="00000000" w:rsidR="00000000" w:rsidRPr="00000000">
        <w:rPr>
          <w:rtl w:val="0"/>
        </w:rPr>
        <w:t xml:space="preserve">TL transforms AML from a statistical alert problem into a constitutional governance problem. The Governance Lane evaluates every suspicious transaction alert against a schema-validated evidentiary record before any regulatory filing, asset freeze, or law enforcement referral. The </w:t>
      </w:r>
      <w:r w:rsidDel="00000000" w:rsidR="00000000" w:rsidRPr="00000000">
        <w:rPr>
          <w:rFonts w:ascii="Roboto Mono" w:cs="Roboto Mono" w:eastAsia="Roboto Mono" w:hAnsi="Roboto Mono"/>
          <w:color w:val="188038"/>
          <w:rtl w:val="0"/>
        </w:rPr>
        <w:t xml:space="preserve">RegulatoryContext.fatf</w:t>
      </w:r>
      <w:r w:rsidDel="00000000" w:rsidR="00000000" w:rsidRPr="00000000">
        <w:rPr>
          <w:rtl w:val="0"/>
        </w:rPr>
        <w:t xml:space="preserve"> object includes </w:t>
      </w:r>
      <w:r w:rsidDel="00000000" w:rsidR="00000000" w:rsidRPr="00000000">
        <w:rPr>
          <w:rFonts w:ascii="Roboto Mono" w:cs="Roboto Mono" w:eastAsia="Roboto Mono" w:hAnsi="Roboto Mono"/>
          <w:color w:val="188038"/>
          <w:rtl w:val="0"/>
        </w:rPr>
        <w:t xml:space="preserve">amlCheckRequired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sanctionsScreened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pepInvolved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sarGenerated</w:t>
      </w:r>
      <w:r w:rsidDel="00000000" w:rsidR="00000000" w:rsidRPr="00000000">
        <w:rPr>
          <w:rtl w:val="0"/>
        </w:rPr>
        <w:t xml:space="preserve"> as mandatory evaluation fields.</w:t>
      </w:r>
      <w:hyperlink r:id="rId576">
        <w:r w:rsidDel="00000000" w:rsidR="00000000" w:rsidRPr="00000000">
          <w:rPr>
            <w:rtl w:val="0"/>
          </w:rPr>
          <w:t xml:space="preserve"> </w:t>
        </w:r>
      </w:hyperlink>
      <w:hyperlink r:id="rId577">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EA">
      <w:pPr>
        <w:spacing w:after="240" w:before="240" w:lineRule="auto"/>
        <w:rPr>
          <w:color w:val="1155cc"/>
          <w:u w:val="single"/>
        </w:rPr>
      </w:pPr>
      <w:r w:rsidDel="00000000" w:rsidR="00000000" w:rsidRPr="00000000">
        <w:rPr>
          <w:rtl w:val="0"/>
        </w:rPr>
        <w:t xml:space="preserve">FATF Recommendations 24 and 25 require jurisdictions to ensure competent authorities have access to adequate, accurate, and up-to-date information on the beneficial ownership of legal persons and legal arrangements. TL enforces beneficial ownership requirements as constitutional preconditions for transaction execution: every transaction involving a legal person counterparty must include verified beneficial ownership chain resolution before the Governance Lane can evaluate it for Proceed. If the beneficial ownership chain cannot be resolved to a natural person with verified identity, the Governance Lane issues Epistemic Hold. If the chain terminates at an unresolvable structure, the Governance Lane issues Refuse. The </w:t>
      </w:r>
      <w:r w:rsidDel="00000000" w:rsidR="00000000" w:rsidRPr="00000000">
        <w:rPr>
          <w:rFonts w:ascii="Roboto Mono" w:cs="Roboto Mono" w:eastAsia="Roboto Mono" w:hAnsi="Roboto Mono"/>
          <w:color w:val="188038"/>
          <w:rtl w:val="0"/>
        </w:rPr>
        <w:t xml:space="preserve">POST /regulator/fatf/compliance-export</w:t>
      </w:r>
      <w:r w:rsidDel="00000000" w:rsidR="00000000" w:rsidRPr="00000000">
        <w:rPr>
          <w:rtl w:val="0"/>
        </w:rPr>
        <w:t xml:space="preserve"> endpoint provides automated, cryptographically signed FATF compliance reporting, transforming the periodic institutional attestation that FATF mutual evaluations rely upon into a continuous, mathematically verifiable governance record.</w:t>
      </w:r>
      <w:hyperlink r:id="rId578">
        <w:r w:rsidDel="00000000" w:rsidR="00000000" w:rsidRPr="00000000">
          <w:rPr>
            <w:rtl w:val="0"/>
          </w:rPr>
          <w:t xml:space="preserve"> </w:t>
        </w:r>
      </w:hyperlink>
      <w:hyperlink r:id="rId579">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EB">
      <w:pPr>
        <w:spacing w:after="240" w:before="240" w:lineRule="auto"/>
        <w:rPr>
          <w:color w:val="1155cc"/>
          <w:u w:val="single"/>
        </w:rPr>
      </w:pPr>
      <w:r w:rsidDel="00000000" w:rsidR="00000000" w:rsidRPr="00000000">
        <w:rPr>
          <w:rtl w:val="0"/>
        </w:rPr>
        <w:t xml:space="preserve">Sanctions compliance is a hard constitutional boundary, not a risk-adjusted threshold. Exact and fuzzy matches against UN, OFAC, EU, and HMT designation lists trigger automatic Refuse via </w:t>
      </w:r>
      <w:r w:rsidDel="00000000" w:rsidR="00000000" w:rsidRPr="00000000">
        <w:rPr>
          <w:rFonts w:ascii="Roboto Mono" w:cs="Roboto Mono" w:eastAsia="Roboto Mono" w:hAnsi="Roboto Mono"/>
          <w:color w:val="188038"/>
          <w:rtl w:val="0"/>
        </w:rPr>
        <w:t xml:space="preserve">NLNAViolation</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TL_Ledger_Core</w:t>
      </w:r>
      <w:r w:rsidDel="00000000" w:rsidR="00000000" w:rsidRPr="00000000">
        <w:rPr>
          <w:rtl w:val="0"/>
        </w:rPr>
        <w:t xml:space="preserve"> without human review discretion. The </w:t>
      </w:r>
      <w:r w:rsidDel="00000000" w:rsidR="00000000" w:rsidRPr="00000000">
        <w:rPr>
          <w:rFonts w:ascii="Roboto Mono" w:cs="Roboto Mono" w:eastAsia="Roboto Mono" w:hAnsi="Roboto Mono"/>
          <w:color w:val="188038"/>
          <w:rtl w:val="0"/>
        </w:rPr>
        <w:t xml:space="preserve">RegulatoryContext.fatf.sanctionsScreened</w:t>
      </w:r>
      <w:r w:rsidDel="00000000" w:rsidR="00000000" w:rsidRPr="00000000">
        <w:rPr>
          <w:rtl w:val="0"/>
        </w:rPr>
        <w:t xml:space="preserve"> field records the screening result. The </w:t>
      </w:r>
      <w:r w:rsidDel="00000000" w:rsidR="00000000" w:rsidRPr="00000000">
        <w:rPr>
          <w:rFonts w:ascii="Roboto Mono" w:cs="Roboto Mono" w:eastAsia="Roboto Mono" w:hAnsi="Roboto Mono"/>
          <w:color w:val="188038"/>
          <w:rtl w:val="0"/>
        </w:rPr>
        <w:t xml:space="preserve">sarGenerated</w:t>
      </w:r>
      <w:r w:rsidDel="00000000" w:rsidR="00000000" w:rsidRPr="00000000">
        <w:rPr>
          <w:rtl w:val="0"/>
        </w:rPr>
        <w:t xml:space="preserve"> field in the </w:t>
      </w:r>
      <w:r w:rsidDel="00000000" w:rsidR="00000000" w:rsidRPr="00000000">
        <w:rPr>
          <w:rFonts w:ascii="Roboto Mono" w:cs="Roboto Mono" w:eastAsia="Roboto Mono" w:hAnsi="Roboto Mono"/>
          <w:color w:val="188038"/>
          <w:rtl w:val="0"/>
        </w:rPr>
        <w:t xml:space="preserve">RegulatoryContext.fatf</w:t>
      </w:r>
      <w:r w:rsidDel="00000000" w:rsidR="00000000" w:rsidRPr="00000000">
        <w:rPr>
          <w:rtl w:val="0"/>
        </w:rPr>
        <w:t xml:space="preserve"> object triggers automatic </w:t>
      </w:r>
      <w:r w:rsidDel="00000000" w:rsidR="00000000" w:rsidRPr="00000000">
        <w:rPr>
          <w:rFonts w:ascii="Roboto Mono" w:cs="Roboto Mono" w:eastAsia="Roboto Mono" w:hAnsi="Roboto Mono"/>
          <w:color w:val="188038"/>
          <w:rtl w:val="0"/>
        </w:rPr>
        <w:t xml:space="preserve">POST /regulator/fatf/compliance-export</w:t>
      </w:r>
      <w:r w:rsidDel="00000000" w:rsidR="00000000" w:rsidRPr="00000000">
        <w:rPr>
          <w:rtl w:val="0"/>
        </w:rPr>
        <w:t xml:space="preserve"> submission when a suspicious activity report is warranted.</w:t>
      </w:r>
      <w:hyperlink r:id="rId580">
        <w:r w:rsidDel="00000000" w:rsidR="00000000" w:rsidRPr="00000000">
          <w:rPr>
            <w:rtl w:val="0"/>
          </w:rPr>
          <w:t xml:space="preserve"> </w:t>
        </w:r>
      </w:hyperlink>
      <w:hyperlink r:id="rId581">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EC">
      <w:pPr>
        <w:pStyle w:val="Heading2"/>
        <w:keepNext w:val="0"/>
        <w:keepLines w:val="0"/>
        <w:spacing w:after="80" w:lineRule="auto"/>
        <w:rPr>
          <w:b w:val="1"/>
          <w:bCs w:val="1"/>
          <w:sz w:val="34"/>
          <w:szCs w:val="34"/>
        </w:rPr>
      </w:pPr>
      <w:bookmarkStart w:colFirst="0" w:colLast="0" w:name="_bihdz53jeyz3" w:id="84"/>
      <w:bookmarkEnd w:id="84"/>
      <w:r w:rsidDel="00000000" w:rsidR="00000000" w:rsidRPr="00000000">
        <w:rPr>
          <w:b w:val="1"/>
          <w:bCs w:val="1"/>
          <w:sz w:val="34"/>
          <w:szCs w:val="34"/>
          <w:rtl w:val="0"/>
        </w:rPr>
        <w:t xml:space="preserve">7.8 The Regulatory Nexus in Operation</w:t>
      </w:r>
    </w:p>
    <w:p w:rsidR="00000000" w:rsidDel="00000000" w:rsidP="00000000" w:rsidRDefault="00000000" w:rsidRPr="00000000" w14:paraId="000002ED">
      <w:pPr>
        <w:spacing w:after="240" w:before="240" w:lineRule="auto"/>
        <w:rPr>
          <w:color w:val="1155cc"/>
          <w:u w:val="single"/>
        </w:rPr>
      </w:pPr>
      <w:r w:rsidDel="00000000" w:rsidR="00000000" w:rsidRPr="00000000">
        <w:rPr>
          <w:rtl w:val="0"/>
        </w:rPr>
        <w:t xml:space="preserve">The Regulatory Nexus - Layer 5 of the NL=NA enforcement architecture - operates through Domain Evaluation Endpoints that translate legal obligations into machine-readable constitutional provisions.</w:t>
      </w:r>
      <w:hyperlink r:id="rId582">
        <w:r w:rsidDel="00000000" w:rsidR="00000000" w:rsidRPr="00000000">
          <w:rPr>
            <w:rtl w:val="0"/>
          </w:rPr>
          <w:t xml:space="preserve"> </w:t>
        </w:r>
      </w:hyperlink>
      <w:hyperlink r:id="rId583">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EE">
      <w:pPr>
        <w:spacing w:after="240" w:before="240" w:lineRule="auto"/>
        <w:rPr>
          <w:color w:val="1155cc"/>
          <w:u w:val="single"/>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finance_domain</w:t>
      </w:r>
      <w:r w:rsidDel="00000000" w:rsidR="00000000" w:rsidRPr="00000000">
        <w:rPr>
          <w:rtl w:val="0"/>
        </w:rPr>
        <w:t xml:space="preserve"> endpoint returns provisions derived from Basel III, SEC regulations, CFTC rules, IOSCO principles, and national banking laws. The </w:t>
      </w:r>
      <w:r w:rsidDel="00000000" w:rsidR="00000000" w:rsidRPr="00000000">
        <w:rPr>
          <w:rFonts w:ascii="Roboto Mono" w:cs="Roboto Mono" w:eastAsia="Roboto Mono" w:hAnsi="Roboto Mono"/>
          <w:color w:val="188038"/>
          <w:rtl w:val="0"/>
        </w:rPr>
        <w:t xml:space="preserve">trade_domain</w:t>
      </w:r>
      <w:r w:rsidDel="00000000" w:rsidR="00000000" w:rsidRPr="00000000">
        <w:rPr>
          <w:rtl w:val="0"/>
        </w:rPr>
        <w:t xml:space="preserve"> endpoint returns provisions derived from customs classifications, sanctions lists, export control regulations, and international trade agreements. The </w:t>
      </w:r>
      <w:r w:rsidDel="00000000" w:rsidR="00000000" w:rsidRPr="00000000">
        <w:rPr>
          <w:rFonts w:ascii="Roboto Mono" w:cs="Roboto Mono" w:eastAsia="Roboto Mono" w:hAnsi="Roboto Mono"/>
          <w:color w:val="188038"/>
          <w:rtl w:val="0"/>
        </w:rPr>
        <w:t xml:space="preserve">data_protection_domain</w:t>
      </w:r>
      <w:r w:rsidDel="00000000" w:rsidR="00000000" w:rsidRPr="00000000">
        <w:rPr>
          <w:rtl w:val="0"/>
        </w:rPr>
        <w:t xml:space="preserve"> endpoint returns provisions derived from GDPR, national privacy statutes, and sector-specific financial privacy rules. The </w:t>
      </w:r>
      <w:r w:rsidDel="00000000" w:rsidR="00000000" w:rsidRPr="00000000">
        <w:rPr>
          <w:rFonts w:ascii="Roboto Mono" w:cs="Roboto Mono" w:eastAsia="Roboto Mono" w:hAnsi="Roboto Mono"/>
          <w:color w:val="188038"/>
          <w:rtl w:val="0"/>
        </w:rPr>
        <w:t xml:space="preserve">monetary_policy_domain</w:t>
      </w:r>
      <w:r w:rsidDel="00000000" w:rsidR="00000000" w:rsidRPr="00000000">
        <w:rPr>
          <w:rtl w:val="0"/>
        </w:rPr>
        <w:t xml:space="preserve"> endpoint returns provisions derived from central bank statutes, inflation targeting mandates, and international monetary agreements.</w:t>
      </w:r>
      <w:hyperlink r:id="rId584">
        <w:r w:rsidDel="00000000" w:rsidR="00000000" w:rsidRPr="00000000">
          <w:rPr>
            <w:rtl w:val="0"/>
          </w:rPr>
          <w:t xml:space="preserve"> </w:t>
        </w:r>
      </w:hyperlink>
      <w:hyperlink r:id="rId585">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2EF">
      <w:pPr>
        <w:spacing w:after="240" w:before="240" w:lineRule="auto"/>
        <w:rPr>
          <w:color w:val="1155cc"/>
          <w:u w:val="single"/>
        </w:rPr>
      </w:pPr>
      <w:r w:rsidDel="00000000" w:rsidR="00000000" w:rsidRPr="00000000">
        <w:rPr>
          <w:rtl w:val="0"/>
        </w:rPr>
        <w:t xml:space="preserve">When jurisdictional provisions conflict, the Governance Lane issues Epistemic Hold via </w:t>
      </w:r>
      <w:r w:rsidDel="00000000" w:rsidR="00000000" w:rsidRPr="00000000">
        <w:rPr>
          <w:rFonts w:ascii="Roboto Mono" w:cs="Roboto Mono" w:eastAsia="Roboto Mono" w:hAnsi="Roboto Mono"/>
          <w:color w:val="188038"/>
          <w:rtl w:val="0"/>
        </w:rPr>
        <w:t xml:space="preserve">EscrowRecord_v1_0_0</w:t>
      </w:r>
      <w:r w:rsidDel="00000000" w:rsidR="00000000" w:rsidRPr="00000000">
        <w:rPr>
          <w:rtl w:val="0"/>
        </w:rPr>
        <w:t xml:space="preserve"> and invokes the bilateral regulatory nexus protocol - a pre-configured constitutional channel through which the Stewardship Custodians of both jurisdictions negotiate a harmonized determination. The Decision Log records the conflicting provisions, the negotiation process, and the final resolution in </w:t>
      </w:r>
      <w:r w:rsidDel="00000000" w:rsidR="00000000" w:rsidRPr="00000000">
        <w:rPr>
          <w:rFonts w:ascii="Roboto Mono" w:cs="Roboto Mono" w:eastAsia="Roboto Mono" w:hAnsi="Roboto Mono"/>
          <w:color w:val="188038"/>
          <w:rtl w:val="0"/>
        </w:rPr>
        <w:t xml:space="preserve">JustificationObject_v1_0_0</w:t>
      </w:r>
      <w:r w:rsidDel="00000000" w:rsidR="00000000" w:rsidRPr="00000000">
        <w:rPr>
          <w:rtl w:val="0"/>
        </w:rPr>
        <w:t xml:space="preserve">. This transforms jurisdictional arbitrage from a competitive strategy into a detectable and attributable constitutional violation: an institution that routes transactions through jurisdictions specifically to escape applicable regulatory provisions generates Decision Logs that record the routing decision, the regulatory provisions evaded, and the constitutional gate that should have been triggered.</w:t>
      </w:r>
      <w:hyperlink r:id="rId586">
        <w:r w:rsidDel="00000000" w:rsidR="00000000" w:rsidRPr="00000000">
          <w:rPr>
            <w:rtl w:val="0"/>
          </w:rPr>
          <w:t xml:space="preserve"> </w:t>
        </w:r>
      </w:hyperlink>
      <w:hyperlink r:id="rId587">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2F0">
      <w:pPr>
        <w:spacing w:after="240" w:before="240" w:lineRule="auto"/>
        <w:rPr/>
      </w:pPr>
      <w:r w:rsidDel="00000000" w:rsidR="00000000" w:rsidRPr="00000000">
        <w:rPr>
          <w:rtl w:val="0"/>
        </w:rPr>
        <w:t xml:space="preserve">The Stewardship Custodians maintain the Regulatory Nexus database through authenticated channels from regulatory authorities. When a regulatory authority promulgates a new rule or issues interpretive guidance, the Custodians encode the update into formal logic representation and commit it to the database. The commit generates a version hash anchored to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w:t>
      </w:r>
      <w:hyperlink r:id="rId588">
        <w:r w:rsidDel="00000000" w:rsidR="00000000" w:rsidRPr="00000000">
          <w:rPr>
            <w:rtl w:val="0"/>
          </w:rPr>
          <w:t xml:space="preserve"> </w:t>
        </w:r>
      </w:hyperlink>
      <w:hyperlink r:id="rId589">
        <w:r w:rsidDel="00000000" w:rsidR="00000000" w:rsidRPr="00000000">
          <w:rPr>
            <w:color w:val="1155cc"/>
            <w:u w:val="single"/>
            <w:rtl w:val="0"/>
          </w:rPr>
          <w:t xml:space="preserve">[14]</w:t>
        </w:r>
      </w:hyperlink>
      <w:r w:rsidDel="00000000" w:rsidR="00000000" w:rsidRPr="00000000">
        <w:rPr>
          <w:rtl w:val="0"/>
        </w:rPr>
        <w:t xml:space="preserve"> A regulatory authority can query </w:t>
      </w:r>
      <w:r w:rsidDel="00000000" w:rsidR="00000000" w:rsidRPr="00000000">
        <w:rPr>
          <w:rFonts w:ascii="Roboto Mono" w:cs="Roboto Mono" w:eastAsia="Roboto Mono" w:hAnsi="Roboto Mono"/>
          <w:color w:val="188038"/>
          <w:rtl w:val="0"/>
        </w:rPr>
        <w:t xml:space="preserve">GET /audit/verifications/inclusion/{logId}</w:t>
      </w:r>
      <w:r w:rsidDel="00000000" w:rsidR="00000000" w:rsidRPr="00000000">
        <w:rPr>
          <w:rtl w:val="0"/>
        </w:rPr>
        <w:t xml:space="preserve"> to verify that its rules are being accurately implemented. An institution can demonstrate to supervisors that it was evaluating proposals against the correct regulatory version at any specific moment in history.</w:t>
      </w:r>
    </w:p>
    <w:p w:rsidR="00000000" w:rsidDel="00000000" w:rsidP="00000000" w:rsidRDefault="00000000" w:rsidRPr="00000000" w14:paraId="000002F1">
      <w:pPr>
        <w:spacing w:after="240" w:before="240" w:lineRule="auto"/>
        <w:rPr>
          <w:color w:val="1155cc"/>
          <w:u w:val="single"/>
        </w:rPr>
      </w:pPr>
      <w:r w:rsidDel="00000000" w:rsidR="00000000" w:rsidRPr="00000000">
        <w:rPr>
          <w:rtl w:val="0"/>
        </w:rPr>
        <w:t xml:space="preserve">The Domain Evaluation Endpoints also serve as transparency interfaces for regulatory authorities. A national banking supervisor can subscribe to a feed from the </w:t>
      </w:r>
      <w:r w:rsidDel="00000000" w:rsidR="00000000" w:rsidRPr="00000000">
        <w:rPr>
          <w:rFonts w:ascii="Roboto Mono" w:cs="Roboto Mono" w:eastAsia="Roboto Mono" w:hAnsi="Roboto Mono"/>
          <w:color w:val="188038"/>
          <w:rtl w:val="0"/>
        </w:rPr>
        <w:t xml:space="preserve">finance_domain</w:t>
      </w:r>
      <w:r w:rsidDel="00000000" w:rsidR="00000000" w:rsidRPr="00000000">
        <w:rPr>
          <w:rtl w:val="0"/>
        </w:rPr>
        <w:t xml:space="preserve"> endpoint to monitor how the Governance Lane interprets and applies the supervisor's regulations. If the supervisor discovers a misinterpretation, it can issue a corrected encoding through the authenticated update channel. Both the original encoding and the correction are anchored to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providing an audit trail of regulatory evolution and its implementation in the constitutional schema. This transparency transforms the relationship between regulated institutions and supervisors from adversarial inspection to collaborative constitutional maintenance.</w:t>
      </w:r>
      <w:hyperlink r:id="rId590">
        <w:r w:rsidDel="00000000" w:rsidR="00000000" w:rsidRPr="00000000">
          <w:rPr>
            <w:rtl w:val="0"/>
          </w:rPr>
          <w:t xml:space="preserve"> </w:t>
        </w:r>
      </w:hyperlink>
      <w:hyperlink r:id="rId591">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2F2">
      <w:pPr>
        <w:pStyle w:val="Heading1"/>
        <w:keepNext w:val="0"/>
        <w:keepLines w:val="0"/>
        <w:spacing w:before="480" w:lineRule="auto"/>
        <w:rPr>
          <w:b w:val="1"/>
          <w:bCs w:val="1"/>
          <w:sz w:val="46"/>
          <w:szCs w:val="46"/>
        </w:rPr>
      </w:pPr>
      <w:bookmarkStart w:colFirst="0" w:colLast="0" w:name="_gwyceibbbkpp" w:id="85"/>
      <w:bookmarkEnd w:id="85"/>
      <w:r w:rsidDel="00000000" w:rsidR="00000000" w:rsidRPr="00000000">
        <w:rPr>
          <w:b w:val="1"/>
          <w:bCs w:val="1"/>
          <w:sz w:val="46"/>
          <w:szCs w:val="46"/>
          <w:rtl w:val="0"/>
        </w:rPr>
        <w:t xml:space="preserve">SECTION 8: HARDWARE ENFORCEMENT</w:t>
      </w:r>
    </w:p>
    <w:p w:rsidR="00000000" w:rsidDel="00000000" w:rsidP="00000000" w:rsidRDefault="00000000" w:rsidRPr="00000000" w14:paraId="000002F3">
      <w:pPr>
        <w:pStyle w:val="Heading2"/>
        <w:keepNext w:val="0"/>
        <w:keepLines w:val="0"/>
        <w:spacing w:after="80" w:lineRule="auto"/>
        <w:rPr>
          <w:b w:val="1"/>
          <w:bCs w:val="1"/>
          <w:sz w:val="34"/>
          <w:szCs w:val="34"/>
        </w:rPr>
      </w:pPr>
      <w:bookmarkStart w:colFirst="0" w:colLast="0" w:name="_v59zsce9axzv" w:id="86"/>
      <w:bookmarkEnd w:id="86"/>
      <w:r w:rsidDel="00000000" w:rsidR="00000000" w:rsidRPr="00000000">
        <w:rPr>
          <w:b w:val="1"/>
          <w:bCs w:val="1"/>
          <w:sz w:val="34"/>
          <w:szCs w:val="34"/>
          <w:rtl w:val="0"/>
        </w:rPr>
        <w:t xml:space="preserve">8.0 Overview</w:t>
      </w:r>
    </w:p>
    <w:p w:rsidR="00000000" w:rsidDel="00000000" w:rsidP="00000000" w:rsidRDefault="00000000" w:rsidRPr="00000000" w14:paraId="000002F4">
      <w:pPr>
        <w:spacing w:after="240" w:before="240" w:lineRule="auto"/>
        <w:rPr>
          <w:color w:val="1155cc"/>
          <w:u w:val="single"/>
        </w:rPr>
      </w:pPr>
      <w:r w:rsidDel="00000000" w:rsidR="00000000" w:rsidRPr="00000000">
        <w:rPr>
          <w:rtl w:val="0"/>
        </w:rPr>
        <w:t xml:space="preserve">Every governance framework that relies exclusively on software for enforcement contains a fundamental vulnerability: a sufficiently privileged adversary can modify the software. Root access can patch the operating system. A hypervisor can remap memory. Microcode can be updated. A kernel module can intercept system calls. The institutional weight of a compliance department, the legal deterrence of a regulatory penalty, and the cryptographic strength of a hash chain all reduce to zero if the process generating the hash can be instructed to lie about what it hashed.</w:t>
      </w:r>
      <w:hyperlink r:id="rId592">
        <w:r w:rsidDel="00000000" w:rsidR="00000000" w:rsidRPr="00000000">
          <w:rPr>
            <w:rtl w:val="0"/>
          </w:rPr>
          <w:t xml:space="preserve"> </w:t>
        </w:r>
      </w:hyperlink>
      <w:hyperlink r:id="rId593">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2F5">
      <w:pPr>
        <w:spacing w:after="240" w:before="240" w:lineRule="auto"/>
        <w:rPr>
          <w:color w:val="1155cc"/>
          <w:u w:val="single"/>
        </w:rPr>
      </w:pPr>
      <w:r w:rsidDel="00000000" w:rsidR="00000000" w:rsidRPr="00000000">
        <w:rPr>
          <w:rtl w:val="0"/>
        </w:rPr>
        <w:t xml:space="preserve">Ternary Logic addresses this vulnerability through hardware enforcement. The governance determinations of the Governance Lane are not merely computed. They are physically instantiated in the resistance states of memristive cells, enforced by the handshake protocols of asynchronous ternary logic circuits, and protected by tamper-evident enclosures that detect and respond to physical intrusion. Epistemic Hold is not a software flag. It is a physical NULL state at half-Vdd in Delay-Insensitive Ternary Logic circuits - a voltage condition that the circuit cannot escape without receiving a verified </w:t>
      </w:r>
      <w:r w:rsidDel="00000000" w:rsidR="00000000" w:rsidRPr="00000000">
        <w:rPr>
          <w:rFonts w:ascii="Roboto Mono" w:cs="Roboto Mono" w:eastAsia="Roboto Mono" w:hAnsi="Roboto Mono"/>
          <w:color w:val="188038"/>
          <w:rtl w:val="0"/>
        </w:rPr>
        <w:t xml:space="preserve">CONFIRM_OK</w:t>
      </w:r>
      <w:r w:rsidDel="00000000" w:rsidR="00000000" w:rsidRPr="00000000">
        <w:rPr>
          <w:rtl w:val="0"/>
        </w:rPr>
        <w:t xml:space="preserve"> pulse derived from a valid Permission Token.</w:t>
      </w:r>
      <w:hyperlink r:id="rId594">
        <w:r w:rsidDel="00000000" w:rsidR="00000000" w:rsidRPr="00000000">
          <w:rPr>
            <w:rtl w:val="0"/>
          </w:rPr>
          <w:t xml:space="preserve"> </w:t>
        </w:r>
      </w:hyperlink>
      <w:hyperlink r:id="rId595">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2F6">
      <w:pPr>
        <w:spacing w:after="240" w:before="240" w:lineRule="auto"/>
        <w:rPr/>
      </w:pPr>
      <w:r w:rsidDel="00000000" w:rsidR="00000000" w:rsidRPr="00000000">
        <w:rPr>
          <w:rtl w:val="0"/>
        </w:rPr>
        <w:t xml:space="preserve">This Section specifies the hardware enforcement architecture of TL in full technical detail. It covers the DITL asynchronous circuit paradigm, the Mandated Ternary memristive switching elements, the Triadic Coprocessor integration requirements, the six mandatory conditions for physical non-bypassability, the fabrication and supply chain risk profile, and the deployment roadmap from software emulation through Architecture B hybrid deployment to Architecture A native ternary commercialization.</w:t>
      </w:r>
    </w:p>
    <w:p w:rsidR="00000000" w:rsidDel="00000000" w:rsidP="00000000" w:rsidRDefault="00000000" w:rsidRPr="00000000" w14:paraId="000002F7">
      <w:pPr>
        <w:spacing w:after="240" w:before="240" w:lineRule="auto"/>
        <w:rPr>
          <w:color w:val="1155cc"/>
          <w:u w:val="single"/>
        </w:rPr>
      </w:pPr>
      <w:r w:rsidDel="00000000" w:rsidR="00000000" w:rsidRPr="00000000">
        <w:rPr>
          <w:rtl w:val="0"/>
        </w:rPr>
        <w:t xml:space="preserve">The technical standard established here is demanding because the governance claims made by the framework are demanding. A specification that claims physics-level enforcement of governance determinations must provide the physics-level technical detail that substantiates that claim. Sections that refer vaguely to "hardware-backed security" without specifying the material composition, circuit topology, and failure modes of the hardware are not technical standards. They are marketing documents.</w:t>
      </w:r>
      <w:hyperlink r:id="rId596">
        <w:r w:rsidDel="00000000" w:rsidR="00000000" w:rsidRPr="00000000">
          <w:rPr>
            <w:rtl w:val="0"/>
          </w:rPr>
          <w:t xml:space="preserve"> </w:t>
        </w:r>
      </w:hyperlink>
      <w:hyperlink r:id="rId597">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2F8">
      <w:pPr>
        <w:pStyle w:val="Heading2"/>
        <w:keepNext w:val="0"/>
        <w:keepLines w:val="0"/>
        <w:spacing w:after="80" w:lineRule="auto"/>
        <w:rPr>
          <w:b w:val="1"/>
          <w:bCs w:val="1"/>
          <w:sz w:val="34"/>
          <w:szCs w:val="34"/>
        </w:rPr>
      </w:pPr>
      <w:bookmarkStart w:colFirst="0" w:colLast="0" w:name="_bywp8is1t215" w:id="87"/>
      <w:bookmarkEnd w:id="87"/>
      <w:r w:rsidDel="00000000" w:rsidR="00000000" w:rsidRPr="00000000">
        <w:rPr>
          <w:b w:val="1"/>
          <w:bCs w:val="1"/>
          <w:sz w:val="34"/>
          <w:szCs w:val="34"/>
          <w:rtl w:val="0"/>
        </w:rPr>
        <w:t xml:space="preserve">8.1 The Enforceability Gap: Why Software Governance Fails</w:t>
      </w:r>
    </w:p>
    <w:p w:rsidR="00000000" w:rsidDel="00000000" w:rsidP="00000000" w:rsidRDefault="00000000" w:rsidRPr="00000000" w14:paraId="000002F9">
      <w:pPr>
        <w:spacing w:after="240" w:before="240" w:lineRule="auto"/>
        <w:rPr>
          <w:color w:val="1155cc"/>
          <w:u w:val="single"/>
        </w:rPr>
      </w:pPr>
      <w:r w:rsidDel="00000000" w:rsidR="00000000" w:rsidRPr="00000000">
        <w:rPr>
          <w:rtl w:val="0"/>
        </w:rPr>
        <w:t xml:space="preserve">The enforceability gap is the structural chasm between what a governance framework claims to enforce and what it can actually prevent. In software-only governance systems, this gap is unbounded from above: given sufficient privilege and motivation, any software check can be bypassed.</w:t>
      </w:r>
      <w:hyperlink r:id="rId598">
        <w:r w:rsidDel="00000000" w:rsidR="00000000" w:rsidRPr="00000000">
          <w:rPr>
            <w:rtl w:val="0"/>
          </w:rPr>
          <w:t xml:space="preserve"> </w:t>
        </w:r>
      </w:hyperlink>
      <w:hyperlink r:id="rId599">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2FA">
      <w:pPr>
        <w:spacing w:after="240" w:before="240" w:lineRule="auto"/>
        <w:rPr/>
      </w:pPr>
      <w:r w:rsidDel="00000000" w:rsidR="00000000" w:rsidRPr="00000000">
        <w:rPr>
          <w:rtl w:val="0"/>
        </w:rPr>
        <w:t xml:space="preserve">The attack surface of a software-only governance system includes:</w:t>
      </w:r>
    </w:p>
    <w:p w:rsidR="00000000" w:rsidDel="00000000" w:rsidP="00000000" w:rsidRDefault="00000000" w:rsidRPr="00000000" w14:paraId="000002FB">
      <w:pPr>
        <w:numPr>
          <w:ilvl w:val="0"/>
          <w:numId w:val="7"/>
        </w:numPr>
        <w:spacing w:after="0" w:before="240" w:lineRule="auto"/>
        <w:ind w:left="720" w:hanging="360"/>
        <w:rPr/>
      </w:pPr>
      <w:r w:rsidDel="00000000" w:rsidR="00000000" w:rsidRPr="00000000">
        <w:rPr>
          <w:rtl w:val="0"/>
        </w:rPr>
        <w:t xml:space="preserve">the </w:t>
      </w:r>
      <w:r w:rsidDel="00000000" w:rsidR="00000000" w:rsidRPr="00000000">
        <w:rPr>
          <w:b w:val="1"/>
          <w:bCs w:val="1"/>
          <w:rtl w:val="0"/>
        </w:rPr>
        <w:t xml:space="preserve">operating system kernel</w:t>
      </w:r>
      <w:r w:rsidDel="00000000" w:rsidR="00000000" w:rsidRPr="00000000">
        <w:rPr>
          <w:rtl w:val="0"/>
        </w:rPr>
        <w:t xml:space="preserve">: patchable to intercept and modify governance API calls before they reach the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 endpoint</w:t>
      </w:r>
    </w:p>
    <w:p w:rsidR="00000000" w:rsidDel="00000000" w:rsidP="00000000" w:rsidRDefault="00000000" w:rsidRPr="00000000" w14:paraId="000002FC">
      <w:pPr>
        <w:numPr>
          <w:ilvl w:val="0"/>
          <w:numId w:val="7"/>
        </w:numPr>
        <w:spacing w:after="0" w:before="0" w:lineRule="auto"/>
        <w:ind w:left="720" w:hanging="360"/>
        <w:rPr/>
      </w:pPr>
      <w:r w:rsidDel="00000000" w:rsidR="00000000" w:rsidRPr="00000000">
        <w:rPr>
          <w:rtl w:val="0"/>
        </w:rPr>
        <w:t xml:space="preserve">the </w:t>
      </w:r>
      <w:r w:rsidDel="00000000" w:rsidR="00000000" w:rsidRPr="00000000">
        <w:rPr>
          <w:b w:val="1"/>
          <w:bCs w:val="1"/>
          <w:rtl w:val="0"/>
        </w:rPr>
        <w:t xml:space="preserve">hypervisor</w:t>
      </w:r>
      <w:r w:rsidDel="00000000" w:rsidR="00000000" w:rsidRPr="00000000">
        <w:rPr>
          <w:rtl w:val="0"/>
        </w:rPr>
        <w:t xml:space="preserve">: capable of remapping the governance module's memory pages to a shadow implementation that bypasses </w:t>
      </w:r>
      <w:r w:rsidDel="00000000" w:rsidR="00000000" w:rsidRPr="00000000">
        <w:rPr>
          <w:rFonts w:ascii="Roboto Mono" w:cs="Roboto Mono" w:eastAsia="Roboto Mono" w:hAnsi="Roboto Mono"/>
          <w:color w:val="188038"/>
          <w:rtl w:val="0"/>
        </w:rPr>
        <w:t xml:space="preserve">TL_Ledger_Core.registerPermissionToken</w:t>
      </w:r>
      <w:r w:rsidDel="00000000" w:rsidR="00000000" w:rsidRPr="00000000">
        <w:rPr>
          <w:rtl w:val="0"/>
        </w:rPr>
      </w:r>
    </w:p>
    <w:p w:rsidR="00000000" w:rsidDel="00000000" w:rsidP="00000000" w:rsidRDefault="00000000" w:rsidRPr="00000000" w14:paraId="000002FD">
      <w:pPr>
        <w:numPr>
          <w:ilvl w:val="0"/>
          <w:numId w:val="7"/>
        </w:numPr>
        <w:spacing w:after="0" w:before="0" w:lineRule="auto"/>
        <w:ind w:left="720" w:hanging="360"/>
        <w:rPr/>
      </w:pPr>
      <w:r w:rsidDel="00000000" w:rsidR="00000000" w:rsidRPr="00000000">
        <w:rPr>
          <w:rtl w:val="0"/>
        </w:rPr>
        <w:t xml:space="preserve">the </w:t>
      </w:r>
      <w:r w:rsidDel="00000000" w:rsidR="00000000" w:rsidRPr="00000000">
        <w:rPr>
          <w:b w:val="1"/>
          <w:bCs w:val="1"/>
          <w:rtl w:val="0"/>
        </w:rPr>
        <w:t xml:space="preserve">CPU microcode layer</w:t>
      </w:r>
      <w:r w:rsidDel="00000000" w:rsidR="00000000" w:rsidRPr="00000000">
        <w:rPr>
          <w:rtl w:val="0"/>
        </w:rPr>
        <w:t xml:space="preserve">: updateable to alter the behavior of cryptographic instructions, breaking the </w:t>
      </w:r>
      <w:r w:rsidDel="00000000" w:rsidR="00000000" w:rsidRPr="00000000">
        <w:rPr>
          <w:rFonts w:ascii="Roboto Mono" w:cs="Roboto Mono" w:eastAsia="Roboto Mono" w:hAnsi="Roboto Mono"/>
          <w:color w:val="188038"/>
          <w:rtl w:val="0"/>
        </w:rPr>
        <w:t xml:space="preserve">NLNAAuditToken</w:t>
      </w:r>
      <w:r w:rsidDel="00000000" w:rsidR="00000000" w:rsidRPr="00000000">
        <w:rPr>
          <w:rtl w:val="0"/>
        </w:rPr>
        <w:t xml:space="preserve"> signature verification</w:t>
      </w:r>
    </w:p>
    <w:p w:rsidR="00000000" w:rsidDel="00000000" w:rsidP="00000000" w:rsidRDefault="00000000" w:rsidRPr="00000000" w14:paraId="000002FE">
      <w:pPr>
        <w:numPr>
          <w:ilvl w:val="0"/>
          <w:numId w:val="7"/>
        </w:numPr>
        <w:spacing w:after="0" w:before="0" w:lineRule="auto"/>
        <w:ind w:left="720" w:hanging="360"/>
        <w:rPr/>
      </w:pPr>
      <w:r w:rsidDel="00000000" w:rsidR="00000000" w:rsidRPr="00000000">
        <w:rPr>
          <w:b w:val="1"/>
          <w:bCs w:val="1"/>
          <w:rtl w:val="0"/>
        </w:rPr>
        <w:t xml:space="preserve">DMA-capable peripheral firmware</w:t>
      </w:r>
      <w:r w:rsidDel="00000000" w:rsidR="00000000" w:rsidRPr="00000000">
        <w:rPr>
          <w:rtl w:val="0"/>
        </w:rPr>
        <w:t xml:space="preserve">: able to read and write the governance module's memory directly, potentially fabricating </w:t>
      </w:r>
      <w:r w:rsidDel="00000000" w:rsidR="00000000" w:rsidRPr="00000000">
        <w:rPr>
          <w:rFonts w:ascii="Roboto Mono" w:cs="Roboto Mono" w:eastAsia="Roboto Mono" w:hAnsi="Roboto Mono"/>
          <w:color w:val="188038"/>
          <w:rtl w:val="0"/>
        </w:rPr>
        <w:t xml:space="preserve">PermissionToken_v1_0_0</w:t>
      </w:r>
      <w:r w:rsidDel="00000000" w:rsidR="00000000" w:rsidRPr="00000000">
        <w:rPr>
          <w:rtl w:val="0"/>
        </w:rPr>
        <w:t xml:space="preserve"> objects</w:t>
      </w:r>
    </w:p>
    <w:p w:rsidR="00000000" w:rsidDel="00000000" w:rsidP="00000000" w:rsidRDefault="00000000" w:rsidRPr="00000000" w14:paraId="000002FF">
      <w:pPr>
        <w:numPr>
          <w:ilvl w:val="0"/>
          <w:numId w:val="7"/>
        </w:numPr>
        <w:spacing w:after="0" w:before="0" w:lineRule="auto"/>
        <w:ind w:left="720" w:hanging="360"/>
        <w:rPr/>
      </w:pPr>
      <w:r w:rsidDel="00000000" w:rsidR="00000000" w:rsidRPr="00000000">
        <w:rPr>
          <w:rtl w:val="0"/>
        </w:rPr>
        <w:t xml:space="preserve">the </w:t>
      </w:r>
      <w:r w:rsidDel="00000000" w:rsidR="00000000" w:rsidRPr="00000000">
        <w:rPr>
          <w:b w:val="1"/>
          <w:bCs w:val="1"/>
          <w:rtl w:val="0"/>
        </w:rPr>
        <w:t xml:space="preserve">time source</w:t>
      </w:r>
      <w:r w:rsidDel="00000000" w:rsidR="00000000" w:rsidRPr="00000000">
        <w:rPr>
          <w:rtl w:val="0"/>
        </w:rPr>
        <w:t xml:space="preserve">: manipulable to produce fraudulent timestamps that defeat the hardware-bound clock verification in </w:t>
      </w:r>
      <w:r w:rsidDel="00000000" w:rsidR="00000000" w:rsidRPr="00000000">
        <w:rPr>
          <w:rFonts w:ascii="Roboto Mono" w:cs="Roboto Mono" w:eastAsia="Roboto Mono" w:hAnsi="Roboto Mono"/>
          <w:color w:val="188038"/>
          <w:rtl w:val="0"/>
        </w:rPr>
        <w:t xml:space="preserve">PermissionToken_v1_0_0.token_header</w:t>
      </w:r>
      <w:r w:rsidDel="00000000" w:rsidR="00000000" w:rsidRPr="00000000">
        <w:rPr>
          <w:rtl w:val="0"/>
        </w:rPr>
      </w:r>
    </w:p>
    <w:p w:rsidR="00000000" w:rsidDel="00000000" w:rsidP="00000000" w:rsidRDefault="00000000" w:rsidRPr="00000000" w14:paraId="00000300">
      <w:pPr>
        <w:numPr>
          <w:ilvl w:val="0"/>
          <w:numId w:val="7"/>
        </w:numPr>
        <w:spacing w:after="240" w:before="0" w:lineRule="auto"/>
        <w:ind w:left="720" w:hanging="360"/>
        <w:rPr/>
      </w:pPr>
      <w:r w:rsidDel="00000000" w:rsidR="00000000" w:rsidRPr="00000000">
        <w:rPr>
          <w:rtl w:val="0"/>
        </w:rPr>
        <w:t xml:space="preserve">the </w:t>
      </w:r>
      <w:r w:rsidDel="00000000" w:rsidR="00000000" w:rsidRPr="00000000">
        <w:rPr>
          <w:b w:val="1"/>
          <w:bCs w:val="1"/>
          <w:rtl w:val="0"/>
        </w:rPr>
        <w:t xml:space="preserve">network stack</w:t>
      </w:r>
      <w:r w:rsidDel="00000000" w:rsidR="00000000" w:rsidRPr="00000000">
        <w:rPr>
          <w:rtl w:val="0"/>
        </w:rPr>
        <w:t xml:space="preserve">: capable of intercepting and modifying </w:t>
      </w:r>
      <w:r w:rsidDel="00000000" w:rsidR="00000000" w:rsidRPr="00000000">
        <w:rPr>
          <w:rFonts w:ascii="Roboto Mono" w:cs="Roboto Mono" w:eastAsia="Roboto Mono" w:hAnsi="Roboto Mono"/>
          <w:color w:val="188038"/>
          <w:rtl w:val="0"/>
        </w:rPr>
        <w:t xml:space="preserve">POST /regulator/fatf/compliance-export</w:t>
      </w:r>
      <w:r w:rsidDel="00000000" w:rsidR="00000000" w:rsidRPr="00000000">
        <w:rPr>
          <w:rtl w:val="0"/>
        </w:rPr>
        <w:t xml:space="preserve"> transmissions before they leave the institution's infrastructure</w:t>
      </w:r>
      <w:hyperlink r:id="rId600">
        <w:r w:rsidDel="00000000" w:rsidR="00000000" w:rsidRPr="00000000">
          <w:rPr>
            <w:rtl w:val="0"/>
          </w:rPr>
          <w:t xml:space="preserve"> </w:t>
        </w:r>
      </w:hyperlink>
      <w:hyperlink r:id="rId601">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01">
      <w:pPr>
        <w:spacing w:after="240" w:before="240" w:lineRule="auto"/>
        <w:rPr/>
      </w:pPr>
      <w:r w:rsidDel="00000000" w:rsidR="00000000" w:rsidRPr="00000000">
        <w:rPr>
          <w:rtl w:val="0"/>
        </w:rPr>
        <w:t xml:space="preserve">None of these attack vectors requires physical access to the institution's hardware. Many can be executed remotely by an attacker who has compromised a single privileged credential. In the context of sovereign-grade governance of global economic systems, where the adversary may be a nation-state with signals intelligence capabilities, an insider with system administrator access, or a criminal organization with resources to purchase zero-day exploits, a governance framework whose enforcement depends entirely on software is not a governance framework. It is a policy statement dressed in technical terminology.</w:t>
      </w:r>
    </w:p>
    <w:p w:rsidR="00000000" w:rsidDel="00000000" w:rsidP="00000000" w:rsidRDefault="00000000" w:rsidRPr="00000000" w14:paraId="00000302">
      <w:pPr>
        <w:spacing w:after="240" w:before="240" w:lineRule="auto"/>
        <w:rPr>
          <w:color w:val="1155cc"/>
          <w:u w:val="single"/>
        </w:rPr>
      </w:pPr>
      <w:r w:rsidDel="00000000" w:rsidR="00000000" w:rsidRPr="00000000">
        <w:rPr>
          <w:rtl w:val="0"/>
        </w:rPr>
        <w:t xml:space="preserve">TL's hardware enforcement architecture addresses the enforceability gap by moving the critical governance enforcement points below the software layer - into the domain of physics, where modification requires physical access to fabricated silicon and produces detectable signatures that trigger automatic safe harbor.</w:t>
      </w:r>
      <w:hyperlink r:id="rId602">
        <w:r w:rsidDel="00000000" w:rsidR="00000000" w:rsidRPr="00000000">
          <w:rPr>
            <w:rtl w:val="0"/>
          </w:rPr>
          <w:t xml:space="preserve"> </w:t>
        </w:r>
      </w:hyperlink>
      <w:hyperlink r:id="rId603">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03">
      <w:pPr>
        <w:spacing w:after="240" w:before="240" w:lineRule="auto"/>
        <w:rPr>
          <w:color w:val="1155cc"/>
          <w:u w:val="single"/>
        </w:rPr>
      </w:pPr>
      <w:r w:rsidDel="00000000" w:rsidR="00000000" w:rsidRPr="00000000">
        <w:rPr>
          <w:rtl w:val="0"/>
        </w:rPr>
        <w:t xml:space="preserve">The residual gap - the set of attacks that cannot be prevented even by hardware enforcement - is defined, bounded, and disclosed in full in Section 8.7. A specification that claims zero residual risk is not a credible specification. This one does not.</w:t>
      </w:r>
      <w:hyperlink r:id="rId604">
        <w:r w:rsidDel="00000000" w:rsidR="00000000" w:rsidRPr="00000000">
          <w:rPr>
            <w:rtl w:val="0"/>
          </w:rPr>
          <w:t xml:space="preserve"> </w:t>
        </w:r>
      </w:hyperlink>
      <w:hyperlink r:id="rId605">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04">
      <w:pPr>
        <w:pStyle w:val="Heading2"/>
        <w:keepNext w:val="0"/>
        <w:keepLines w:val="0"/>
        <w:spacing w:after="80" w:lineRule="auto"/>
        <w:rPr>
          <w:b w:val="1"/>
          <w:bCs w:val="1"/>
          <w:sz w:val="34"/>
          <w:szCs w:val="34"/>
        </w:rPr>
      </w:pPr>
      <w:bookmarkStart w:colFirst="0" w:colLast="0" w:name="_2h4n8jfln2h3" w:id="88"/>
      <w:bookmarkEnd w:id="88"/>
      <w:r w:rsidDel="00000000" w:rsidR="00000000" w:rsidRPr="00000000">
        <w:rPr>
          <w:b w:val="1"/>
          <w:bCs w:val="1"/>
          <w:sz w:val="34"/>
          <w:szCs w:val="34"/>
          <w:rtl w:val="0"/>
        </w:rPr>
        <w:t xml:space="preserve">8.2 Delay-Insensitive Ternary Logic: Circuit Architecture</w:t>
      </w:r>
    </w:p>
    <w:p w:rsidR="00000000" w:rsidDel="00000000" w:rsidP="00000000" w:rsidRDefault="00000000" w:rsidRPr="00000000" w14:paraId="00000305">
      <w:pPr>
        <w:spacing w:after="240" w:before="240" w:lineRule="auto"/>
        <w:rPr>
          <w:color w:val="1155cc"/>
          <w:u w:val="single"/>
        </w:rPr>
      </w:pPr>
      <w:r w:rsidDel="00000000" w:rsidR="00000000" w:rsidRPr="00000000">
        <w:rPr>
          <w:rtl w:val="0"/>
        </w:rPr>
        <w:t xml:space="preserve">Delay-Insensitive Ternary Logic is the asynchronous hardware substrate that physically enforces the Governance Lane's determinations. Understanding its architecture requires understanding the distinction between synchronous and asynchronous digital circuits - a distinction that is not merely technical but critical to TL's enforcement guarantees.</w:t>
      </w:r>
      <w:hyperlink r:id="rId606">
        <w:r w:rsidDel="00000000" w:rsidR="00000000" w:rsidRPr="00000000">
          <w:rPr>
            <w:rtl w:val="0"/>
          </w:rPr>
          <w:t xml:space="preserve"> </w:t>
        </w:r>
      </w:hyperlink>
      <w:hyperlink r:id="rId607">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gf75a5n44433" w:id="89"/>
      <w:bookmarkEnd w:id="89"/>
      <w:r w:rsidDel="00000000" w:rsidR="00000000" w:rsidRPr="00000000">
        <w:rPr>
          <w:b w:val="1"/>
          <w:bCs w:val="1"/>
          <w:color w:val="000000"/>
          <w:sz w:val="26"/>
          <w:szCs w:val="26"/>
          <w:rtl w:val="0"/>
        </w:rPr>
        <w:t xml:space="preserve">8.2.1 Synchronous vs. Asynchronous: The Enforcement Significance</w:t>
      </w:r>
    </w:p>
    <w:p w:rsidR="00000000" w:rsidDel="00000000" w:rsidP="00000000" w:rsidRDefault="00000000" w:rsidRPr="00000000" w14:paraId="00000307">
      <w:pPr>
        <w:spacing w:after="240" w:before="240" w:lineRule="auto"/>
        <w:rPr>
          <w:color w:val="1155cc"/>
          <w:u w:val="single"/>
        </w:rPr>
      </w:pPr>
      <w:r w:rsidDel="00000000" w:rsidR="00000000" w:rsidRPr="00000000">
        <w:rPr>
          <w:rtl w:val="0"/>
        </w:rPr>
        <w:t xml:space="preserve">In a conventional synchronous digital circuit, a global clock ticks at a fixed frequency. Every gate must settle to a valid output before the clock edge that samples it. This clock is not merely a performance parameter. It is a security attack surface.</w:t>
      </w:r>
      <w:hyperlink r:id="rId608">
        <w:r w:rsidDel="00000000" w:rsidR="00000000" w:rsidRPr="00000000">
          <w:rPr>
            <w:rtl w:val="0"/>
          </w:rPr>
          <w:t xml:space="preserve"> </w:t>
        </w:r>
      </w:hyperlink>
      <w:hyperlink r:id="rId609">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308">
      <w:pPr>
        <w:spacing w:after="240" w:before="240" w:lineRule="auto"/>
        <w:rPr>
          <w:color w:val="1155cc"/>
          <w:u w:val="single"/>
        </w:rPr>
      </w:pPr>
      <w:r w:rsidDel="00000000" w:rsidR="00000000" w:rsidRPr="00000000">
        <w:rPr>
          <w:rtl w:val="0"/>
        </w:rPr>
        <w:t xml:space="preserve">An adversary who controls or manipulates the clock can force gates to sample inputs before they have settled, producing metastable outputs that can be steered toward an attacker-preferred state. Glitch attacks exploit the timing dependency of synchronous logic to skip security checks, flip authentication bits, and corrupt state machines. Timing side-channel attacks measure computation time to infer secret key material from the statistical correlation between computation time and data value.</w:t>
      </w:r>
      <w:hyperlink r:id="rId610">
        <w:r w:rsidDel="00000000" w:rsidR="00000000" w:rsidRPr="00000000">
          <w:rPr>
            <w:rtl w:val="0"/>
          </w:rPr>
          <w:t xml:space="preserve"> </w:t>
        </w:r>
      </w:hyperlink>
      <w:hyperlink r:id="rId611">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09">
      <w:pPr>
        <w:spacing w:after="240" w:before="240" w:lineRule="auto"/>
        <w:rPr>
          <w:color w:val="1155cc"/>
          <w:u w:val="single"/>
        </w:rPr>
      </w:pPr>
      <w:r w:rsidDel="00000000" w:rsidR="00000000" w:rsidRPr="00000000">
        <w:rPr>
          <w:rtl w:val="0"/>
        </w:rPr>
        <w:t xml:space="preserve">DITL eliminates the global clock entirely. Each gate communicates with its neighbors through local request-acknowledge handshake protocols. A gate asserts its output only when its internal computation is complete. The receiving gate acknowledges only when it has consumed the result and is ready for the next input. No gate ever samples a signal before it has stabilized, because there is no external timing signal to force premature sampling.</w:t>
      </w:r>
      <w:hyperlink r:id="rId612">
        <w:r w:rsidDel="00000000" w:rsidR="00000000" w:rsidRPr="00000000">
          <w:rPr>
            <w:rtl w:val="0"/>
          </w:rPr>
          <w:t xml:space="preserve"> </w:t>
        </w:r>
      </w:hyperlink>
      <w:hyperlink r:id="rId613">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30A">
      <w:pPr>
        <w:spacing w:after="240" w:before="240" w:lineRule="auto"/>
        <w:rPr>
          <w:color w:val="1155cc"/>
          <w:u w:val="single"/>
        </w:rPr>
      </w:pPr>
      <w:r w:rsidDel="00000000" w:rsidR="00000000" w:rsidRPr="00000000">
        <w:rPr>
          <w:rtl w:val="0"/>
        </w:rPr>
        <w:t xml:space="preserve">This eliminates the clock-based attack surface entirely. There are no clock edges to exploit for glitch injection. There is no regular timing pattern to measure for side-channel analysis. There is no global synchronization signal that a compromised peripheral can manipulate. The Governance Lane evaluates proposals at the speed of evidentiary verification - as fast as the evidence is complete, and no faster.</w:t>
      </w:r>
      <w:hyperlink r:id="rId614">
        <w:r w:rsidDel="00000000" w:rsidR="00000000" w:rsidRPr="00000000">
          <w:rPr>
            <w:rtl w:val="0"/>
          </w:rPr>
          <w:t xml:space="preserve"> </w:t>
        </w:r>
      </w:hyperlink>
      <w:hyperlink r:id="rId615">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30B">
      <w:pPr>
        <w:pStyle w:val="Heading3"/>
        <w:keepNext w:val="0"/>
        <w:keepLines w:val="0"/>
        <w:spacing w:before="280" w:lineRule="auto"/>
        <w:rPr>
          <w:b w:val="1"/>
          <w:bCs w:val="1"/>
          <w:color w:val="000000"/>
          <w:sz w:val="26"/>
          <w:szCs w:val="26"/>
        </w:rPr>
      </w:pPr>
      <w:bookmarkStart w:colFirst="0" w:colLast="0" w:name="_ujgm44wrstxe" w:id="90"/>
      <w:bookmarkEnd w:id="90"/>
      <w:r w:rsidDel="00000000" w:rsidR="00000000" w:rsidRPr="00000000">
        <w:rPr>
          <w:b w:val="1"/>
          <w:bCs w:val="1"/>
          <w:color w:val="000000"/>
          <w:sz w:val="26"/>
          <w:szCs w:val="26"/>
          <w:rtl w:val="0"/>
        </w:rPr>
        <w:t xml:space="preserve">8.2.2 The Four-Phase Handshake Protocol</w:t>
      </w:r>
    </w:p>
    <w:p w:rsidR="00000000" w:rsidDel="00000000" w:rsidP="00000000" w:rsidRDefault="00000000" w:rsidRPr="00000000" w14:paraId="0000030C">
      <w:pPr>
        <w:spacing w:after="240" w:before="240" w:lineRule="auto"/>
        <w:rPr>
          <w:color w:val="1155cc"/>
          <w:u w:val="single"/>
        </w:rPr>
      </w:pPr>
      <w:r w:rsidDel="00000000" w:rsidR="00000000" w:rsidRPr="00000000">
        <w:rPr>
          <w:rtl w:val="0"/>
        </w:rPr>
        <w:t xml:space="preserve">All inter-gate communication in the DITL substrate operates through a four-phase handshake protocol governing the transfer of a single data item between a sender gate and a receiver gate.</w:t>
      </w:r>
      <w:hyperlink r:id="rId616">
        <w:r w:rsidDel="00000000" w:rsidR="00000000" w:rsidRPr="00000000">
          <w:rPr>
            <w:rtl w:val="0"/>
          </w:rPr>
          <w:t xml:space="preserve"> </w:t>
        </w:r>
      </w:hyperlink>
      <w:hyperlink r:id="rId617">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30D">
      <w:pPr>
        <w:spacing w:after="240" w:before="240" w:lineRule="auto"/>
        <w:rPr/>
      </w:pPr>
      <w:r w:rsidDel="00000000" w:rsidR="00000000" w:rsidRPr="00000000">
        <w:rPr>
          <w:b w:val="1"/>
          <w:bCs w:val="1"/>
          <w:rtl w:val="0"/>
        </w:rPr>
        <w:t xml:space="preserve">Phase 1 - Data Assertion:</w:t>
      </w:r>
      <w:r w:rsidDel="00000000" w:rsidR="00000000" w:rsidRPr="00000000">
        <w:rPr>
          <w:rtl w:val="0"/>
        </w:rPr>
        <w:t xml:space="preserve"> The sender asserts a valid data encoding on its output rails. For 1-of-3 ternary encoding, this means activating exactly one of the three output wires corresponding to the triadic state being transmitted: the Proceed wire, the Refuse wire, or the Epistemic Hold wire. The spacer or NULL state, in which all three wires are inactive, signals that no valid data is present.</w:t>
      </w:r>
    </w:p>
    <w:p w:rsidR="00000000" w:rsidDel="00000000" w:rsidP="00000000" w:rsidRDefault="00000000" w:rsidRPr="00000000" w14:paraId="0000030E">
      <w:pPr>
        <w:spacing w:after="240" w:before="240" w:lineRule="auto"/>
        <w:rPr/>
      </w:pPr>
      <w:r w:rsidDel="00000000" w:rsidR="00000000" w:rsidRPr="00000000">
        <w:rPr>
          <w:b w:val="1"/>
          <w:bCs w:val="1"/>
          <w:rtl w:val="0"/>
        </w:rPr>
        <w:t xml:space="preserve">Phase 2 - Acknowledge Assertion:</w:t>
      </w:r>
      <w:r w:rsidDel="00000000" w:rsidR="00000000" w:rsidRPr="00000000">
        <w:rPr>
          <w:rtl w:val="0"/>
        </w:rPr>
        <w:t xml:space="preserve"> The receiver detects that all required inputs have transitioned from the NULL spacer state to valid data encodings. When all inputs are valid, the receiver asserts its acknowledge output. This signal propagates back to the sender indicating that the data has been captured.</w:t>
      </w:r>
    </w:p>
    <w:p w:rsidR="00000000" w:rsidDel="00000000" w:rsidP="00000000" w:rsidRDefault="00000000" w:rsidRPr="00000000" w14:paraId="0000030F">
      <w:pPr>
        <w:spacing w:after="240" w:before="240" w:lineRule="auto"/>
        <w:rPr/>
      </w:pPr>
      <w:r w:rsidDel="00000000" w:rsidR="00000000" w:rsidRPr="00000000">
        <w:rPr>
          <w:b w:val="1"/>
          <w:bCs w:val="1"/>
          <w:rtl w:val="0"/>
        </w:rPr>
        <w:t xml:space="preserve">Phase 3 - Data Withdrawal:</w:t>
      </w:r>
      <w:r w:rsidDel="00000000" w:rsidR="00000000" w:rsidRPr="00000000">
        <w:rPr>
          <w:rtl w:val="0"/>
        </w:rPr>
        <w:t xml:space="preserve"> The sender detects the acknowledge signal and withdraws its data, returning its output rails to the NULL spacer state.</w:t>
      </w:r>
    </w:p>
    <w:p w:rsidR="00000000" w:rsidDel="00000000" w:rsidP="00000000" w:rsidRDefault="00000000" w:rsidRPr="00000000" w14:paraId="00000310">
      <w:pPr>
        <w:spacing w:after="240" w:before="240" w:lineRule="auto"/>
        <w:rPr>
          <w:color w:val="1155cc"/>
          <w:u w:val="single"/>
        </w:rPr>
      </w:pPr>
      <w:r w:rsidDel="00000000" w:rsidR="00000000" w:rsidRPr="00000000">
        <w:rPr>
          <w:b w:val="1"/>
          <w:bCs w:val="1"/>
          <w:rtl w:val="0"/>
        </w:rPr>
        <w:t xml:space="preserve">Phase 4 - Acknowledge Withdrawal:</w:t>
      </w:r>
      <w:r w:rsidDel="00000000" w:rsidR="00000000" w:rsidRPr="00000000">
        <w:rPr>
          <w:rtl w:val="0"/>
        </w:rPr>
        <w:t xml:space="preserve"> The receiver detects that the sender has returned to the NULL state and withdraws its own acknowledge signal. Both sender and receiver are now in the neutral state, ready for the next data transfer.</w:t>
      </w:r>
      <w:hyperlink r:id="rId618">
        <w:r w:rsidDel="00000000" w:rsidR="00000000" w:rsidRPr="00000000">
          <w:rPr>
            <w:rtl w:val="0"/>
          </w:rPr>
          <w:t xml:space="preserve"> </w:t>
        </w:r>
      </w:hyperlink>
      <w:hyperlink r:id="rId619">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311">
      <w:pPr>
        <w:spacing w:after="240" w:before="240" w:lineRule="auto"/>
        <w:rPr/>
      </w:pPr>
      <w:r w:rsidDel="00000000" w:rsidR="00000000" w:rsidRPr="00000000">
        <w:rPr>
          <w:rtl w:val="0"/>
        </w:rPr>
        <w:t xml:space="preserve">Only after all four phases complete can a new data transfer begin. This protocol guarantees that no gate ever processes stale data, partial data, or data corrupted by a race condition. In the Governance Lane, this means that a governance evaluation cannot proceed on incomplete evidentiary inputs. The handshake forces the lane to wait until all required data has arrived and stabilized before the evaluation logic activates.</w:t>
      </w:r>
    </w:p>
    <w:p w:rsidR="00000000" w:rsidDel="00000000" w:rsidP="00000000" w:rsidRDefault="00000000" w:rsidRPr="00000000" w14:paraId="00000312">
      <w:pPr>
        <w:pStyle w:val="Heading3"/>
        <w:keepNext w:val="0"/>
        <w:keepLines w:val="0"/>
        <w:spacing w:before="280" w:lineRule="auto"/>
        <w:rPr>
          <w:b w:val="1"/>
          <w:bCs w:val="1"/>
          <w:color w:val="000000"/>
          <w:sz w:val="26"/>
          <w:szCs w:val="26"/>
        </w:rPr>
      </w:pPr>
      <w:bookmarkStart w:colFirst="0" w:colLast="0" w:name="_nnul0e8pv0a1" w:id="91"/>
      <w:bookmarkEnd w:id="91"/>
      <w:r w:rsidDel="00000000" w:rsidR="00000000" w:rsidRPr="00000000">
        <w:rPr>
          <w:b w:val="1"/>
          <w:bCs w:val="1"/>
          <w:color w:val="000000"/>
          <w:sz w:val="26"/>
          <w:szCs w:val="26"/>
          <w:rtl w:val="0"/>
        </w:rPr>
        <w:t xml:space="preserve">8.2.3 Encoding Schemes: 1-of-3 Rail Encoding</w:t>
      </w:r>
    </w:p>
    <w:p w:rsidR="00000000" w:rsidDel="00000000" w:rsidP="00000000" w:rsidRDefault="00000000" w:rsidRPr="00000000" w14:paraId="00000313">
      <w:pPr>
        <w:spacing w:after="240" w:before="240" w:lineRule="auto"/>
        <w:rPr>
          <w:color w:val="1155cc"/>
          <w:u w:val="single"/>
        </w:rPr>
      </w:pPr>
      <w:r w:rsidDel="00000000" w:rsidR="00000000" w:rsidRPr="00000000">
        <w:rPr>
          <w:rtl w:val="0"/>
        </w:rPr>
        <w:t xml:space="preserve">Two encoding schemes are possible for ternary logic signals: voltage-level encoding and 1-of-3 rail encoding. The specification mandates 1-of-3 rail encoding for all production deployments.</w:t>
      </w:r>
      <w:hyperlink r:id="rId620">
        <w:r w:rsidDel="00000000" w:rsidR="00000000" w:rsidRPr="00000000">
          <w:rPr>
            <w:rtl w:val="0"/>
          </w:rPr>
          <w:t xml:space="preserve"> </w:t>
        </w:r>
      </w:hyperlink>
      <w:hyperlink r:id="rId621">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14">
      <w:pPr>
        <w:spacing w:after="240" w:before="240" w:lineRule="auto"/>
        <w:rPr>
          <w:color w:val="1155cc"/>
          <w:u w:val="single"/>
        </w:rPr>
      </w:pPr>
      <w:r w:rsidDel="00000000" w:rsidR="00000000" w:rsidRPr="00000000">
        <w:rPr>
          <w:rtl w:val="0"/>
        </w:rPr>
        <w:t xml:space="preserve">Voltage-level encoding represents three ternary states as three voltage levels on a single wire: Vdd for Proceed (+1), Vdd/2 for Epistemic Hold (0), and GND for Refuse (-1). This approach minimizes wire count but halves the noise margin between adjacent states relative to binary encoding. The voltage difference between Epistemic Hold (Vdd/2) and Proceed (Vdd) is only half the supply voltage, compared to the full Vdd margin between binary logic levels. A voltage glitch that corrupts the Epistemic Hold state to Proceed - bypassing the mandatory hesitation state - requires only half the energy that would be needed to flip a binary logic level.</w:t>
      </w:r>
      <w:hyperlink r:id="rId622">
        <w:r w:rsidDel="00000000" w:rsidR="00000000" w:rsidRPr="00000000">
          <w:rPr>
            <w:rtl w:val="0"/>
          </w:rPr>
          <w:t xml:space="preserve"> </w:t>
        </w:r>
      </w:hyperlink>
      <w:hyperlink r:id="rId623">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15">
      <w:pPr>
        <w:spacing w:after="240" w:before="240" w:lineRule="auto"/>
        <w:rPr>
          <w:color w:val="1155cc"/>
          <w:u w:val="single"/>
        </w:rPr>
      </w:pPr>
      <w:r w:rsidDel="00000000" w:rsidR="00000000" w:rsidRPr="00000000">
        <w:rPr>
          <w:rtl w:val="0"/>
        </w:rPr>
        <w:t xml:space="preserve">1-of-3 rail encoding uses three wires per ternary trit. Exactly one wire is active for each state: wire 0 active for Refuse (-1), wire 1 active for Proceed (+1), wire 2 active for Epistemic Hold (0). The NULL or spacer state is all-zero: all three wires inactive. This preserves the full noise margin of the process technology for each state transition. A glitch sufficient to corrupt a valid ternary state would need to simultaneously deactivate the correct wire and activate an incorrect wire - a significantly higher energy requirement than simple voltage perturbation.</w:t>
      </w:r>
      <w:hyperlink r:id="rId624">
        <w:r w:rsidDel="00000000" w:rsidR="00000000" w:rsidRPr="00000000">
          <w:rPr>
            <w:rtl w:val="0"/>
          </w:rPr>
          <w:t xml:space="preserve"> </w:t>
        </w:r>
      </w:hyperlink>
      <w:hyperlink r:id="rId625">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16">
      <w:pPr>
        <w:spacing w:after="240" w:before="240" w:lineRule="auto"/>
        <w:rPr/>
      </w:pPr>
      <w:r w:rsidDel="00000000" w:rsidR="00000000" w:rsidRPr="00000000">
        <w:rPr>
          <w:rtl w:val="0"/>
        </w:rPr>
        <w:t xml:space="preserve">1-of-3 encoding also makes ternary-to-binary reduction detectable by completion logic. If an adversary attempts to drive a 1-of-3 encoded ternary signal using binary outputs, the completion detector can distinguish this from a valid ternary transition because the spacer-to-data transition timing differs from the expected 1-of-3 pattern. The completion logic will not assert a done signal for a malformed encoding.</w:t>
      </w:r>
    </w:p>
    <w:p w:rsidR="00000000" w:rsidDel="00000000" w:rsidP="00000000" w:rsidRDefault="00000000" w:rsidRPr="00000000" w14:paraId="00000317">
      <w:pPr>
        <w:pStyle w:val="Heading3"/>
        <w:keepNext w:val="0"/>
        <w:keepLines w:val="0"/>
        <w:spacing w:before="280" w:lineRule="auto"/>
        <w:rPr>
          <w:b w:val="1"/>
          <w:bCs w:val="1"/>
          <w:color w:val="000000"/>
          <w:sz w:val="26"/>
          <w:szCs w:val="26"/>
        </w:rPr>
      </w:pPr>
      <w:bookmarkStart w:colFirst="0" w:colLast="0" w:name="_heqhztbttb86" w:id="92"/>
      <w:bookmarkEnd w:id="92"/>
      <w:r w:rsidDel="00000000" w:rsidR="00000000" w:rsidRPr="00000000">
        <w:rPr>
          <w:b w:val="1"/>
          <w:bCs w:val="1"/>
          <w:color w:val="000000"/>
          <w:sz w:val="26"/>
          <w:szCs w:val="26"/>
          <w:rtl w:val="0"/>
        </w:rPr>
        <w:t xml:space="preserve">8.2.4 Dual-Rail Encoding for Binary-to-Ternary Interface</w:t>
      </w:r>
    </w:p>
    <w:p w:rsidR="00000000" w:rsidDel="00000000" w:rsidP="00000000" w:rsidRDefault="00000000" w:rsidRPr="00000000" w14:paraId="00000318">
      <w:pPr>
        <w:spacing w:after="240" w:before="240" w:lineRule="auto"/>
        <w:rPr>
          <w:color w:val="1155cc"/>
          <w:u w:val="single"/>
        </w:rPr>
      </w:pPr>
      <w:r w:rsidDel="00000000" w:rsidR="00000000" w:rsidRPr="00000000">
        <w:rPr>
          <w:rtl w:val="0"/>
        </w:rPr>
        <w:t xml:space="preserve">The Inference Lane operates in conventional binary logic. The Governance Lane operates in 1-of-3 ternary logic. The interface between them requires a protocol translation that does not introduce a security boundary violation.</w:t>
      </w:r>
      <w:hyperlink r:id="rId626">
        <w:r w:rsidDel="00000000" w:rsidR="00000000" w:rsidRPr="00000000">
          <w:rPr>
            <w:rtl w:val="0"/>
          </w:rPr>
          <w:t xml:space="preserve"> </w:t>
        </w:r>
      </w:hyperlink>
      <w:hyperlink r:id="rId627">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319">
      <w:pPr>
        <w:spacing w:after="240" w:before="240" w:lineRule="auto"/>
        <w:rPr/>
      </w:pPr>
      <w:r w:rsidDel="00000000" w:rsidR="00000000" w:rsidRPr="00000000">
        <w:rPr>
          <w:rtl w:val="0"/>
        </w:rPr>
        <w:t xml:space="preserve">Dual-rail encoding provides this interface. Each binary bit in the Decision Proposal is encoded on two wires: one wire asserts when the bit is logic 1, the other wire asserts when the bit is logic 0, and neither wire asserts during the NULL spacer phase. This encoding preserves the four-phase handshake property at the binary-ternary boundary: the ternary Governance Lane can detect the presence of valid binary data by observing that at least one wire of each dual-rail pair has asserted.</w:t>
      </w:r>
    </w:p>
    <w:p w:rsidR="00000000" w:rsidDel="00000000" w:rsidP="00000000" w:rsidRDefault="00000000" w:rsidRPr="00000000" w14:paraId="0000031A">
      <w:pPr>
        <w:spacing w:after="240" w:before="240" w:lineRule="auto"/>
        <w:rPr>
          <w:color w:val="1155cc"/>
          <w:u w:val="single"/>
        </w:rPr>
      </w:pPr>
      <w:r w:rsidDel="00000000" w:rsidR="00000000" w:rsidRPr="00000000">
        <w:rPr>
          <w:rtl w:val="0"/>
        </w:rPr>
        <w:t xml:space="preserve">The ternary evaluation logic processes the dual-rail encoded inputs and produces 1-of-3 ternary outputs. The output travels through the Governance Lane's ternary evaluation pipeline, eventually reaching the Gateway. At the Gateway, the 1-of-3 ternary output drives the Mandated Ternary memristive cells. The dual-rail encoding preserves the physical separation between the binary Inference Lane and the ternary Governance Lane at the electron level: neither lane can force the other lane's logic states without producing encoding violations that are detected by the handshake completion logic.</w:t>
      </w:r>
      <w:hyperlink r:id="rId628">
        <w:r w:rsidDel="00000000" w:rsidR="00000000" w:rsidRPr="00000000">
          <w:rPr>
            <w:rtl w:val="0"/>
          </w:rPr>
          <w:t xml:space="preserve"> </w:t>
        </w:r>
      </w:hyperlink>
      <w:hyperlink r:id="rId629">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31B">
      <w:pPr>
        <w:pStyle w:val="Heading3"/>
        <w:keepNext w:val="0"/>
        <w:keepLines w:val="0"/>
        <w:spacing w:before="280" w:lineRule="auto"/>
        <w:rPr>
          <w:b w:val="1"/>
          <w:bCs w:val="1"/>
          <w:color w:val="000000"/>
          <w:sz w:val="26"/>
          <w:szCs w:val="26"/>
        </w:rPr>
      </w:pPr>
      <w:bookmarkStart w:colFirst="0" w:colLast="0" w:name="_ezk4bq6yvsxd" w:id="93"/>
      <w:bookmarkEnd w:id="93"/>
      <w:r w:rsidDel="00000000" w:rsidR="00000000" w:rsidRPr="00000000">
        <w:rPr>
          <w:b w:val="1"/>
          <w:bCs w:val="1"/>
          <w:color w:val="000000"/>
          <w:sz w:val="26"/>
          <w:szCs w:val="26"/>
          <w:rtl w:val="0"/>
        </w:rPr>
        <w:t xml:space="preserve">8.2.5 Muller C-Elements and Pipeline Stalls</w:t>
      </w:r>
    </w:p>
    <w:p w:rsidR="00000000" w:rsidDel="00000000" w:rsidP="00000000" w:rsidRDefault="00000000" w:rsidRPr="00000000" w14:paraId="0000031C">
      <w:pPr>
        <w:spacing w:after="240" w:before="240" w:lineRule="auto"/>
        <w:rPr>
          <w:color w:val="1155cc"/>
          <w:u w:val="single"/>
        </w:rPr>
      </w:pPr>
      <w:r w:rsidDel="00000000" w:rsidR="00000000" w:rsidRPr="00000000">
        <w:rPr>
          <w:rtl w:val="0"/>
        </w:rPr>
        <w:t xml:space="preserve">The Muller C-element is the fundamental building block of DITL pipeline stall logic. It is a hysteresis-state threshold gate whose output remains stable until all its inputs have reached a common logic level.</w:t>
      </w:r>
      <w:hyperlink r:id="rId630">
        <w:r w:rsidDel="00000000" w:rsidR="00000000" w:rsidRPr="00000000">
          <w:rPr>
            <w:rtl w:val="0"/>
          </w:rPr>
          <w:t xml:space="preserve"> </w:t>
        </w:r>
      </w:hyperlink>
      <w:hyperlink r:id="rId631">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1D">
      <w:pPr>
        <w:spacing w:after="240" w:before="240" w:lineRule="auto"/>
        <w:rPr/>
      </w:pPr>
      <w:r w:rsidDel="00000000" w:rsidR="00000000" w:rsidRPr="00000000">
        <w:rPr>
          <w:rtl w:val="0"/>
        </w:rPr>
        <w:t xml:space="preserve">In a two-input C-element: the output asserts to logic 1 when both inputs are logic 1; the output asserts to logic 0 when both inputs are logic 0; if the inputs disagree, the output remains in its previous state. This hysteresis property creates a pipeline stall: a pipeline stage protected by a C-element cannot advance until all upstream stages have completed and all required inputs have settled to valid levels.</w:t>
      </w:r>
    </w:p>
    <w:p w:rsidR="00000000" w:rsidDel="00000000" w:rsidP="00000000" w:rsidRDefault="00000000" w:rsidRPr="00000000" w14:paraId="0000031E">
      <w:pPr>
        <w:spacing w:after="240" w:before="240" w:lineRule="auto"/>
        <w:rPr>
          <w:color w:val="1155cc"/>
          <w:u w:val="single"/>
        </w:rPr>
      </w:pPr>
      <w:r w:rsidDel="00000000" w:rsidR="00000000" w:rsidRPr="00000000">
        <w:rPr>
          <w:rtl w:val="0"/>
        </w:rPr>
        <w:t xml:space="preserve">In the DITL Governance Lane, C-elements create the physical implementation of the Epistemic Hold stall. When the Governance Lane has issued Epistemic Hold on a proposal, the C-elements in the pipeline stage guarding the Gateway acknowledge path remain in their current state. The acknowledge signal does not propagate forward. Without the acknowledge signal, the upstream evaluation pipeline cannot advance. Without the upstream pipeline advancing, the Permission Token cannot be generated. Without the Permission Token, the Gateway cannot open. The mandatory hesitation is instantiated in the hysteretic memory of individual circuit elements.</w:t>
      </w:r>
      <w:hyperlink r:id="rId632">
        <w:r w:rsidDel="00000000" w:rsidR="00000000" w:rsidRPr="00000000">
          <w:rPr>
            <w:rtl w:val="0"/>
          </w:rPr>
          <w:t xml:space="preserve"> </w:t>
        </w:r>
      </w:hyperlink>
      <w:hyperlink r:id="rId633">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1F">
      <w:pPr>
        <w:spacing w:after="240" w:before="240" w:lineRule="auto"/>
        <w:rPr/>
      </w:pPr>
      <w:r w:rsidDel="00000000" w:rsidR="00000000" w:rsidRPr="00000000">
        <w:rPr>
          <w:rtl w:val="0"/>
        </w:rPr>
        <w:t xml:space="preserve">Bypassing a C-element stall requires physical-layer intervention: injecting the missing acknowledge signal electrically, physically rerouting the signal path on the substrate, or voltage glitching to force the C-element past its hysteresis threshold. The faulTPM class of attacks demonstrates that this is possible with equipment costing as little as fifty dollars for simple CMOS circuits. The specification mitigates this through the active tamper detection infrastructure described in Section 8.5.</w:t>
      </w:r>
    </w:p>
    <w:p w:rsidR="00000000" w:rsidDel="00000000" w:rsidP="00000000" w:rsidRDefault="00000000" w:rsidRPr="00000000" w14:paraId="00000320">
      <w:pPr>
        <w:spacing w:after="240" w:before="240" w:lineRule="auto"/>
        <w:rPr/>
      </w:pPr>
      <w:r w:rsidDel="00000000" w:rsidR="00000000" w:rsidRPr="00000000">
        <w:rPr>
          <w:rtl w:val="0"/>
        </w:rPr>
        <w:t xml:space="preserve">The C-element stall mechanism is fundamentally stronger than the non-maskable interrupt mechanisms of conventional processor security. The x86 NMI is maskable by setting bit 7 of I/O port 0x70. ARM FIQ is maskable via the F bit in CPSR. ARM's own documentation acknowledges that "non-maskable" is a misnomer.</w:t>
      </w:r>
      <w:hyperlink r:id="rId634">
        <w:r w:rsidDel="00000000" w:rsidR="00000000" w:rsidRPr="00000000">
          <w:rPr>
            <w:rtl w:val="0"/>
          </w:rPr>
          <w:t xml:space="preserve"> </w:t>
        </w:r>
      </w:hyperlink>
      <w:hyperlink r:id="rId635">
        <w:r w:rsidDel="00000000" w:rsidR="00000000" w:rsidRPr="00000000">
          <w:rPr>
            <w:color w:val="1155cc"/>
            <w:u w:val="single"/>
            <w:rtl w:val="0"/>
          </w:rPr>
          <w:t xml:space="preserve">[17]</w:t>
        </w:r>
      </w:hyperlink>
      <w:r w:rsidDel="00000000" w:rsidR="00000000" w:rsidRPr="00000000">
        <w:rPr>
          <w:rtl w:val="0"/>
        </w:rPr>
        <w:t xml:space="preserve"> Asynchronous handshake stalls operate on a different principle entirely. Without the acknowledge transition, the pipeline physically cannot advance. There is no register to flip, no clock edge to exploit, no port to write.</w:t>
      </w:r>
    </w:p>
    <w:p w:rsidR="00000000" w:rsidDel="00000000" w:rsidP="00000000" w:rsidRDefault="00000000" w:rsidRPr="00000000" w14:paraId="00000321">
      <w:pPr>
        <w:pStyle w:val="Heading3"/>
        <w:keepNext w:val="0"/>
        <w:keepLines w:val="0"/>
        <w:spacing w:before="280" w:lineRule="auto"/>
        <w:rPr>
          <w:b w:val="1"/>
          <w:bCs w:val="1"/>
          <w:color w:val="000000"/>
          <w:sz w:val="26"/>
          <w:szCs w:val="26"/>
        </w:rPr>
      </w:pPr>
      <w:bookmarkStart w:colFirst="0" w:colLast="0" w:name="_46dsod8a2ooi" w:id="94"/>
      <w:bookmarkEnd w:id="94"/>
      <w:r w:rsidDel="00000000" w:rsidR="00000000" w:rsidRPr="00000000">
        <w:rPr>
          <w:b w:val="1"/>
          <w:bCs w:val="1"/>
          <w:color w:val="000000"/>
          <w:sz w:val="26"/>
          <w:szCs w:val="26"/>
          <w:rtl w:val="0"/>
        </w:rPr>
        <w:t xml:space="preserve">8.2.6 Completion Detection</w:t>
      </w:r>
    </w:p>
    <w:p w:rsidR="00000000" w:rsidDel="00000000" w:rsidP="00000000" w:rsidRDefault="00000000" w:rsidRPr="00000000" w14:paraId="00000322">
      <w:pPr>
        <w:spacing w:after="240" w:before="240" w:lineRule="auto"/>
        <w:rPr>
          <w:color w:val="1155cc"/>
          <w:u w:val="single"/>
        </w:rPr>
      </w:pPr>
      <w:r w:rsidDel="00000000" w:rsidR="00000000" w:rsidRPr="00000000">
        <w:rPr>
          <w:rtl w:val="0"/>
        </w:rPr>
        <w:t xml:space="preserve">Completion detection is the mechanism that signals when an entire arithmetic or logic operation - potentially spanning dozens of pipeline stages - has finished. In DITL, a completion detector monitors the output rails of a computational block and asserts a done signal only when all outputs have settled to valid, non-NULL encodings.</w:t>
      </w:r>
      <w:hyperlink r:id="rId636">
        <w:r w:rsidDel="00000000" w:rsidR="00000000" w:rsidRPr="00000000">
          <w:rPr>
            <w:rtl w:val="0"/>
          </w:rPr>
          <w:t xml:space="preserve"> </w:t>
        </w:r>
      </w:hyperlink>
      <w:hyperlink r:id="rId637">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323">
      <w:pPr>
        <w:spacing w:after="240" w:before="240" w:lineRule="auto"/>
        <w:rPr/>
      </w:pPr>
      <w:r w:rsidDel="00000000" w:rsidR="00000000" w:rsidRPr="00000000">
        <w:rPr>
          <w:rtl w:val="0"/>
        </w:rPr>
        <w:t xml:space="preserve">For the Governance Lane, completion detection corresponds to the moment when all evidentiary predicates have been evaluated, all chamber signatures have been verified, and the triadic state determination has stabilized throughout the pipeline. The Gateway does not attempt to open until the completion detector asserts its done signal. The completion detector is the hardware realization of NL=NA: the log must be complete, the token must be valid, and the evaluation pipeline must have fully settled before execution is physically enabled.</w:t>
      </w:r>
    </w:p>
    <w:p w:rsidR="00000000" w:rsidDel="00000000" w:rsidP="00000000" w:rsidRDefault="00000000" w:rsidRPr="00000000" w14:paraId="00000324">
      <w:pPr>
        <w:spacing w:after="240" w:before="240" w:lineRule="auto"/>
        <w:rPr>
          <w:color w:val="1155cc"/>
          <w:u w:val="single"/>
        </w:rPr>
      </w:pPr>
      <w:r w:rsidDel="00000000" w:rsidR="00000000" w:rsidRPr="00000000">
        <w:rPr>
          <w:rtl w:val="0"/>
        </w:rPr>
        <w:t xml:space="preserve">The completion detector's done signal is the input to the MT gate's </w:t>
      </w:r>
      <w:r w:rsidDel="00000000" w:rsidR="00000000" w:rsidRPr="00000000">
        <w:rPr>
          <w:rFonts w:ascii="Roboto Mono" w:cs="Roboto Mono" w:eastAsia="Roboto Mono" w:hAnsi="Roboto Mono"/>
          <w:color w:val="188038"/>
          <w:rtl w:val="0"/>
        </w:rPr>
        <w:t xml:space="preserve">CONFIRM_OK</w:t>
      </w:r>
      <w:r w:rsidDel="00000000" w:rsidR="00000000" w:rsidRPr="00000000">
        <w:rPr>
          <w:rtl w:val="0"/>
        </w:rPr>
        <w:t xml:space="preserve"> pulse generation logic. Without a valid done signal from the completion detector, the </w:t>
      </w:r>
      <w:r w:rsidDel="00000000" w:rsidR="00000000" w:rsidRPr="00000000">
        <w:rPr>
          <w:rFonts w:ascii="Roboto Mono" w:cs="Roboto Mono" w:eastAsia="Roboto Mono" w:hAnsi="Roboto Mono"/>
          <w:color w:val="188038"/>
          <w:rtl w:val="0"/>
        </w:rPr>
        <w:t xml:space="preserve">CONFIRM_OK</w:t>
      </w:r>
      <w:r w:rsidDel="00000000" w:rsidR="00000000" w:rsidRPr="00000000">
        <w:rPr>
          <w:rtl w:val="0"/>
        </w:rPr>
        <w:t xml:space="preserve"> pulse cannot be generated. Without the </w:t>
      </w:r>
      <w:r w:rsidDel="00000000" w:rsidR="00000000" w:rsidRPr="00000000">
        <w:rPr>
          <w:rFonts w:ascii="Roboto Mono" w:cs="Roboto Mono" w:eastAsia="Roboto Mono" w:hAnsi="Roboto Mono"/>
          <w:color w:val="188038"/>
          <w:rtl w:val="0"/>
        </w:rPr>
        <w:t xml:space="preserve">CONFIRM_OK</w:t>
      </w:r>
      <w:r w:rsidDel="00000000" w:rsidR="00000000" w:rsidRPr="00000000">
        <w:rPr>
          <w:rtl w:val="0"/>
        </w:rPr>
        <w:t xml:space="preserve"> pulse, the MT gate cannot transition from the intermediate resistance Epistemic Hold state to the low resistance Proceed state.</w:t>
      </w:r>
      <w:hyperlink r:id="rId638">
        <w:r w:rsidDel="00000000" w:rsidR="00000000" w:rsidRPr="00000000">
          <w:rPr>
            <w:rtl w:val="0"/>
          </w:rPr>
          <w:t xml:space="preserve"> </w:t>
        </w:r>
      </w:hyperlink>
      <w:hyperlink r:id="rId639">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325">
      <w:pPr>
        <w:pStyle w:val="Heading3"/>
        <w:keepNext w:val="0"/>
        <w:keepLines w:val="0"/>
        <w:spacing w:before="280" w:lineRule="auto"/>
        <w:rPr>
          <w:b w:val="1"/>
          <w:bCs w:val="1"/>
          <w:color w:val="000000"/>
          <w:sz w:val="26"/>
          <w:szCs w:val="26"/>
        </w:rPr>
      </w:pPr>
      <w:bookmarkStart w:colFirst="0" w:colLast="0" w:name="_ntrg3diwcqlh" w:id="95"/>
      <w:bookmarkEnd w:id="95"/>
      <w:r w:rsidDel="00000000" w:rsidR="00000000" w:rsidRPr="00000000">
        <w:rPr>
          <w:b w:val="1"/>
          <w:bCs w:val="1"/>
          <w:color w:val="000000"/>
          <w:sz w:val="26"/>
          <w:szCs w:val="26"/>
          <w:rtl w:val="0"/>
        </w:rPr>
        <w:t xml:space="preserve">8.2.7 Inline vs. Sidecar Placement</w:t>
      </w:r>
    </w:p>
    <w:p w:rsidR="00000000" w:rsidDel="00000000" w:rsidP="00000000" w:rsidRDefault="00000000" w:rsidRPr="00000000" w14:paraId="00000326">
      <w:pPr>
        <w:spacing w:after="240" w:before="240" w:lineRule="auto"/>
        <w:rPr>
          <w:color w:val="1155cc"/>
          <w:u w:val="single"/>
        </w:rPr>
      </w:pPr>
      <w:r w:rsidDel="00000000" w:rsidR="00000000" w:rsidRPr="00000000">
        <w:rPr>
          <w:rtl w:val="0"/>
        </w:rPr>
        <w:t xml:space="preserve">The placement of the DITL Governance Lane relative to the host CPU's instruction execution path is critical to enforcement integrity. Two topologies are possible: inline placement and sidecar placement.</w:t>
      </w:r>
      <w:hyperlink r:id="rId640">
        <w:r w:rsidDel="00000000" w:rsidR="00000000" w:rsidRPr="00000000">
          <w:rPr>
            <w:rtl w:val="0"/>
          </w:rPr>
          <w:t xml:space="preserve"> </w:t>
        </w:r>
      </w:hyperlink>
      <w:hyperlink r:id="rId641">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27">
      <w:pPr>
        <w:spacing w:after="240" w:before="240" w:lineRule="auto"/>
        <w:rPr/>
      </w:pPr>
      <w:r w:rsidDel="00000000" w:rsidR="00000000" w:rsidRPr="00000000">
        <w:rPr>
          <w:rtl w:val="0"/>
        </w:rPr>
        <w:t xml:space="preserve">In </w:t>
      </w:r>
      <w:r w:rsidDel="00000000" w:rsidR="00000000" w:rsidRPr="00000000">
        <w:rPr>
          <w:b w:val="1"/>
          <w:bCs w:val="1"/>
          <w:rtl w:val="0"/>
        </w:rPr>
        <w:t xml:space="preserve">inline placement</w:t>
      </w:r>
      <w:r w:rsidDel="00000000" w:rsidR="00000000" w:rsidRPr="00000000">
        <w:rPr>
          <w:rtl w:val="0"/>
        </w:rPr>
        <w:t xml:space="preserve">, the DITL coprocessor sits directly in the execution path between instruction decode and instruction commit. The host CPU physically cannot fetch, decode, or commit an execution instruction without passing through the DITL governance bus. If the DITL coprocessor issues Epistemic Hold, the handshake stall propagates directly into the CPU's pipeline, preventing instruction commit until the stall is resolved. This is the only topology that achieves physical non-bypassability.</w:t>
      </w:r>
    </w:p>
    <w:p w:rsidR="00000000" w:rsidDel="00000000" w:rsidP="00000000" w:rsidRDefault="00000000" w:rsidRPr="00000000" w14:paraId="00000328">
      <w:pPr>
        <w:spacing w:after="240" w:before="240" w:lineRule="auto"/>
        <w:rPr>
          <w:color w:val="1155cc"/>
          <w:u w:val="single"/>
        </w:rPr>
      </w:pPr>
      <w:r w:rsidDel="00000000" w:rsidR="00000000" w:rsidRPr="00000000">
        <w:rPr>
          <w:rtl w:val="0"/>
        </w:rPr>
        <w:t xml:space="preserve">In </w:t>
      </w:r>
      <w:r w:rsidDel="00000000" w:rsidR="00000000" w:rsidRPr="00000000">
        <w:rPr>
          <w:b w:val="1"/>
          <w:bCs w:val="1"/>
          <w:rtl w:val="0"/>
        </w:rPr>
        <w:t xml:space="preserve">sidecar placement</w:t>
      </w:r>
      <w:r w:rsidDel="00000000" w:rsidR="00000000" w:rsidRPr="00000000">
        <w:rPr>
          <w:rtl w:val="0"/>
        </w:rPr>
        <w:t xml:space="preserve">, the DITL coprocessor sits parallel to the CPU's execution path and communicates via an interrupt or exception mechanism. The CPU continues to execute instructions speculatively while waiting for the DITL result. If the DITL coprocessor issues Epistemic Hold after the CPU has speculatively executed past the governance check, the speculative execution must be rolled back. TPM ECDSA signature operations take approximately two hundred milliseconds - if DITL validation latency were comparable, the speculative execution window would encompass tens of millions of CPU cycles.</w:t>
      </w:r>
      <w:hyperlink r:id="rId642">
        <w:r w:rsidDel="00000000" w:rsidR="00000000" w:rsidRPr="00000000">
          <w:rPr>
            <w:rtl w:val="0"/>
          </w:rPr>
          <w:t xml:space="preserve"> </w:t>
        </w:r>
      </w:hyperlink>
      <w:hyperlink r:id="rId643">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29">
      <w:pPr>
        <w:spacing w:after="240" w:before="240" w:lineRule="auto"/>
        <w:rPr>
          <w:color w:val="1155cc"/>
          <w:u w:val="single"/>
        </w:rPr>
      </w:pPr>
      <w:r w:rsidDel="00000000" w:rsidR="00000000" w:rsidRPr="00000000">
        <w:rPr>
          <w:rtl w:val="0"/>
        </w:rPr>
        <w:t xml:space="preserve">Sidecar placement is also vulnerable to Spectre-class speculative execution attacks. If DITL validation occurs after the host CPU's instruction execution, the CPU will speculatively execute past the DITL validation check before the result arrives. Speculative side effects - cache line residency, branch predictor state, TLB state - can persist even after a speculative rollback, leaking information to an attacker. Only inline placement prevents this class of attack, because the CPU physically cannot speculate past a gate that has not yet asserted its acknowledge signal.</w:t>
      </w:r>
      <w:hyperlink r:id="rId644">
        <w:r w:rsidDel="00000000" w:rsidR="00000000" w:rsidRPr="00000000">
          <w:rPr>
            <w:rtl w:val="0"/>
          </w:rPr>
          <w:t xml:space="preserve"> </w:t>
        </w:r>
      </w:hyperlink>
      <w:hyperlink r:id="rId645">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2A">
      <w:pPr>
        <w:spacing w:after="240" w:before="240" w:lineRule="auto"/>
        <w:rPr>
          <w:color w:val="1155cc"/>
          <w:u w:val="single"/>
        </w:rPr>
      </w:pPr>
      <w:r w:rsidDel="00000000" w:rsidR="00000000" w:rsidRPr="00000000">
        <w:rPr>
          <w:rtl w:val="0"/>
        </w:rPr>
        <w:t xml:space="preserve">The specification mandates inline placement for all production deployments. DITL validation latency in inline mode is expected to be in the nanosecond to low-microsecond range for immediate execution gating operations. This remains an entry in the Constitutional Uncertainty Register pending fabricated chip measurement.</w:t>
      </w:r>
      <w:hyperlink r:id="rId646">
        <w:r w:rsidDel="00000000" w:rsidR="00000000" w:rsidRPr="00000000">
          <w:rPr>
            <w:rtl w:val="0"/>
          </w:rPr>
          <w:t xml:space="preserve"> </w:t>
        </w:r>
      </w:hyperlink>
      <w:hyperlink r:id="rId647">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2B">
      <w:pPr>
        <w:pStyle w:val="Heading2"/>
        <w:keepNext w:val="0"/>
        <w:keepLines w:val="0"/>
        <w:spacing w:after="80" w:lineRule="auto"/>
        <w:rPr>
          <w:b w:val="1"/>
          <w:bCs w:val="1"/>
          <w:sz w:val="34"/>
          <w:szCs w:val="34"/>
        </w:rPr>
      </w:pPr>
      <w:bookmarkStart w:colFirst="0" w:colLast="0" w:name="_pc4ylhrnao2k" w:id="96"/>
      <w:bookmarkEnd w:id="96"/>
      <w:r w:rsidDel="00000000" w:rsidR="00000000" w:rsidRPr="00000000">
        <w:rPr>
          <w:b w:val="1"/>
          <w:bCs w:val="1"/>
          <w:sz w:val="34"/>
          <w:szCs w:val="34"/>
          <w:rtl w:val="0"/>
        </w:rPr>
        <w:t xml:space="preserve">8.3 Mandated Ternary Memristive Cells</w:t>
      </w:r>
    </w:p>
    <w:p w:rsidR="00000000" w:rsidDel="00000000" w:rsidP="00000000" w:rsidRDefault="00000000" w:rsidRPr="00000000" w14:paraId="0000032C">
      <w:pPr>
        <w:spacing w:after="240" w:before="240" w:lineRule="auto"/>
        <w:rPr>
          <w:color w:val="1155cc"/>
          <w:u w:val="single"/>
        </w:rPr>
      </w:pPr>
      <w:r w:rsidDel="00000000" w:rsidR="00000000" w:rsidRPr="00000000">
        <w:rPr>
          <w:rtl w:val="0"/>
        </w:rPr>
        <w:t xml:space="preserve">The Mandated Ternary memristive cell is the physical switching element that converts governance determinations into electrical reality. It is not a software abstraction layered over conventional binary transistors. It is a three-state resistive memory device whose stable resistance regimes correspond exactly to the triadic states of Ternary Logic.</w:t>
      </w:r>
      <w:hyperlink r:id="rId648">
        <w:r w:rsidDel="00000000" w:rsidR="00000000" w:rsidRPr="00000000">
          <w:rPr>
            <w:rtl w:val="0"/>
          </w:rPr>
          <w:t xml:space="preserve"> </w:t>
        </w:r>
      </w:hyperlink>
      <w:hyperlink r:id="rId649">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32D">
      <w:pPr>
        <w:pStyle w:val="Heading3"/>
        <w:keepNext w:val="0"/>
        <w:keepLines w:val="0"/>
        <w:spacing w:before="280" w:lineRule="auto"/>
        <w:rPr>
          <w:b w:val="1"/>
          <w:bCs w:val="1"/>
          <w:color w:val="000000"/>
          <w:sz w:val="26"/>
          <w:szCs w:val="26"/>
        </w:rPr>
      </w:pPr>
      <w:bookmarkStart w:colFirst="0" w:colLast="0" w:name="_45me6z97fuek" w:id="97"/>
      <w:bookmarkEnd w:id="97"/>
      <w:r w:rsidDel="00000000" w:rsidR="00000000" w:rsidRPr="00000000">
        <w:rPr>
          <w:b w:val="1"/>
          <w:bCs w:val="1"/>
          <w:color w:val="000000"/>
          <w:sz w:val="26"/>
          <w:szCs w:val="26"/>
          <w:rtl w:val="0"/>
        </w:rPr>
        <w:t xml:space="preserve">8.3.1 Material Physics and Resistance States</w:t>
      </w:r>
    </w:p>
    <w:p w:rsidR="00000000" w:rsidDel="00000000" w:rsidP="00000000" w:rsidRDefault="00000000" w:rsidRPr="00000000" w14:paraId="0000032E">
      <w:pPr>
        <w:spacing w:after="240" w:before="240" w:lineRule="auto"/>
        <w:rPr>
          <w:color w:val="1155cc"/>
          <w:u w:val="single"/>
        </w:rPr>
      </w:pPr>
      <w:r w:rsidDel="00000000" w:rsidR="00000000" w:rsidRPr="00000000">
        <w:rPr>
          <w:rtl w:val="0"/>
        </w:rPr>
        <w:t xml:space="preserve">The MT cell operates on the principle of electrically controlled resistance switching in a thin-film metal-oxide stack. The current baseline specification references the TaOx bilayer memristive device architecture, which has demonstrated reliable multi-state switching suitable for ternary logic implementation.</w:t>
      </w:r>
      <w:hyperlink r:id="rId650">
        <w:r w:rsidDel="00000000" w:rsidR="00000000" w:rsidRPr="00000000">
          <w:rPr>
            <w:rtl w:val="0"/>
          </w:rPr>
          <w:t xml:space="preserve"> </w:t>
        </w:r>
      </w:hyperlink>
      <w:hyperlink r:id="rId651">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32F">
      <w:pPr>
        <w:spacing w:after="240" w:before="240" w:lineRule="auto"/>
        <w:rPr/>
      </w:pPr>
      <w:r w:rsidDel="00000000" w:rsidR="00000000" w:rsidRPr="00000000">
        <w:rPr>
          <w:rtl w:val="0"/>
        </w:rPr>
        <w:t xml:space="preserve">The device maintains three stable resistance regimes:</w:t>
      </w:r>
    </w:p>
    <w:p w:rsidR="00000000" w:rsidDel="00000000" w:rsidP="00000000" w:rsidRDefault="00000000" w:rsidRPr="00000000" w14:paraId="00000330">
      <w:pPr>
        <w:spacing w:after="240" w:before="240" w:lineRule="auto"/>
        <w:rPr/>
      </w:pPr>
      <w:r w:rsidDel="00000000" w:rsidR="00000000" w:rsidRPr="00000000">
        <w:rPr>
          <w:b w:val="1"/>
          <w:bCs w:val="1"/>
          <w:rtl w:val="0"/>
        </w:rPr>
        <w:t xml:space="preserve">High Resistance State (HRS):</w:t>
      </w:r>
      <w:r w:rsidDel="00000000" w:rsidR="00000000" w:rsidRPr="00000000">
        <w:rPr>
          <w:rtl w:val="0"/>
        </w:rPr>
        <w:t xml:space="preserve"> Corresponds to Refuse (-1). Resistance in the range of 1 MOhm to 10 MOhm. The conductive filament in the oxide layer is fully ruptured. No current flows to the execution circuit. The Gateway is blocked. The </w:t>
      </w:r>
      <w:r w:rsidDel="00000000" w:rsidR="00000000" w:rsidRPr="00000000">
        <w:rPr>
          <w:rFonts w:ascii="Roboto Mono" w:cs="Roboto Mono" w:eastAsia="Roboto Mono" w:hAnsi="Roboto Mono"/>
          <w:color w:val="188038"/>
          <w:rtl w:val="0"/>
        </w:rPr>
        <w:t xml:space="preserve">TLCapabilityFlags</w:t>
      </w:r>
      <w:r w:rsidDel="00000000" w:rsidR="00000000" w:rsidRPr="00000000">
        <w:rPr>
          <w:rtl w:val="0"/>
        </w:rPr>
        <w:t xml:space="preserve"> report </w:t>
      </w:r>
      <w:r w:rsidDel="00000000" w:rsidR="00000000" w:rsidRPr="00000000">
        <w:rPr>
          <w:rFonts w:ascii="Roboto Mono" w:cs="Roboto Mono" w:eastAsia="Roboto Mono" w:hAnsi="Roboto Mono"/>
          <w:color w:val="188038"/>
          <w:rtl w:val="0"/>
        </w:rPr>
        <w:t xml:space="preserve">refusalIsPermanent: true</w:t>
      </w:r>
      <w:r w:rsidDel="00000000" w:rsidR="00000000" w:rsidRPr="00000000">
        <w:rPr>
          <w:rtl w:val="0"/>
        </w:rPr>
        <w:t xml:space="preserve">.</w:t>
      </w:r>
    </w:p>
    <w:p w:rsidR="00000000" w:rsidDel="00000000" w:rsidP="00000000" w:rsidRDefault="00000000" w:rsidRPr="00000000" w14:paraId="00000331">
      <w:pPr>
        <w:spacing w:after="240" w:before="240" w:lineRule="auto"/>
        <w:rPr>
          <w:color w:val="1155cc"/>
          <w:u w:val="single"/>
        </w:rPr>
      </w:pPr>
      <w:r w:rsidDel="00000000" w:rsidR="00000000" w:rsidRPr="00000000">
        <w:rPr>
          <w:b w:val="1"/>
          <w:bCs w:val="1"/>
          <w:rtl w:val="0"/>
        </w:rPr>
        <w:t xml:space="preserve">Intermediate Resistance State (IRS):</w:t>
      </w:r>
      <w:r w:rsidDel="00000000" w:rsidR="00000000" w:rsidRPr="00000000">
        <w:rPr>
          <w:rtl w:val="0"/>
        </w:rPr>
        <w:t xml:space="preserve"> Corresponds to Epistemic Hold (0). Resistance in the range of 10 kOhm to 100 kOhm - the half-Vdd state. The conductive filament is partially formed. Insufficient current flows to activate the execution circuit but the device is not in the fully ruptured HRS configuration. This is the deliberation state from which the cell can transition to either Proceed or Refuse upon receiving the appropriate cryptographic </w:t>
      </w:r>
      <w:r w:rsidDel="00000000" w:rsidR="00000000" w:rsidRPr="00000000">
        <w:rPr>
          <w:rFonts w:ascii="Roboto Mono" w:cs="Roboto Mono" w:eastAsia="Roboto Mono" w:hAnsi="Roboto Mono"/>
          <w:color w:val="188038"/>
          <w:rtl w:val="0"/>
        </w:rPr>
        <w:t xml:space="preserve">CONFIRM_OK</w:t>
      </w:r>
      <w:r w:rsidDel="00000000" w:rsidR="00000000" w:rsidRPr="00000000">
        <w:rPr>
          <w:rtl w:val="0"/>
        </w:rPr>
        <w:t xml:space="preserve"> pulse. The </w:t>
      </w:r>
      <w:r w:rsidDel="00000000" w:rsidR="00000000" w:rsidRPr="00000000">
        <w:rPr>
          <w:rFonts w:ascii="Roboto Mono" w:cs="Roboto Mono" w:eastAsia="Roboto Mono" w:hAnsi="Roboto Mono"/>
          <w:color w:val="188038"/>
          <w:rtl w:val="0"/>
        </w:rPr>
        <w:t xml:space="preserve">windowComparatorReading</w:t>
      </w:r>
      <w:r w:rsidDel="00000000" w:rsidR="00000000" w:rsidRPr="00000000">
        <w:rPr>
          <w:rtl w:val="0"/>
        </w:rPr>
        <w:t xml:space="preserve"> field in </w:t>
      </w:r>
      <w:r w:rsidDel="00000000" w:rsidR="00000000" w:rsidRPr="00000000">
        <w:rPr>
          <w:rFonts w:ascii="Roboto Mono" w:cs="Roboto Mono" w:eastAsia="Roboto Mono" w:hAnsi="Roboto Mono"/>
          <w:color w:val="188038"/>
          <w:rtl w:val="0"/>
        </w:rPr>
        <w:t xml:space="preserve">EscrowRecord_v1_0_0</w:t>
      </w:r>
      <w:r w:rsidDel="00000000" w:rsidR="00000000" w:rsidRPr="00000000">
        <w:rPr>
          <w:rtl w:val="0"/>
        </w:rPr>
        <w:t xml:space="preserve"> records the hardware sensor reading confirming this state in MT deployments.</w:t>
      </w:r>
      <w:hyperlink r:id="rId652">
        <w:r w:rsidDel="00000000" w:rsidR="00000000" w:rsidRPr="00000000">
          <w:rPr>
            <w:rtl w:val="0"/>
          </w:rPr>
          <w:t xml:space="preserve"> </w:t>
        </w:r>
      </w:hyperlink>
      <w:hyperlink r:id="rId653">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332">
      <w:pPr>
        <w:spacing w:after="240" w:before="240" w:lineRule="auto"/>
        <w:rPr>
          <w:color w:val="1155cc"/>
          <w:u w:val="single"/>
        </w:rPr>
      </w:pPr>
      <w:r w:rsidDel="00000000" w:rsidR="00000000" w:rsidRPr="00000000">
        <w:rPr>
          <w:b w:val="1"/>
          <w:bCs w:val="1"/>
          <w:rtl w:val="0"/>
        </w:rPr>
        <w:t xml:space="preserve">Low Resistance State (LRS):</w:t>
      </w:r>
      <w:r w:rsidDel="00000000" w:rsidR="00000000" w:rsidRPr="00000000">
        <w:rPr>
          <w:rtl w:val="0"/>
        </w:rPr>
        <w:t xml:space="preserve"> Corresponds to Proceed (+1). Resistance below 1 kOhm. The conductive filament is fully formed. Sufficient current flows to activate the execution circuit. The Gateway opens. </w:t>
      </w:r>
      <w:r w:rsidDel="00000000" w:rsidR="00000000" w:rsidRPr="00000000">
        <w:rPr>
          <w:rFonts w:ascii="Roboto Mono" w:cs="Roboto Mono" w:eastAsia="Roboto Mono" w:hAnsi="Roboto Mono"/>
          <w:color w:val="188038"/>
          <w:rtl w:val="0"/>
        </w:rPr>
        <w:t xml:space="preserve">TL_Ledger_Core.registerPermissionToken</w:t>
      </w:r>
      <w:r w:rsidDel="00000000" w:rsidR="00000000" w:rsidRPr="00000000">
        <w:rPr>
          <w:rtl w:val="0"/>
        </w:rPr>
        <w:t xml:space="preserve"> succeeds.</w:t>
      </w:r>
      <w:hyperlink r:id="rId654">
        <w:r w:rsidDel="00000000" w:rsidR="00000000" w:rsidRPr="00000000">
          <w:rPr>
            <w:rtl w:val="0"/>
          </w:rPr>
          <w:t xml:space="preserve"> </w:t>
        </w:r>
      </w:hyperlink>
      <w:hyperlink r:id="rId655">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333">
      <w:pPr>
        <w:spacing w:after="240" w:before="240" w:lineRule="auto"/>
        <w:rPr/>
      </w:pPr>
      <w:r w:rsidDel="00000000" w:rsidR="00000000" w:rsidRPr="00000000">
        <w:rPr>
          <w:rtl w:val="0"/>
        </w:rPr>
        <w:t xml:space="preserve">The exact material composition of the MT cell remains unspecified at this specification version and is tracked as an immediate-resolution entry in the Constitutional Uncertainty Register. The specification mandates that the chosen material must demonstrate:</w:t>
      </w:r>
    </w:p>
    <w:p w:rsidR="00000000" w:rsidDel="00000000" w:rsidP="00000000" w:rsidRDefault="00000000" w:rsidRPr="00000000" w14:paraId="00000334">
      <w:pPr>
        <w:numPr>
          <w:ilvl w:val="0"/>
          <w:numId w:val="8"/>
        </w:numPr>
        <w:spacing w:after="0" w:before="240" w:lineRule="auto"/>
        <w:ind w:left="720" w:hanging="360"/>
        <w:rPr/>
      </w:pPr>
      <w:r w:rsidDel="00000000" w:rsidR="00000000" w:rsidRPr="00000000">
        <w:rPr>
          <w:rtl w:val="0"/>
        </w:rPr>
        <w:t xml:space="preserve">stable intermediate resistance over a minimum of one billion switching cycles</w:t>
      </w:r>
    </w:p>
    <w:p w:rsidR="00000000" w:rsidDel="00000000" w:rsidP="00000000" w:rsidRDefault="00000000" w:rsidRPr="00000000" w14:paraId="00000335">
      <w:pPr>
        <w:numPr>
          <w:ilvl w:val="0"/>
          <w:numId w:val="8"/>
        </w:numPr>
        <w:spacing w:after="0" w:before="0" w:lineRule="auto"/>
        <w:ind w:left="720" w:hanging="360"/>
        <w:rPr/>
      </w:pPr>
      <w:r w:rsidDel="00000000" w:rsidR="00000000" w:rsidRPr="00000000">
        <w:rPr>
          <w:rtl w:val="0"/>
        </w:rPr>
        <w:t xml:space="preserve">retention of resistance state over a minimum of twenty years at 85 degrees Celsius as validated by Arrhenius acceleration testing</w:t>
      </w:r>
    </w:p>
    <w:p w:rsidR="00000000" w:rsidDel="00000000" w:rsidP="00000000" w:rsidRDefault="00000000" w:rsidRPr="00000000" w14:paraId="00000336">
      <w:pPr>
        <w:numPr>
          <w:ilvl w:val="0"/>
          <w:numId w:val="8"/>
        </w:numPr>
        <w:spacing w:after="240" w:before="0" w:lineRule="auto"/>
        <w:ind w:left="720" w:hanging="360"/>
        <w:rPr/>
      </w:pPr>
      <w:r w:rsidDel="00000000" w:rsidR="00000000" w:rsidRPr="00000000">
        <w:rPr>
          <w:rtl w:val="0"/>
        </w:rPr>
        <w:t xml:space="preserve">resistance to voltage glitch-induced state corruption consistent with the noise margin requirements of 1-of-3 rail encoding</w:t>
      </w:r>
      <w:hyperlink r:id="rId656">
        <w:r w:rsidDel="00000000" w:rsidR="00000000" w:rsidRPr="00000000">
          <w:rPr>
            <w:rtl w:val="0"/>
          </w:rPr>
          <w:t xml:space="preserve"> </w:t>
        </w:r>
      </w:hyperlink>
      <w:hyperlink r:id="rId657">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337">
      <w:pPr>
        <w:pStyle w:val="Heading3"/>
        <w:keepNext w:val="0"/>
        <w:keepLines w:val="0"/>
        <w:spacing w:before="280" w:lineRule="auto"/>
        <w:rPr>
          <w:b w:val="1"/>
          <w:bCs w:val="1"/>
          <w:color w:val="000000"/>
          <w:sz w:val="26"/>
          <w:szCs w:val="26"/>
        </w:rPr>
      </w:pPr>
      <w:bookmarkStart w:colFirst="0" w:colLast="0" w:name="_wxstav7g69j1" w:id="98"/>
      <w:bookmarkEnd w:id="98"/>
      <w:r w:rsidDel="00000000" w:rsidR="00000000" w:rsidRPr="00000000">
        <w:rPr>
          <w:b w:val="1"/>
          <w:bCs w:val="1"/>
          <w:color w:val="000000"/>
          <w:sz w:val="26"/>
          <w:szCs w:val="26"/>
          <w:rtl w:val="0"/>
        </w:rPr>
        <w:t xml:space="preserve">8.3.2 Hysteresis and Non-Volatility</w:t>
      </w:r>
    </w:p>
    <w:p w:rsidR="00000000" w:rsidDel="00000000" w:rsidP="00000000" w:rsidRDefault="00000000" w:rsidRPr="00000000" w14:paraId="00000338">
      <w:pPr>
        <w:spacing w:after="240" w:before="240" w:lineRule="auto"/>
        <w:rPr>
          <w:color w:val="1155cc"/>
          <w:u w:val="single"/>
        </w:rPr>
      </w:pPr>
      <w:r w:rsidDel="00000000" w:rsidR="00000000" w:rsidRPr="00000000">
        <w:rPr>
          <w:b w:val="1"/>
          <w:bCs w:val="1"/>
          <w:rtl w:val="0"/>
        </w:rPr>
        <w:t xml:space="preserve">Hysteresis</w:t>
      </w:r>
      <w:r w:rsidDel="00000000" w:rsidR="00000000" w:rsidRPr="00000000">
        <w:rPr>
          <w:rtl w:val="0"/>
        </w:rPr>
        <w:t xml:space="preserve"> means that the resistance state of the cell depends on the history of current that has passed through it. Transitioning from the Intermediate Resistance State to the Low Resistance State requires a specific programming current that exceeds the threshold for filament completion. A voltage perturbation below this threshold does not budge the cell. A glitch that might corrupt a binary flip-flop can merely dissipate against the MT cell's hysteretic barrier.</w:t>
      </w:r>
      <w:hyperlink r:id="rId658">
        <w:r w:rsidDel="00000000" w:rsidR="00000000" w:rsidRPr="00000000">
          <w:rPr>
            <w:rtl w:val="0"/>
          </w:rPr>
          <w:t xml:space="preserve"> </w:t>
        </w:r>
      </w:hyperlink>
      <w:hyperlink r:id="rId659">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339">
      <w:pPr>
        <w:spacing w:after="240" w:before="240" w:lineRule="auto"/>
        <w:rPr>
          <w:color w:val="1155cc"/>
          <w:u w:val="single"/>
        </w:rPr>
      </w:pPr>
      <w:r w:rsidDel="00000000" w:rsidR="00000000" w:rsidRPr="00000000">
        <w:rPr>
          <w:b w:val="1"/>
          <w:bCs w:val="1"/>
          <w:rtl w:val="0"/>
        </w:rPr>
        <w:t xml:space="preserve">Non-volatility</w:t>
      </w:r>
      <w:r w:rsidDel="00000000" w:rsidR="00000000" w:rsidRPr="00000000">
        <w:rPr>
          <w:rtl w:val="0"/>
        </w:rPr>
        <w:t xml:space="preserve"> means that the resistance state persists without power. When the facility loses electrical power during a market crisis, the MT cells retain their states. When power returns, the Gateway resumes from exactly the state it was in before the interruption. A proposal that was in Epistemic Hold at the moment of power loss remains in Epistemic Hold. A proposal that had received Proceed remains authorized. The institution cannot claim that a power outage justified bypassing governance because the governance state is physically stored in the non-volatile memristive substrate.</w:t>
      </w:r>
      <w:hyperlink r:id="rId660">
        <w:r w:rsidDel="00000000" w:rsidR="00000000" w:rsidRPr="00000000">
          <w:rPr>
            <w:rtl w:val="0"/>
          </w:rPr>
          <w:t xml:space="preserve"> </w:t>
        </w:r>
      </w:hyperlink>
      <w:hyperlink r:id="rId661">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33A">
      <w:pPr>
        <w:pStyle w:val="Heading3"/>
        <w:keepNext w:val="0"/>
        <w:keepLines w:val="0"/>
        <w:spacing w:before="280" w:lineRule="auto"/>
        <w:rPr>
          <w:b w:val="1"/>
          <w:bCs w:val="1"/>
          <w:color w:val="000000"/>
          <w:sz w:val="26"/>
          <w:szCs w:val="26"/>
        </w:rPr>
      </w:pPr>
      <w:bookmarkStart w:colFirst="0" w:colLast="0" w:name="_35orxyggtlpe" w:id="99"/>
      <w:bookmarkEnd w:id="99"/>
      <w:r w:rsidDel="00000000" w:rsidR="00000000" w:rsidRPr="00000000">
        <w:rPr>
          <w:b w:val="1"/>
          <w:bCs w:val="1"/>
          <w:color w:val="000000"/>
          <w:sz w:val="26"/>
          <w:szCs w:val="26"/>
          <w:rtl w:val="0"/>
        </w:rPr>
        <w:t xml:space="preserve">8.3.3 The Cryptographic Confirm Pulse</w:t>
      </w:r>
    </w:p>
    <w:p w:rsidR="00000000" w:rsidDel="00000000" w:rsidP="00000000" w:rsidRDefault="00000000" w:rsidRPr="00000000" w14:paraId="0000033B">
      <w:pPr>
        <w:spacing w:after="240" w:before="240" w:lineRule="auto"/>
        <w:rPr>
          <w:color w:val="1155cc"/>
          <w:u w:val="single"/>
        </w:rPr>
      </w:pPr>
      <w:r w:rsidDel="00000000" w:rsidR="00000000" w:rsidRPr="00000000">
        <w:rPr>
          <w:rtl w:val="0"/>
        </w:rPr>
        <w:t xml:space="preserve">The state transition of the MT cell from the Intermediate Resistance State to the Low Resistance State is not driven by a simple voltage pulse. It is driven by the </w:t>
      </w:r>
      <w:r w:rsidDel="00000000" w:rsidR="00000000" w:rsidRPr="00000000">
        <w:rPr>
          <w:rFonts w:ascii="Roboto Mono" w:cs="Roboto Mono" w:eastAsia="Roboto Mono" w:hAnsi="Roboto Mono"/>
          <w:color w:val="188038"/>
          <w:rtl w:val="0"/>
        </w:rPr>
        <w:t xml:space="preserve">CONFIRM_OK</w:t>
      </w:r>
      <w:r w:rsidDel="00000000" w:rsidR="00000000" w:rsidRPr="00000000">
        <w:rPr>
          <w:rtl w:val="0"/>
        </w:rPr>
        <w:t xml:space="preserve"> pulse - a patterned voltage sequence that encodes the Permission Token's evidentiary payload in a form that the MT gate's analog decoder circuit can verify.</w:t>
      </w:r>
      <w:hyperlink r:id="rId662">
        <w:r w:rsidDel="00000000" w:rsidR="00000000" w:rsidRPr="00000000">
          <w:rPr>
            <w:rtl w:val="0"/>
          </w:rPr>
          <w:t xml:space="preserve"> </w:t>
        </w:r>
      </w:hyperlink>
      <w:hyperlink r:id="rId663">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33C">
      <w:pPr>
        <w:spacing w:after="240" w:before="240" w:lineRule="auto"/>
        <w:rPr>
          <w:color w:val="1155cc"/>
          <w:u w:val="single"/>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CONFIRM_OK</w:t>
      </w:r>
      <w:r w:rsidDel="00000000" w:rsidR="00000000" w:rsidRPr="00000000">
        <w:rPr>
          <w:rtl w:val="0"/>
        </w:rPr>
        <w:t xml:space="preserve"> pulse is generated by the Permission Token serialization logic downstream of the Governance Lane's five-layer evaluation. The pulse encodes the token header hash and the Tri-Cameral signature aggregate as a patterned voltage sequence whose amplitude, duration, and phase modulation are determined by the cryptographic output of the evaluation. The MT gate's decoder circuit compares the received pulse pattern against the framework fingerprint stored in a write-once register programmed during post-fabrication enrollment.</w:t>
      </w:r>
      <w:hyperlink r:id="rId664">
        <w:r w:rsidDel="00000000" w:rsidR="00000000" w:rsidRPr="00000000">
          <w:rPr>
            <w:rtl w:val="0"/>
          </w:rPr>
          <w:t xml:space="preserve"> </w:t>
        </w:r>
      </w:hyperlink>
      <w:hyperlink r:id="rId665">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33D">
      <w:pPr>
        <w:spacing w:after="240" w:before="240" w:lineRule="auto"/>
        <w:rPr/>
      </w:pPr>
      <w:r w:rsidDel="00000000" w:rsidR="00000000" w:rsidRPr="00000000">
        <w:rPr>
          <w:rtl w:val="0"/>
        </w:rPr>
        <w:t xml:space="preserve">If the pulse pattern matches, the decoder drives a programming current through the MT cell sufficient to form the conductive filament and transition to the Low Resistance Proceed state. If the pulse pattern does not match - because the Permission Token is invalid, the Tri-Cameral signatures are incomplete per </w:t>
      </w:r>
      <w:r w:rsidDel="00000000" w:rsidR="00000000" w:rsidRPr="00000000">
        <w:rPr>
          <w:rFonts w:ascii="Roboto Mono" w:cs="Roboto Mono" w:eastAsia="Roboto Mono" w:hAnsi="Roboto Mono"/>
          <w:color w:val="188038"/>
          <w:rtl w:val="0"/>
        </w:rPr>
        <w:t xml:space="preserve">TriCameralApproval_v1_0_0</w:t>
      </w:r>
      <w:r w:rsidDel="00000000" w:rsidR="00000000" w:rsidRPr="00000000">
        <w:rPr>
          <w:rtl w:val="0"/>
        </w:rPr>
        <w:t xml:space="preserve">, or the schema fingerprint has been tampered with - the decoder does not drive the programming current. The cell remains in the Intermediate Resistance Epistemic Hold state.</w:t>
      </w:r>
    </w:p>
    <w:p w:rsidR="00000000" w:rsidDel="00000000" w:rsidP="00000000" w:rsidRDefault="00000000" w:rsidRPr="00000000" w14:paraId="0000033E">
      <w:pPr>
        <w:spacing w:after="240" w:before="240" w:lineRule="auto"/>
        <w:rPr>
          <w:color w:val="1155cc"/>
          <w:u w:val="single"/>
        </w:rPr>
      </w:pPr>
      <w:r w:rsidDel="00000000" w:rsidR="00000000" w:rsidRPr="00000000">
        <w:rPr>
          <w:rtl w:val="0"/>
        </w:rPr>
        <w:t xml:space="preserve">Even a compromised process with root access to the Gateway server cannot force the MT cell to transition to Proceed because the cell does not respond to software commands. It responds only to the hardware-decoded cryptographic pulse. The software cannot generate a valid pulse because the pulse pattern is derived from cryptographic material that is architecturally inaccessible to general-purpose software execution environments.</w:t>
      </w:r>
      <w:hyperlink r:id="rId666">
        <w:r w:rsidDel="00000000" w:rsidR="00000000" w:rsidRPr="00000000">
          <w:rPr>
            <w:rtl w:val="0"/>
          </w:rPr>
          <w:t xml:space="preserve"> </w:t>
        </w:r>
      </w:hyperlink>
      <w:hyperlink r:id="rId667">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33F">
      <w:pPr>
        <w:pStyle w:val="Heading3"/>
        <w:keepNext w:val="0"/>
        <w:keepLines w:val="0"/>
        <w:spacing w:before="280" w:lineRule="auto"/>
        <w:rPr>
          <w:b w:val="1"/>
          <w:bCs w:val="1"/>
          <w:color w:val="000000"/>
          <w:sz w:val="26"/>
          <w:szCs w:val="26"/>
        </w:rPr>
      </w:pPr>
      <w:bookmarkStart w:colFirst="0" w:colLast="0" w:name="_ina14hc8z05z" w:id="100"/>
      <w:bookmarkEnd w:id="100"/>
      <w:r w:rsidDel="00000000" w:rsidR="00000000" w:rsidRPr="00000000">
        <w:rPr>
          <w:b w:val="1"/>
          <w:bCs w:val="1"/>
          <w:color w:val="000000"/>
          <w:sz w:val="26"/>
          <w:szCs w:val="26"/>
          <w:rtl w:val="0"/>
        </w:rPr>
        <w:t xml:space="preserve">8.3.4 The 1T1R Cell Architecture</w:t>
      </w:r>
    </w:p>
    <w:p w:rsidR="00000000" w:rsidDel="00000000" w:rsidP="00000000" w:rsidRDefault="00000000" w:rsidRPr="00000000" w14:paraId="00000340">
      <w:pPr>
        <w:spacing w:after="240" w:before="240" w:lineRule="auto"/>
        <w:rPr>
          <w:color w:val="1155cc"/>
          <w:u w:val="single"/>
        </w:rPr>
      </w:pPr>
      <w:r w:rsidDel="00000000" w:rsidR="00000000" w:rsidRPr="00000000">
        <w:rPr>
          <w:rtl w:val="0"/>
        </w:rPr>
        <w:t xml:space="preserve">The baseline MT cell implementation uses a one-transistor-one-resistor (1T1R) architecture. The transistor serves as the access device that controls the programming current through the memristive element. The transistor's gate voltage determines whether programming current is permitted to flow.</w:t>
      </w:r>
      <w:hyperlink r:id="rId668">
        <w:r w:rsidDel="00000000" w:rsidR="00000000" w:rsidRPr="00000000">
          <w:rPr>
            <w:rtl w:val="0"/>
          </w:rPr>
          <w:t xml:space="preserve"> </w:t>
        </w:r>
      </w:hyperlink>
      <w:hyperlink r:id="rId669">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341">
      <w:pPr>
        <w:spacing w:after="240" w:before="240" w:lineRule="auto"/>
        <w:rPr>
          <w:color w:val="1155cc"/>
          <w:u w:val="single"/>
        </w:rPr>
      </w:pPr>
      <w:r w:rsidDel="00000000" w:rsidR="00000000" w:rsidRPr="00000000">
        <w:rPr>
          <w:rtl w:val="0"/>
        </w:rPr>
        <w:t xml:space="preserve">The 1T1R architecture provides several enforcement benefits. The access transistor prevents sneak path currents that would corrupt neighboring cells in a crossbar array. It allows precise control of the programming current magnitude, which is critical for reliable intermediate resistance state targeting. It provides a natural isolation mechanism between the </w:t>
      </w:r>
      <w:r w:rsidDel="00000000" w:rsidR="00000000" w:rsidRPr="00000000">
        <w:rPr>
          <w:rFonts w:ascii="Roboto Mono" w:cs="Roboto Mono" w:eastAsia="Roboto Mono" w:hAnsi="Roboto Mono"/>
          <w:color w:val="188038"/>
          <w:rtl w:val="0"/>
        </w:rPr>
        <w:t xml:space="preserve">CONFIRM_OK</w:t>
      </w:r>
      <w:r w:rsidDel="00000000" w:rsidR="00000000" w:rsidRPr="00000000">
        <w:rPr>
          <w:rtl w:val="0"/>
        </w:rPr>
        <w:t xml:space="preserve"> pulse decoder circuit and the memristive element: the decoder must assert a valid gate voltage on the access transistor before any programming current can flow, adding an additional validation layer between cryptographic verification and physical state transition.</w:t>
      </w:r>
      <w:hyperlink r:id="rId670">
        <w:r w:rsidDel="00000000" w:rsidR="00000000" w:rsidRPr="00000000">
          <w:rPr>
            <w:rtl w:val="0"/>
          </w:rPr>
          <w:t xml:space="preserve"> </w:t>
        </w:r>
      </w:hyperlink>
      <w:hyperlink r:id="rId671">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342">
      <w:pPr>
        <w:spacing w:after="240" w:before="240" w:lineRule="auto"/>
        <w:rPr>
          <w:color w:val="1155cc"/>
          <w:u w:val="single"/>
        </w:rPr>
      </w:pPr>
      <w:r w:rsidDel="00000000" w:rsidR="00000000" w:rsidRPr="00000000">
        <w:rPr>
          <w:rtl w:val="0"/>
        </w:rPr>
        <w:t xml:space="preserve">The named fabrication baseline for Architecture B deployment is the </w:t>
      </w:r>
      <w:r w:rsidDel="00000000" w:rsidR="00000000" w:rsidRPr="00000000">
        <w:rPr>
          <w:b w:val="1"/>
          <w:bCs w:val="1"/>
          <w:rtl w:val="0"/>
        </w:rPr>
        <w:t xml:space="preserve">TSMC N2 CoWoS ReRAM 1T1R 2025 process design kit</w:t>
      </w:r>
      <w:r w:rsidDel="00000000" w:rsidR="00000000" w:rsidRPr="00000000">
        <w:rPr>
          <w:rtl w:val="0"/>
        </w:rPr>
        <w:t xml:space="preserve">. This baseline provides the material specification, design rules, and process parameters against which the MT cell's Arrhenius retention testing, cycling endurance testing, and resistance distribution verification are conducted. Deviation from this baseline requires Technical Council re-certification of all characterization data.</w:t>
      </w:r>
      <w:hyperlink r:id="rId672">
        <w:r w:rsidDel="00000000" w:rsidR="00000000" w:rsidRPr="00000000">
          <w:rPr>
            <w:rtl w:val="0"/>
          </w:rPr>
          <w:t xml:space="preserve"> </w:t>
        </w:r>
      </w:hyperlink>
      <w:hyperlink r:id="rId673">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343">
      <w:pPr>
        <w:pStyle w:val="Heading2"/>
        <w:keepNext w:val="0"/>
        <w:keepLines w:val="0"/>
        <w:spacing w:after="80" w:lineRule="auto"/>
        <w:rPr>
          <w:b w:val="1"/>
          <w:bCs w:val="1"/>
          <w:sz w:val="34"/>
          <w:szCs w:val="34"/>
        </w:rPr>
      </w:pPr>
      <w:bookmarkStart w:colFirst="0" w:colLast="0" w:name="_ppwpmvj5mr5b" w:id="101"/>
      <w:bookmarkEnd w:id="101"/>
      <w:r w:rsidDel="00000000" w:rsidR="00000000" w:rsidRPr="00000000">
        <w:rPr>
          <w:b w:val="1"/>
          <w:bCs w:val="1"/>
          <w:sz w:val="34"/>
          <w:szCs w:val="34"/>
          <w:rtl w:val="0"/>
        </w:rPr>
        <w:t xml:space="preserve">8.4 The Triadic Coprocessor: Six Mandatory Conditions</w:t>
      </w:r>
    </w:p>
    <w:p w:rsidR="00000000" w:rsidDel="00000000" w:rsidP="00000000" w:rsidRDefault="00000000" w:rsidRPr="00000000" w14:paraId="00000344">
      <w:pPr>
        <w:spacing w:after="240" w:before="240" w:lineRule="auto"/>
        <w:rPr>
          <w:color w:val="1155cc"/>
          <w:u w:val="single"/>
        </w:rPr>
      </w:pPr>
      <w:r w:rsidDel="00000000" w:rsidR="00000000" w:rsidRPr="00000000">
        <w:rPr>
          <w:rtl w:val="0"/>
        </w:rPr>
        <w:t xml:space="preserve">The Triadic Coprocessor is the physical instantiation of the Governance Lane. It is not a software module running on a general-purpose CPU. It is not a firmware extension of the host processor. It is a dedicated asynchronous ternary logic ASIC that operates as a physically independent coprocessor with its own power domain, clockless handshake protocol, and tamper-resistant enclosure.</w:t>
      </w:r>
      <w:hyperlink r:id="rId674">
        <w:r w:rsidDel="00000000" w:rsidR="00000000" w:rsidRPr="00000000">
          <w:rPr>
            <w:rtl w:val="0"/>
          </w:rPr>
          <w:t xml:space="preserve"> </w:t>
        </w:r>
      </w:hyperlink>
      <w:hyperlink r:id="rId675">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45">
      <w:pPr>
        <w:spacing w:after="240" w:before="240" w:lineRule="auto"/>
        <w:rPr>
          <w:color w:val="1155cc"/>
          <w:u w:val="single"/>
        </w:rPr>
      </w:pPr>
      <w:r w:rsidDel="00000000" w:rsidR="00000000" w:rsidRPr="00000000">
        <w:rPr>
          <w:rtl w:val="0"/>
        </w:rPr>
        <w:t xml:space="preserve">Six mandatory conditions define the minimum specification for any production Triadic Coprocessor. A deployment that does not satisfy all six conditions does not achieve physical non-bypassability and must be classified as operating in Transitional Emulation Mode with the degraded survivability ratings specified in Section 10. The </w:t>
      </w:r>
      <w:r w:rsidDel="00000000" w:rsidR="00000000" w:rsidRPr="00000000">
        <w:rPr>
          <w:rFonts w:ascii="Roboto Mono" w:cs="Roboto Mono" w:eastAsia="Roboto Mono" w:hAnsi="Roboto Mono"/>
          <w:color w:val="188038"/>
          <w:rtl w:val="0"/>
        </w:rPr>
        <w:t xml:space="preserve">TLCapabilityFlags.pufAttestationMode</w:t>
      </w:r>
      <w:r w:rsidDel="00000000" w:rsidR="00000000" w:rsidRPr="00000000">
        <w:rPr>
          <w:rtl w:val="0"/>
        </w:rPr>
        <w:t xml:space="preserve"> field signals the enforcement posture: </w:t>
      </w:r>
      <w:r w:rsidDel="00000000" w:rsidR="00000000" w:rsidRPr="00000000">
        <w:rPr>
          <w:rFonts w:ascii="Roboto Mono" w:cs="Roboto Mono" w:eastAsia="Roboto Mono" w:hAnsi="Roboto Mono"/>
          <w:color w:val="188038"/>
          <w:rtl w:val="0"/>
        </w:rPr>
        <w:t xml:space="preserve">NULL_PUF_DEPLOYMENT</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NLNAAuditToken.pufAttestation</w:t>
      </w:r>
      <w:r w:rsidDel="00000000" w:rsidR="00000000" w:rsidRPr="00000000">
        <w:rPr>
          <w:rtl w:val="0"/>
        </w:rPr>
        <w:t xml:space="preserve"> signals software-only enforcement mode to all downstream consumers.</w:t>
      </w:r>
      <w:hyperlink r:id="rId676">
        <w:r w:rsidDel="00000000" w:rsidR="00000000" w:rsidRPr="00000000">
          <w:rPr>
            <w:rtl w:val="0"/>
          </w:rPr>
          <w:t xml:space="preserve"> </w:t>
        </w:r>
      </w:hyperlink>
      <w:hyperlink r:id="rId677">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46">
      <w:pPr>
        <w:spacing w:after="240" w:before="240" w:lineRule="auto"/>
        <w:rPr>
          <w:color w:val="1155cc"/>
          <w:u w:val="single"/>
        </w:rPr>
      </w:pPr>
      <w:r w:rsidDel="00000000" w:rsidR="00000000" w:rsidRPr="00000000">
        <w:rPr>
          <w:b w:val="1"/>
          <w:bCs w:val="1"/>
          <w:rtl w:val="0"/>
        </w:rPr>
        <w:t xml:space="preserve">Condition 1: Physically Independent ASIC.</w:t>
      </w:r>
      <w:r w:rsidDel="00000000" w:rsidR="00000000" w:rsidRPr="00000000">
        <w:rPr>
          <w:rtl w:val="0"/>
        </w:rPr>
        <w:t xml:space="preserve"> The coprocessor must be implemented as a separate ASIC on a separate die from the host CPU. Integration into the host CPU die is prohibited because cross-die fault injection, microcode manipulation, and hypervisor escape become viable attack vectors. The coprocessor communicates with the host through a dedicated, bus-isolated channel that does not traverse the host CPU's memory management unit, cache hierarchy, or interrupt controller.</w:t>
      </w:r>
      <w:hyperlink r:id="rId678">
        <w:r w:rsidDel="00000000" w:rsidR="00000000" w:rsidRPr="00000000">
          <w:rPr>
            <w:rtl w:val="0"/>
          </w:rPr>
          <w:t xml:space="preserve"> </w:t>
        </w:r>
      </w:hyperlink>
      <w:hyperlink r:id="rId679">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47">
      <w:pPr>
        <w:spacing w:after="240" w:before="240" w:lineRule="auto"/>
        <w:rPr>
          <w:color w:val="1155cc"/>
          <w:u w:val="single"/>
        </w:rPr>
      </w:pPr>
      <w:r w:rsidDel="00000000" w:rsidR="00000000" w:rsidRPr="00000000">
        <w:rPr>
          <w:b w:val="1"/>
          <w:bCs w:val="1"/>
          <w:rtl w:val="0"/>
        </w:rPr>
        <w:t xml:space="preserve">Condition 2: Inline Placement.</w:t>
      </w:r>
      <w:r w:rsidDel="00000000" w:rsidR="00000000" w:rsidRPr="00000000">
        <w:rPr>
          <w:rtl w:val="0"/>
        </w:rPr>
        <w:t xml:space="preserve"> The coprocessor must be placed inline in the execution path, not as a sidecar. As specified in Section 8.2.7, inline placement means the host CPU physically cannot fetch instructions or commit state without DITL authorization. Sidecar placement is prohibited because it permits Spectre-class speculative execution bypass.</w:t>
      </w:r>
      <w:hyperlink r:id="rId680">
        <w:r w:rsidDel="00000000" w:rsidR="00000000" w:rsidRPr="00000000">
          <w:rPr>
            <w:rtl w:val="0"/>
          </w:rPr>
          <w:t xml:space="preserve"> </w:t>
        </w:r>
      </w:hyperlink>
      <w:hyperlink r:id="rId681">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48">
      <w:pPr>
        <w:spacing w:after="240" w:before="240" w:lineRule="auto"/>
        <w:rPr>
          <w:color w:val="1155cc"/>
          <w:u w:val="single"/>
        </w:rPr>
      </w:pPr>
      <w:r w:rsidDel="00000000" w:rsidR="00000000" w:rsidRPr="00000000">
        <w:rPr>
          <w:b w:val="1"/>
          <w:bCs w:val="1"/>
          <w:rtl w:val="0"/>
        </w:rPr>
        <w:t xml:space="preserve">Condition 3: 1-of-3 Rail Encoding.</w:t>
      </w:r>
      <w:r w:rsidDel="00000000" w:rsidR="00000000" w:rsidRPr="00000000">
        <w:rPr>
          <w:rtl w:val="0"/>
        </w:rPr>
        <w:t xml:space="preserve"> All ternary state signals must use 1-of-3 rail encoding. Voltage-level ternary encoding is prohibited in production deployments because it halves the noise margin between states and makes glitch-induced state corruption feasible with inexpensive equipment.</w:t>
      </w:r>
      <w:hyperlink r:id="rId682">
        <w:r w:rsidDel="00000000" w:rsidR="00000000" w:rsidRPr="00000000">
          <w:rPr>
            <w:rtl w:val="0"/>
          </w:rPr>
          <w:t xml:space="preserve"> </w:t>
        </w:r>
      </w:hyperlink>
      <w:hyperlink r:id="rId683">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49">
      <w:pPr>
        <w:spacing w:after="240" w:before="240" w:lineRule="auto"/>
        <w:rPr>
          <w:color w:val="1155cc"/>
          <w:u w:val="single"/>
        </w:rPr>
      </w:pPr>
      <w:r w:rsidDel="00000000" w:rsidR="00000000" w:rsidRPr="00000000">
        <w:rPr>
          <w:b w:val="1"/>
          <w:bCs w:val="1"/>
          <w:rtl w:val="0"/>
        </w:rPr>
        <w:t xml:space="preserve">Condition 4: Asynchronous Handshake Stall for Epistemic Hold.</w:t>
      </w:r>
      <w:r w:rsidDel="00000000" w:rsidR="00000000" w:rsidRPr="00000000">
        <w:rPr>
          <w:rtl w:val="0"/>
        </w:rPr>
        <w:t xml:space="preserve"> The Epistemic Hold state must be implemented as an asynchronous handshake stall using Muller C-elements, not as a software interrupt or exception. The interrupt-based mechanism is maskable and does not achieve physical non-bypassability as specified in Section 8.2.5.</w:t>
      </w:r>
      <w:hyperlink r:id="rId684">
        <w:r w:rsidDel="00000000" w:rsidR="00000000" w:rsidRPr="00000000">
          <w:rPr>
            <w:rtl w:val="0"/>
          </w:rPr>
          <w:t xml:space="preserve"> </w:t>
        </w:r>
      </w:hyperlink>
      <w:hyperlink r:id="rId685">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4A">
      <w:pPr>
        <w:spacing w:after="240" w:before="240" w:lineRule="auto"/>
        <w:rPr>
          <w:color w:val="1155cc"/>
          <w:u w:val="single"/>
        </w:rPr>
      </w:pPr>
      <w:r w:rsidDel="00000000" w:rsidR="00000000" w:rsidRPr="00000000">
        <w:rPr>
          <w:b w:val="1"/>
          <w:bCs w:val="1"/>
          <w:rtl w:val="0"/>
        </w:rPr>
        <w:t xml:space="preserve">Condition 5: FIPS 140-2 Level 3 Physical Security.</w:t>
      </w:r>
      <w:r w:rsidDel="00000000" w:rsidR="00000000" w:rsidRPr="00000000">
        <w:rPr>
          <w:rtl w:val="0"/>
        </w:rPr>
        <w:t xml:space="preserve"> The coprocessor enclosure must meet FIPS 140-2 Level 3 physical security requirements or higher. This standard requires tamper-evident physical security mechanisms, including tamper-evident coatings or seals, and requires active tamper-response mechanisms including circuitry that detects tamper attempts and automatically destroys sensitive security parameters such as cryptographic keys. The active tamper detection mesh must surround the MT cell array, the DITL handshake circuitry, and the cryptographic key storage registers.</w:t>
      </w:r>
      <w:hyperlink r:id="rId686">
        <w:r w:rsidDel="00000000" w:rsidR="00000000" w:rsidRPr="00000000">
          <w:rPr>
            <w:rtl w:val="0"/>
          </w:rPr>
          <w:t xml:space="preserve"> </w:t>
        </w:r>
      </w:hyperlink>
      <w:hyperlink r:id="rId687">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4B">
      <w:pPr>
        <w:spacing w:after="240" w:before="240" w:lineRule="auto"/>
        <w:rPr>
          <w:color w:val="1155cc"/>
          <w:u w:val="single"/>
        </w:rPr>
      </w:pPr>
      <w:r w:rsidDel="00000000" w:rsidR="00000000" w:rsidRPr="00000000">
        <w:rPr>
          <w:b w:val="1"/>
          <w:bCs w:val="1"/>
          <w:rtl w:val="0"/>
        </w:rPr>
        <w:t xml:space="preserve">Condition 6: Post-Fabrication PUF Attestation.</w:t>
      </w:r>
      <w:r w:rsidDel="00000000" w:rsidR="00000000" w:rsidRPr="00000000">
        <w:rPr>
          <w:rtl w:val="0"/>
        </w:rPr>
        <w:t xml:space="preserve"> The coprocessor must include a Physically Unclonable Function that generates a unique, device-specific cryptographic fingerprint from manufacturing process variations. The PUF fingerprint is enrolled during post-fabrication testing and registered in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under Stewardship Custodian signatures via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 Any deployed coprocessor instance whose PUF attestation does not match its enrolled fingerprint is rejected as potentially compromised. Best-in-class PUF bit error rates below 3 x 10^-8 have been demonstrated in commercial deployments, with key error rates of 2 x 10^-38 when combined with error correction coding. The </w:t>
      </w:r>
      <w:r w:rsidDel="00000000" w:rsidR="00000000" w:rsidRPr="00000000">
        <w:rPr>
          <w:rFonts w:ascii="Roboto Mono" w:cs="Roboto Mono" w:eastAsia="Roboto Mono" w:hAnsi="Roboto Mono"/>
          <w:color w:val="188038"/>
          <w:rtl w:val="0"/>
        </w:rPr>
        <w:t xml:space="preserve">TLCapabilityFlags.pufAttestationMode</w:t>
      </w:r>
      <w:r w:rsidDel="00000000" w:rsidR="00000000" w:rsidRPr="00000000">
        <w:rPr>
          <w:rtl w:val="0"/>
        </w:rPr>
        <w:t xml:space="preserve"> field reports the current PUF status in every governance interaction.</w:t>
      </w:r>
      <w:hyperlink r:id="rId688">
        <w:r w:rsidDel="00000000" w:rsidR="00000000" w:rsidRPr="00000000">
          <w:rPr>
            <w:rtl w:val="0"/>
          </w:rPr>
          <w:t xml:space="preserve"> </w:t>
        </w:r>
      </w:hyperlink>
      <w:hyperlink r:id="rId689">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4C">
      <w:pPr>
        <w:spacing w:after="240" w:before="240" w:lineRule="auto"/>
        <w:rPr>
          <w:color w:val="1155cc"/>
          <w:u w:val="single"/>
        </w:rPr>
      </w:pPr>
      <w:r w:rsidDel="00000000" w:rsidR="00000000" w:rsidRPr="00000000">
        <w:rPr>
          <w:rtl w:val="0"/>
        </w:rPr>
        <w:t xml:space="preserve">The critical limitation of PUF attestation is acknowledged: PUF attestation verifies that the chip enrolled during manufacturing is the same chip operating in production. It does not verify that the chip is free of hardware Trojans inserted during fabrication. This limitation is tracked in the Constitutional Uncertainty Register.</w:t>
      </w:r>
      <w:hyperlink r:id="rId690">
        <w:r w:rsidDel="00000000" w:rsidR="00000000" w:rsidRPr="00000000">
          <w:rPr>
            <w:rtl w:val="0"/>
          </w:rPr>
          <w:t xml:space="preserve"> </w:t>
        </w:r>
      </w:hyperlink>
      <w:hyperlink r:id="rId691">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4D">
      <w:pPr>
        <w:pStyle w:val="Heading2"/>
        <w:keepNext w:val="0"/>
        <w:keepLines w:val="0"/>
        <w:spacing w:after="80" w:lineRule="auto"/>
        <w:rPr>
          <w:b w:val="1"/>
          <w:bCs w:val="1"/>
          <w:sz w:val="34"/>
          <w:szCs w:val="34"/>
        </w:rPr>
      </w:pPr>
      <w:bookmarkStart w:colFirst="0" w:colLast="0" w:name="_ionqzluw4cr2" w:id="102"/>
      <w:bookmarkEnd w:id="102"/>
      <w:r w:rsidDel="00000000" w:rsidR="00000000" w:rsidRPr="00000000">
        <w:rPr>
          <w:b w:val="1"/>
          <w:bCs w:val="1"/>
          <w:sz w:val="34"/>
          <w:szCs w:val="34"/>
          <w:rtl w:val="0"/>
        </w:rPr>
        <w:t xml:space="preserve">8.5 Physical Security and Tamper Detection</w:t>
      </w:r>
    </w:p>
    <w:p w:rsidR="00000000" w:rsidDel="00000000" w:rsidP="00000000" w:rsidRDefault="00000000" w:rsidRPr="00000000" w14:paraId="0000034E">
      <w:pPr>
        <w:spacing w:after="240" w:before="240" w:lineRule="auto"/>
        <w:rPr>
          <w:color w:val="1155cc"/>
          <w:u w:val="single"/>
        </w:rPr>
      </w:pPr>
      <w:r w:rsidDel="00000000" w:rsidR="00000000" w:rsidRPr="00000000">
        <w:rPr>
          <w:rtl w:val="0"/>
        </w:rPr>
        <w:t xml:space="preserve">The Triadic Coprocessor's physical security infrastructure operates at four distinct detection layers, each targeting a different class of physical attack.</w:t>
      </w:r>
      <w:hyperlink r:id="rId692">
        <w:r w:rsidDel="00000000" w:rsidR="00000000" w:rsidRPr="00000000">
          <w:rPr>
            <w:rtl w:val="0"/>
          </w:rPr>
          <w:t xml:space="preserve"> </w:t>
        </w:r>
      </w:hyperlink>
      <w:hyperlink r:id="rId693">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4F">
      <w:pPr>
        <w:spacing w:after="240" w:before="240" w:lineRule="auto"/>
        <w:rPr/>
      </w:pPr>
      <w:r w:rsidDel="00000000" w:rsidR="00000000" w:rsidRPr="00000000">
        <w:rPr>
          <w:b w:val="1"/>
          <w:bCs w:val="1"/>
          <w:rtl w:val="0"/>
        </w:rPr>
        <w:t xml:space="preserve">Active Tamper Detection Mesh.</w:t>
      </w:r>
      <w:r w:rsidDel="00000000" w:rsidR="00000000" w:rsidRPr="00000000">
        <w:rPr>
          <w:rtl w:val="0"/>
        </w:rPr>
        <w:t xml:space="preserve"> A conductive mesh of fine wires embedded in the packaging layer directly above the active silicon forms a continuous electrical circuit continuously monitored for resistance changes. Any attempt to open the enclosure, drill through the packaging, desolder the coprocessor from its substrate, or insert probing equipment produces a resistance change that triggers immediate key zeroization and safe harbor transition.</w:t>
      </w:r>
    </w:p>
    <w:p w:rsidR="00000000" w:rsidDel="00000000" w:rsidP="00000000" w:rsidRDefault="00000000" w:rsidRPr="00000000" w14:paraId="00000350">
      <w:pPr>
        <w:spacing w:after="240" w:before="240" w:lineRule="auto"/>
        <w:rPr>
          <w:color w:val="1155cc"/>
          <w:u w:val="single"/>
        </w:rPr>
      </w:pPr>
      <w:r w:rsidDel="00000000" w:rsidR="00000000" w:rsidRPr="00000000">
        <w:rPr>
          <w:b w:val="1"/>
          <w:bCs w:val="1"/>
          <w:rtl w:val="0"/>
        </w:rPr>
        <w:t xml:space="preserve">On-Die Voltage Monitors.</w:t>
      </w:r>
      <w:r w:rsidDel="00000000" w:rsidR="00000000" w:rsidRPr="00000000">
        <w:rPr>
          <w:rtl w:val="0"/>
        </w:rPr>
        <w:t xml:space="preserve"> Dedicated analog voltage monitoring circuits continuously measure the supply voltage against reference thresholds calibrated to the process technology's operational specifications. Voltage glitching equipment - commercially available for as little as fifty dollars - attempts to cause setup and hold time violations in CMOS logic by dropping the supply voltage during specific computational operations. The on-die monitors detect voltage deviations exceeding a defined tolerance band, typically plus or minus five percent of nominal Vdd, and trigger a non-maskable safe harbor interrupt. These monitors are implemented as dedicated analog circuits with independent power supplies that cannot be disabled by software, firmware, or hypervisor commands.</w:t>
      </w:r>
      <w:hyperlink r:id="rId694">
        <w:r w:rsidDel="00000000" w:rsidR="00000000" w:rsidRPr="00000000">
          <w:rPr>
            <w:rtl w:val="0"/>
          </w:rPr>
          <w:t xml:space="preserve"> </w:t>
        </w:r>
      </w:hyperlink>
      <w:hyperlink r:id="rId695">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51">
      <w:pPr>
        <w:spacing w:after="240" w:before="240" w:lineRule="auto"/>
        <w:rPr>
          <w:color w:val="1155cc"/>
          <w:u w:val="single"/>
        </w:rPr>
      </w:pPr>
      <w:r w:rsidDel="00000000" w:rsidR="00000000" w:rsidRPr="00000000">
        <w:rPr>
          <w:b w:val="1"/>
          <w:bCs w:val="1"/>
          <w:rtl w:val="0"/>
        </w:rPr>
        <w:t xml:space="preserve">Temperature Sensors.</w:t>
      </w:r>
      <w:r w:rsidDel="00000000" w:rsidR="00000000" w:rsidRPr="00000000">
        <w:rPr>
          <w:rtl w:val="0"/>
        </w:rPr>
        <w:t xml:space="preserve"> On-die temperature sensors detect both extreme cold attacks - where liquid nitrogen or compressed air is used to slow ionic diffusion and preserve DRAM contents for cold boot key extraction - and extreme heat attacks, where elevated temperature is used to destabilize circuit operation. Sensors trigger safe harbor transition when temperature exceeds the operational range of -40 to +85 degrees Celsius.</w:t>
      </w:r>
      <w:hyperlink r:id="rId696">
        <w:r w:rsidDel="00000000" w:rsidR="00000000" w:rsidRPr="00000000">
          <w:rPr>
            <w:rtl w:val="0"/>
          </w:rPr>
          <w:t xml:space="preserve"> </w:t>
        </w:r>
      </w:hyperlink>
      <w:hyperlink r:id="rId697">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52">
      <w:pPr>
        <w:spacing w:after="240" w:before="240" w:lineRule="auto"/>
        <w:rPr>
          <w:color w:val="1155cc"/>
          <w:u w:val="single"/>
        </w:rPr>
      </w:pPr>
      <w:r w:rsidDel="00000000" w:rsidR="00000000" w:rsidRPr="00000000">
        <w:rPr>
          <w:b w:val="1"/>
          <w:bCs w:val="1"/>
          <w:rtl w:val="0"/>
        </w:rPr>
        <w:t xml:space="preserve">Electromagnetic Anomaly Detectors.</w:t>
      </w:r>
      <w:r w:rsidDel="00000000" w:rsidR="00000000" w:rsidRPr="00000000">
        <w:rPr>
          <w:rtl w:val="0"/>
        </w:rPr>
        <w:t xml:space="preserve"> On-die EM field sensors detect electromagnetic fault injection - a contactless attack technique that uses focused electromagnetic pulses to induce fault currents in specific circuit regions without requiring physical contact with the device. EMFI equipment costing as little as one hundred dollars has achieved success rates of twenty-two percent against AMD Secure Processor boot sequences in published research.</w:t>
      </w:r>
      <w:hyperlink r:id="rId698">
        <w:r w:rsidDel="00000000" w:rsidR="00000000" w:rsidRPr="00000000">
          <w:rPr>
            <w:rtl w:val="0"/>
          </w:rPr>
          <w:t xml:space="preserve"> </w:t>
        </w:r>
      </w:hyperlink>
      <w:hyperlink r:id="rId699">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53">
      <w:pPr>
        <w:spacing w:after="240" w:before="240" w:lineRule="auto"/>
        <w:rPr/>
      </w:pPr>
      <w:r w:rsidDel="00000000" w:rsidR="00000000" w:rsidRPr="00000000">
        <w:rPr>
          <w:rtl w:val="0"/>
        </w:rPr>
        <w:t xml:space="preserve">When any sensor triggers, the response is immediate and cascaded:</w:t>
      </w:r>
    </w:p>
    <w:p w:rsidR="00000000" w:rsidDel="00000000" w:rsidP="00000000" w:rsidRDefault="00000000" w:rsidRPr="00000000" w14:paraId="00000354">
      <w:pPr>
        <w:numPr>
          <w:ilvl w:val="0"/>
          <w:numId w:val="4"/>
        </w:numPr>
        <w:spacing w:after="0" w:before="240" w:lineRule="auto"/>
        <w:ind w:left="720" w:hanging="360"/>
        <w:rPr/>
      </w:pPr>
      <w:r w:rsidDel="00000000" w:rsidR="00000000" w:rsidRPr="00000000">
        <w:rPr>
          <w:rtl w:val="0"/>
        </w:rPr>
        <w:t xml:space="preserve">All pending execution authorizations are cancelled</w:t>
      </w:r>
    </w:p>
    <w:p w:rsidR="00000000" w:rsidDel="00000000" w:rsidP="00000000" w:rsidRDefault="00000000" w:rsidRPr="00000000" w14:paraId="00000355">
      <w:pPr>
        <w:numPr>
          <w:ilvl w:val="0"/>
          <w:numId w:val="4"/>
        </w:numPr>
        <w:spacing w:after="0" w:before="0" w:lineRule="auto"/>
        <w:ind w:left="720" w:hanging="360"/>
        <w:rPr/>
      </w:pPr>
      <w:r w:rsidDel="00000000" w:rsidR="00000000" w:rsidRPr="00000000">
        <w:rPr>
          <w:rtl w:val="0"/>
        </w:rPr>
        <w:t xml:space="preserve">All ephemeral cryptographic key material in SRAM buffers is overwritten with random data</w:t>
      </w:r>
    </w:p>
    <w:p w:rsidR="00000000" w:rsidDel="00000000" w:rsidP="00000000" w:rsidRDefault="00000000" w:rsidRPr="00000000" w14:paraId="00000356">
      <w:pPr>
        <w:numPr>
          <w:ilvl w:val="0"/>
          <w:numId w:val="4"/>
        </w:numPr>
        <w:spacing w:after="0" w:before="0" w:lineRule="auto"/>
        <w:ind w:left="720" w:hanging="360"/>
        <w:rPr/>
      </w:pPr>
      <w:r w:rsidDel="00000000" w:rsidR="00000000" w:rsidRPr="00000000">
        <w:rPr>
          <w:rtl w:val="0"/>
        </w:rPr>
        <w:t xml:space="preserve">The MT cells are driven to the High Resistance Refuse state</w:t>
      </w:r>
    </w:p>
    <w:p w:rsidR="00000000" w:rsidDel="00000000" w:rsidP="00000000" w:rsidRDefault="00000000" w:rsidRPr="00000000" w14:paraId="00000357">
      <w:pPr>
        <w:numPr>
          <w:ilvl w:val="0"/>
          <w:numId w:val="4"/>
        </w:numPr>
        <w:spacing w:after="0" w:before="0" w:lineRule="auto"/>
        <w:ind w:left="720" w:hanging="360"/>
        <w:rPr/>
      </w:pPr>
      <w:r w:rsidDel="00000000" w:rsidR="00000000" w:rsidRPr="00000000">
        <w:rPr>
          <w:rtl w:val="0"/>
        </w:rPr>
        <w:t xml:space="preserve">The Gateway is locked via </w:t>
      </w:r>
      <w:r w:rsidDel="00000000" w:rsidR="00000000" w:rsidRPr="00000000">
        <w:rPr>
          <w:rFonts w:ascii="Roboto Mono" w:cs="Roboto Mono" w:eastAsia="Roboto Mono" w:hAnsi="Roboto Mono"/>
          <w:color w:val="188038"/>
          <w:rtl w:val="0"/>
        </w:rPr>
        <w:t xml:space="preserve">epistemicHoldOverride: true</w:t>
      </w:r>
      <w:r w:rsidDel="00000000" w:rsidR="00000000" w:rsidRPr="00000000">
        <w:rPr>
          <w:rtl w:val="0"/>
        </w:rPr>
      </w:r>
    </w:p>
    <w:p w:rsidR="00000000" w:rsidDel="00000000" w:rsidP="00000000" w:rsidRDefault="00000000" w:rsidRPr="00000000" w14:paraId="00000358">
      <w:pPr>
        <w:numPr>
          <w:ilvl w:val="0"/>
          <w:numId w:val="4"/>
        </w:numPr>
        <w:spacing w:after="0" w:before="0" w:lineRule="auto"/>
        <w:ind w:left="720" w:hanging="360"/>
        <w:rPr/>
      </w:pPr>
      <w:r w:rsidDel="00000000" w:rsidR="00000000" w:rsidRPr="00000000">
        <w:rPr>
          <w:rtl w:val="0"/>
        </w:rPr>
        <w:t xml:space="preserve">A tamper event record is generated and queued for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anchoring via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r>
    </w:p>
    <w:p w:rsidR="00000000" w:rsidDel="00000000" w:rsidP="00000000" w:rsidRDefault="00000000" w:rsidRPr="00000000" w14:paraId="00000359">
      <w:pPr>
        <w:numPr>
          <w:ilvl w:val="0"/>
          <w:numId w:val="4"/>
        </w:numPr>
        <w:spacing w:after="240" w:before="0" w:lineRule="auto"/>
        <w:ind w:left="720" w:hanging="360"/>
        <w:rPr/>
      </w:pPr>
      <w:r w:rsidDel="00000000" w:rsidR="00000000" w:rsidRPr="00000000">
        <w:rPr>
          <w:rtl w:val="0"/>
        </w:rPr>
        <w:t xml:space="preserve">The Stewardship Custodians are notified through the authenticated out-of-band monitoring channel</w:t>
      </w:r>
      <w:hyperlink r:id="rId700">
        <w:r w:rsidDel="00000000" w:rsidR="00000000" w:rsidRPr="00000000">
          <w:rPr>
            <w:rtl w:val="0"/>
          </w:rPr>
          <w:t xml:space="preserve"> </w:t>
        </w:r>
      </w:hyperlink>
      <w:hyperlink r:id="rId701">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5A">
      <w:pPr>
        <w:spacing w:after="240" w:before="240" w:lineRule="auto"/>
        <w:rPr/>
      </w:pPr>
      <w:r w:rsidDel="00000000" w:rsidR="00000000" w:rsidRPr="00000000">
        <w:rPr>
          <w:rtl w:val="0"/>
        </w:rPr>
        <w:t xml:space="preserve">The coprocessor cannot be restored to operational status after a tamper event without physical replacement and re-enrollment through the Tri-Cameral post-fabrication attestation protocol.</w:t>
      </w:r>
    </w:p>
    <w:p w:rsidR="00000000" w:rsidDel="00000000" w:rsidP="00000000" w:rsidRDefault="00000000" w:rsidRPr="00000000" w14:paraId="0000035B">
      <w:pPr>
        <w:spacing w:after="240" w:before="240" w:lineRule="auto"/>
        <w:rPr/>
      </w:pPr>
      <w:r w:rsidDel="00000000" w:rsidR="00000000" w:rsidRPr="00000000">
        <w:rPr>
          <w:b w:val="1"/>
          <w:bCs w:val="1"/>
          <w:rtl w:val="0"/>
        </w:rPr>
        <w:t xml:space="preserve">JTAG and Debug Port Fusing.</w:t>
      </w:r>
      <w:r w:rsidDel="00000000" w:rsidR="00000000" w:rsidRPr="00000000">
        <w:rPr>
          <w:rtl w:val="0"/>
        </w:rPr>
        <w:t xml:space="preserve"> The Triadic Coprocessor must fuse its JTAG port at the mask level during production, rendering it permanently inaccessible without focused ion beam milling at a cost exceeding one hundred thousand dollars per chip. The faulTPM attack demonstrated that TPM security can be compromised with fifty-dollar equipment and moderate expertise.</w:t>
      </w:r>
      <w:hyperlink r:id="rId702">
        <w:r w:rsidDel="00000000" w:rsidR="00000000" w:rsidRPr="00000000">
          <w:rPr>
            <w:rtl w:val="0"/>
          </w:rPr>
          <w:t xml:space="preserve"> </w:t>
        </w:r>
      </w:hyperlink>
      <w:hyperlink r:id="rId703">
        <w:r w:rsidDel="00000000" w:rsidR="00000000" w:rsidRPr="00000000">
          <w:rPr>
            <w:color w:val="1155cc"/>
            <w:u w:val="single"/>
            <w:rtl w:val="0"/>
          </w:rPr>
          <w:t xml:space="preserve">[17]</w:t>
        </w:r>
      </w:hyperlink>
      <w:r w:rsidDel="00000000" w:rsidR="00000000" w:rsidRPr="00000000">
        <w:rPr>
          <w:rtl w:val="0"/>
        </w:rPr>
        <w:t xml:space="preserve"> Any future debugging must occur through a dedicated secure test interface that requires simultaneous physical presence of multiple Stewardship Custodian hardware tokens verified via </w:t>
      </w:r>
      <w:r w:rsidDel="00000000" w:rsidR="00000000" w:rsidRPr="00000000">
        <w:rPr>
          <w:rFonts w:ascii="Roboto Mono" w:cs="Roboto Mono" w:eastAsia="Roboto Mono" w:hAnsi="Roboto Mono"/>
          <w:color w:val="188038"/>
          <w:rtl w:val="0"/>
        </w:rPr>
        <w:t xml:space="preserve">GET /audit/custodians/{custodianId}/heartbeat</w:t>
      </w:r>
      <w:r w:rsidDel="00000000" w:rsidR="00000000" w:rsidRPr="00000000">
        <w:rPr>
          <w:rtl w:val="0"/>
        </w:rPr>
        <w:t xml:space="preserve">.</w:t>
      </w:r>
    </w:p>
    <w:p w:rsidR="00000000" w:rsidDel="00000000" w:rsidP="00000000" w:rsidRDefault="00000000" w:rsidRPr="00000000" w14:paraId="0000035C">
      <w:pPr>
        <w:pStyle w:val="Heading2"/>
        <w:keepNext w:val="0"/>
        <w:keepLines w:val="0"/>
        <w:spacing w:after="80" w:lineRule="auto"/>
        <w:rPr>
          <w:b w:val="1"/>
          <w:bCs w:val="1"/>
          <w:sz w:val="34"/>
          <w:szCs w:val="34"/>
        </w:rPr>
      </w:pPr>
      <w:bookmarkStart w:colFirst="0" w:colLast="0" w:name="_cq0azep7n0l0" w:id="103"/>
      <w:bookmarkEnd w:id="103"/>
      <w:r w:rsidDel="00000000" w:rsidR="00000000" w:rsidRPr="00000000">
        <w:rPr>
          <w:b w:val="1"/>
          <w:bCs w:val="1"/>
          <w:sz w:val="34"/>
          <w:szCs w:val="34"/>
          <w:rtl w:val="0"/>
        </w:rPr>
        <w:t xml:space="preserve">8.6 Architecture A and Architecture B: Deployment Roadmap</w:t>
      </w:r>
    </w:p>
    <w:p w:rsidR="00000000" w:rsidDel="00000000" w:rsidP="00000000" w:rsidRDefault="00000000" w:rsidRPr="00000000" w14:paraId="0000035D">
      <w:pPr>
        <w:spacing w:after="240" w:before="240" w:lineRule="auto"/>
        <w:rPr>
          <w:color w:val="1155cc"/>
          <w:u w:val="single"/>
        </w:rPr>
      </w:pPr>
      <w:r w:rsidDel="00000000" w:rsidR="00000000" w:rsidRPr="00000000">
        <w:rPr>
          <w:rtl w:val="0"/>
        </w:rPr>
        <w:t xml:space="preserve">The TL hardware deployment roadmap defines two distinct architecture generations with different technology readiness levels, deployment timelines, and enforcement capability profiles.</w:t>
      </w:r>
      <w:hyperlink r:id="rId704">
        <w:r w:rsidDel="00000000" w:rsidR="00000000" w:rsidRPr="00000000">
          <w:rPr>
            <w:rtl w:val="0"/>
          </w:rPr>
          <w:t xml:space="preserve"> </w:t>
        </w:r>
      </w:hyperlink>
      <w:hyperlink r:id="rId705">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35E">
      <w:pPr>
        <w:pStyle w:val="Heading3"/>
        <w:keepNext w:val="0"/>
        <w:keepLines w:val="0"/>
        <w:spacing w:before="280" w:lineRule="auto"/>
        <w:rPr>
          <w:b w:val="1"/>
          <w:bCs w:val="1"/>
          <w:color w:val="000000"/>
          <w:sz w:val="26"/>
          <w:szCs w:val="26"/>
        </w:rPr>
      </w:pPr>
      <w:bookmarkStart w:colFirst="0" w:colLast="0" w:name="_2vbidhvt1g3s" w:id="104"/>
      <w:bookmarkEnd w:id="104"/>
      <w:r w:rsidDel="00000000" w:rsidR="00000000" w:rsidRPr="00000000">
        <w:rPr>
          <w:b w:val="1"/>
          <w:bCs w:val="1"/>
          <w:color w:val="000000"/>
          <w:sz w:val="26"/>
          <w:szCs w:val="26"/>
          <w:rtl w:val="0"/>
        </w:rPr>
        <w:t xml:space="preserve">8.6.1 Architecture B: Hybrid Memristive-CMOS (2026-2027 Commercialization Target)</w:t>
      </w:r>
    </w:p>
    <w:p w:rsidR="00000000" w:rsidDel="00000000" w:rsidP="00000000" w:rsidRDefault="00000000" w:rsidRPr="00000000" w14:paraId="0000035F">
      <w:pPr>
        <w:spacing w:after="240" w:before="240" w:lineRule="auto"/>
        <w:rPr>
          <w:color w:val="1155cc"/>
          <w:u w:val="single"/>
        </w:rPr>
      </w:pPr>
      <w:r w:rsidDel="00000000" w:rsidR="00000000" w:rsidRPr="00000000">
        <w:rPr>
          <w:rtl w:val="0"/>
        </w:rPr>
        <w:t xml:space="preserve">Architecture B is the recommended deployment architecture for the 2026 to 2027 commercialization window. It is a hybrid design combining conventional CMOS digital logic for the DITL handshake protocol and evaluation logic with memristive MT cells for the execution gateway.</w:t>
      </w:r>
      <w:hyperlink r:id="rId706">
        <w:r w:rsidDel="00000000" w:rsidR="00000000" w:rsidRPr="00000000">
          <w:rPr>
            <w:rtl w:val="0"/>
          </w:rPr>
          <w:t xml:space="preserve"> </w:t>
        </w:r>
      </w:hyperlink>
      <w:hyperlink r:id="rId707">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360">
      <w:pPr>
        <w:spacing w:after="240" w:before="240" w:lineRule="auto"/>
        <w:rPr>
          <w:color w:val="1155cc"/>
          <w:u w:val="single"/>
        </w:rPr>
      </w:pPr>
      <w:r w:rsidDel="00000000" w:rsidR="00000000" w:rsidRPr="00000000">
        <w:rPr>
          <w:rtl w:val="0"/>
        </w:rPr>
        <w:t xml:space="preserve">In Architecture B, the DITL handshake and evaluation logic are implemented using conventional CMOS digital cells from the TSMC N2 process design kit. The C-elements, completion detectors, and four-phase handshake controllers use standard CMOS gate implementations. The MT cells are integrated as a dedicated memristive layer in the back-end-of-line stack, connected to the CMOS logic through dedicated programming and sensing circuits.</w:t>
      </w:r>
      <w:hyperlink r:id="rId708">
        <w:r w:rsidDel="00000000" w:rsidR="00000000" w:rsidRPr="00000000">
          <w:rPr>
            <w:rtl w:val="0"/>
          </w:rPr>
          <w:t xml:space="preserve"> </w:t>
        </w:r>
      </w:hyperlink>
      <w:hyperlink r:id="rId709">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361">
      <w:pPr>
        <w:spacing w:after="240" w:before="240" w:lineRule="auto"/>
        <w:rPr/>
      </w:pPr>
      <w:r w:rsidDel="00000000" w:rsidR="00000000" w:rsidRPr="00000000">
        <w:rPr>
          <w:rtl w:val="0"/>
        </w:rPr>
        <w:t xml:space="preserve">This hybrid approach is recommended because it allows the use of mature, well-characterized CMOS fabrication processes for the logic circuits - reducing fabrication risk, improving yield, and enabling access to the extensive CMOS cell library ecosystem - while reserving the novel memristive technology for the specific function where it is architecturally essential: the physical instantiation of the ternary execution gate.</w:t>
      </w:r>
    </w:p>
    <w:p w:rsidR="00000000" w:rsidDel="00000000" w:rsidP="00000000" w:rsidRDefault="00000000" w:rsidRPr="00000000" w14:paraId="00000362">
      <w:pPr>
        <w:spacing w:after="240" w:before="240" w:lineRule="auto"/>
        <w:rPr>
          <w:color w:val="1155cc"/>
          <w:u w:val="single"/>
        </w:rPr>
      </w:pPr>
      <w:r w:rsidDel="00000000" w:rsidR="00000000" w:rsidRPr="00000000">
        <w:rPr>
          <w:rtl w:val="0"/>
        </w:rPr>
        <w:t xml:space="preserve">Architecture B targets the </w:t>
      </w:r>
      <w:r w:rsidDel="00000000" w:rsidR="00000000" w:rsidRPr="00000000">
        <w:rPr>
          <w:b w:val="1"/>
          <w:bCs w:val="1"/>
          <w:rtl w:val="0"/>
        </w:rPr>
        <w:t xml:space="preserve">IEC 61508 SIL 3 certification path</w:t>
      </w:r>
      <w:r w:rsidDel="00000000" w:rsidR="00000000" w:rsidRPr="00000000">
        <w:rPr>
          <w:rtl w:val="0"/>
        </w:rPr>
        <w:t xml:space="preserve"> with a target completion date of Q4 2027. SIL 3 requires a probability of dangerous failure per hour of between 10^-7 and 10^-8, a hardware fault tolerance of one (meaning the system can tolerate a single hardware failure without dangerous behavior), and a safe failure fraction exceeding ninety percent.</w:t>
      </w:r>
      <w:hyperlink r:id="rId710">
        <w:r w:rsidDel="00000000" w:rsidR="00000000" w:rsidRPr="00000000">
          <w:rPr>
            <w:rtl w:val="0"/>
          </w:rPr>
          <w:t xml:space="preserve"> </w:t>
        </w:r>
      </w:hyperlink>
      <w:hyperlink r:id="rId711">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363">
      <w:pPr>
        <w:spacing w:after="240" w:before="240" w:lineRule="auto"/>
        <w:rPr/>
      </w:pPr>
      <w:r w:rsidDel="00000000" w:rsidR="00000000" w:rsidRPr="00000000">
        <w:rPr>
          <w:rtl w:val="0"/>
        </w:rPr>
        <w:t xml:space="preserve">The kill criteria for Architecture B development - conditions under which the development program must be halted and the architecture re-evaluated - are:</w:t>
      </w:r>
    </w:p>
    <w:p w:rsidR="00000000" w:rsidDel="00000000" w:rsidP="00000000" w:rsidRDefault="00000000" w:rsidRPr="00000000" w14:paraId="00000364">
      <w:pPr>
        <w:numPr>
          <w:ilvl w:val="0"/>
          <w:numId w:val="2"/>
        </w:numPr>
        <w:spacing w:after="0" w:before="240" w:lineRule="auto"/>
        <w:ind w:left="720" w:hanging="360"/>
        <w:rPr/>
      </w:pPr>
      <w:r w:rsidDel="00000000" w:rsidR="00000000" w:rsidRPr="00000000">
        <w:rPr>
          <w:rtl w:val="0"/>
        </w:rPr>
        <w:t xml:space="preserve">MT cell intermediate resistance state variance exceeding three sigma across a wafer lot</w:t>
      </w:r>
    </w:p>
    <w:p w:rsidR="00000000" w:rsidDel="00000000" w:rsidP="00000000" w:rsidRDefault="00000000" w:rsidRPr="00000000" w14:paraId="00000365">
      <w:pPr>
        <w:numPr>
          <w:ilvl w:val="0"/>
          <w:numId w:val="2"/>
        </w:numPr>
        <w:spacing w:after="0" w:before="0" w:lineRule="auto"/>
        <w:ind w:left="720" w:hanging="360"/>
        <w:rPr/>
      </w:pPr>
      <w:r w:rsidDel="00000000" w:rsidR="00000000" w:rsidRPr="00000000">
        <w:rPr>
          <w:rtl w:val="0"/>
        </w:rPr>
        <w:t xml:space="preserve">Arrhenius retention testing predicting less than twenty-year state retention at 85 degrees Celsius</w:t>
      </w:r>
    </w:p>
    <w:p w:rsidR="00000000" w:rsidDel="00000000" w:rsidP="00000000" w:rsidRDefault="00000000" w:rsidRPr="00000000" w14:paraId="00000366">
      <w:pPr>
        <w:numPr>
          <w:ilvl w:val="0"/>
          <w:numId w:val="2"/>
        </w:numPr>
        <w:spacing w:after="0" w:before="0" w:lineRule="auto"/>
        <w:ind w:left="720" w:hanging="360"/>
        <w:rPr/>
      </w:pPr>
      <w:r w:rsidDel="00000000" w:rsidR="00000000" w:rsidRPr="00000000">
        <w:rPr>
          <w:rtl w:val="0"/>
        </w:rPr>
        <w:t xml:space="preserve">Cycling endurance below one billion write cycles at the target programming current</w:t>
      </w:r>
    </w:p>
    <w:p w:rsidR="00000000" w:rsidDel="00000000" w:rsidP="00000000" w:rsidRDefault="00000000" w:rsidRPr="00000000" w14:paraId="00000367">
      <w:pPr>
        <w:numPr>
          <w:ilvl w:val="0"/>
          <w:numId w:val="2"/>
        </w:numPr>
        <w:spacing w:after="0" w:before="0" w:lineRule="auto"/>
        <w:ind w:left="720" w:hanging="360"/>
        <w:rPr/>
      </w:pPr>
      <w:r w:rsidDel="00000000" w:rsidR="00000000" w:rsidRPr="00000000">
        <w:rPr>
          <w:rFonts w:ascii="Roboto Mono" w:cs="Roboto Mono" w:eastAsia="Roboto Mono" w:hAnsi="Roboto Mono"/>
          <w:color w:val="188038"/>
          <w:rtl w:val="0"/>
        </w:rPr>
        <w:t xml:space="preserve">CONFIRM_OK</w:t>
      </w:r>
      <w:r w:rsidDel="00000000" w:rsidR="00000000" w:rsidRPr="00000000">
        <w:rPr>
          <w:rtl w:val="0"/>
        </w:rPr>
        <w:t xml:space="preserve"> pulse decoder circuit failing to reject invalid pulse patterns with a false acceptance rate exceeding 10^-9 per operation</w:t>
      </w:r>
    </w:p>
    <w:p w:rsidR="00000000" w:rsidDel="00000000" w:rsidP="00000000" w:rsidRDefault="00000000" w:rsidRPr="00000000" w14:paraId="00000368">
      <w:pPr>
        <w:numPr>
          <w:ilvl w:val="0"/>
          <w:numId w:val="2"/>
        </w:numPr>
        <w:spacing w:after="240" w:before="0" w:lineRule="auto"/>
        <w:ind w:left="720" w:hanging="360"/>
        <w:rPr/>
      </w:pPr>
      <w:r w:rsidDel="00000000" w:rsidR="00000000" w:rsidRPr="00000000">
        <w:rPr>
          <w:rtl w:val="0"/>
        </w:rPr>
        <w:t xml:space="preserve">PUF bit error rate after error correction exceeding 10^-6</w:t>
      </w:r>
      <w:hyperlink r:id="rId712">
        <w:r w:rsidDel="00000000" w:rsidR="00000000" w:rsidRPr="00000000">
          <w:rPr>
            <w:rtl w:val="0"/>
          </w:rPr>
          <w:t xml:space="preserve"> </w:t>
        </w:r>
      </w:hyperlink>
      <w:hyperlink r:id="rId713">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369">
      <w:pPr>
        <w:spacing w:after="240" w:before="240" w:lineRule="auto"/>
        <w:rPr/>
      </w:pPr>
      <w:r w:rsidDel="00000000" w:rsidR="00000000" w:rsidRPr="00000000">
        <w:rPr>
          <w:b w:val="1"/>
          <w:bCs w:val="1"/>
          <w:rtl w:val="0"/>
        </w:rPr>
        <w:t xml:space="preserve">A single permitted recursion is allowed in the Architecture B development program:</w:t>
      </w:r>
      <w:r w:rsidDel="00000000" w:rsidR="00000000" w:rsidRPr="00000000">
        <w:rPr>
          <w:rtl w:val="0"/>
        </w:rPr>
        <w:t xml:space="preserve"> if any single kill criterion is triggered, one redesign iteration addressing that specific criterion may proceed before escalating to the Technical Council for full architecture re-evaluation. A second trigger of any kill criterion, or a simultaneous trigger of two or more criteria, mandates immediate Technical Council review and Stewardship Custodian notification.</w:t>
      </w:r>
    </w:p>
    <w:p w:rsidR="00000000" w:rsidDel="00000000" w:rsidP="00000000" w:rsidRDefault="00000000" w:rsidRPr="00000000" w14:paraId="0000036A">
      <w:pPr>
        <w:pStyle w:val="Heading3"/>
        <w:keepNext w:val="0"/>
        <w:keepLines w:val="0"/>
        <w:spacing w:before="280" w:lineRule="auto"/>
        <w:rPr>
          <w:b w:val="1"/>
          <w:bCs w:val="1"/>
          <w:color w:val="000000"/>
          <w:sz w:val="26"/>
          <w:szCs w:val="26"/>
        </w:rPr>
      </w:pPr>
      <w:bookmarkStart w:colFirst="0" w:colLast="0" w:name="_f6xlqfzcfj6q" w:id="105"/>
      <w:bookmarkEnd w:id="105"/>
      <w:r w:rsidDel="00000000" w:rsidR="00000000" w:rsidRPr="00000000">
        <w:rPr>
          <w:b w:val="1"/>
          <w:bCs w:val="1"/>
          <w:color w:val="000000"/>
          <w:sz w:val="26"/>
          <w:szCs w:val="26"/>
          <w:rtl w:val="0"/>
        </w:rPr>
        <w:t xml:space="preserve">8.6.2 Architecture A: Native Ternary Crossbar (2029-2030 Standardization Horizon)</w:t>
      </w:r>
    </w:p>
    <w:p w:rsidR="00000000" w:rsidDel="00000000" w:rsidP="00000000" w:rsidRDefault="00000000" w:rsidRPr="00000000" w14:paraId="0000036B">
      <w:pPr>
        <w:spacing w:after="240" w:before="240" w:lineRule="auto"/>
        <w:rPr>
          <w:color w:val="1155cc"/>
          <w:u w:val="single"/>
        </w:rPr>
      </w:pPr>
      <w:r w:rsidDel="00000000" w:rsidR="00000000" w:rsidRPr="00000000">
        <w:rPr>
          <w:rtl w:val="0"/>
        </w:rPr>
        <w:t xml:space="preserve">Architecture A is the target long-term architecture: a native ternary crossbar compute-in-memory design in which the MT cell array serves not only as the execution gateway but also as the primary computational substrate for the DITL evaluation logic itself.</w:t>
      </w:r>
      <w:hyperlink r:id="rId714">
        <w:r w:rsidDel="00000000" w:rsidR="00000000" w:rsidRPr="00000000">
          <w:rPr>
            <w:rtl w:val="0"/>
          </w:rPr>
          <w:t xml:space="preserve"> </w:t>
        </w:r>
      </w:hyperlink>
      <w:hyperlink r:id="rId715">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36C">
      <w:pPr>
        <w:spacing w:after="240" w:before="240" w:lineRule="auto"/>
        <w:rPr/>
      </w:pPr>
      <w:r w:rsidDel="00000000" w:rsidR="00000000" w:rsidRPr="00000000">
        <w:rPr>
          <w:rtl w:val="0"/>
        </w:rPr>
        <w:t xml:space="preserve">In Architecture A, the crossbar array performs ternary matrix-vector multiplication operations directly in the resistance domain, without converting data to digital signals for processing in conventional CMOS logic. Ternary inputs drive row word lines; resistance states of MT cells at each crossbar intersection perform the ternary multiply operation; column sense amplifiers read out the accumulated ternary result.</w:t>
      </w:r>
    </w:p>
    <w:p w:rsidR="00000000" w:rsidDel="00000000" w:rsidP="00000000" w:rsidRDefault="00000000" w:rsidRPr="00000000" w14:paraId="0000036D">
      <w:pPr>
        <w:spacing w:after="240" w:before="240" w:lineRule="auto"/>
        <w:rPr>
          <w:color w:val="1155cc"/>
          <w:u w:val="single"/>
        </w:rPr>
      </w:pPr>
      <w:r w:rsidDel="00000000" w:rsidR="00000000" w:rsidRPr="00000000">
        <w:rPr>
          <w:rtl w:val="0"/>
        </w:rPr>
        <w:t xml:space="preserve">Architecture A eliminates the CMOS-to-memristive interface that Architecture B requires. In Architecture B, there is a design boundary between the CMOS logic and the MT cells across which electronic signals must be converted to memristive programming pulses and back. This interface is a potential attack surface. Architecture A eliminates this boundary by performing the governance evaluation and the physical state transition in the same substrate.</w:t>
      </w:r>
      <w:hyperlink r:id="rId716">
        <w:r w:rsidDel="00000000" w:rsidR="00000000" w:rsidRPr="00000000">
          <w:rPr>
            <w:rtl w:val="0"/>
          </w:rPr>
          <w:t xml:space="preserve"> </w:t>
        </w:r>
      </w:hyperlink>
      <w:hyperlink r:id="rId717">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36E">
      <w:pPr>
        <w:spacing w:after="240" w:before="240" w:lineRule="auto"/>
        <w:rPr>
          <w:color w:val="1155cc"/>
          <w:u w:val="single"/>
        </w:rPr>
      </w:pPr>
      <w:r w:rsidDel="00000000" w:rsidR="00000000" w:rsidRPr="00000000">
        <w:rPr>
          <w:rtl w:val="0"/>
        </w:rPr>
        <w:t xml:space="preserve">Architecture A is designated FUTURE. Its 2029 to 2030 standardization horizon is contingent on the maturation of large-wafer ternary semiconductor manufacturing. Samsung and UNIST demonstrated the first large-wafer ternary semiconductor in 2019. Carbon nanotube ternary logic reached peer-reviewed publication in January 2025. No commercial-scale ternary manufacturing exists as of the date of this specification.</w:t>
      </w:r>
      <w:hyperlink r:id="rId718">
        <w:r w:rsidDel="00000000" w:rsidR="00000000" w:rsidRPr="00000000">
          <w:rPr>
            <w:rtl w:val="0"/>
          </w:rPr>
          <w:t xml:space="preserve"> </w:t>
        </w:r>
      </w:hyperlink>
      <w:hyperlink r:id="rId719">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6F">
      <w:pPr>
        <w:pStyle w:val="Heading3"/>
        <w:keepNext w:val="0"/>
        <w:keepLines w:val="0"/>
        <w:spacing w:before="280" w:lineRule="auto"/>
        <w:rPr>
          <w:b w:val="1"/>
          <w:bCs w:val="1"/>
          <w:color w:val="000000"/>
          <w:sz w:val="26"/>
          <w:szCs w:val="26"/>
        </w:rPr>
      </w:pPr>
      <w:bookmarkStart w:colFirst="0" w:colLast="0" w:name="_c8lxtmy7gzcu" w:id="106"/>
      <w:bookmarkEnd w:id="106"/>
      <w:r w:rsidDel="00000000" w:rsidR="00000000" w:rsidRPr="00000000">
        <w:rPr>
          <w:b w:val="1"/>
          <w:bCs w:val="1"/>
          <w:color w:val="000000"/>
          <w:sz w:val="26"/>
          <w:szCs w:val="26"/>
          <w:rtl w:val="0"/>
        </w:rPr>
        <w:t xml:space="preserve">8.6.3 FPGA Prohibition</w:t>
      </w:r>
    </w:p>
    <w:p w:rsidR="00000000" w:rsidDel="00000000" w:rsidP="00000000" w:rsidRDefault="00000000" w:rsidRPr="00000000" w14:paraId="00000370">
      <w:pPr>
        <w:spacing w:after="240" w:before="240" w:lineRule="auto"/>
        <w:rPr>
          <w:color w:val="1155cc"/>
          <w:u w:val="single"/>
        </w:rPr>
      </w:pPr>
      <w:r w:rsidDel="00000000" w:rsidR="00000000" w:rsidRPr="00000000">
        <w:rPr>
          <w:rtl w:val="0"/>
        </w:rPr>
        <w:t xml:space="preserve">FPGA implementation is categorically prohibited for production deployment of the Triadic Coprocessor. FPGA may be used for development, testing, and simulation only, under conditions explicitly disclosed as Transitional Emulation Mode with the </w:t>
      </w:r>
      <w:r w:rsidDel="00000000" w:rsidR="00000000" w:rsidRPr="00000000">
        <w:rPr>
          <w:rFonts w:ascii="Roboto Mono" w:cs="Roboto Mono" w:eastAsia="Roboto Mono" w:hAnsi="Roboto Mono"/>
          <w:color w:val="188038"/>
          <w:rtl w:val="0"/>
        </w:rPr>
        <w:t xml:space="preserve">NULL_PUF_DEPLOYMENT</w:t>
      </w:r>
      <w:r w:rsidDel="00000000" w:rsidR="00000000" w:rsidRPr="00000000">
        <w:rPr>
          <w:rtl w:val="0"/>
        </w:rPr>
        <w:t xml:space="preserve"> sentinel value set in </w:t>
      </w:r>
      <w:r w:rsidDel="00000000" w:rsidR="00000000" w:rsidRPr="00000000">
        <w:rPr>
          <w:rFonts w:ascii="Roboto Mono" w:cs="Roboto Mono" w:eastAsia="Roboto Mono" w:hAnsi="Roboto Mono"/>
          <w:color w:val="188038"/>
          <w:rtl w:val="0"/>
        </w:rPr>
        <w:t xml:space="preserve">NLNAAuditToken.pufAttestation</w:t>
      </w:r>
      <w:r w:rsidDel="00000000" w:rsidR="00000000" w:rsidRPr="00000000">
        <w:rPr>
          <w:rtl w:val="0"/>
        </w:rPr>
        <w:t xml:space="preserve">.</w:t>
      </w:r>
      <w:hyperlink r:id="rId720">
        <w:r w:rsidDel="00000000" w:rsidR="00000000" w:rsidRPr="00000000">
          <w:rPr>
            <w:rtl w:val="0"/>
          </w:rPr>
          <w:t xml:space="preserve"> </w:t>
        </w:r>
      </w:hyperlink>
      <w:hyperlink r:id="rId721">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71">
      <w:pPr>
        <w:spacing w:after="240" w:before="240" w:lineRule="auto"/>
        <w:rPr>
          <w:color w:val="1155cc"/>
          <w:u w:val="single"/>
        </w:rPr>
      </w:pPr>
      <w:r w:rsidDel="00000000" w:rsidR="00000000" w:rsidRPr="00000000">
        <w:rPr>
          <w:rtl w:val="0"/>
        </w:rPr>
        <w:t xml:space="preserve">The prohibition is grounded in demonstrated security failures. Ender, Moradi, and Paar achieved a complete break of Xilinx 7-Series bitstream encryption. Bitstream extraction via thermal laser stimulation takes under seven hours. Four demonstrated case studies on OpenTitan FPGA implementation achieved signal trace extraction from AES cores, secret key extraction via UART, and secret key replacement. FPGA reverse-engineering costs one thousand to ten thousand dollars compared to ASIC reverse-engineering at fifty thousand to two hundred fifty thousand dollars. FPGA designs are modifiable in software without physical access to the device. ASIC modifications require focused ion beam at one hundred thousand dollars or more per chip.</w:t>
      </w:r>
      <w:hyperlink r:id="rId722">
        <w:r w:rsidDel="00000000" w:rsidR="00000000" w:rsidRPr="00000000">
          <w:rPr>
            <w:rtl w:val="0"/>
          </w:rPr>
          <w:t xml:space="preserve"> </w:t>
        </w:r>
      </w:hyperlink>
      <w:hyperlink r:id="rId723">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72">
      <w:pPr>
        <w:pStyle w:val="Heading2"/>
        <w:keepNext w:val="0"/>
        <w:keepLines w:val="0"/>
        <w:spacing w:after="80" w:lineRule="auto"/>
        <w:rPr>
          <w:b w:val="1"/>
          <w:bCs w:val="1"/>
          <w:sz w:val="34"/>
          <w:szCs w:val="34"/>
        </w:rPr>
      </w:pPr>
      <w:bookmarkStart w:colFirst="0" w:colLast="0" w:name="_d2dfzm1kjxt5" w:id="107"/>
      <w:bookmarkEnd w:id="107"/>
      <w:r w:rsidDel="00000000" w:rsidR="00000000" w:rsidRPr="00000000">
        <w:rPr>
          <w:b w:val="1"/>
          <w:bCs w:val="1"/>
          <w:sz w:val="34"/>
          <w:szCs w:val="34"/>
          <w:rtl w:val="0"/>
        </w:rPr>
        <w:t xml:space="preserve">8.7 Supply Chain Risk and Fabrication Integrity</w:t>
      </w:r>
    </w:p>
    <w:p w:rsidR="00000000" w:rsidDel="00000000" w:rsidP="00000000" w:rsidRDefault="00000000" w:rsidRPr="00000000" w14:paraId="00000373">
      <w:pPr>
        <w:spacing w:after="240" w:before="240" w:lineRule="auto"/>
        <w:rPr>
          <w:color w:val="1155cc"/>
          <w:u w:val="single"/>
        </w:rPr>
      </w:pPr>
      <w:r w:rsidDel="00000000" w:rsidR="00000000" w:rsidRPr="00000000">
        <w:rPr>
          <w:rtl w:val="0"/>
        </w:rPr>
        <w:t xml:space="preserve">The Triadic Coprocessor is only as trustworthy as the supply chain that produces it.</w:t>
      </w:r>
      <w:hyperlink r:id="rId724">
        <w:r w:rsidDel="00000000" w:rsidR="00000000" w:rsidRPr="00000000">
          <w:rPr>
            <w:rtl w:val="0"/>
          </w:rPr>
          <w:t xml:space="preserve"> </w:t>
        </w:r>
      </w:hyperlink>
      <w:hyperlink r:id="rId725">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74">
      <w:pPr>
        <w:pStyle w:val="Heading3"/>
        <w:keepNext w:val="0"/>
        <w:keepLines w:val="0"/>
        <w:spacing w:before="280" w:lineRule="auto"/>
        <w:rPr>
          <w:b w:val="1"/>
          <w:bCs w:val="1"/>
          <w:color w:val="000000"/>
          <w:sz w:val="26"/>
          <w:szCs w:val="26"/>
        </w:rPr>
      </w:pPr>
      <w:bookmarkStart w:colFirst="0" w:colLast="0" w:name="_kr5thbbksbd" w:id="108"/>
      <w:bookmarkEnd w:id="108"/>
      <w:r w:rsidDel="00000000" w:rsidR="00000000" w:rsidRPr="00000000">
        <w:rPr>
          <w:b w:val="1"/>
          <w:bCs w:val="1"/>
          <w:color w:val="000000"/>
          <w:sz w:val="26"/>
          <w:szCs w:val="26"/>
          <w:rtl w:val="0"/>
        </w:rPr>
        <w:t xml:space="preserve">8.7.1 Dopant-Level Hardware Trojans</w:t>
      </w:r>
    </w:p>
    <w:p w:rsidR="00000000" w:rsidDel="00000000" w:rsidP="00000000" w:rsidRDefault="00000000" w:rsidRPr="00000000" w14:paraId="00000375">
      <w:pPr>
        <w:spacing w:after="240" w:before="240" w:lineRule="auto"/>
        <w:rPr>
          <w:color w:val="1155cc"/>
          <w:u w:val="single"/>
        </w:rPr>
      </w:pPr>
      <w:r w:rsidDel="00000000" w:rsidR="00000000" w:rsidRPr="00000000">
        <w:rPr>
          <w:rtl w:val="0"/>
        </w:rPr>
        <w:t xml:space="preserve">Dopant-level hardware Trojans are the most insidious fabrication threat and the irreducible risk that no specification can eliminate. These modifications require zero additional gates, zero additional wires, and zero layout overhead. They alter the dopant polarity in existing transistors to weaken cryptographic implementations, introduce timing faults, or create covert channels - all without changing any visible chip geometry.</w:t>
      </w:r>
      <w:hyperlink r:id="rId726">
        <w:r w:rsidDel="00000000" w:rsidR="00000000" w:rsidRPr="00000000">
          <w:rPr>
            <w:rtl w:val="0"/>
          </w:rPr>
          <w:t xml:space="preserve"> </w:t>
        </w:r>
      </w:hyperlink>
      <w:hyperlink r:id="rId727">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76">
      <w:pPr>
        <w:spacing w:after="240" w:before="240" w:lineRule="auto"/>
        <w:rPr>
          <w:color w:val="1155cc"/>
          <w:u w:val="single"/>
        </w:rPr>
      </w:pPr>
      <w:r w:rsidDel="00000000" w:rsidR="00000000" w:rsidRPr="00000000">
        <w:rPr>
          <w:rtl w:val="0"/>
        </w:rPr>
        <w:t xml:space="preserve">Standard optical reverse engineering cannot detect these modifications because the transistor dimensions, metal layers, and overall layout remain identical to the original design. Destructive reverse engineering at fifty thousand to five hundred thousand dollars per chip is infeasible for multi-billion-transistor designs. For a design with over ten billion transistors, a single-gate insertion represents less than 0.000001 percent area change - below the practical detection threshold of automated GDSII comparison tools. The GDSII file is the complete chip blueprint delivered from the design house to the foundry. The most vulnerable point in the fabrication pipeline is after GDSII delivery but before mask fabrication.</w:t>
      </w:r>
      <w:hyperlink r:id="rId728">
        <w:r w:rsidDel="00000000" w:rsidR="00000000" w:rsidRPr="00000000">
          <w:rPr>
            <w:rtl w:val="0"/>
          </w:rPr>
          <w:t xml:space="preserve"> </w:t>
        </w:r>
      </w:hyperlink>
      <w:hyperlink r:id="rId729">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77">
      <w:pPr>
        <w:pStyle w:val="Heading3"/>
        <w:keepNext w:val="0"/>
        <w:keepLines w:val="0"/>
        <w:spacing w:before="280" w:lineRule="auto"/>
        <w:rPr>
          <w:b w:val="1"/>
          <w:bCs w:val="1"/>
          <w:color w:val="000000"/>
          <w:sz w:val="26"/>
          <w:szCs w:val="26"/>
        </w:rPr>
      </w:pPr>
      <w:bookmarkStart w:colFirst="0" w:colLast="0" w:name="_f7tvyzpxlj3j" w:id="109"/>
      <w:bookmarkEnd w:id="109"/>
      <w:r w:rsidDel="00000000" w:rsidR="00000000" w:rsidRPr="00000000">
        <w:rPr>
          <w:b w:val="1"/>
          <w:bCs w:val="1"/>
          <w:color w:val="000000"/>
          <w:sz w:val="26"/>
          <w:szCs w:val="26"/>
          <w:rtl w:val="0"/>
        </w:rPr>
        <w:t xml:space="preserve">8.7.2 Geopolitical Concentration Risk</w:t>
      </w:r>
    </w:p>
    <w:p w:rsidR="00000000" w:rsidDel="00000000" w:rsidP="00000000" w:rsidRDefault="00000000" w:rsidRPr="00000000" w14:paraId="00000378">
      <w:pPr>
        <w:spacing w:after="240" w:before="240" w:lineRule="auto"/>
        <w:rPr>
          <w:color w:val="1155cc"/>
          <w:u w:val="single"/>
        </w:rPr>
      </w:pPr>
      <w:r w:rsidDel="00000000" w:rsidR="00000000" w:rsidRPr="00000000">
        <w:rPr>
          <w:rtl w:val="0"/>
        </w:rPr>
        <w:t xml:space="preserve">TSMC produces approximately ninety-two percent of the world's most advanced semiconductors. This single-firm concentration creates a critical vulnerability under any scenario where Taiwan's geopolitical status disrupts fabrication capacity or corporate independence.</w:t>
      </w:r>
      <w:hyperlink r:id="rId730">
        <w:r w:rsidDel="00000000" w:rsidR="00000000" w:rsidRPr="00000000">
          <w:rPr>
            <w:rtl w:val="0"/>
          </w:rPr>
          <w:t xml:space="preserve"> </w:t>
        </w:r>
      </w:hyperlink>
      <w:hyperlink r:id="rId731">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79">
      <w:pPr>
        <w:spacing w:after="240" w:before="240" w:lineRule="auto"/>
        <w:rPr>
          <w:color w:val="1155cc"/>
          <w:u w:val="single"/>
        </w:rPr>
      </w:pPr>
      <w:r w:rsidDel="00000000" w:rsidR="00000000" w:rsidRPr="00000000">
        <w:rPr>
          <w:rtl w:val="0"/>
        </w:rPr>
        <w:t xml:space="preserve">The CHIPS Act is accelerating domestic US fabrication capacity: TSMC Arizona Fab 3 targeting 2nm production arrives in 2029, and Intel 18A is ramping with yields of fifty-five to sixty-five percent, below the seventy to eighty percent threshold for commercial profitability. Meaningful US-based 2nm-class capacity arrives in the 2027 to 2029 window. The Foreign Direct Product Rule extends US jurisdiction to virtually all advanced semiconductor designs because all major EDA tools are US-origin.</w:t>
      </w:r>
      <w:hyperlink r:id="rId732">
        <w:r w:rsidDel="00000000" w:rsidR="00000000" w:rsidRPr="00000000">
          <w:rPr>
            <w:rtl w:val="0"/>
          </w:rPr>
          <w:t xml:space="preserve"> </w:t>
        </w:r>
      </w:hyperlink>
      <w:hyperlink r:id="rId733">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7A">
      <w:pPr>
        <w:pStyle w:val="Heading3"/>
        <w:keepNext w:val="0"/>
        <w:keepLines w:val="0"/>
        <w:spacing w:before="280" w:lineRule="auto"/>
        <w:rPr>
          <w:b w:val="1"/>
          <w:bCs w:val="1"/>
          <w:color w:val="000000"/>
          <w:sz w:val="26"/>
          <w:szCs w:val="26"/>
        </w:rPr>
      </w:pPr>
      <w:bookmarkStart w:colFirst="0" w:colLast="0" w:name="_e6i4pisbgfwf" w:id="110"/>
      <w:bookmarkEnd w:id="110"/>
      <w:r w:rsidDel="00000000" w:rsidR="00000000" w:rsidRPr="00000000">
        <w:rPr>
          <w:b w:val="1"/>
          <w:bCs w:val="1"/>
          <w:color w:val="000000"/>
          <w:sz w:val="26"/>
          <w:szCs w:val="26"/>
          <w:rtl w:val="0"/>
        </w:rPr>
        <w:t xml:space="preserve">8.7.3 Mitigation Strategy</w:t>
      </w:r>
    </w:p>
    <w:p w:rsidR="00000000" w:rsidDel="00000000" w:rsidP="00000000" w:rsidRDefault="00000000" w:rsidRPr="00000000" w14:paraId="0000037B">
      <w:pPr>
        <w:spacing w:after="240" w:before="240" w:lineRule="auto"/>
        <w:rPr/>
      </w:pPr>
      <w:r w:rsidDel="00000000" w:rsidR="00000000" w:rsidRPr="00000000">
        <w:rPr>
          <w:rtl w:val="0"/>
        </w:rPr>
        <w:t xml:space="preserve">Four mitigations reduce but do not eliminate supply chain risk.</w:t>
      </w:r>
    </w:p>
    <w:p w:rsidR="00000000" w:rsidDel="00000000" w:rsidP="00000000" w:rsidRDefault="00000000" w:rsidRPr="00000000" w14:paraId="0000037C">
      <w:pPr>
        <w:spacing w:after="240" w:before="240" w:lineRule="auto"/>
        <w:rPr/>
      </w:pPr>
      <w:r w:rsidDel="00000000" w:rsidR="00000000" w:rsidRPr="00000000">
        <w:rPr>
          <w:b w:val="1"/>
          <w:bCs w:val="1"/>
          <w:rtl w:val="0"/>
        </w:rPr>
        <w:t xml:space="preserve">Multi-vendor production</w:t>
      </w:r>
      <w:r w:rsidDel="00000000" w:rsidR="00000000" w:rsidRPr="00000000">
        <w:rPr>
          <w:rtl w:val="0"/>
        </w:rPr>
        <w:t xml:space="preserve"> reduces the probability of correlated compromise: if two vendors use different process design kits, different EDA tool versions, and different third-party IP blocks, a Trojan inserted at one vendor affects only chips from that vendor.</w:t>
      </w:r>
    </w:p>
    <w:p w:rsidR="00000000" w:rsidDel="00000000" w:rsidP="00000000" w:rsidRDefault="00000000" w:rsidRPr="00000000" w14:paraId="0000037D">
      <w:pPr>
        <w:spacing w:after="240" w:before="240" w:lineRule="auto"/>
        <w:rPr>
          <w:color w:val="1155cc"/>
          <w:u w:val="single"/>
        </w:rPr>
      </w:pPr>
      <w:r w:rsidDel="00000000" w:rsidR="00000000" w:rsidRPr="00000000">
        <w:rPr>
          <w:b w:val="1"/>
          <w:bCs w:val="1"/>
          <w:rtl w:val="0"/>
        </w:rPr>
        <w:t xml:space="preserve">Behavioral monitoring in deployment</w:t>
      </w:r>
      <w:r w:rsidDel="00000000" w:rsidR="00000000" w:rsidRPr="00000000">
        <w:rPr>
          <w:rtl w:val="0"/>
        </w:rPr>
        <w:t xml:space="preserve"> detects anomalous chip behavior through the </w:t>
      </w:r>
      <w:r w:rsidDel="00000000" w:rsidR="00000000" w:rsidRPr="00000000">
        <w:rPr>
          <w:rFonts w:ascii="Roboto Mono" w:cs="Roboto Mono" w:eastAsia="Roboto Mono" w:hAnsi="Roboto Mono"/>
          <w:color w:val="188038"/>
          <w:rtl w:val="0"/>
        </w:rPr>
        <w:t xml:space="preserve">windowComparatorReading</w:t>
      </w:r>
      <w:r w:rsidDel="00000000" w:rsidR="00000000" w:rsidRPr="00000000">
        <w:rPr>
          <w:rtl w:val="0"/>
        </w:rPr>
        <w:t xml:space="preserve"> field in </w:t>
      </w:r>
      <w:r w:rsidDel="00000000" w:rsidR="00000000" w:rsidRPr="00000000">
        <w:rPr>
          <w:rFonts w:ascii="Roboto Mono" w:cs="Roboto Mono" w:eastAsia="Roboto Mono" w:hAnsi="Roboto Mono"/>
          <w:color w:val="188038"/>
          <w:rtl w:val="0"/>
        </w:rPr>
        <w:t xml:space="preserve">EscrowRecord_v1_0_0</w:t>
      </w:r>
      <w:r w:rsidDel="00000000" w:rsidR="00000000" w:rsidRPr="00000000">
        <w:rPr>
          <w:rtl w:val="0"/>
        </w:rPr>
        <w:t xml:space="preserve"> and the </w:t>
      </w:r>
      <w:r w:rsidDel="00000000" w:rsidR="00000000" w:rsidRPr="00000000">
        <w:rPr>
          <w:rFonts w:ascii="Roboto Mono" w:cs="Roboto Mono" w:eastAsia="Roboto Mono" w:hAnsi="Roboto Mono"/>
          <w:color w:val="188038"/>
          <w:rtl w:val="0"/>
        </w:rPr>
        <w:t xml:space="preserve">TLCapabilityFlags</w:t>
      </w:r>
      <w:r w:rsidDel="00000000" w:rsidR="00000000" w:rsidRPr="00000000">
        <w:rPr>
          <w:rtl w:val="0"/>
        </w:rPr>
        <w:t xml:space="preserve"> fields. The Technical Council maintains baseline behavioral profiles for each enrolled coprocessor instance and monitors for deviations.</w:t>
      </w:r>
      <w:hyperlink r:id="rId734">
        <w:r w:rsidDel="00000000" w:rsidR="00000000" w:rsidRPr="00000000">
          <w:rPr>
            <w:rtl w:val="0"/>
          </w:rPr>
          <w:t xml:space="preserve"> </w:t>
        </w:r>
      </w:hyperlink>
      <w:hyperlink r:id="rId735">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37E">
      <w:pPr>
        <w:spacing w:after="240" w:before="240" w:lineRule="auto"/>
        <w:rPr/>
      </w:pPr>
      <w:r w:rsidDel="00000000" w:rsidR="00000000" w:rsidRPr="00000000">
        <w:rPr>
          <w:b w:val="1"/>
          <w:bCs w:val="1"/>
          <w:rtl w:val="0"/>
        </w:rPr>
        <w:t xml:space="preserve">Post-fabrication quarantine</w:t>
      </w:r>
      <w:r w:rsidDel="00000000" w:rsidR="00000000" w:rsidRPr="00000000">
        <w:rPr>
          <w:rtl w:val="0"/>
        </w:rPr>
        <w:t xml:space="preserve"> requires that newly fabricated DITL coprocessors undergo a minimum thirty-day behavioral monitoring period before they are authorized to issue Permission Tokens. During quarantine, the chip operates in audit-only mode: evaluating proposals and generating Decision Logs but withholding Permission Tokens.</w:t>
      </w:r>
    </w:p>
    <w:p w:rsidR="00000000" w:rsidDel="00000000" w:rsidP="00000000" w:rsidRDefault="00000000" w:rsidRPr="00000000" w14:paraId="0000037F">
      <w:pPr>
        <w:spacing w:after="240" w:before="240" w:lineRule="auto"/>
        <w:rPr/>
      </w:pPr>
      <w:r w:rsidDel="00000000" w:rsidR="00000000" w:rsidRPr="00000000">
        <w:rPr>
          <w:b w:val="1"/>
          <w:bCs w:val="1"/>
          <w:rtl w:val="0"/>
        </w:rPr>
        <w:t xml:space="preserve">Foundry diversity and civilian end-use certification</w:t>
      </w:r>
      <w:r w:rsidDel="00000000" w:rsidR="00000000" w:rsidRPr="00000000">
        <w:rPr>
          <w:rtl w:val="0"/>
        </w:rPr>
        <w:t xml:space="preserve"> requires the Stewardship Custodians to maintain a vendor exclusion list prohibiting fabrication by entities with defense revenue above a defined threshold. This threshold remains an open parameter in the Constitutional Uncertainty Register pending Technical Council determination.</w:t>
      </w:r>
    </w:p>
    <w:p w:rsidR="00000000" w:rsidDel="00000000" w:rsidP="00000000" w:rsidRDefault="00000000" w:rsidRPr="00000000" w14:paraId="00000380">
      <w:pPr>
        <w:spacing w:after="240" w:before="240" w:lineRule="auto"/>
        <w:rPr/>
      </w:pPr>
      <w:r w:rsidDel="00000000" w:rsidR="00000000" w:rsidRPr="00000000">
        <w:rPr>
          <w:rtl w:val="0"/>
        </w:rPr>
        <w:t xml:space="preserve">The probability of reliable DITL chip production at scale without detectable compromise is estimated at fifteen to twenty-five percent within a five-year horizon and forty to fifty-five percent within a ten-year horizon, conditioned on successful tape-out at a trusted foundry, multi-vendor production, and domestic fabrication capacity at advanced nodes.</w:t>
      </w:r>
      <w:hyperlink r:id="rId736">
        <w:r w:rsidDel="00000000" w:rsidR="00000000" w:rsidRPr="00000000">
          <w:rPr>
            <w:rtl w:val="0"/>
          </w:rPr>
          <w:t xml:space="preserve"> </w:t>
        </w:r>
      </w:hyperlink>
      <w:hyperlink r:id="rId737">
        <w:r w:rsidDel="00000000" w:rsidR="00000000" w:rsidRPr="00000000">
          <w:rPr>
            <w:color w:val="1155cc"/>
            <w:u w:val="single"/>
            <w:rtl w:val="0"/>
          </w:rPr>
          <w:t xml:space="preserve">[17]</w:t>
        </w:r>
      </w:hyperlink>
      <w:r w:rsidDel="00000000" w:rsidR="00000000" w:rsidRPr="00000000">
        <w:rPr>
          <w:rtl w:val="0"/>
        </w:rPr>
        <w:t xml:space="preserve"> These are conditional projections, not empirical measurements.</w:t>
      </w:r>
    </w:p>
    <w:p w:rsidR="00000000" w:rsidDel="00000000" w:rsidP="00000000" w:rsidRDefault="00000000" w:rsidRPr="00000000" w14:paraId="00000381">
      <w:pPr>
        <w:pStyle w:val="Heading2"/>
        <w:keepNext w:val="0"/>
        <w:keepLines w:val="0"/>
        <w:spacing w:after="80" w:lineRule="auto"/>
        <w:rPr>
          <w:b w:val="1"/>
          <w:bCs w:val="1"/>
          <w:sz w:val="34"/>
          <w:szCs w:val="34"/>
        </w:rPr>
      </w:pPr>
      <w:bookmarkStart w:colFirst="0" w:colLast="0" w:name="_rwkl4saozssx" w:id="111"/>
      <w:bookmarkEnd w:id="111"/>
      <w:r w:rsidDel="00000000" w:rsidR="00000000" w:rsidRPr="00000000">
        <w:rPr>
          <w:b w:val="1"/>
          <w:bCs w:val="1"/>
          <w:sz w:val="34"/>
          <w:szCs w:val="34"/>
          <w:rtl w:val="0"/>
        </w:rPr>
        <w:t xml:space="preserve">8.8 Transitional Emulation Mode</w:t>
      </w:r>
    </w:p>
    <w:p w:rsidR="00000000" w:rsidDel="00000000" w:rsidP="00000000" w:rsidRDefault="00000000" w:rsidRPr="00000000" w14:paraId="00000382">
      <w:pPr>
        <w:spacing w:after="240" w:before="240" w:lineRule="auto"/>
        <w:rPr>
          <w:color w:val="1155cc"/>
          <w:u w:val="single"/>
        </w:rPr>
      </w:pPr>
      <w:r w:rsidDel="00000000" w:rsidR="00000000" w:rsidRPr="00000000">
        <w:rPr>
          <w:rtl w:val="0"/>
        </w:rPr>
        <w:t xml:space="preserve">No fabricated DITL chip meeting all six mandatory conditions currently exists. The DITL research has been demonstrated at the transistor simulation level using an IBM PDK 1.2V 130nm CMOS process. The component library - including NAND2, half adder, full adder, MUX, XOR, and C-elements - is complete at simulation. But the gap between transistor simulation and fabricated silicon is measured in years and hundreds of millions of dollars in development cost.</w:t>
      </w:r>
      <w:hyperlink r:id="rId738">
        <w:r w:rsidDel="00000000" w:rsidR="00000000" w:rsidRPr="00000000">
          <w:rPr>
            <w:rtl w:val="0"/>
          </w:rPr>
          <w:t xml:space="preserve"> </w:t>
        </w:r>
      </w:hyperlink>
      <w:hyperlink r:id="rId739">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83">
      <w:pPr>
        <w:spacing w:after="240" w:before="240" w:lineRule="auto"/>
        <w:rPr>
          <w:color w:val="1155cc"/>
          <w:u w:val="single"/>
        </w:rPr>
      </w:pPr>
      <w:r w:rsidDel="00000000" w:rsidR="00000000" w:rsidRPr="00000000">
        <w:rPr>
          <w:rtl w:val="0"/>
        </w:rPr>
        <w:t xml:space="preserve">During Transitional Emulation Mode - when TL runs on conventional binary hardware without physical ternary enforcement - the API truthfully reports this posture through </w:t>
      </w:r>
      <w:r w:rsidDel="00000000" w:rsidR="00000000" w:rsidRPr="00000000">
        <w:rPr>
          <w:rFonts w:ascii="Roboto Mono" w:cs="Roboto Mono" w:eastAsia="Roboto Mono" w:hAnsi="Roboto Mono"/>
          <w:color w:val="188038"/>
          <w:rtl w:val="0"/>
        </w:rPr>
        <w:t xml:space="preserve">NULL_PUF_DEPLOYMENT</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NLNAAuditToken.pufAttestation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windowComparatorReading.softwareEnforcementActive: true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EscrowRecord_v1_0_0</w:t>
      </w:r>
      <w:r w:rsidDel="00000000" w:rsidR="00000000" w:rsidRPr="00000000">
        <w:rPr>
          <w:rtl w:val="0"/>
        </w:rPr>
        <w:t xml:space="preserve">. Institutions cannot misrepresent their enforcement posture because every </w:t>
      </w:r>
      <w:r w:rsidDel="00000000" w:rsidR="00000000" w:rsidRPr="00000000">
        <w:rPr>
          <w:rFonts w:ascii="Roboto Mono" w:cs="Roboto Mono" w:eastAsia="Roboto Mono" w:hAnsi="Roboto Mono"/>
          <w:color w:val="188038"/>
          <w:rtl w:val="0"/>
        </w:rPr>
        <w:t xml:space="preserve">PermissionToken_v1_0_0</w:t>
      </w:r>
      <w:r w:rsidDel="00000000" w:rsidR="00000000" w:rsidRPr="00000000">
        <w:rPr>
          <w:rtl w:val="0"/>
        </w:rPr>
        <w:t xml:space="preserve"> carries the </w:t>
      </w:r>
      <w:r w:rsidDel="00000000" w:rsidR="00000000" w:rsidRPr="00000000">
        <w:rPr>
          <w:rFonts w:ascii="Roboto Mono" w:cs="Roboto Mono" w:eastAsia="Roboto Mono" w:hAnsi="Roboto Mono"/>
          <w:color w:val="188038"/>
          <w:rtl w:val="0"/>
        </w:rPr>
        <w:t xml:space="preserve">TLCapabilityFlags</w:t>
      </w:r>
      <w:r w:rsidDel="00000000" w:rsidR="00000000" w:rsidRPr="00000000">
        <w:rPr>
          <w:rtl w:val="0"/>
        </w:rPr>
        <w:t xml:space="preserve"> that expose the actual substrate.</w:t>
      </w:r>
      <w:hyperlink r:id="rId740">
        <w:r w:rsidDel="00000000" w:rsidR="00000000" w:rsidRPr="00000000">
          <w:rPr>
            <w:rtl w:val="0"/>
          </w:rPr>
          <w:t xml:space="preserve"> </w:t>
        </w:r>
      </w:hyperlink>
      <w:hyperlink r:id="rId741">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384">
      <w:pPr>
        <w:spacing w:after="240" w:before="240" w:lineRule="auto"/>
        <w:rPr/>
      </w:pPr>
      <w:r w:rsidDel="00000000" w:rsidR="00000000" w:rsidRPr="00000000">
        <w:rPr>
          <w:rtl w:val="0"/>
        </w:rPr>
        <w:t xml:space="preserve">The per-Pillar degradation in emulation mode:</w:t>
      </w:r>
    </w:p>
    <w:p w:rsidR="00000000" w:rsidDel="00000000" w:rsidP="00000000" w:rsidRDefault="00000000" w:rsidRPr="00000000" w14:paraId="00000385">
      <w:pPr>
        <w:numPr>
          <w:ilvl w:val="0"/>
          <w:numId w:val="5"/>
        </w:numPr>
        <w:spacing w:after="0" w:before="240" w:lineRule="auto"/>
        <w:ind w:left="720" w:hanging="360"/>
        <w:rPr/>
      </w:pPr>
      <w:r w:rsidDel="00000000" w:rsidR="00000000" w:rsidRPr="00000000">
        <w:rPr>
          <w:b w:val="1"/>
          <w:bCs w:val="1"/>
          <w:rtl w:val="0"/>
        </w:rPr>
        <w:t xml:space="preserve">Pillar I (</w:t>
      </w:r>
      <w:r w:rsidDel="00000000" w:rsidR="00000000" w:rsidRPr="00000000">
        <w:rPr>
          <w:rFonts w:ascii="Roboto Mono" w:cs="Roboto Mono" w:eastAsia="Roboto Mono" w:hAnsi="Roboto Mono"/>
          <w:b w:val="1"/>
          <w:bCs w:val="1"/>
          <w:color w:val="188038"/>
          <w:rtl w:val="0"/>
        </w:rPr>
        <w:t xml:space="preserve">EpistemicHold</w:t>
      </w:r>
      <w:r w:rsidDel="00000000" w:rsidR="00000000" w:rsidRPr="00000000">
        <w:rPr>
          <w:b w:val="1"/>
          <w:bCs w:val="1"/>
          <w:rtl w:val="0"/>
        </w:rPr>
        <w:t xml:space="preserve">)</w:t>
      </w:r>
      <w:r w:rsidDel="00000000" w:rsidR="00000000" w:rsidRPr="00000000">
        <w:rPr>
          <w:rtl w:val="0"/>
        </w:rPr>
        <w:t xml:space="preserve">: shifts from Critical hardware-enforced to policy-only - the hesitation state becomes a conditional software branch bypassable by root access</w:t>
      </w:r>
    </w:p>
    <w:p w:rsidR="00000000" w:rsidDel="00000000" w:rsidP="00000000" w:rsidRDefault="00000000" w:rsidRPr="00000000" w14:paraId="00000386">
      <w:pPr>
        <w:numPr>
          <w:ilvl w:val="0"/>
          <w:numId w:val="5"/>
        </w:numPr>
        <w:spacing w:after="0" w:before="0" w:lineRule="auto"/>
        <w:ind w:left="720" w:hanging="360"/>
        <w:rPr/>
      </w:pPr>
      <w:r w:rsidDel="00000000" w:rsidR="00000000" w:rsidRPr="00000000">
        <w:rPr>
          <w:b w:val="1"/>
          <w:bCs w:val="1"/>
          <w:rtl w:val="0"/>
        </w:rPr>
        <w:t xml:space="preserve">Pillar IV (</w:t>
      </w:r>
      <w:r w:rsidDel="00000000" w:rsidR="00000000" w:rsidRPr="00000000">
        <w:rPr>
          <w:rFonts w:ascii="Roboto Mono" w:cs="Roboto Mono" w:eastAsia="Roboto Mono" w:hAnsi="Roboto Mono"/>
          <w:b w:val="1"/>
          <w:bCs w:val="1"/>
          <w:color w:val="188038"/>
          <w:rtl w:val="0"/>
        </w:rPr>
        <w:t xml:space="preserve">DecisionLogs</w:t>
      </w:r>
      <w:r w:rsidDel="00000000" w:rsidR="00000000" w:rsidRPr="00000000">
        <w:rPr>
          <w:b w:val="1"/>
          <w:bCs w:val="1"/>
          <w:rtl w:val="0"/>
        </w:rPr>
        <w:t xml:space="preserve">)</w:t>
      </w:r>
      <w:r w:rsidDel="00000000" w:rsidR="00000000" w:rsidRPr="00000000">
        <w:rPr>
          <w:rtl w:val="0"/>
        </w:rPr>
        <w:t xml:space="preserve">: shifts from Critical hardware-enforced to policy-only - the execution gate becomes a software check</w:t>
      </w:r>
    </w:p>
    <w:p w:rsidR="00000000" w:rsidDel="00000000" w:rsidP="00000000" w:rsidRDefault="00000000" w:rsidRPr="00000000" w14:paraId="00000387">
      <w:pPr>
        <w:numPr>
          <w:ilvl w:val="0"/>
          <w:numId w:val="5"/>
        </w:numPr>
        <w:spacing w:after="0" w:before="0" w:lineRule="auto"/>
        <w:ind w:left="720" w:hanging="360"/>
        <w:rPr/>
      </w:pPr>
      <w:r w:rsidDel="00000000" w:rsidR="00000000" w:rsidRPr="00000000">
        <w:rPr>
          <w:b w:val="1"/>
          <w:bCs w:val="1"/>
          <w:rtl w:val="0"/>
        </w:rPr>
        <w:t xml:space="preserve">Pillar II (</w:t>
      </w:r>
      <w:r w:rsidDel="00000000" w:rsidR="00000000" w:rsidRPr="00000000">
        <w:rPr>
          <w:rFonts w:ascii="Roboto Mono" w:cs="Roboto Mono" w:eastAsia="Roboto Mono" w:hAnsi="Roboto Mono"/>
          <w:b w:val="1"/>
          <w:bCs w:val="1"/>
          <w:color w:val="188038"/>
          <w:rtl w:val="0"/>
        </w:rPr>
        <w:t xml:space="preserve">ImmutableLedger</w:t>
      </w:r>
      <w:r w:rsidDel="00000000" w:rsidR="00000000" w:rsidRPr="00000000">
        <w:rPr>
          <w:b w:val="1"/>
          <w:bCs w:val="1"/>
          <w:rtl w:val="0"/>
        </w:rPr>
        <w:t xml:space="preserve">)</w:t>
      </w:r>
      <w:r w:rsidDel="00000000" w:rsidR="00000000" w:rsidRPr="00000000">
        <w:rPr>
          <w:rtl w:val="0"/>
        </w:rPr>
        <w:t xml:space="preserve">: remains High - hash chains function identically on binary hardware</w:t>
      </w:r>
    </w:p>
    <w:p w:rsidR="00000000" w:rsidDel="00000000" w:rsidP="00000000" w:rsidRDefault="00000000" w:rsidRPr="00000000" w14:paraId="00000388">
      <w:pPr>
        <w:numPr>
          <w:ilvl w:val="0"/>
          <w:numId w:val="5"/>
        </w:numPr>
        <w:spacing w:after="0" w:before="0" w:lineRule="auto"/>
        <w:ind w:left="720" w:hanging="360"/>
        <w:rPr/>
      </w:pPr>
      <w:r w:rsidDel="00000000" w:rsidR="00000000" w:rsidRPr="00000000">
        <w:rPr>
          <w:b w:val="1"/>
          <w:bCs w:val="1"/>
          <w:rtl w:val="0"/>
        </w:rPr>
        <w:t xml:space="preserve">Pillar VIII (</w:t>
      </w:r>
      <w:r w:rsidDel="00000000" w:rsidR="00000000" w:rsidRPr="00000000">
        <w:rPr>
          <w:rFonts w:ascii="Roboto Mono" w:cs="Roboto Mono" w:eastAsia="Roboto Mono" w:hAnsi="Roboto Mono"/>
          <w:b w:val="1"/>
          <w:bCs w:val="1"/>
          <w:color w:val="188038"/>
          <w:rtl w:val="0"/>
        </w:rPr>
        <w:t xml:space="preserve">Anchors</w:t>
      </w:r>
      <w:r w:rsidDel="00000000" w:rsidR="00000000" w:rsidRPr="00000000">
        <w:rPr>
          <w:b w:val="1"/>
          <w:bCs w:val="1"/>
          <w:rtl w:val="0"/>
        </w:rPr>
        <w:t xml:space="preserve">)</w:t>
      </w:r>
      <w:r w:rsidDel="00000000" w:rsidR="00000000" w:rsidRPr="00000000">
        <w:rPr>
          <w:rtl w:val="0"/>
        </w:rPr>
        <w:t xml:space="preserve">: remains High - blockchain anchoring is hardware-independent</w:t>
      </w:r>
    </w:p>
    <w:p w:rsidR="00000000" w:rsidDel="00000000" w:rsidP="00000000" w:rsidRDefault="00000000" w:rsidRPr="00000000" w14:paraId="00000389">
      <w:pPr>
        <w:numPr>
          <w:ilvl w:val="0"/>
          <w:numId w:val="5"/>
        </w:numPr>
        <w:spacing w:after="0" w:before="0" w:lineRule="auto"/>
        <w:ind w:left="720" w:hanging="360"/>
        <w:rPr/>
      </w:pPr>
      <w:r w:rsidDel="00000000" w:rsidR="00000000" w:rsidRPr="00000000">
        <w:rPr>
          <w:b w:val="1"/>
          <w:bCs w:val="1"/>
          <w:rtl w:val="0"/>
        </w:rPr>
        <w:t xml:space="preserve">Pillar III (</w:t>
      </w:r>
      <w:r w:rsidDel="00000000" w:rsidR="00000000" w:rsidRPr="00000000">
        <w:rPr>
          <w:rFonts w:ascii="Roboto Mono" w:cs="Roboto Mono" w:eastAsia="Roboto Mono" w:hAnsi="Roboto Mono"/>
          <w:b w:val="1"/>
          <w:bCs w:val="1"/>
          <w:color w:val="188038"/>
          <w:rtl w:val="0"/>
        </w:rPr>
        <w:t xml:space="preserve">GoukassianPrinciple</w:t>
      </w:r>
      <w:r w:rsidDel="00000000" w:rsidR="00000000" w:rsidRPr="00000000">
        <w:rPr>
          <w:b w:val="1"/>
          <w:bCs w:val="1"/>
          <w:rtl w:val="0"/>
        </w:rPr>
        <w:t xml:space="preserve">)</w:t>
      </w:r>
      <w:r w:rsidDel="00000000" w:rsidR="00000000" w:rsidRPr="00000000">
        <w:rPr>
          <w:rtl w:val="0"/>
        </w:rPr>
        <w:t xml:space="preserve">: shifts from Moderate to Low - hardware attestation backing is absent</w:t>
      </w:r>
    </w:p>
    <w:p w:rsidR="00000000" w:rsidDel="00000000" w:rsidP="00000000" w:rsidRDefault="00000000" w:rsidRPr="00000000" w14:paraId="0000038A">
      <w:pPr>
        <w:numPr>
          <w:ilvl w:val="0"/>
          <w:numId w:val="5"/>
        </w:numPr>
        <w:spacing w:after="0" w:before="0" w:lineRule="auto"/>
        <w:ind w:left="720" w:hanging="360"/>
        <w:rPr/>
      </w:pPr>
      <w:r w:rsidDel="00000000" w:rsidR="00000000" w:rsidRPr="00000000">
        <w:rPr>
          <w:b w:val="1"/>
          <w:bCs w:val="1"/>
          <w:rtl w:val="0"/>
        </w:rPr>
        <w:t xml:space="preserve">Pillars V and VI</w:t>
      </w:r>
      <w:r w:rsidDel="00000000" w:rsidR="00000000" w:rsidRPr="00000000">
        <w:rPr>
          <w:rtl w:val="0"/>
        </w:rPr>
        <w:t xml:space="preserve">: remain Low - no degradation because they were never hardware-enforced</w:t>
      </w:r>
    </w:p>
    <w:p w:rsidR="00000000" w:rsidDel="00000000" w:rsidP="00000000" w:rsidRDefault="00000000" w:rsidRPr="00000000" w14:paraId="0000038B">
      <w:pPr>
        <w:numPr>
          <w:ilvl w:val="0"/>
          <w:numId w:val="5"/>
        </w:numPr>
        <w:spacing w:after="240" w:before="0" w:lineRule="auto"/>
        <w:ind w:left="720" w:hanging="360"/>
        <w:rPr/>
      </w:pPr>
      <w:r w:rsidDel="00000000" w:rsidR="00000000" w:rsidRPr="00000000">
        <w:rPr>
          <w:b w:val="1"/>
          <w:bCs w:val="1"/>
          <w:rtl w:val="0"/>
        </w:rPr>
        <w:t xml:space="preserve">Pillar VII (</w:t>
      </w:r>
      <w:r w:rsidDel="00000000" w:rsidR="00000000" w:rsidRPr="00000000">
        <w:rPr>
          <w:rFonts w:ascii="Roboto Mono" w:cs="Roboto Mono" w:eastAsia="Roboto Mono" w:hAnsi="Roboto Mono"/>
          <w:b w:val="1"/>
          <w:bCs w:val="1"/>
          <w:color w:val="188038"/>
          <w:rtl w:val="0"/>
        </w:rPr>
        <w:t xml:space="preserve">HybridShield</w:t>
      </w:r>
      <w:r w:rsidDel="00000000" w:rsidR="00000000" w:rsidRPr="00000000">
        <w:rPr>
          <w:b w:val="1"/>
          <w:bCs w:val="1"/>
          <w:rtl w:val="0"/>
        </w:rPr>
        <w:t xml:space="preserve">)</w:t>
      </w:r>
      <w:r w:rsidDel="00000000" w:rsidR="00000000" w:rsidRPr="00000000">
        <w:rPr>
          <w:rtl w:val="0"/>
        </w:rPr>
        <w:t xml:space="preserve">: remains Moderate - key management operates identically</w:t>
      </w:r>
      <w:hyperlink r:id="rId742">
        <w:r w:rsidDel="00000000" w:rsidR="00000000" w:rsidRPr="00000000">
          <w:rPr>
            <w:rtl w:val="0"/>
          </w:rPr>
          <w:t xml:space="preserve"> </w:t>
        </w:r>
      </w:hyperlink>
      <w:hyperlink r:id="rId743">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8C">
      <w:pPr>
        <w:spacing w:after="240" w:before="240" w:lineRule="auto"/>
        <w:rPr>
          <w:color w:val="1155cc"/>
          <w:u w:val="single"/>
        </w:rPr>
      </w:pPr>
      <w:r w:rsidDel="00000000" w:rsidR="00000000" w:rsidRPr="00000000">
        <w:rPr>
          <w:rtl w:val="0"/>
        </w:rPr>
        <w:t xml:space="preserve">The simultaneous degradation of both Critical-rated Pillars (I and IV) means the framework structurally collapses to a policy-governance system during emulation mode. The evidentiary record remains tamper-evident. The execution gate does not have physics-level enforcement. Against a well-resourced nation-state adversary, software-only TL provides meaningful governance for an estimated six to eighteen months before the adversary develops reliable bypass tooling. Against commercial adversaries such as insider threats, the window extends to two to five years.</w:t>
      </w:r>
      <w:hyperlink r:id="rId744">
        <w:r w:rsidDel="00000000" w:rsidR="00000000" w:rsidRPr="00000000">
          <w:rPr>
            <w:rtl w:val="0"/>
          </w:rPr>
          <w:t xml:space="preserve"> </w:t>
        </w:r>
      </w:hyperlink>
      <w:hyperlink r:id="rId745">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8D">
      <w:pPr>
        <w:pStyle w:val="Heading2"/>
        <w:keepNext w:val="0"/>
        <w:keepLines w:val="0"/>
        <w:spacing w:after="80" w:lineRule="auto"/>
        <w:rPr>
          <w:b w:val="1"/>
          <w:bCs w:val="1"/>
          <w:sz w:val="34"/>
          <w:szCs w:val="34"/>
        </w:rPr>
      </w:pPr>
      <w:bookmarkStart w:colFirst="0" w:colLast="0" w:name="_xd7sbhd6gmyk" w:id="112"/>
      <w:bookmarkEnd w:id="112"/>
      <w:r w:rsidDel="00000000" w:rsidR="00000000" w:rsidRPr="00000000">
        <w:rPr>
          <w:b w:val="1"/>
          <w:bCs w:val="1"/>
          <w:sz w:val="34"/>
          <w:szCs w:val="34"/>
          <w:rtl w:val="0"/>
        </w:rPr>
        <w:t xml:space="preserve">8.9 Autonomous Execution Use Cases: Hardware in Practice</w:t>
      </w:r>
    </w:p>
    <w:p w:rsidR="00000000" w:rsidDel="00000000" w:rsidP="00000000" w:rsidRDefault="00000000" w:rsidRPr="00000000" w14:paraId="0000038E">
      <w:pPr>
        <w:spacing w:after="240" w:before="240" w:lineRule="auto"/>
        <w:rPr/>
      </w:pPr>
      <w:r w:rsidDel="00000000" w:rsidR="00000000" w:rsidRPr="00000000">
        <w:rPr>
          <w:rtl w:val="0"/>
        </w:rPr>
        <w:t xml:space="preserve">The hardware enforcement architecture specified in this Section is designed for the two autonomous execution domains that present the most severe failure modes when governance is absent.</w:t>
      </w:r>
    </w:p>
    <w:p w:rsidR="00000000" w:rsidDel="00000000" w:rsidP="00000000" w:rsidRDefault="00000000" w:rsidRPr="00000000" w14:paraId="0000038F">
      <w:pPr>
        <w:spacing w:after="240" w:before="240" w:lineRule="auto"/>
        <w:rPr/>
      </w:pPr>
      <w:r w:rsidDel="00000000" w:rsidR="00000000" w:rsidRPr="00000000">
        <w:rPr>
          <w:b w:val="1"/>
          <w:bCs w:val="1"/>
          <w:rtl w:val="0"/>
        </w:rPr>
        <w:t xml:space="preserve">High-Frequency Trading.</w:t>
      </w:r>
      <w:r w:rsidDel="00000000" w:rsidR="00000000" w:rsidRPr="00000000">
        <w:rPr>
          <w:rtl w:val="0"/>
        </w:rPr>
        <w:t xml:space="preserve"> A trading algorithm in the Inference Lane generates a million proposals per second. Each proposal must still pass through the Governance Lane and receive a </w:t>
      </w:r>
      <w:r w:rsidDel="00000000" w:rsidR="00000000" w:rsidRPr="00000000">
        <w:rPr>
          <w:rFonts w:ascii="Roboto Mono" w:cs="Roboto Mono" w:eastAsia="Roboto Mono" w:hAnsi="Roboto Mono"/>
          <w:color w:val="188038"/>
          <w:rtl w:val="0"/>
        </w:rPr>
        <w:t xml:space="preserve">PermissionToken_v1_0_0</w:t>
      </w:r>
      <w:r w:rsidDel="00000000" w:rsidR="00000000" w:rsidRPr="00000000">
        <w:rPr>
          <w:rtl w:val="0"/>
        </w:rPr>
        <w:t xml:space="preserve"> before the hardware gate will transition to the Proceed state. The memristor's intermediate resistance state acts as a physical speed bump that cannot be circumvented by faster processors, co-location advantages, or network optimization.</w:t>
      </w:r>
      <w:hyperlink r:id="rId746">
        <w:r w:rsidDel="00000000" w:rsidR="00000000" w:rsidRPr="00000000">
          <w:rPr>
            <w:rtl w:val="0"/>
          </w:rPr>
          <w:t xml:space="preserve"> </w:t>
        </w:r>
      </w:hyperlink>
      <w:hyperlink r:id="rId747">
        <w:r w:rsidDel="00000000" w:rsidR="00000000" w:rsidRPr="00000000">
          <w:rPr>
            <w:color w:val="1155cc"/>
            <w:u w:val="single"/>
            <w:rtl w:val="0"/>
          </w:rPr>
          <w:t xml:space="preserve">[16]</w:t>
        </w:r>
      </w:hyperlink>
      <w:r w:rsidDel="00000000" w:rsidR="00000000" w:rsidRPr="00000000">
        <w:rPr>
          <w:rtl w:val="0"/>
        </w:rPr>
        <w:t xml:space="preserve"> When a trading algorithm generates an order sequence that exhibits the spoofing signature, the </w:t>
      </w:r>
      <w:r w:rsidDel="00000000" w:rsidR="00000000" w:rsidRPr="00000000">
        <w:rPr>
          <w:rFonts w:ascii="Roboto Mono" w:cs="Roboto Mono" w:eastAsia="Roboto Mono" w:hAnsi="Roboto Mono"/>
          <w:color w:val="188038"/>
          <w:rtl w:val="0"/>
        </w:rPr>
        <w:t xml:space="preserve">HybridShield</w:t>
      </w:r>
      <w:r w:rsidDel="00000000" w:rsidR="00000000" w:rsidRPr="00000000">
        <w:rPr>
          <w:rtl w:val="0"/>
        </w:rPr>
        <w:t xml:space="preserve">'s Triadic Anti-Manipulation Check triggers Epistemic Hold via </w:t>
      </w:r>
      <w:r w:rsidDel="00000000" w:rsidR="00000000" w:rsidRPr="00000000">
        <w:rPr>
          <w:rFonts w:ascii="Roboto Mono" w:cs="Roboto Mono" w:eastAsia="Roboto Mono" w:hAnsi="Roboto Mono"/>
          <w:color w:val="188038"/>
          <w:rtl w:val="0"/>
        </w:rPr>
        <w:t xml:space="preserve">EscrowRecord_v1_0_0</w:t>
      </w:r>
      <w:r w:rsidDel="00000000" w:rsidR="00000000" w:rsidRPr="00000000">
        <w:rPr>
          <w:rtl w:val="0"/>
        </w:rPr>
        <w:t xml:space="preserve"> before the first order reaches the exchange. The Flash Crash scenario cannot occur because the Governance Lane detects the anomalous order flow pattern and issues Refuse on the cascading sell sequence before </w:t>
      </w:r>
      <w:r w:rsidDel="00000000" w:rsidR="00000000" w:rsidRPr="00000000">
        <w:rPr>
          <w:rFonts w:ascii="Roboto Mono" w:cs="Roboto Mono" w:eastAsia="Roboto Mono" w:hAnsi="Roboto Mono"/>
          <w:color w:val="188038"/>
          <w:rtl w:val="0"/>
        </w:rPr>
        <w:t xml:space="preserve">TL_Ledger_Core.registerPermissionToken</w:t>
      </w:r>
      <w:r w:rsidDel="00000000" w:rsidR="00000000" w:rsidRPr="00000000">
        <w:rPr>
          <w:rtl w:val="0"/>
        </w:rPr>
        <w:t xml:space="preserve"> succeeds.</w:t>
      </w:r>
    </w:p>
    <w:p w:rsidR="00000000" w:rsidDel="00000000" w:rsidP="00000000" w:rsidRDefault="00000000" w:rsidRPr="00000000" w14:paraId="00000390">
      <w:pPr>
        <w:spacing w:after="240" w:before="240" w:lineRule="auto"/>
        <w:rPr>
          <w:color w:val="1155cc"/>
          <w:u w:val="single"/>
        </w:rPr>
      </w:pPr>
      <w:r w:rsidDel="00000000" w:rsidR="00000000" w:rsidRPr="00000000">
        <w:rPr>
          <w:b w:val="1"/>
          <w:bCs w:val="1"/>
          <w:rtl w:val="0"/>
        </w:rPr>
        <w:t xml:space="preserve">Central Bank Algorithmic Monetary Policy.</w:t>
      </w:r>
      <w:r w:rsidDel="00000000" w:rsidR="00000000" w:rsidRPr="00000000">
        <w:rPr>
          <w:rtl w:val="0"/>
        </w:rPr>
        <w:t xml:space="preserve"> A finance minister demands that the central bank governor authorize an emergency bond purchase before the market opens. The governor cannot comply regardless of the political pressure applied, because the MT cell for sovereign bond purchases remains in the intermediate Epistemic Hold state. The </w:t>
      </w:r>
      <w:r w:rsidDel="00000000" w:rsidR="00000000" w:rsidRPr="00000000">
        <w:rPr>
          <w:rFonts w:ascii="Roboto Mono" w:cs="Roboto Mono" w:eastAsia="Roboto Mono" w:hAnsi="Roboto Mono"/>
          <w:color w:val="188038"/>
          <w:rtl w:val="0"/>
        </w:rPr>
        <w:t xml:space="preserve">CONFIRM_OK</w:t>
      </w:r>
      <w:r w:rsidDel="00000000" w:rsidR="00000000" w:rsidRPr="00000000">
        <w:rPr>
          <w:rtl w:val="0"/>
        </w:rPr>
        <w:t xml:space="preserve"> pulse has not arrived because the Governance Lane has not completed its evidentiary evaluation. The minister cannot pressure the memristor. The cell does not respond to political authority. It responds only to the cryptographic pulse generated by the Tri-Cameral chambers after they have evaluated the proposal against the Goukassian Vow and produced a valid </w:t>
      </w:r>
      <w:r w:rsidDel="00000000" w:rsidR="00000000" w:rsidRPr="00000000">
        <w:rPr>
          <w:rFonts w:ascii="Roboto Mono" w:cs="Roboto Mono" w:eastAsia="Roboto Mono" w:hAnsi="Roboto Mono"/>
          <w:color w:val="188038"/>
          <w:rtl w:val="0"/>
        </w:rPr>
        <w:t xml:space="preserve">TriCameralApproval_v1_0_0</w:t>
      </w:r>
      <w:r w:rsidDel="00000000" w:rsidR="00000000" w:rsidRPr="00000000">
        <w:rPr>
          <w:rtl w:val="0"/>
        </w:rPr>
        <w:t xml:space="preserve">.</w:t>
      </w:r>
      <w:hyperlink r:id="rId748">
        <w:r w:rsidDel="00000000" w:rsidR="00000000" w:rsidRPr="00000000">
          <w:rPr>
            <w:rtl w:val="0"/>
          </w:rPr>
          <w:t xml:space="preserve"> </w:t>
        </w:r>
      </w:hyperlink>
      <w:hyperlink r:id="rId749">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391">
      <w:pPr>
        <w:spacing w:after="240" w:before="240" w:lineRule="auto"/>
        <w:rPr>
          <w:color w:val="1155cc"/>
          <w:u w:val="single"/>
        </w:rPr>
      </w:pPr>
      <w:r w:rsidDel="00000000" w:rsidR="00000000" w:rsidRPr="00000000">
        <w:rPr>
          <w:rtl w:val="0"/>
        </w:rPr>
        <w:t xml:space="preserve">In both use cases, the hardware enforcement does not merely deter misconduct. It makes misconduct physically impossible within the scope of what the architecture covers. The governance constraint is not a rule that can be broken and prosecuted afterward. It is a physical boundary that cannot be crossed at all. This is the contribution of the hardware layer: it converts the governance promise from a legal commitment into a physical fact.</w:t>
      </w:r>
      <w:hyperlink r:id="rId750">
        <w:r w:rsidDel="00000000" w:rsidR="00000000" w:rsidRPr="00000000">
          <w:rPr>
            <w:rtl w:val="0"/>
          </w:rPr>
          <w:t xml:space="preserve"> </w:t>
        </w:r>
      </w:hyperlink>
      <w:hyperlink r:id="rId751">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392">
      <w:pPr>
        <w:pStyle w:val="Heading1"/>
        <w:keepNext w:val="0"/>
        <w:keepLines w:val="0"/>
        <w:spacing w:before="480" w:lineRule="auto"/>
        <w:rPr>
          <w:b w:val="1"/>
          <w:bCs w:val="1"/>
          <w:sz w:val="46"/>
          <w:szCs w:val="46"/>
        </w:rPr>
      </w:pPr>
      <w:bookmarkStart w:colFirst="0" w:colLast="0" w:name="_8zs8j8z4og5e" w:id="113"/>
      <w:bookmarkEnd w:id="113"/>
      <w:r w:rsidDel="00000000" w:rsidR="00000000" w:rsidRPr="00000000">
        <w:rPr>
          <w:b w:val="1"/>
          <w:bCs w:val="1"/>
          <w:sz w:val="46"/>
          <w:szCs w:val="46"/>
          <w:rtl w:val="0"/>
        </w:rPr>
        <w:t xml:space="preserve">SECTION 9: TRI-CAMERAL GOVERNANCE MODEL</w:t>
      </w:r>
    </w:p>
    <w:p w:rsidR="00000000" w:rsidDel="00000000" w:rsidP="00000000" w:rsidRDefault="00000000" w:rsidRPr="00000000" w14:paraId="00000393">
      <w:pPr>
        <w:pStyle w:val="Heading2"/>
        <w:keepNext w:val="0"/>
        <w:keepLines w:val="0"/>
        <w:spacing w:after="80" w:lineRule="auto"/>
        <w:rPr>
          <w:b w:val="1"/>
          <w:bCs w:val="1"/>
          <w:sz w:val="34"/>
          <w:szCs w:val="34"/>
        </w:rPr>
      </w:pPr>
      <w:bookmarkStart w:colFirst="0" w:colLast="0" w:name="_p481zjp2zjzz" w:id="114"/>
      <w:bookmarkEnd w:id="114"/>
      <w:r w:rsidDel="00000000" w:rsidR="00000000" w:rsidRPr="00000000">
        <w:rPr>
          <w:b w:val="1"/>
          <w:bCs w:val="1"/>
          <w:sz w:val="34"/>
          <w:szCs w:val="34"/>
          <w:rtl w:val="0"/>
        </w:rPr>
        <w:t xml:space="preserve">9.0 Overview</w:t>
      </w:r>
    </w:p>
    <w:p w:rsidR="00000000" w:rsidDel="00000000" w:rsidP="00000000" w:rsidRDefault="00000000" w:rsidRPr="00000000" w14:paraId="00000394">
      <w:pPr>
        <w:spacing w:after="240" w:before="240" w:lineRule="auto"/>
        <w:rPr>
          <w:color w:val="1155cc"/>
          <w:u w:val="single"/>
        </w:rPr>
      </w:pPr>
      <w:r w:rsidDel="00000000" w:rsidR="00000000" w:rsidRPr="00000000">
        <w:rPr>
          <w:rtl w:val="0"/>
        </w:rPr>
        <w:t xml:space="preserve">The hardware substrate enforces governance determinations at the electron level. The cryptographic infrastructure makes those determinations tamper-evident and permanently verifiable. But neither hardware nor cryptography can govern itself. Someone must configure the schema. Someone must update the Regulatory Nexus when laws change. Someone must enroll replacement coprocessors. Someone must evaluate erasure requests, adjudicate gray zone determinations, and respond when the </w:t>
      </w:r>
      <w:r w:rsidDel="00000000" w:rsidR="00000000" w:rsidRPr="00000000">
        <w:rPr>
          <w:rFonts w:ascii="Roboto Mono" w:cs="Roboto Mono" w:eastAsia="Roboto Mono" w:hAnsi="Roboto Mono"/>
          <w:color w:val="188038"/>
          <w:rtl w:val="0"/>
        </w:rPr>
        <w:t xml:space="preserve">lantern</w:t>
      </w:r>
      <w:r w:rsidDel="00000000" w:rsidR="00000000" w:rsidRPr="00000000">
        <w:rPr>
          <w:rtl w:val="0"/>
        </w:rPr>
        <w:t xml:space="preserve"> goes silent.</w:t>
      </w:r>
      <w:hyperlink r:id="rId752">
        <w:r w:rsidDel="00000000" w:rsidR="00000000" w:rsidRPr="00000000">
          <w:rPr>
            <w:rtl w:val="0"/>
          </w:rPr>
          <w:t xml:space="preserve"> </w:t>
        </w:r>
      </w:hyperlink>
      <w:hyperlink r:id="rId753">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395">
      <w:pPr>
        <w:spacing w:after="240" w:before="240" w:lineRule="auto"/>
        <w:rPr>
          <w:color w:val="1155cc"/>
          <w:u w:val="single"/>
        </w:rPr>
      </w:pPr>
      <w:r w:rsidDel="00000000" w:rsidR="00000000" w:rsidRPr="00000000">
        <w:rPr>
          <w:rtl w:val="0"/>
        </w:rPr>
        <w:t xml:space="preserve">The Tri-Cameral Governance Model is the institutional architecture that performs these functions. It distributes authority across three chambers with distinct mandates, distinct expertise requirements, distinct veto powers, and distinct economic incentives - structured so that the rational self-interest of each chamber aligns with governance integrity rather than institutional convenience.</w:t>
      </w:r>
      <w:hyperlink r:id="rId754">
        <w:r w:rsidDel="00000000" w:rsidR="00000000" w:rsidRPr="00000000">
          <w:rPr>
            <w:rtl w:val="0"/>
          </w:rPr>
          <w:t xml:space="preserve"> </w:t>
        </w:r>
      </w:hyperlink>
      <w:hyperlink r:id="rId755">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396">
      <w:pPr>
        <w:spacing w:after="240" w:before="240" w:lineRule="auto"/>
        <w:rPr>
          <w:color w:val="1155cc"/>
          <w:u w:val="single"/>
        </w:rPr>
      </w:pPr>
      <w:r w:rsidDel="00000000" w:rsidR="00000000" w:rsidRPr="00000000">
        <w:rPr>
          <w:rtl w:val="0"/>
        </w:rPr>
        <w:t xml:space="preserve">The model addresses the principal-agent problem at institutional scale. Society is the principal. The governance institutions are the agents. The principal cannot directly observe whether the agent is acting in the principal's interest or in its own.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makes the agent's actions permanently observable. The Decision Log makes the agent's reasoning transparent through </w:t>
      </w:r>
      <w:r w:rsidDel="00000000" w:rsidR="00000000" w:rsidRPr="00000000">
        <w:rPr>
          <w:rFonts w:ascii="Roboto Mono" w:cs="Roboto Mono" w:eastAsia="Roboto Mono" w:hAnsi="Roboto Mono"/>
          <w:color w:val="188038"/>
          <w:rtl w:val="0"/>
        </w:rPr>
        <w:t xml:space="preserve">GET /decisions/{decisionId}</w:t>
      </w:r>
      <w:r w:rsidDel="00000000" w:rsidR="00000000" w:rsidRPr="00000000">
        <w:rPr>
          <w:rtl w:val="0"/>
        </w:rPr>
        <w:t xml:space="preserve">. The Regulatory Nexus makes the agent's compliance verifiable against external standards. The Smart Contract Treasury aligns the agent's economic incentives with systemic stability rather than individual institutional profit.</w:t>
      </w:r>
      <w:hyperlink r:id="rId756">
        <w:r w:rsidDel="00000000" w:rsidR="00000000" w:rsidRPr="00000000">
          <w:rPr>
            <w:rtl w:val="0"/>
          </w:rPr>
          <w:t xml:space="preserve"> </w:t>
        </w:r>
      </w:hyperlink>
      <w:hyperlink r:id="rId757">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397">
      <w:pPr>
        <w:spacing w:after="240" w:before="240" w:lineRule="auto"/>
        <w:rPr>
          <w:color w:val="1155cc"/>
          <w:u w:val="single"/>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PermissionToken_v1_0_0</w:t>
      </w:r>
      <w:r w:rsidDel="00000000" w:rsidR="00000000" w:rsidRPr="00000000">
        <w:rPr>
          <w:rtl w:val="0"/>
        </w:rPr>
        <w:t xml:space="preserve"> requires signatures from all three chambers through </w:t>
      </w:r>
      <w:r w:rsidDel="00000000" w:rsidR="00000000" w:rsidRPr="00000000">
        <w:rPr>
          <w:rFonts w:ascii="Roboto Mono" w:cs="Roboto Mono" w:eastAsia="Roboto Mono" w:hAnsi="Roboto Mono"/>
          <w:color w:val="188038"/>
          <w:rtl w:val="0"/>
        </w:rPr>
        <w:t xml:space="preserve">TriCameralApproval_v1_0_0</w:t>
      </w:r>
      <w:r w:rsidDel="00000000" w:rsidR="00000000" w:rsidRPr="00000000">
        <w:rPr>
          <w:rtl w:val="0"/>
        </w:rPr>
        <w:t xml:space="preserve">. Schema modifications require Technical Council technical validation and Stewardship Custodian approval. EKR key ceremonies require Stewardship Custodian authorization and Smart Contract Treasury resource allocation. Hardware deployment requires Technical Council certification and Stewardship Custodian enrollment authorization and Smart Contract Treasury fabrication reserve release. No chamber acting alone can authorize any sensitive governance operation.</w:t>
      </w:r>
      <w:hyperlink r:id="rId758">
        <w:r w:rsidDel="00000000" w:rsidR="00000000" w:rsidRPr="00000000">
          <w:rPr>
            <w:rtl w:val="0"/>
          </w:rPr>
          <w:t xml:space="preserve"> </w:t>
        </w:r>
      </w:hyperlink>
      <w:hyperlink r:id="rId759">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398">
      <w:pPr>
        <w:pStyle w:val="Heading2"/>
        <w:keepNext w:val="0"/>
        <w:keepLines w:val="0"/>
        <w:spacing w:after="80" w:lineRule="auto"/>
        <w:rPr>
          <w:b w:val="1"/>
          <w:bCs w:val="1"/>
          <w:sz w:val="34"/>
          <w:szCs w:val="34"/>
        </w:rPr>
      </w:pPr>
      <w:bookmarkStart w:colFirst="0" w:colLast="0" w:name="_l55asumzd75b" w:id="115"/>
      <w:bookmarkEnd w:id="115"/>
      <w:r w:rsidDel="00000000" w:rsidR="00000000" w:rsidRPr="00000000">
        <w:rPr>
          <w:b w:val="1"/>
          <w:bCs w:val="1"/>
          <w:sz w:val="34"/>
          <w:szCs w:val="34"/>
          <w:rtl w:val="0"/>
        </w:rPr>
        <w:t xml:space="preserve">9.1 The Technical Council</w:t>
      </w:r>
    </w:p>
    <w:p w:rsidR="00000000" w:rsidDel="00000000" w:rsidP="00000000" w:rsidRDefault="00000000" w:rsidRPr="00000000" w14:paraId="00000399">
      <w:pPr>
        <w:spacing w:after="240" w:before="240" w:lineRule="auto"/>
        <w:rPr>
          <w:color w:val="1155cc"/>
          <w:u w:val="single"/>
        </w:rPr>
      </w:pPr>
      <w:r w:rsidDel="00000000" w:rsidR="00000000" w:rsidRPr="00000000">
        <w:rPr>
          <w:rtl w:val="0"/>
        </w:rPr>
        <w:t xml:space="preserve">The Technical Council is the first chamber of the Tri-Cameral model. It holds technical authority over the mathematical and cryptographic integrity of the framework.</w:t>
      </w:r>
      <w:hyperlink r:id="rId760">
        <w:r w:rsidDel="00000000" w:rsidR="00000000" w:rsidRPr="00000000">
          <w:rPr>
            <w:rtl w:val="0"/>
          </w:rPr>
          <w:t xml:space="preserve"> </w:t>
        </w:r>
      </w:hyperlink>
      <w:hyperlink r:id="rId761">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39A">
      <w:pPr>
        <w:pStyle w:val="Heading3"/>
        <w:keepNext w:val="0"/>
        <w:keepLines w:val="0"/>
        <w:spacing w:before="280" w:lineRule="auto"/>
        <w:rPr>
          <w:b w:val="1"/>
          <w:bCs w:val="1"/>
          <w:color w:val="000000"/>
          <w:sz w:val="26"/>
          <w:szCs w:val="26"/>
        </w:rPr>
      </w:pPr>
      <w:bookmarkStart w:colFirst="0" w:colLast="0" w:name="_dcx5c2rb2re3" w:id="116"/>
      <w:bookmarkEnd w:id="116"/>
      <w:r w:rsidDel="00000000" w:rsidR="00000000" w:rsidRPr="00000000">
        <w:rPr>
          <w:b w:val="1"/>
          <w:bCs w:val="1"/>
          <w:color w:val="000000"/>
          <w:sz w:val="26"/>
          <w:szCs w:val="26"/>
          <w:rtl w:val="0"/>
        </w:rPr>
        <w:t xml:space="preserve">9.1.1 Composition and Selection</w:t>
      </w:r>
    </w:p>
    <w:p w:rsidR="00000000" w:rsidDel="00000000" w:rsidP="00000000" w:rsidRDefault="00000000" w:rsidRPr="00000000" w14:paraId="0000039B">
      <w:pPr>
        <w:spacing w:after="240" w:before="240" w:lineRule="auto"/>
        <w:rPr>
          <w:color w:val="1155cc"/>
          <w:u w:val="single"/>
        </w:rPr>
      </w:pPr>
      <w:r w:rsidDel="00000000" w:rsidR="00000000" w:rsidRPr="00000000">
        <w:rPr>
          <w:rtl w:val="0"/>
        </w:rPr>
        <w:t xml:space="preserve">The Technical Council comprises nine members. The composition mandate requires representation from at least three distinct institutional categories to prevent homogeneous capture: independent academic research institutions, civil society technology policy organizations, and domain-specific technical experts drawn from fields relevant to the deployment context - financial mathematics, cryptography, hardware security, and distributed systems architecture.</w:t>
      </w:r>
      <w:hyperlink r:id="rId762">
        <w:r w:rsidDel="00000000" w:rsidR="00000000" w:rsidRPr="00000000">
          <w:rPr>
            <w:rtl w:val="0"/>
          </w:rPr>
          <w:t xml:space="preserve"> </w:t>
        </w:r>
      </w:hyperlink>
      <w:hyperlink r:id="rId763">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39C">
      <w:pPr>
        <w:spacing w:after="240" w:before="240" w:lineRule="auto"/>
        <w:rPr>
          <w:color w:val="1155cc"/>
          <w:u w:val="single"/>
        </w:rPr>
      </w:pPr>
      <w:r w:rsidDel="00000000" w:rsidR="00000000" w:rsidRPr="00000000">
        <w:rPr>
          <w:rtl w:val="0"/>
        </w:rPr>
        <w:t xml:space="preserve">Members from academic institutions must hold tenured or equivalent positions providing structural independence from commercial pressure. Members with prior employment in financial institutions, defense contractors, or intelligence organizations must disclose those relationships and recuse themselves from evaluations where prior employment creates a material conflict of interest. All Council members serve fixed terms with staggered rotation to prevent simultaneous replacement by a single appointing authority.</w:t>
      </w:r>
      <w:hyperlink r:id="rId764">
        <w:r w:rsidDel="00000000" w:rsidR="00000000" w:rsidRPr="00000000">
          <w:rPr>
            <w:rtl w:val="0"/>
          </w:rPr>
          <w:t xml:space="preserve"> </w:t>
        </w:r>
      </w:hyperlink>
      <w:hyperlink r:id="rId765">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39D">
      <w:pPr>
        <w:spacing w:after="240" w:before="240" w:lineRule="auto"/>
        <w:rPr/>
      </w:pPr>
      <w:r w:rsidDel="00000000" w:rsidR="00000000" w:rsidRPr="00000000">
        <w:rPr>
          <w:rtl w:val="0"/>
        </w:rPr>
        <w:t xml:space="preserve">Decisions require a </w:t>
      </w:r>
      <w:r w:rsidDel="00000000" w:rsidR="00000000" w:rsidRPr="00000000">
        <w:rPr>
          <w:b w:val="1"/>
          <w:bCs w:val="1"/>
          <w:rtl w:val="0"/>
        </w:rPr>
        <w:t xml:space="preserve">seventy-five percent supermajority</w:t>
      </w:r>
      <w:r w:rsidDel="00000000" w:rsidR="00000000" w:rsidRPr="00000000">
        <w:rPr>
          <w:rtl w:val="0"/>
        </w:rPr>
        <w:t xml:space="preserve"> - seven of nine members - for actions that modify the constitutional schema via </w:t>
      </w:r>
      <w:r w:rsidDel="00000000" w:rsidR="00000000" w:rsidRPr="00000000">
        <w:rPr>
          <w:rFonts w:ascii="Roboto Mono" w:cs="Roboto Mono" w:eastAsia="Roboto Mono" w:hAnsi="Roboto Mono"/>
          <w:color w:val="188038"/>
          <w:rtl w:val="0"/>
        </w:rPr>
        <w:t xml:space="preserve">PUT /thresholds/{domain}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POST /pillars/{pillarId}/configure</w:t>
      </w:r>
      <w:r w:rsidDel="00000000" w:rsidR="00000000" w:rsidRPr="00000000">
        <w:rPr>
          <w:rtl w:val="0"/>
        </w:rPr>
        <w:t xml:space="preserve">, certify new model versions, approve hardware deployment configurations, or authorize post-fabrication coprocessor enrollment via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 Routine operational decisions require a simple majority.</w:t>
      </w:r>
    </w:p>
    <w:p w:rsidR="00000000" w:rsidDel="00000000" w:rsidP="00000000" w:rsidRDefault="00000000" w:rsidRPr="00000000" w14:paraId="0000039E">
      <w:pPr>
        <w:pStyle w:val="Heading3"/>
        <w:keepNext w:val="0"/>
        <w:keepLines w:val="0"/>
        <w:spacing w:before="280" w:lineRule="auto"/>
        <w:rPr>
          <w:b w:val="1"/>
          <w:bCs w:val="1"/>
          <w:color w:val="000000"/>
          <w:sz w:val="26"/>
          <w:szCs w:val="26"/>
        </w:rPr>
      </w:pPr>
      <w:bookmarkStart w:colFirst="0" w:colLast="0" w:name="_g82l46fvd8ak" w:id="117"/>
      <w:bookmarkEnd w:id="117"/>
      <w:r w:rsidDel="00000000" w:rsidR="00000000" w:rsidRPr="00000000">
        <w:rPr>
          <w:b w:val="1"/>
          <w:bCs w:val="1"/>
          <w:color w:val="000000"/>
          <w:sz w:val="26"/>
          <w:szCs w:val="26"/>
          <w:rtl w:val="0"/>
        </w:rPr>
        <w:t xml:space="preserve">9.1.2 Constitutional Mandate</w:t>
      </w:r>
    </w:p>
    <w:p w:rsidR="00000000" w:rsidDel="00000000" w:rsidP="00000000" w:rsidRDefault="00000000" w:rsidRPr="00000000" w14:paraId="0000039F">
      <w:pPr>
        <w:spacing w:after="240" w:before="240" w:lineRule="auto"/>
        <w:rPr>
          <w:color w:val="1155cc"/>
          <w:u w:val="single"/>
        </w:rPr>
      </w:pPr>
      <w:r w:rsidDel="00000000" w:rsidR="00000000" w:rsidRPr="00000000">
        <w:rPr>
          <w:rtl w:val="0"/>
        </w:rPr>
        <w:t xml:space="preserve">The Technical Council's mandate derives from the Goukassian Vow's third command: proceed where truth is. The Council is responsible for ensuring that truth is computable - that the models, algorithms, and data pipelines used by the Inference Lane produce outputs that can be evaluated against the governance schema with sufficient reliability to support Proceed determinations.</w:t>
      </w:r>
      <w:hyperlink r:id="rId766">
        <w:r w:rsidDel="00000000" w:rsidR="00000000" w:rsidRPr="00000000">
          <w:rPr>
            <w:rtl w:val="0"/>
          </w:rPr>
          <w:t xml:space="preserve"> </w:t>
        </w:r>
      </w:hyperlink>
      <w:hyperlink r:id="rId767">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3A0">
      <w:pPr>
        <w:pStyle w:val="Heading3"/>
        <w:keepNext w:val="0"/>
        <w:keepLines w:val="0"/>
        <w:spacing w:before="280" w:lineRule="auto"/>
        <w:rPr>
          <w:b w:val="1"/>
          <w:bCs w:val="1"/>
          <w:color w:val="000000"/>
          <w:sz w:val="26"/>
          <w:szCs w:val="26"/>
        </w:rPr>
      </w:pPr>
      <w:bookmarkStart w:colFirst="0" w:colLast="0" w:name="_712i394g6epm" w:id="118"/>
      <w:bookmarkEnd w:id="118"/>
      <w:r w:rsidDel="00000000" w:rsidR="00000000" w:rsidRPr="00000000">
        <w:rPr>
          <w:b w:val="1"/>
          <w:bCs w:val="1"/>
          <w:color w:val="000000"/>
          <w:sz w:val="26"/>
          <w:szCs w:val="26"/>
          <w:rtl w:val="0"/>
        </w:rPr>
        <w:t xml:space="preserve">9.1.3 Operational Responsibilities</w:t>
      </w:r>
    </w:p>
    <w:p w:rsidR="00000000" w:rsidDel="00000000" w:rsidP="00000000" w:rsidRDefault="00000000" w:rsidRPr="00000000" w14:paraId="000003A1">
      <w:pPr>
        <w:spacing w:after="240" w:before="240" w:lineRule="auto"/>
        <w:rPr>
          <w:color w:val="1155cc"/>
          <w:u w:val="single"/>
        </w:rPr>
      </w:pPr>
      <w:r w:rsidDel="00000000" w:rsidR="00000000" w:rsidRPr="00000000">
        <w:rPr>
          <w:b w:val="1"/>
          <w:bCs w:val="1"/>
          <w:rtl w:val="0"/>
        </w:rPr>
        <w:t xml:space="preserve">Model Certification.</w:t>
      </w:r>
      <w:r w:rsidDel="00000000" w:rsidR="00000000" w:rsidRPr="00000000">
        <w:rPr>
          <w:rtl w:val="0"/>
        </w:rPr>
        <w:t xml:space="preserve"> The Council certifies every Inference Lane model version before it can generate proposals that the Governance Lane will evaluate. Certification requires evidence of statistical validation against out-of-sample data, calibration to recent default or outcome data, stress testing against adverse scenarios approved by the Council, and documentation of the model's known failure modes. A model that has not been recertified since its last mandatory recalibration date triggers automatic Epistemic Hold from the Governance Lane via </w:t>
      </w:r>
      <w:r w:rsidDel="00000000" w:rsidR="00000000" w:rsidRPr="00000000">
        <w:rPr>
          <w:rFonts w:ascii="Roboto Mono" w:cs="Roboto Mono" w:eastAsia="Roboto Mono" w:hAnsi="Roboto Mono"/>
          <w:color w:val="188038"/>
          <w:rtl w:val="0"/>
        </w:rPr>
        <w:t xml:space="preserve">EscrowRecord_v1_0_0</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holdRationale.pillarImplicated</w:t>
      </w:r>
      <w:r w:rsidDel="00000000" w:rsidR="00000000" w:rsidRPr="00000000">
        <w:rPr>
          <w:rtl w:val="0"/>
        </w:rPr>
        <w:t xml:space="preserve"> set to </w:t>
      </w:r>
      <w:r w:rsidDel="00000000" w:rsidR="00000000" w:rsidRPr="00000000">
        <w:rPr>
          <w:rFonts w:ascii="Roboto Mono" w:cs="Roboto Mono" w:eastAsia="Roboto Mono" w:hAnsi="Roboto Mono"/>
          <w:color w:val="188038"/>
          <w:rtl w:val="0"/>
        </w:rPr>
        <w:t xml:space="preserve">"DecisionLogs"</w:t>
      </w:r>
      <w:r w:rsidDel="00000000" w:rsidR="00000000" w:rsidRPr="00000000">
        <w:rPr>
          <w:rtl w:val="0"/>
        </w:rPr>
        <w:t xml:space="preserve"> on all proposals it generates.</w:t>
      </w:r>
      <w:hyperlink r:id="rId768">
        <w:r w:rsidDel="00000000" w:rsidR="00000000" w:rsidRPr="00000000">
          <w:rPr>
            <w:rtl w:val="0"/>
          </w:rPr>
          <w:t xml:space="preserve"> </w:t>
        </w:r>
      </w:hyperlink>
      <w:hyperlink r:id="rId769">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3A2">
      <w:pPr>
        <w:spacing w:after="240" w:before="240" w:lineRule="auto"/>
        <w:rPr>
          <w:color w:val="1155cc"/>
          <w:u w:val="single"/>
        </w:rPr>
      </w:pPr>
      <w:r w:rsidDel="00000000" w:rsidR="00000000" w:rsidRPr="00000000">
        <w:rPr>
          <w:b w:val="1"/>
          <w:bCs w:val="1"/>
          <w:rtl w:val="0"/>
        </w:rPr>
        <w:t xml:space="preserve">Data Pipeline Integrity.</w:t>
      </w:r>
      <w:r w:rsidDel="00000000" w:rsidR="00000000" w:rsidRPr="00000000">
        <w:rPr>
          <w:rtl w:val="0"/>
        </w:rPr>
        <w:t xml:space="preserve"> The Council validates that data sources feeding the Inference Lane are authenticated, current, and free from contamination. When a data feed exhibits anomalous patterns - sudden discontinuities, implausible values, or statistical signatures consistent with injection attacks - the Council can issue a data quality flag through </w:t>
      </w:r>
      <w:r w:rsidDel="00000000" w:rsidR="00000000" w:rsidRPr="00000000">
        <w:rPr>
          <w:rFonts w:ascii="Roboto Mono" w:cs="Roboto Mono" w:eastAsia="Roboto Mono" w:hAnsi="Roboto Mono"/>
          <w:color w:val="188038"/>
          <w:rtl w:val="0"/>
        </w:rPr>
        <w:t xml:space="preserve">POST /pillars/{pillarId}/configure</w:t>
      </w:r>
      <w:r w:rsidDel="00000000" w:rsidR="00000000" w:rsidRPr="00000000">
        <w:rPr>
          <w:rtl w:val="0"/>
        </w:rPr>
        <w:t xml:space="preserve"> that causes the Governance Lane to issue Epistemic Hold on all proposals dependent on that feed until the anomaly is resolved.</w:t>
      </w:r>
      <w:hyperlink r:id="rId770">
        <w:r w:rsidDel="00000000" w:rsidR="00000000" w:rsidRPr="00000000">
          <w:rPr>
            <w:rtl w:val="0"/>
          </w:rPr>
          <w:t xml:space="preserve"> </w:t>
        </w:r>
      </w:hyperlink>
      <w:hyperlink r:id="rId771">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3A3">
      <w:pPr>
        <w:spacing w:after="240" w:before="240" w:lineRule="auto"/>
        <w:rPr>
          <w:color w:val="1155cc"/>
          <w:u w:val="single"/>
        </w:rPr>
      </w:pPr>
      <w:r w:rsidDel="00000000" w:rsidR="00000000" w:rsidRPr="00000000">
        <w:rPr>
          <w:b w:val="1"/>
          <w:bCs w:val="1"/>
          <w:rtl w:val="0"/>
        </w:rPr>
        <w:t xml:space="preserve">Hardware Validation.</w:t>
      </w:r>
      <w:r w:rsidDel="00000000" w:rsidR="00000000" w:rsidRPr="00000000">
        <w:rPr>
          <w:rtl w:val="0"/>
        </w:rPr>
        <w:t xml:space="preserve"> The Council maintains the certification hardware that validates DITL coprocessor deployments, manages the post-fabrication PUF enrollment registry in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 and monitors the behavioral profiles of deployed coprocessors for anomalies through </w:t>
      </w:r>
      <w:r w:rsidDel="00000000" w:rsidR="00000000" w:rsidRPr="00000000">
        <w:rPr>
          <w:rFonts w:ascii="Roboto Mono" w:cs="Roboto Mono" w:eastAsia="Roboto Mono" w:hAnsi="Roboto Mono"/>
          <w:color w:val="188038"/>
          <w:rtl w:val="0"/>
        </w:rPr>
        <w:t xml:space="preserve">TLCapabilityFlags.pufAttestationMode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windowComparatorReading</w:t>
      </w:r>
      <w:r w:rsidDel="00000000" w:rsidR="00000000" w:rsidRPr="00000000">
        <w:rPr>
          <w:rtl w:val="0"/>
        </w:rPr>
        <w:t xml:space="preserve"> fields in </w:t>
      </w:r>
      <w:r w:rsidDel="00000000" w:rsidR="00000000" w:rsidRPr="00000000">
        <w:rPr>
          <w:rFonts w:ascii="Roboto Mono" w:cs="Roboto Mono" w:eastAsia="Roboto Mono" w:hAnsi="Roboto Mono"/>
          <w:color w:val="188038"/>
          <w:rtl w:val="0"/>
        </w:rPr>
        <w:t xml:space="preserve">EscrowRecord_v1_0_0</w:t>
      </w:r>
      <w:r w:rsidDel="00000000" w:rsidR="00000000" w:rsidRPr="00000000">
        <w:rPr>
          <w:rtl w:val="0"/>
        </w:rPr>
        <w:t xml:space="preserve">. It also maintains the secure test interface protocols for authorized debugging operations on deployed hardware via </w:t>
      </w:r>
      <w:r w:rsidDel="00000000" w:rsidR="00000000" w:rsidRPr="00000000">
        <w:rPr>
          <w:rFonts w:ascii="Roboto Mono" w:cs="Roboto Mono" w:eastAsia="Roboto Mono" w:hAnsi="Roboto Mono"/>
          <w:color w:val="188038"/>
          <w:rtl w:val="0"/>
        </w:rPr>
        <w:t xml:space="preserve">GET /audit/custodians/{custodianId}/heartbeat</w:t>
      </w:r>
      <w:r w:rsidDel="00000000" w:rsidR="00000000" w:rsidRPr="00000000">
        <w:rPr>
          <w:rtl w:val="0"/>
        </w:rPr>
        <w:t xml:space="preserve">.</w:t>
      </w:r>
      <w:hyperlink r:id="rId772">
        <w:r w:rsidDel="00000000" w:rsidR="00000000" w:rsidRPr="00000000">
          <w:rPr>
            <w:rtl w:val="0"/>
          </w:rPr>
          <w:t xml:space="preserve"> </w:t>
        </w:r>
      </w:hyperlink>
      <w:hyperlink r:id="rId773">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3A4">
      <w:pPr>
        <w:spacing w:after="240" w:before="240" w:lineRule="auto"/>
        <w:rPr>
          <w:color w:val="1155cc"/>
          <w:u w:val="single"/>
        </w:rPr>
      </w:pPr>
      <w:r w:rsidDel="00000000" w:rsidR="00000000" w:rsidRPr="00000000">
        <w:rPr>
          <w:b w:val="1"/>
          <w:bCs w:val="1"/>
          <w:rtl w:val="0"/>
        </w:rPr>
        <w:t xml:space="preserve">Cryptographic Oversight.</w:t>
      </w:r>
      <w:r w:rsidDel="00000000" w:rsidR="00000000" w:rsidRPr="00000000">
        <w:rPr>
          <w:rtl w:val="0"/>
        </w:rPr>
        <w:t xml:space="preserve"> The Council monitors the quantum readiness parameter and recommends quantum migration transition thresholds to the Stewardship Custodians based on its analysis of cryptanalysis literature, NIST guidance, and intelligence community assessments. It validates the technical integrity of the ephemeral key generation ceremony, the </w:t>
      </w:r>
      <w:r w:rsidDel="00000000" w:rsidR="00000000" w:rsidRPr="00000000">
        <w:rPr>
          <w:rFonts w:ascii="Roboto Mono" w:cs="Roboto Mono" w:eastAsia="Roboto Mono" w:hAnsi="Roboto Mono"/>
          <w:color w:val="188038"/>
          <w:rtl w:val="0"/>
        </w:rPr>
        <w:t xml:space="preserve">HKDF-SHA3-256</w:t>
      </w:r>
      <w:r w:rsidDel="00000000" w:rsidR="00000000" w:rsidRPr="00000000">
        <w:rPr>
          <w:rtl w:val="0"/>
        </w:rPr>
        <w:t xml:space="preserve"> destruction protocol confirmed through </w:t>
      </w:r>
      <w:r w:rsidDel="00000000" w:rsidR="00000000" w:rsidRPr="00000000">
        <w:rPr>
          <w:rFonts w:ascii="Roboto Mono" w:cs="Roboto Mono" w:eastAsia="Roboto Mono" w:hAnsi="Roboto Mono"/>
          <w:color w:val="188038"/>
          <w:rtl w:val="0"/>
        </w:rPr>
        <w:t xml:space="preserve">hkdfSha3256Confirmed: true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EKRRecord_v1_0_0</w:t>
      </w:r>
      <w:r w:rsidDel="00000000" w:rsidR="00000000" w:rsidRPr="00000000">
        <w:rPr>
          <w:rtl w:val="0"/>
        </w:rPr>
        <w:t xml:space="preserve">, and the differential privacy noise injection calibration in the query response layer. The </w:t>
      </w:r>
      <w:r w:rsidDel="00000000" w:rsidR="00000000" w:rsidRPr="00000000">
        <w:rPr>
          <w:rFonts w:ascii="Roboto Mono" w:cs="Roboto Mono" w:eastAsia="Roboto Mono" w:hAnsi="Roboto Mono"/>
          <w:color w:val="188038"/>
          <w:rtl w:val="0"/>
        </w:rPr>
        <w:t xml:space="preserve">LanternStatus.pillarStatuses</w:t>
      </w:r>
      <w:r w:rsidDel="00000000" w:rsidR="00000000" w:rsidRPr="00000000">
        <w:rPr>
          <w:rtl w:val="0"/>
        </w:rPr>
        <w:t xml:space="preserve"> array surfaces the Council's cryptographic health assessments to all monitoring parties through </w:t>
      </w:r>
      <w:r w:rsidDel="00000000" w:rsidR="00000000" w:rsidRPr="00000000">
        <w:rPr>
          <w:rFonts w:ascii="Roboto Mono" w:cs="Roboto Mono" w:eastAsia="Roboto Mono" w:hAnsi="Roboto Mono"/>
          <w:color w:val="188038"/>
          <w:rtl w:val="0"/>
        </w:rPr>
        <w:t xml:space="preserve">GET /epistemic-hold/lantern</w:t>
      </w:r>
      <w:r w:rsidDel="00000000" w:rsidR="00000000" w:rsidRPr="00000000">
        <w:rPr>
          <w:rtl w:val="0"/>
        </w:rPr>
        <w:t xml:space="preserve">.</w:t>
      </w:r>
      <w:hyperlink r:id="rId774">
        <w:r w:rsidDel="00000000" w:rsidR="00000000" w:rsidRPr="00000000">
          <w:rPr>
            <w:rtl w:val="0"/>
          </w:rPr>
          <w:t xml:space="preserve"> </w:t>
        </w:r>
      </w:hyperlink>
      <w:hyperlink r:id="rId775">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3A5">
      <w:pPr>
        <w:spacing w:after="240" w:before="240" w:lineRule="auto"/>
        <w:rPr>
          <w:color w:val="1155cc"/>
          <w:u w:val="single"/>
        </w:rPr>
      </w:pPr>
      <w:r w:rsidDel="00000000" w:rsidR="00000000" w:rsidRPr="00000000">
        <w:rPr>
          <w:b w:val="1"/>
          <w:bCs w:val="1"/>
          <w:rtl w:val="0"/>
        </w:rPr>
        <w:t xml:space="preserve">Schema Technical Integrity.</w:t>
      </w:r>
      <w:r w:rsidDel="00000000" w:rsidR="00000000" w:rsidRPr="00000000">
        <w:rPr>
          <w:rtl w:val="0"/>
        </w:rPr>
        <w:t xml:space="preserve"> The Council validates that proposed schema modifications committed via </w:t>
      </w:r>
      <w:r w:rsidDel="00000000" w:rsidR="00000000" w:rsidRPr="00000000">
        <w:rPr>
          <w:rFonts w:ascii="Roboto Mono" w:cs="Roboto Mono" w:eastAsia="Roboto Mono" w:hAnsi="Roboto Mono"/>
          <w:color w:val="188038"/>
          <w:rtl w:val="0"/>
        </w:rPr>
        <w:t xml:space="preserve">PUT /thresholds/{domain}</w:t>
      </w:r>
      <w:r w:rsidDel="00000000" w:rsidR="00000000" w:rsidRPr="00000000">
        <w:rPr>
          <w:rtl w:val="0"/>
        </w:rPr>
        <w:t xml:space="preserve"> are technically consistent, computationally sound, and free from encoding ambiguities. It does not evaluate whether proposed modifications are legally or ethically appropriate - that is the Stewardship Custodians' mandate - but a modification that passes the Custodians' review and fails the Council's technical review is blocked until both are satisfied.</w:t>
      </w:r>
      <w:hyperlink r:id="rId776">
        <w:r w:rsidDel="00000000" w:rsidR="00000000" w:rsidRPr="00000000">
          <w:rPr>
            <w:rtl w:val="0"/>
          </w:rPr>
          <w:t xml:space="preserve"> </w:t>
        </w:r>
      </w:hyperlink>
      <w:hyperlink r:id="rId777">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3A6">
      <w:pPr>
        <w:pStyle w:val="Heading3"/>
        <w:keepNext w:val="0"/>
        <w:keepLines w:val="0"/>
        <w:spacing w:before="280" w:lineRule="auto"/>
        <w:rPr>
          <w:b w:val="1"/>
          <w:bCs w:val="1"/>
          <w:color w:val="000000"/>
          <w:sz w:val="26"/>
          <w:szCs w:val="26"/>
        </w:rPr>
      </w:pPr>
      <w:bookmarkStart w:colFirst="0" w:colLast="0" w:name="_ezc8xm880qy6" w:id="119"/>
      <w:bookmarkEnd w:id="119"/>
      <w:r w:rsidDel="00000000" w:rsidR="00000000" w:rsidRPr="00000000">
        <w:rPr>
          <w:b w:val="1"/>
          <w:bCs w:val="1"/>
          <w:color w:val="000000"/>
          <w:sz w:val="26"/>
          <w:szCs w:val="26"/>
          <w:rtl w:val="0"/>
        </w:rPr>
        <w:t xml:space="preserve">9.1.4 Economic Alignment</w:t>
      </w:r>
    </w:p>
    <w:p w:rsidR="00000000" w:rsidDel="00000000" w:rsidP="00000000" w:rsidRDefault="00000000" w:rsidRPr="00000000" w14:paraId="000003A7">
      <w:pPr>
        <w:spacing w:after="240" w:before="240" w:lineRule="auto"/>
        <w:rPr/>
      </w:pPr>
      <w:r w:rsidDel="00000000" w:rsidR="00000000" w:rsidRPr="00000000">
        <w:rPr>
          <w:rtl w:val="0"/>
        </w:rPr>
        <w:t xml:space="preserve">The Technical Council's compensation structure aligns reputational incentives with technical rigor. A Council member who certifies a model that subsequently fails in deployment - producing a systematic governance error detectable through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's audit trail via </w:t>
      </w:r>
      <w:r w:rsidDel="00000000" w:rsidR="00000000" w:rsidRPr="00000000">
        <w:rPr>
          <w:rFonts w:ascii="Roboto Mono" w:cs="Roboto Mono" w:eastAsia="Roboto Mono" w:hAnsi="Roboto Mono"/>
          <w:color w:val="188038"/>
          <w:rtl w:val="0"/>
        </w:rPr>
        <w:t xml:space="preserve">GET /audit-logs/{logId}</w:t>
      </w:r>
      <w:r w:rsidDel="00000000" w:rsidR="00000000" w:rsidRPr="00000000">
        <w:rPr>
          <w:rtl w:val="0"/>
        </w:rPr>
        <w:t xml:space="preserve"> - suffers reputational damage proportional to the severity of the failure. This mechanism does not require that Technical Council members be altruistic. It requires only that they be rational and that their rational self-interest aligns with technical accuracy.</w:t>
      </w:r>
    </w:p>
    <w:p w:rsidR="00000000" w:rsidDel="00000000" w:rsidP="00000000" w:rsidRDefault="00000000" w:rsidRPr="00000000" w14:paraId="000003A8">
      <w:pPr>
        <w:pStyle w:val="Heading2"/>
        <w:keepNext w:val="0"/>
        <w:keepLines w:val="0"/>
        <w:spacing w:after="80" w:lineRule="auto"/>
        <w:rPr>
          <w:b w:val="1"/>
          <w:bCs w:val="1"/>
          <w:sz w:val="34"/>
          <w:szCs w:val="34"/>
        </w:rPr>
      </w:pPr>
      <w:bookmarkStart w:colFirst="0" w:colLast="0" w:name="_jemw8p58g85z" w:id="120"/>
      <w:bookmarkEnd w:id="120"/>
      <w:r w:rsidDel="00000000" w:rsidR="00000000" w:rsidRPr="00000000">
        <w:rPr>
          <w:b w:val="1"/>
          <w:bCs w:val="1"/>
          <w:sz w:val="34"/>
          <w:szCs w:val="34"/>
          <w:rtl w:val="0"/>
        </w:rPr>
        <w:t xml:space="preserve">9.2 The Stewardship Custodians</w:t>
      </w:r>
    </w:p>
    <w:p w:rsidR="00000000" w:rsidDel="00000000" w:rsidP="00000000" w:rsidRDefault="00000000" w:rsidRPr="00000000" w14:paraId="000003A9">
      <w:pPr>
        <w:spacing w:after="240" w:before="240" w:lineRule="auto"/>
        <w:rPr>
          <w:color w:val="1155cc"/>
          <w:u w:val="single"/>
        </w:rPr>
      </w:pPr>
      <w:r w:rsidDel="00000000" w:rsidR="00000000" w:rsidRPr="00000000">
        <w:rPr>
          <w:rtl w:val="0"/>
        </w:rPr>
        <w:t xml:space="preserve">The Stewardship Custodians are the second chamber of the Tri-Cameral model. They hold authority over the framework's governance boundaries, regulatory alignment, and institutional integrity.</w:t>
      </w:r>
      <w:hyperlink r:id="rId778">
        <w:r w:rsidDel="00000000" w:rsidR="00000000" w:rsidRPr="00000000">
          <w:rPr>
            <w:rtl w:val="0"/>
          </w:rPr>
          <w:t xml:space="preserve"> </w:t>
        </w:r>
      </w:hyperlink>
      <w:hyperlink r:id="rId779">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3AA">
      <w:pPr>
        <w:pStyle w:val="Heading3"/>
        <w:keepNext w:val="0"/>
        <w:keepLines w:val="0"/>
        <w:spacing w:before="280" w:lineRule="auto"/>
        <w:rPr>
          <w:b w:val="1"/>
          <w:bCs w:val="1"/>
          <w:color w:val="000000"/>
          <w:sz w:val="26"/>
          <w:szCs w:val="26"/>
        </w:rPr>
      </w:pPr>
      <w:bookmarkStart w:colFirst="0" w:colLast="0" w:name="_zck51krz4zez" w:id="121"/>
      <w:bookmarkEnd w:id="121"/>
      <w:r w:rsidDel="00000000" w:rsidR="00000000" w:rsidRPr="00000000">
        <w:rPr>
          <w:b w:val="1"/>
          <w:bCs w:val="1"/>
          <w:color w:val="000000"/>
          <w:sz w:val="26"/>
          <w:szCs w:val="26"/>
          <w:rtl w:val="0"/>
        </w:rPr>
        <w:t xml:space="preserve">9.2.1 Composition and Selection</w:t>
      </w:r>
    </w:p>
    <w:p w:rsidR="00000000" w:rsidDel="00000000" w:rsidP="00000000" w:rsidRDefault="00000000" w:rsidRPr="00000000" w14:paraId="000003AB">
      <w:pPr>
        <w:spacing w:after="240" w:before="240" w:lineRule="auto"/>
        <w:rPr>
          <w:color w:val="1155cc"/>
          <w:u w:val="single"/>
        </w:rPr>
      </w:pPr>
      <w:r w:rsidDel="00000000" w:rsidR="00000000" w:rsidRPr="00000000">
        <w:rPr>
          <w:rtl w:val="0"/>
        </w:rPr>
        <w:t xml:space="preserve">The Stewardship Custodians comprise eleven members. The composition mandate requires representation from at least four distinct stakeholder categories: affected economic actors; regulatory authorities - representatives of the financial supervisory bodies whose requirements the framework implements; civil society organizations representing public interest constituencies including consumer protection, environmental sustainability, and human rights; and technical compliance experts drawn from legal, regulatory, and governance fields.</w:t>
      </w:r>
      <w:hyperlink r:id="rId780">
        <w:r w:rsidDel="00000000" w:rsidR="00000000" w:rsidRPr="00000000">
          <w:rPr>
            <w:rtl w:val="0"/>
          </w:rPr>
          <w:t xml:space="preserve"> </w:t>
        </w:r>
      </w:hyperlink>
      <w:hyperlink r:id="rId781">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3AC">
      <w:pPr>
        <w:spacing w:after="240" w:before="240" w:lineRule="auto"/>
        <w:rPr>
          <w:color w:val="1155cc"/>
          <w:u w:val="single"/>
        </w:rPr>
      </w:pPr>
      <w:r w:rsidDel="00000000" w:rsidR="00000000" w:rsidRPr="00000000">
        <w:rPr>
          <w:rtl w:val="0"/>
        </w:rPr>
        <w:t xml:space="preserve">The </w:t>
      </w:r>
      <w:r w:rsidDel="00000000" w:rsidR="00000000" w:rsidRPr="00000000">
        <w:rPr>
          <w:b w:val="1"/>
          <w:bCs w:val="1"/>
          <w:rtl w:val="0"/>
        </w:rPr>
        <w:t xml:space="preserve">dual-nomination structure</w:t>
      </w:r>
      <w:r w:rsidDel="00000000" w:rsidR="00000000" w:rsidRPr="00000000">
        <w:rPr>
          <w:rtl w:val="0"/>
        </w:rPr>
        <w:t xml:space="preserve"> requires that each Custodian be nominated by at least two entities from different stakeholder categories. This prevents any single appointing authority from installing a majority bloc of aligned Custodians through unilateral appointments. Members with national security portfolios or active relationships with intelligence organizations must disclose those relationships and abstain from votes on surveillance-related schema modifications.</w:t>
      </w:r>
      <w:hyperlink r:id="rId782">
        <w:r w:rsidDel="00000000" w:rsidR="00000000" w:rsidRPr="00000000">
          <w:rPr>
            <w:rtl w:val="0"/>
          </w:rPr>
          <w:t xml:space="preserve"> </w:t>
        </w:r>
      </w:hyperlink>
      <w:hyperlink r:id="rId783">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3AD">
      <w:pPr>
        <w:spacing w:after="240" w:before="240" w:lineRule="auto"/>
        <w:rPr/>
      </w:pPr>
      <w:r w:rsidDel="00000000" w:rsidR="00000000" w:rsidRPr="00000000">
        <w:rPr>
          <w:rtl w:val="0"/>
        </w:rPr>
        <w:t xml:space="preserve">Decisions on schema modifications require a </w:t>
      </w:r>
      <w:r w:rsidDel="00000000" w:rsidR="00000000" w:rsidRPr="00000000">
        <w:rPr>
          <w:b w:val="1"/>
          <w:bCs w:val="1"/>
          <w:rtl w:val="0"/>
        </w:rPr>
        <w:t xml:space="preserve">two-thirds supermajority</w:t>
      </w:r>
      <w:r w:rsidDel="00000000" w:rsidR="00000000" w:rsidRPr="00000000">
        <w:rPr>
          <w:rtl w:val="0"/>
        </w:rPr>
        <w:t xml:space="preserve"> - eight of eleven members. Emergency override sessions require a </w:t>
      </w:r>
      <w:r w:rsidDel="00000000" w:rsidR="00000000" w:rsidRPr="00000000">
        <w:rPr>
          <w:b w:val="1"/>
          <w:bCs w:val="1"/>
          <w:rtl w:val="0"/>
        </w:rPr>
        <w:t xml:space="preserve">three-quarters supermajority</w:t>
      </w:r>
      <w:r w:rsidDel="00000000" w:rsidR="00000000" w:rsidRPr="00000000">
        <w:rPr>
          <w:rtl w:val="0"/>
        </w:rPr>
        <w:t xml:space="preserve"> - nine of eleven members. Routine operational decisions require a simple majority.</w:t>
      </w:r>
    </w:p>
    <w:p w:rsidR="00000000" w:rsidDel="00000000" w:rsidP="00000000" w:rsidRDefault="00000000" w:rsidRPr="00000000" w14:paraId="000003AE">
      <w:pPr>
        <w:pStyle w:val="Heading3"/>
        <w:keepNext w:val="0"/>
        <w:keepLines w:val="0"/>
        <w:spacing w:before="280" w:lineRule="auto"/>
        <w:rPr>
          <w:b w:val="1"/>
          <w:bCs w:val="1"/>
          <w:color w:val="000000"/>
          <w:sz w:val="26"/>
          <w:szCs w:val="26"/>
        </w:rPr>
      </w:pPr>
      <w:bookmarkStart w:colFirst="0" w:colLast="0" w:name="_8avj8as2yd7d" w:id="122"/>
      <w:bookmarkEnd w:id="122"/>
      <w:r w:rsidDel="00000000" w:rsidR="00000000" w:rsidRPr="00000000">
        <w:rPr>
          <w:b w:val="1"/>
          <w:bCs w:val="1"/>
          <w:color w:val="000000"/>
          <w:sz w:val="26"/>
          <w:szCs w:val="26"/>
          <w:rtl w:val="0"/>
        </w:rPr>
        <w:t xml:space="preserve">9.2.2 Constitutional Mandate</w:t>
      </w:r>
    </w:p>
    <w:p w:rsidR="00000000" w:rsidDel="00000000" w:rsidP="00000000" w:rsidRDefault="00000000" w:rsidRPr="00000000" w14:paraId="000003AF">
      <w:pPr>
        <w:spacing w:after="240" w:before="240" w:lineRule="auto"/>
        <w:rPr>
          <w:color w:val="1155cc"/>
          <w:u w:val="single"/>
        </w:rPr>
      </w:pPr>
      <w:r w:rsidDel="00000000" w:rsidR="00000000" w:rsidRPr="00000000">
        <w:rPr>
          <w:rtl w:val="0"/>
        </w:rPr>
        <w:t xml:space="preserve">The Stewardship Custodians' mandate derives from the Goukassian Vow's second command: refuse when harm is clear. The Custodians are constitutionally responsible for ensuring that the schema accurately defines what constitutes harm across all deployment contexts, that the Governance Lane's Refuse conditions are appropriately calibrated, and that no schema modification introduces parameters that would permit harm to proceed undetected.</w:t>
      </w:r>
      <w:hyperlink r:id="rId784">
        <w:r w:rsidDel="00000000" w:rsidR="00000000" w:rsidRPr="00000000">
          <w:rPr>
            <w:rtl w:val="0"/>
          </w:rPr>
          <w:t xml:space="preserve"> </w:t>
        </w:r>
      </w:hyperlink>
      <w:hyperlink r:id="rId785">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3B0">
      <w:pPr>
        <w:pStyle w:val="Heading3"/>
        <w:keepNext w:val="0"/>
        <w:keepLines w:val="0"/>
        <w:spacing w:before="280" w:lineRule="auto"/>
        <w:rPr>
          <w:b w:val="1"/>
          <w:bCs w:val="1"/>
          <w:color w:val="000000"/>
          <w:sz w:val="26"/>
          <w:szCs w:val="26"/>
        </w:rPr>
      </w:pPr>
      <w:bookmarkStart w:colFirst="0" w:colLast="0" w:name="_z8hbtla3oram" w:id="123"/>
      <w:bookmarkEnd w:id="123"/>
      <w:r w:rsidDel="00000000" w:rsidR="00000000" w:rsidRPr="00000000">
        <w:rPr>
          <w:b w:val="1"/>
          <w:bCs w:val="1"/>
          <w:color w:val="000000"/>
          <w:sz w:val="26"/>
          <w:szCs w:val="26"/>
          <w:rtl w:val="0"/>
        </w:rPr>
        <w:t xml:space="preserve">9.2.3 Operational Responsibilities</w:t>
      </w:r>
    </w:p>
    <w:p w:rsidR="00000000" w:rsidDel="00000000" w:rsidP="00000000" w:rsidRDefault="00000000" w:rsidRPr="00000000" w14:paraId="000003B1">
      <w:pPr>
        <w:spacing w:after="240" w:before="240" w:lineRule="auto"/>
        <w:rPr>
          <w:color w:val="1155cc"/>
          <w:u w:val="single"/>
        </w:rPr>
      </w:pPr>
      <w:r w:rsidDel="00000000" w:rsidR="00000000" w:rsidRPr="00000000">
        <w:rPr>
          <w:b w:val="1"/>
          <w:bCs w:val="1"/>
          <w:rtl w:val="0"/>
        </w:rPr>
        <w:t xml:space="preserve">Schema Governance.</w:t>
      </w:r>
      <w:r w:rsidDel="00000000" w:rsidR="00000000" w:rsidRPr="00000000">
        <w:rPr>
          <w:rtl w:val="0"/>
        </w:rPr>
        <w:t xml:space="preserve"> The Custodians approve all modifications to the governance schema through the supermajority process. Every approved modification is committed to the Regulatory Nexus database with a version hash anchored to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 recording the votes, the justifications, and the timestamp. A modification that relaxes an evidentiary threshold, removes a Refuse condition, or narrows the scope of a governance boundary requires heightened scrutiny. The Decision Log for such a modification must document why the relaxation does not increase systemic harm risk relative to the prior schema version.</w:t>
      </w:r>
      <w:hyperlink r:id="rId786">
        <w:r w:rsidDel="00000000" w:rsidR="00000000" w:rsidRPr="00000000">
          <w:rPr>
            <w:rtl w:val="0"/>
          </w:rPr>
          <w:t xml:space="preserve"> </w:t>
        </w:r>
      </w:hyperlink>
      <w:hyperlink r:id="rId787">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3B2">
      <w:pPr>
        <w:spacing w:after="240" w:before="240" w:lineRule="auto"/>
        <w:rPr>
          <w:color w:val="1155cc"/>
          <w:u w:val="single"/>
        </w:rPr>
      </w:pPr>
      <w:r w:rsidDel="00000000" w:rsidR="00000000" w:rsidRPr="00000000">
        <w:rPr>
          <w:b w:val="1"/>
          <w:bCs w:val="1"/>
          <w:rtl w:val="0"/>
        </w:rPr>
        <w:t xml:space="preserve">Regulatory Nexus Maintenance.</w:t>
      </w:r>
      <w:r w:rsidDel="00000000" w:rsidR="00000000" w:rsidRPr="00000000">
        <w:rPr>
          <w:rtl w:val="0"/>
        </w:rPr>
        <w:t xml:space="preserve"> The Custodians maintain the machine-readable regulatory database through authenticated update channels from regulatory authorities. They manage the jurisdictional adequacy status registry for cross-border data transfers, the legal hold flagging protocol for records subject to active regulatory or judicial orders, and the retention conflict database that governs GDPR erasure request evaluations via </w:t>
      </w:r>
      <w:r w:rsidDel="00000000" w:rsidR="00000000" w:rsidRPr="00000000">
        <w:rPr>
          <w:rFonts w:ascii="Roboto Mono" w:cs="Roboto Mono" w:eastAsia="Roboto Mono" w:hAnsi="Roboto Mono"/>
          <w:color w:val="188038"/>
          <w:rtl w:val="0"/>
        </w:rPr>
        <w:t xml:space="preserve">PUT /thresholds/{domain}</w:t>
      </w:r>
      <w:r w:rsidDel="00000000" w:rsidR="00000000" w:rsidRPr="00000000">
        <w:rPr>
          <w:rtl w:val="0"/>
        </w:rPr>
        <w:t xml:space="preserve">. They also evaluate ensemble patterns of EKR access requests: if multiple individually legitimate requests collectively enable surveillance conversion, the Custodians issue Refuse on the ensemble via </w:t>
      </w:r>
      <w:r w:rsidDel="00000000" w:rsidR="00000000" w:rsidRPr="00000000">
        <w:rPr>
          <w:rFonts w:ascii="Roboto Mono" w:cs="Roboto Mono" w:eastAsia="Roboto Mono" w:hAnsi="Roboto Mono"/>
          <w:color w:val="188038"/>
          <w:rtl w:val="0"/>
        </w:rPr>
        <w:t xml:space="preserve">POST /refusals</w:t>
      </w:r>
      <w:r w:rsidDel="00000000" w:rsidR="00000000" w:rsidRPr="00000000">
        <w:rPr>
          <w:rtl w:val="0"/>
        </w:rPr>
        <w:t xml:space="preserve"> even when individual requests would pass in isolation.</w:t>
      </w:r>
      <w:hyperlink r:id="rId788">
        <w:r w:rsidDel="00000000" w:rsidR="00000000" w:rsidRPr="00000000">
          <w:rPr>
            <w:rtl w:val="0"/>
          </w:rPr>
          <w:t xml:space="preserve"> </w:t>
        </w:r>
      </w:hyperlink>
      <w:hyperlink r:id="rId789">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3B3">
      <w:pPr>
        <w:spacing w:after="240" w:before="240" w:lineRule="auto"/>
        <w:rPr>
          <w:color w:val="1155cc"/>
          <w:u w:val="single"/>
        </w:rPr>
      </w:pPr>
      <w:r w:rsidDel="00000000" w:rsidR="00000000" w:rsidRPr="00000000">
        <w:rPr>
          <w:b w:val="1"/>
          <w:bCs w:val="1"/>
          <w:rtl w:val="0"/>
        </w:rPr>
        <w:t xml:space="preserve">Sacred Pause Escalation.</w:t>
      </w:r>
      <w:r w:rsidDel="00000000" w:rsidR="00000000" w:rsidRPr="00000000">
        <w:rPr>
          <w:rtl w:val="0"/>
        </w:rPr>
        <w:t xml:space="preserve"> The Custodians are the mandatory escalation point for </w:t>
      </w:r>
      <w:r w:rsidDel="00000000" w:rsidR="00000000" w:rsidRPr="00000000">
        <w:rPr>
          <w:rFonts w:ascii="Roboto Mono" w:cs="Roboto Mono" w:eastAsia="Roboto Mono" w:hAnsi="Roboto Mono"/>
          <w:color w:val="188038"/>
          <w:rtl w:val="0"/>
        </w:rPr>
        <w:t xml:space="preserve">GovernancePause</w:t>
      </w:r>
      <w:r w:rsidDel="00000000" w:rsidR="00000000" w:rsidRPr="00000000">
        <w:rPr>
          <w:rtl w:val="0"/>
        </w:rPr>
        <w:t xml:space="preserve"> workflows that exceed </w:t>
      </w:r>
      <w:r w:rsidDel="00000000" w:rsidR="00000000" w:rsidRPr="00000000">
        <w:rPr>
          <w:rFonts w:ascii="Roboto Mono" w:cs="Roboto Mono" w:eastAsia="Roboto Mono" w:hAnsi="Roboto Mono"/>
          <w:color w:val="188038"/>
          <w:rtl w:val="0"/>
        </w:rPr>
        <w:t xml:space="preserve">resolutionDeadline</w:t>
      </w:r>
      <w:r w:rsidDel="00000000" w:rsidR="00000000" w:rsidRPr="00000000">
        <w:rPr>
          <w:rtl w:val="0"/>
        </w:rPr>
        <w:t xml:space="preserve"> thresholds in </w:t>
      </w:r>
      <w:r w:rsidDel="00000000" w:rsidR="00000000" w:rsidRPr="00000000">
        <w:rPr>
          <w:rFonts w:ascii="Roboto Mono" w:cs="Roboto Mono" w:eastAsia="Roboto Mono" w:hAnsi="Roboto Mono"/>
          <w:color w:val="188038"/>
          <w:rtl w:val="0"/>
        </w:rPr>
        <w:t xml:space="preserve">EscrowRecord_v1_0_0</w:t>
      </w:r>
      <w:r w:rsidDel="00000000" w:rsidR="00000000" w:rsidRPr="00000000">
        <w:rPr>
          <w:rtl w:val="0"/>
        </w:rPr>
        <w:t xml:space="preserve">. When a proposal has been in Epistemic Hold beyond the configured maximum duration, the Custodians convene to determine whether the evidentiary gap can be resolved through additional data collection, whether the proposal must receive a final Refuse determination via </w:t>
      </w:r>
      <w:r w:rsidDel="00000000" w:rsidR="00000000" w:rsidRPr="00000000">
        <w:rPr>
          <w:rFonts w:ascii="Roboto Mono" w:cs="Roboto Mono" w:eastAsia="Roboto Mono" w:hAnsi="Roboto Mono"/>
          <w:color w:val="188038"/>
          <w:rtl w:val="0"/>
        </w:rPr>
        <w:t xml:space="preserve">POST /refusals</w:t>
      </w:r>
      <w:r w:rsidDel="00000000" w:rsidR="00000000" w:rsidRPr="00000000">
        <w:rPr>
          <w:rtl w:val="0"/>
        </w:rPr>
        <w:t xml:space="preserve">, or whether an emergency session is warranted. Their determination generates a Decision Log anchored to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creating a permanent record of the institutional reasoning that resolved the suspension. Resolution is submitted through </w:t>
      </w:r>
      <w:r w:rsidDel="00000000" w:rsidR="00000000" w:rsidRPr="00000000">
        <w:rPr>
          <w:rFonts w:ascii="Roboto Mono" w:cs="Roboto Mono" w:eastAsia="Roboto Mono" w:hAnsi="Roboto Mono"/>
          <w:color w:val="188038"/>
          <w:rtl w:val="0"/>
        </w:rPr>
        <w:t xml:space="preserve">PATCH /epistemic-hold/escalations/{escalationId}</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resolvedState</w:t>
      </w:r>
      <w:r w:rsidDel="00000000" w:rsidR="00000000" w:rsidRPr="00000000">
        <w:rPr>
          <w:rtl w:val="0"/>
        </w:rPr>
        <w:t xml:space="preserve"> constrained to </w:t>
      </w:r>
      <w:r w:rsidDel="00000000" w:rsidR="00000000" w:rsidRPr="00000000">
        <w:rPr>
          <w:rFonts w:ascii="Roboto Mono" w:cs="Roboto Mono" w:eastAsia="Roboto Mono" w:hAnsi="Roboto Mono"/>
          <w:color w:val="188038"/>
          <w:rtl w:val="0"/>
        </w:rPr>
        <w:t xml:space="preserve">enum [1, -1]</w:t>
      </w:r>
      <w:r w:rsidDel="00000000" w:rsidR="00000000" w:rsidRPr="00000000">
        <w:rPr>
          <w:rtl w:val="0"/>
        </w:rPr>
        <w:t xml:space="preserve">.</w:t>
      </w:r>
      <w:hyperlink r:id="rId790">
        <w:r w:rsidDel="00000000" w:rsidR="00000000" w:rsidRPr="00000000">
          <w:rPr>
            <w:rtl w:val="0"/>
          </w:rPr>
          <w:t xml:space="preserve"> </w:t>
        </w:r>
      </w:hyperlink>
      <w:hyperlink r:id="rId791">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3B4">
      <w:pPr>
        <w:spacing w:after="240" w:before="240" w:lineRule="auto"/>
        <w:rPr>
          <w:color w:val="1155cc"/>
          <w:u w:val="single"/>
        </w:rPr>
      </w:pPr>
      <w:r w:rsidDel="00000000" w:rsidR="00000000" w:rsidRPr="00000000">
        <w:rPr>
          <w:b w:val="1"/>
          <w:bCs w:val="1"/>
          <w:rtl w:val="0"/>
        </w:rPr>
        <w:t xml:space="preserve">NoS-NoW Gray Zone Determination.</w:t>
      </w:r>
      <w:r w:rsidDel="00000000" w:rsidR="00000000" w:rsidRPr="00000000">
        <w:rPr>
          <w:rtl w:val="0"/>
        </w:rPr>
        <w:t xml:space="preserve"> The Custodians evaluate emerging gray zone applications against the No Spy, No Weapon Mandate when the Technical Council's detection algorithms surfaced through </w:t>
      </w:r>
      <w:r w:rsidDel="00000000" w:rsidR="00000000" w:rsidRPr="00000000">
        <w:rPr>
          <w:rFonts w:ascii="Roboto Mono" w:cs="Roboto Mono" w:eastAsia="Roboto Mono" w:hAnsi="Roboto Mono"/>
          <w:color w:val="188038"/>
          <w:rtl w:val="0"/>
        </w:rPr>
        <w:t xml:space="preserve">GET /epistemic-hold/lantern</w:t>
      </w:r>
      <w:r w:rsidDel="00000000" w:rsidR="00000000" w:rsidRPr="00000000">
        <w:rPr>
          <w:rtl w:val="0"/>
        </w:rPr>
        <w:t xml:space="preserve"> identify a novel dual-use pattern not yet covered by existing schema boundary definitions. Their determination is itself a governance action that generates a Decision Log anchored to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establishing a precedent that subsequent Governance Lane evaluations must follow.</w:t>
      </w:r>
      <w:hyperlink r:id="rId792">
        <w:r w:rsidDel="00000000" w:rsidR="00000000" w:rsidRPr="00000000">
          <w:rPr>
            <w:rtl w:val="0"/>
          </w:rPr>
          <w:t xml:space="preserve"> </w:t>
        </w:r>
      </w:hyperlink>
      <w:hyperlink r:id="rId793">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3B5">
      <w:pPr>
        <w:spacing w:after="240" w:before="240" w:lineRule="auto"/>
        <w:rPr>
          <w:color w:val="1155cc"/>
          <w:u w:val="single"/>
        </w:rPr>
      </w:pPr>
      <w:r w:rsidDel="00000000" w:rsidR="00000000" w:rsidRPr="00000000">
        <w:rPr>
          <w:b w:val="1"/>
          <w:bCs w:val="1"/>
          <w:rtl w:val="0"/>
        </w:rPr>
        <w:t xml:space="preserve">Custodian Replacement and Succession.</w:t>
      </w:r>
      <w:r w:rsidDel="00000000" w:rsidR="00000000" w:rsidRPr="00000000">
        <w:rPr>
          <w:rtl w:val="0"/>
        </w:rPr>
        <w:t xml:space="preserve"> When a Custodian seat becomes vacant through death, incapacitation, resignation, or removal for cause, the replacement procedure requires nomination by at least two entities from different stakeholder categories, validation by the remaining uncompromised Custodians through the dual-nomination process, and enrollment through a multi-party key generation ceremony that produces new Shamir shares without revealing the previous shares. The new Custodian's enrollment is anchored to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w:t>
      </w:r>
      <w:hyperlink r:id="rId794">
        <w:r w:rsidDel="00000000" w:rsidR="00000000" w:rsidRPr="00000000">
          <w:rPr>
            <w:rtl w:val="0"/>
          </w:rPr>
          <w:t xml:space="preserve"> </w:t>
        </w:r>
      </w:hyperlink>
      <w:hyperlink r:id="rId795">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3B6">
      <w:pPr>
        <w:pStyle w:val="Heading3"/>
        <w:keepNext w:val="0"/>
        <w:keepLines w:val="0"/>
        <w:spacing w:before="280" w:lineRule="auto"/>
        <w:rPr>
          <w:b w:val="1"/>
          <w:bCs w:val="1"/>
          <w:color w:val="000000"/>
          <w:sz w:val="26"/>
          <w:szCs w:val="26"/>
        </w:rPr>
      </w:pPr>
      <w:bookmarkStart w:colFirst="0" w:colLast="0" w:name="_3i14sluh18do" w:id="124"/>
      <w:bookmarkEnd w:id="124"/>
      <w:r w:rsidDel="00000000" w:rsidR="00000000" w:rsidRPr="00000000">
        <w:rPr>
          <w:b w:val="1"/>
          <w:bCs w:val="1"/>
          <w:color w:val="000000"/>
          <w:sz w:val="26"/>
          <w:szCs w:val="26"/>
          <w:rtl w:val="0"/>
        </w:rPr>
        <w:t xml:space="preserve">9.2.4 Shamir Key Custody</w:t>
      </w:r>
    </w:p>
    <w:p w:rsidR="00000000" w:rsidDel="00000000" w:rsidP="00000000" w:rsidRDefault="00000000" w:rsidRPr="00000000" w14:paraId="000003B7">
      <w:pPr>
        <w:spacing w:after="240" w:before="240" w:lineRule="auto"/>
        <w:rPr>
          <w:color w:val="1155cc"/>
          <w:u w:val="single"/>
        </w:rPr>
      </w:pPr>
      <w:r w:rsidDel="00000000" w:rsidR="00000000" w:rsidRPr="00000000">
        <w:rPr>
          <w:rtl w:val="0"/>
        </w:rPr>
        <w:t xml:space="preserve">The Stewardship Custodians hold the Shamir Secret Sharing key shares required for the framework's most sensitive cryptographic operations: GDPR erasure ceremonies, EKR key generation ceremonies, emergency sessions, and post-quantum migration key rotation. The six-of-eleven Custodians who hold key shares are selected by the full Custodian body through a secret ballot. The three-of-six quorum requirement for key operations ensures that no single Custodian or small coalition can unilaterally execute a sensitive operation. Key ceremony status is visible through </w:t>
      </w:r>
      <w:r w:rsidDel="00000000" w:rsidR="00000000" w:rsidRPr="00000000">
        <w:rPr>
          <w:rFonts w:ascii="Roboto Mono" w:cs="Roboto Mono" w:eastAsia="Roboto Mono" w:hAnsi="Roboto Mono"/>
          <w:color w:val="188038"/>
          <w:rtl w:val="0"/>
        </w:rPr>
        <w:t xml:space="preserve">GET /regulator/custodian-quorum</w:t>
      </w:r>
      <w:r w:rsidDel="00000000" w:rsidR="00000000" w:rsidRPr="00000000">
        <w:rPr>
          <w:rtl w:val="0"/>
        </w:rPr>
        <w:t xml:space="preserve">.</w:t>
      </w:r>
      <w:hyperlink r:id="rId796">
        <w:r w:rsidDel="00000000" w:rsidR="00000000" w:rsidRPr="00000000">
          <w:rPr>
            <w:rtl w:val="0"/>
          </w:rPr>
          <w:t xml:space="preserve"> </w:t>
        </w:r>
      </w:hyperlink>
      <w:hyperlink r:id="rId797">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3B8">
      <w:pPr>
        <w:spacing w:after="240" w:before="240" w:lineRule="auto"/>
        <w:rPr>
          <w:color w:val="1155cc"/>
          <w:u w:val="single"/>
        </w:rPr>
      </w:pPr>
      <w:r w:rsidDel="00000000" w:rsidR="00000000" w:rsidRPr="00000000">
        <w:rPr>
          <w:rtl w:val="0"/>
        </w:rPr>
        <w:t xml:space="preserve">Key share custody is physical. Each share is stored in a hardware security module under the personal control of the designated Custodian. Key share ceremonies require physical presence at a designated secure facility - remote participation is not permitted for operations that involve key material reconstruction. Individual Custodian availability for key ceremonies is verified in advance through </w:t>
      </w:r>
      <w:r w:rsidDel="00000000" w:rsidR="00000000" w:rsidRPr="00000000">
        <w:rPr>
          <w:rFonts w:ascii="Roboto Mono" w:cs="Roboto Mono" w:eastAsia="Roboto Mono" w:hAnsi="Roboto Mono"/>
          <w:color w:val="188038"/>
          <w:rtl w:val="0"/>
        </w:rPr>
        <w:t xml:space="preserve">GET /audit/custodians/{custodianId}/heartbeat</w:t>
      </w:r>
      <w:r w:rsidDel="00000000" w:rsidR="00000000" w:rsidRPr="00000000">
        <w:rPr>
          <w:rtl w:val="0"/>
        </w:rPr>
        <w:t xml:space="preserve">.</w:t>
      </w:r>
      <w:hyperlink r:id="rId798">
        <w:r w:rsidDel="00000000" w:rsidR="00000000" w:rsidRPr="00000000">
          <w:rPr>
            <w:rtl w:val="0"/>
          </w:rPr>
          <w:t xml:space="preserve"> </w:t>
        </w:r>
      </w:hyperlink>
      <w:hyperlink r:id="rId799">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3B9">
      <w:pPr>
        <w:pStyle w:val="Heading2"/>
        <w:keepNext w:val="0"/>
        <w:keepLines w:val="0"/>
        <w:spacing w:after="80" w:lineRule="auto"/>
        <w:rPr>
          <w:b w:val="1"/>
          <w:bCs w:val="1"/>
          <w:sz w:val="34"/>
          <w:szCs w:val="34"/>
        </w:rPr>
      </w:pPr>
      <w:bookmarkStart w:colFirst="0" w:colLast="0" w:name="_75hekw5y9qav" w:id="125"/>
      <w:bookmarkEnd w:id="125"/>
      <w:r w:rsidDel="00000000" w:rsidR="00000000" w:rsidRPr="00000000">
        <w:rPr>
          <w:b w:val="1"/>
          <w:bCs w:val="1"/>
          <w:sz w:val="34"/>
          <w:szCs w:val="34"/>
          <w:rtl w:val="0"/>
        </w:rPr>
        <w:t xml:space="preserve">9.3 The Smart Contract Treasury</w:t>
      </w:r>
    </w:p>
    <w:p w:rsidR="00000000" w:rsidDel="00000000" w:rsidP="00000000" w:rsidRDefault="00000000" w:rsidRPr="00000000" w14:paraId="000003BA">
      <w:pPr>
        <w:spacing w:after="240" w:before="240" w:lineRule="auto"/>
        <w:rPr>
          <w:color w:val="1155cc"/>
          <w:u w:val="single"/>
        </w:rPr>
      </w:pPr>
      <w:r w:rsidDel="00000000" w:rsidR="00000000" w:rsidRPr="00000000">
        <w:rPr>
          <w:rtl w:val="0"/>
        </w:rPr>
        <w:t xml:space="preserve">The Smart Contract Treasury is the third chamber of the Tri-Cameral model. It holds economic authority over the framework's resource allocation, incentive structure, and automated penalty and reward mechanisms.</w:t>
      </w:r>
      <w:hyperlink r:id="rId800">
        <w:r w:rsidDel="00000000" w:rsidR="00000000" w:rsidRPr="00000000">
          <w:rPr>
            <w:rtl w:val="0"/>
          </w:rPr>
          <w:t xml:space="preserve"> </w:t>
        </w:r>
      </w:hyperlink>
      <w:hyperlink r:id="rId801">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3BB">
      <w:pPr>
        <w:pStyle w:val="Heading3"/>
        <w:keepNext w:val="0"/>
        <w:keepLines w:val="0"/>
        <w:spacing w:before="280" w:lineRule="auto"/>
        <w:rPr>
          <w:b w:val="1"/>
          <w:bCs w:val="1"/>
          <w:color w:val="000000"/>
          <w:sz w:val="26"/>
          <w:szCs w:val="26"/>
        </w:rPr>
      </w:pPr>
      <w:bookmarkStart w:colFirst="0" w:colLast="0" w:name="_8l4qwhscju3q" w:id="126"/>
      <w:bookmarkEnd w:id="126"/>
      <w:r w:rsidDel="00000000" w:rsidR="00000000" w:rsidRPr="00000000">
        <w:rPr>
          <w:b w:val="1"/>
          <w:bCs w:val="1"/>
          <w:color w:val="000000"/>
          <w:sz w:val="26"/>
          <w:szCs w:val="26"/>
          <w:rtl w:val="0"/>
        </w:rPr>
        <w:t xml:space="preserve">9.3.1 Composition and Structure</w:t>
      </w:r>
    </w:p>
    <w:p w:rsidR="00000000" w:rsidDel="00000000" w:rsidP="00000000" w:rsidRDefault="00000000" w:rsidRPr="00000000" w14:paraId="000003BC">
      <w:pPr>
        <w:spacing w:after="240" w:before="240" w:lineRule="auto"/>
        <w:rPr>
          <w:color w:val="1155cc"/>
          <w:u w:val="single"/>
        </w:rPr>
      </w:pPr>
      <w:r w:rsidDel="00000000" w:rsidR="00000000" w:rsidRPr="00000000">
        <w:rPr>
          <w:rtl w:val="0"/>
        </w:rPr>
        <w:t xml:space="preserve">The Smart Contract Treasury operates through a hybrid governance structure combining algorithmic agents with human oversight. The algorithmic agents execute routine resource allocation, penalty assessment, and incentive distribution based on parameters encoded in the governance schema. The human oversight board - comprising five members drawn from financial operations, audit, and institutional economics - approves schema parameter updates, reviews anomalous Treasury operations flagged by the algorithmic monitoring system, and manages exceptional situations falling outside automated operation parameters.</w:t>
      </w:r>
      <w:hyperlink r:id="rId802">
        <w:r w:rsidDel="00000000" w:rsidR="00000000" w:rsidRPr="00000000">
          <w:rPr>
            <w:rtl w:val="0"/>
          </w:rPr>
          <w:t xml:space="preserve"> </w:t>
        </w:r>
      </w:hyperlink>
      <w:hyperlink r:id="rId803">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3BD">
      <w:pPr>
        <w:spacing w:after="240" w:before="240" w:lineRule="auto"/>
        <w:rPr>
          <w:color w:val="1155cc"/>
          <w:u w:val="single"/>
        </w:rPr>
      </w:pPr>
      <w:r w:rsidDel="00000000" w:rsidR="00000000" w:rsidRPr="00000000">
        <w:rPr>
          <w:rtl w:val="0"/>
        </w:rPr>
        <w:t xml:space="preserve">The algorithmic agents' logic is open-source and subject to external audit. No proprietary black-box algorithm governs the Treasury's automated operations. Every parameter is encoded in the governance schema, versioned, and anchored to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A change to any Treasury parameter requires the same supermajority approval from the Stewardship Custodians as any other schema modification via </w:t>
      </w:r>
      <w:r w:rsidDel="00000000" w:rsidR="00000000" w:rsidRPr="00000000">
        <w:rPr>
          <w:rFonts w:ascii="Roboto Mono" w:cs="Roboto Mono" w:eastAsia="Roboto Mono" w:hAnsi="Roboto Mono"/>
          <w:color w:val="188038"/>
          <w:rtl w:val="0"/>
        </w:rPr>
        <w:t xml:space="preserve">POST /pillars/{pillarId}/configure</w:t>
      </w:r>
      <w:r w:rsidDel="00000000" w:rsidR="00000000" w:rsidRPr="00000000">
        <w:rPr>
          <w:rtl w:val="0"/>
        </w:rPr>
        <w:t xml:space="preserve">. The Treasury cannot modify its own operating parameters.</w:t>
      </w:r>
      <w:hyperlink r:id="rId804">
        <w:r w:rsidDel="00000000" w:rsidR="00000000" w:rsidRPr="00000000">
          <w:rPr>
            <w:rtl w:val="0"/>
          </w:rPr>
          <w:t xml:space="preserve"> </w:t>
        </w:r>
      </w:hyperlink>
      <w:hyperlink r:id="rId805">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3BE">
      <w:pPr>
        <w:pStyle w:val="Heading3"/>
        <w:keepNext w:val="0"/>
        <w:keepLines w:val="0"/>
        <w:spacing w:before="280" w:lineRule="auto"/>
        <w:rPr>
          <w:b w:val="1"/>
          <w:bCs w:val="1"/>
          <w:color w:val="000000"/>
          <w:sz w:val="26"/>
          <w:szCs w:val="26"/>
        </w:rPr>
      </w:pPr>
      <w:bookmarkStart w:colFirst="0" w:colLast="0" w:name="_qqsbr94802ty" w:id="127"/>
      <w:bookmarkEnd w:id="127"/>
      <w:r w:rsidDel="00000000" w:rsidR="00000000" w:rsidRPr="00000000">
        <w:rPr>
          <w:b w:val="1"/>
          <w:bCs w:val="1"/>
          <w:color w:val="000000"/>
          <w:sz w:val="26"/>
          <w:szCs w:val="26"/>
          <w:rtl w:val="0"/>
        </w:rPr>
        <w:t xml:space="preserve">9.3.2 Mandate</w:t>
      </w:r>
    </w:p>
    <w:p w:rsidR="00000000" w:rsidDel="00000000" w:rsidP="00000000" w:rsidRDefault="00000000" w:rsidRPr="00000000" w14:paraId="000003BF">
      <w:pPr>
        <w:spacing w:after="240" w:before="240" w:lineRule="auto"/>
        <w:rPr>
          <w:color w:val="1155cc"/>
          <w:u w:val="single"/>
        </w:rPr>
      </w:pPr>
      <w:r w:rsidDel="00000000" w:rsidR="00000000" w:rsidRPr="00000000">
        <w:rPr>
          <w:rtl w:val="0"/>
        </w:rPr>
        <w:t xml:space="preserve">The Smart Contract Treasury's mandate derives from the Goukassian Vow's first command: pause when truth is uncertain. The Treasury is responsible for ensuring that the Governance Lane is never starved of the computational resources, cryptographic infrastructure, and institutional incentives required to evaluate proposals thoroughly - including during periods of market stress when the temptation to bypass governance is highest.</w:t>
      </w:r>
      <w:hyperlink r:id="rId806">
        <w:r w:rsidDel="00000000" w:rsidR="00000000" w:rsidRPr="00000000">
          <w:rPr>
            <w:rtl w:val="0"/>
          </w:rPr>
          <w:t xml:space="preserve"> </w:t>
        </w:r>
      </w:hyperlink>
      <w:hyperlink r:id="rId807">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3C0">
      <w:pPr>
        <w:pStyle w:val="Heading3"/>
        <w:keepNext w:val="0"/>
        <w:keepLines w:val="0"/>
        <w:spacing w:before="280" w:lineRule="auto"/>
        <w:rPr>
          <w:b w:val="1"/>
          <w:bCs w:val="1"/>
          <w:color w:val="000000"/>
          <w:sz w:val="26"/>
          <w:szCs w:val="26"/>
        </w:rPr>
      </w:pPr>
      <w:bookmarkStart w:colFirst="0" w:colLast="0" w:name="_b5ye3b43le2r" w:id="128"/>
      <w:bookmarkEnd w:id="128"/>
      <w:r w:rsidDel="00000000" w:rsidR="00000000" w:rsidRPr="00000000">
        <w:rPr>
          <w:b w:val="1"/>
          <w:bCs w:val="1"/>
          <w:color w:val="000000"/>
          <w:sz w:val="26"/>
          <w:szCs w:val="26"/>
          <w:rtl w:val="0"/>
        </w:rPr>
        <w:t xml:space="preserve">9.3.3 Four Constitutional Reserves</w:t>
      </w:r>
    </w:p>
    <w:p w:rsidR="00000000" w:rsidDel="00000000" w:rsidP="00000000" w:rsidRDefault="00000000" w:rsidRPr="00000000" w14:paraId="000003C1">
      <w:pPr>
        <w:spacing w:after="240" w:before="240" w:lineRule="auto"/>
        <w:rPr/>
      </w:pPr>
      <w:r w:rsidDel="00000000" w:rsidR="00000000" w:rsidRPr="00000000">
        <w:rPr>
          <w:rtl w:val="0"/>
        </w:rPr>
        <w:t xml:space="preserve">The Treasury maintains four reserves, each with framework-level protection against diversion to operational expenses.</w:t>
      </w:r>
    </w:p>
    <w:p w:rsidR="00000000" w:rsidDel="00000000" w:rsidP="00000000" w:rsidRDefault="00000000" w:rsidRPr="00000000" w14:paraId="000003C2">
      <w:pPr>
        <w:spacing w:after="240" w:before="240" w:lineRule="auto"/>
        <w:rPr>
          <w:color w:val="1155cc"/>
          <w:u w:val="single"/>
        </w:rPr>
      </w:pPr>
      <w:r w:rsidDel="00000000" w:rsidR="00000000" w:rsidRPr="00000000">
        <w:rPr>
          <w:b w:val="1"/>
          <w:bCs w:val="1"/>
          <w:rtl w:val="0"/>
        </w:rPr>
        <w:t xml:space="preserve">Governance Lane Reserve</w:t>
      </w:r>
      <w:r w:rsidDel="00000000" w:rsidR="00000000" w:rsidRPr="00000000">
        <w:rPr>
          <w:rtl w:val="0"/>
        </w:rPr>
        <w:t xml:space="preserve"> maintains sufficient computational capacity, network bandwidth, and cryptographic processing capability to sustain Governance Lane operations at peak throughput. When the Treasury detects that Governance Lane latency is approaching backpressure thresholds, it automatically allocates additional computational resources. Institutions cannot reduce Governance Lane resources below the reserve floor for cost efficiency reasons.</w:t>
      </w:r>
      <w:hyperlink r:id="rId808">
        <w:r w:rsidDel="00000000" w:rsidR="00000000" w:rsidRPr="00000000">
          <w:rPr>
            <w:rtl w:val="0"/>
          </w:rPr>
          <w:t xml:space="preserve"> </w:t>
        </w:r>
      </w:hyperlink>
      <w:hyperlink r:id="rId809">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3C3">
      <w:pPr>
        <w:spacing w:after="240" w:before="240" w:lineRule="auto"/>
        <w:rPr>
          <w:color w:val="1155cc"/>
          <w:u w:val="single"/>
        </w:rPr>
      </w:pPr>
      <w:r w:rsidDel="00000000" w:rsidR="00000000" w:rsidRPr="00000000">
        <w:rPr>
          <w:b w:val="1"/>
          <w:bCs w:val="1"/>
          <w:rtl w:val="0"/>
        </w:rPr>
        <w:t xml:space="preserve">Epistemic Hold Reserve</w:t>
      </w:r>
      <w:r w:rsidDel="00000000" w:rsidR="00000000" w:rsidRPr="00000000">
        <w:rPr>
          <w:rtl w:val="0"/>
        </w:rPr>
        <w:t xml:space="preserve"> maintains resources specifically allocated to sustain </w:t>
      </w:r>
      <w:r w:rsidDel="00000000" w:rsidR="00000000" w:rsidRPr="00000000">
        <w:rPr>
          <w:rFonts w:ascii="Roboto Mono" w:cs="Roboto Mono" w:eastAsia="Roboto Mono" w:hAnsi="Roboto Mono"/>
          <w:color w:val="188038"/>
          <w:rtl w:val="0"/>
        </w:rPr>
        <w:t xml:space="preserve">GovernancePause</w:t>
      </w:r>
      <w:r w:rsidDel="00000000" w:rsidR="00000000" w:rsidRPr="00000000">
        <w:rPr>
          <w:rtl w:val="0"/>
        </w:rPr>
        <w:t xml:space="preserve"> workflow operations. Without a dedicated reserve, resource constraints during market stress could compress the deliberation timeline and force premature resolutions - precisely the conditions under which the mandatory hesitation state is most necessary.</w:t>
      </w:r>
      <w:hyperlink r:id="rId810">
        <w:r w:rsidDel="00000000" w:rsidR="00000000" w:rsidRPr="00000000">
          <w:rPr>
            <w:rtl w:val="0"/>
          </w:rPr>
          <w:t xml:space="preserve"> </w:t>
        </w:r>
      </w:hyperlink>
      <w:hyperlink r:id="rId811">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3C4">
      <w:pPr>
        <w:spacing w:after="240" w:before="240" w:lineRule="auto"/>
        <w:rPr>
          <w:color w:val="1155cc"/>
          <w:u w:val="single"/>
        </w:rPr>
      </w:pPr>
      <w:r w:rsidDel="00000000" w:rsidR="00000000" w:rsidRPr="00000000">
        <w:rPr>
          <w:b w:val="1"/>
          <w:bCs w:val="1"/>
          <w:rtl w:val="0"/>
        </w:rPr>
        <w:t xml:space="preserve">Recovery Reserve</w:t>
      </w:r>
      <w:r w:rsidDel="00000000" w:rsidR="00000000" w:rsidRPr="00000000">
        <w:rPr>
          <w:rtl w:val="0"/>
        </w:rPr>
        <w:t xml:space="preserve"> maintains capital for post-compromise recovery operations: hardware replacement, auditor fees, legal pre-positioning, and quantum migration capital expenditure. The reserve is cryptographically locked and released only upon detection of compromise by the tamper mesh, confirmed through the </w:t>
      </w:r>
      <w:r w:rsidDel="00000000" w:rsidR="00000000" w:rsidRPr="00000000">
        <w:rPr>
          <w:rFonts w:ascii="Roboto Mono" w:cs="Roboto Mono" w:eastAsia="Roboto Mono" w:hAnsi="Roboto Mono"/>
          <w:color w:val="188038"/>
          <w:rtl w:val="0"/>
        </w:rPr>
        <w:t xml:space="preserve">windowComparatorReading</w:t>
      </w:r>
      <w:r w:rsidDel="00000000" w:rsidR="00000000" w:rsidRPr="00000000">
        <w:rPr>
          <w:rtl w:val="0"/>
        </w:rPr>
        <w:t xml:space="preserve"> anomaly in </w:t>
      </w:r>
      <w:r w:rsidDel="00000000" w:rsidR="00000000" w:rsidRPr="00000000">
        <w:rPr>
          <w:rFonts w:ascii="Roboto Mono" w:cs="Roboto Mono" w:eastAsia="Roboto Mono" w:hAnsi="Roboto Mono"/>
          <w:color w:val="188038"/>
          <w:rtl w:val="0"/>
        </w:rPr>
        <w:t xml:space="preserve">EscrowRecord_v1_0_0</w:t>
      </w:r>
      <w:r w:rsidDel="00000000" w:rsidR="00000000" w:rsidRPr="00000000">
        <w:rPr>
          <w:rtl w:val="0"/>
        </w:rPr>
        <w:t xml:space="preserve">, or upon Technical Council certification that a scheduled hardware replacement milestone has been reached.</w:t>
      </w:r>
      <w:hyperlink r:id="rId812">
        <w:r w:rsidDel="00000000" w:rsidR="00000000" w:rsidRPr="00000000">
          <w:rPr>
            <w:rtl w:val="0"/>
          </w:rPr>
          <w:t xml:space="preserve"> </w:t>
        </w:r>
      </w:hyperlink>
      <w:hyperlink r:id="rId813">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3C5">
      <w:pPr>
        <w:spacing w:after="240" w:before="240" w:lineRule="auto"/>
        <w:rPr>
          <w:color w:val="1155cc"/>
          <w:u w:val="single"/>
        </w:rPr>
      </w:pPr>
      <w:r w:rsidDel="00000000" w:rsidR="00000000" w:rsidRPr="00000000">
        <w:rPr>
          <w:b w:val="1"/>
          <w:bCs w:val="1"/>
          <w:rtl w:val="0"/>
        </w:rPr>
        <w:t xml:space="preserve">Succession Reserve</w:t>
      </w:r>
      <w:r w:rsidDel="00000000" w:rsidR="00000000" w:rsidRPr="00000000">
        <w:rPr>
          <w:rtl w:val="0"/>
        </w:rPr>
        <w:t xml:space="preserve"> maintains capital for custodian replacement ceremonies, emergency Tri-Cameral quorum sessions, and the costs of activating the Succession Declaration specified in Section 13. The </w:t>
      </w:r>
      <w:r w:rsidDel="00000000" w:rsidR="00000000" w:rsidRPr="00000000">
        <w:rPr>
          <w:rFonts w:ascii="Roboto Mono" w:cs="Roboto Mono" w:eastAsia="Roboto Mono" w:hAnsi="Roboto Mono"/>
          <w:color w:val="188038"/>
          <w:rtl w:val="0"/>
        </w:rPr>
        <w:t xml:space="preserve">SuccessionDeclaration_v1_0_0</w:t>
      </w:r>
      <w:r w:rsidDel="00000000" w:rsidR="00000000" w:rsidRPr="00000000">
        <w:rPr>
          <w:rtl w:val="0"/>
        </w:rPr>
        <w:t xml:space="preserve"> schema tracks the expiry status through </w:t>
      </w:r>
      <w:r w:rsidDel="00000000" w:rsidR="00000000" w:rsidRPr="00000000">
        <w:rPr>
          <w:rFonts w:ascii="Roboto Mono" w:cs="Roboto Mono" w:eastAsia="Roboto Mono" w:hAnsi="Roboto Mono"/>
          <w:color w:val="188038"/>
          <w:rtl w:val="0"/>
        </w:rPr>
        <w:t xml:space="preserve">SUCCESSION_DECLARATION_EXPIRED_ERROR</w:t>
      </w:r>
      <w:r w:rsidDel="00000000" w:rsidR="00000000" w:rsidRPr="00000000">
        <w:rPr>
          <w:rtl w:val="0"/>
        </w:rPr>
        <w:t xml:space="preserve"> in the </w:t>
      </w:r>
      <w:r w:rsidDel="00000000" w:rsidR="00000000" w:rsidRPr="00000000">
        <w:rPr>
          <w:rFonts w:ascii="Roboto Mono" w:cs="Roboto Mono" w:eastAsia="Roboto Mono" w:hAnsi="Roboto Mono"/>
          <w:color w:val="188038"/>
          <w:rtl w:val="0"/>
        </w:rPr>
        <w:t xml:space="preserve">TLProblemDetail</w:t>
      </w:r>
      <w:r w:rsidDel="00000000" w:rsidR="00000000" w:rsidRPr="00000000">
        <w:rPr>
          <w:rtl w:val="0"/>
        </w:rPr>
        <w:t xml:space="preserve"> error taxonomy.</w:t>
      </w:r>
      <w:hyperlink r:id="rId814">
        <w:r w:rsidDel="00000000" w:rsidR="00000000" w:rsidRPr="00000000">
          <w:rPr>
            <w:rtl w:val="0"/>
          </w:rPr>
          <w:t xml:space="preserve"> </w:t>
        </w:r>
      </w:hyperlink>
      <w:hyperlink r:id="rId815">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3C6">
      <w:pPr>
        <w:pStyle w:val="Heading3"/>
        <w:keepNext w:val="0"/>
        <w:keepLines w:val="0"/>
        <w:spacing w:before="280" w:lineRule="auto"/>
        <w:rPr>
          <w:b w:val="1"/>
          <w:bCs w:val="1"/>
          <w:color w:val="000000"/>
          <w:sz w:val="26"/>
          <w:szCs w:val="26"/>
        </w:rPr>
      </w:pPr>
      <w:bookmarkStart w:colFirst="0" w:colLast="0" w:name="_uw5w0wwqptdf" w:id="129"/>
      <w:bookmarkEnd w:id="129"/>
      <w:r w:rsidDel="00000000" w:rsidR="00000000" w:rsidRPr="00000000">
        <w:rPr>
          <w:b w:val="1"/>
          <w:bCs w:val="1"/>
          <w:color w:val="000000"/>
          <w:sz w:val="26"/>
          <w:szCs w:val="26"/>
          <w:rtl w:val="0"/>
        </w:rPr>
        <w:t xml:space="preserve">9.3.4 The Automated Penalty and Incentive Architecture</w:t>
      </w:r>
    </w:p>
    <w:p w:rsidR="00000000" w:rsidDel="00000000" w:rsidP="00000000" w:rsidRDefault="00000000" w:rsidRPr="00000000" w14:paraId="000003C7">
      <w:pPr>
        <w:spacing w:after="240" w:before="240" w:lineRule="auto"/>
        <w:rPr>
          <w:color w:val="1155cc"/>
          <w:u w:val="single"/>
        </w:rPr>
      </w:pPr>
      <w:r w:rsidDel="00000000" w:rsidR="00000000" w:rsidRPr="00000000">
        <w:rPr>
          <w:rtl w:val="0"/>
        </w:rPr>
        <w:t xml:space="preserve">The Treasury's automated penalty and incentive architecture internalizes the externalities of governance behavior. Under conventional governance, institutions bear the cost of compliance while society bears the cost of non-compliance. The rational institutional incentive is to minimize compliance cost. TL inverts this incentive structure by making non-compliance economically more expensive than compliance - automatically, algorithmically, and without discretionary human intervention at the moment of enforcement.</w:t>
      </w:r>
      <w:hyperlink r:id="rId816">
        <w:r w:rsidDel="00000000" w:rsidR="00000000" w:rsidRPr="00000000">
          <w:rPr>
            <w:rtl w:val="0"/>
          </w:rPr>
          <w:t xml:space="preserve"> </w:t>
        </w:r>
      </w:hyperlink>
      <w:hyperlink r:id="rId817">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3C8">
      <w:pPr>
        <w:spacing w:after="240" w:before="240" w:lineRule="auto"/>
        <w:rPr>
          <w:b w:val="1"/>
          <w:bCs w:val="1"/>
        </w:rPr>
      </w:pPr>
      <w:r w:rsidDel="00000000" w:rsidR="00000000" w:rsidRPr="00000000">
        <w:rPr>
          <w:b w:val="1"/>
          <w:bCs w:val="1"/>
          <w:rtl w:val="0"/>
        </w:rPr>
        <w:t xml:space="preserve">Penalty triggers and automatic consequences:</w:t>
      </w:r>
    </w:p>
    <w:p w:rsidR="00000000" w:rsidDel="00000000" w:rsidP="00000000" w:rsidRDefault="00000000" w:rsidRPr="00000000" w14:paraId="000003C9">
      <w:pPr>
        <w:spacing w:after="240" w:before="240" w:lineRule="auto"/>
        <w:rPr>
          <w:color w:val="1155cc"/>
          <w:u w:val="single"/>
        </w:rPr>
      </w:pPr>
      <w:r w:rsidDel="00000000" w:rsidR="00000000" w:rsidRPr="00000000">
        <w:rPr>
          <w:rtl w:val="0"/>
        </w:rPr>
        <w:t xml:space="preserve">When a trading desk's proposals show a statistically anomalous rate of Proceed relative to industry benchmarks - a pattern consistent with forced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under uncertainty - the Treasury automatically increases the desk's collateral requirements and reduces its credit lines. The magnitude of the penalty is proportional to the statistical deviation from the benchmark and the risk classification in </w:t>
      </w:r>
      <w:r w:rsidDel="00000000" w:rsidR="00000000" w:rsidRPr="00000000">
        <w:rPr>
          <w:rFonts w:ascii="Roboto Mono" w:cs="Roboto Mono" w:eastAsia="Roboto Mono" w:hAnsi="Roboto Mono"/>
          <w:color w:val="188038"/>
          <w:rtl w:val="0"/>
        </w:rPr>
        <w:t xml:space="preserve">ThresholdProfile_v1_0_0</w:t>
      </w:r>
      <w:r w:rsidDel="00000000" w:rsidR="00000000" w:rsidRPr="00000000">
        <w:rPr>
          <w:rtl w:val="0"/>
        </w:rPr>
        <w:t xml:space="preserve">.</w:t>
      </w:r>
      <w:hyperlink r:id="rId818">
        <w:r w:rsidDel="00000000" w:rsidR="00000000" w:rsidRPr="00000000">
          <w:rPr>
            <w:rtl w:val="0"/>
          </w:rPr>
          <w:t xml:space="preserve"> </w:t>
        </w:r>
      </w:hyperlink>
      <w:hyperlink r:id="rId819">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3CA">
      <w:pPr>
        <w:spacing w:after="240" w:before="240" w:lineRule="auto"/>
        <w:rPr>
          <w:color w:val="1155cc"/>
          <w:u w:val="single"/>
        </w:rPr>
      </w:pPr>
      <w:r w:rsidDel="00000000" w:rsidR="00000000" w:rsidRPr="00000000">
        <w:rPr>
          <w:rtl w:val="0"/>
        </w:rPr>
        <w:t xml:space="preserve">When an institution's schema modification proposals consistently relax evidentiary requirements via </w:t>
      </w:r>
      <w:r w:rsidDel="00000000" w:rsidR="00000000" w:rsidRPr="00000000">
        <w:rPr>
          <w:rFonts w:ascii="Roboto Mono" w:cs="Roboto Mono" w:eastAsia="Roboto Mono" w:hAnsi="Roboto Mono"/>
          <w:color w:val="188038"/>
          <w:rtl w:val="0"/>
        </w:rPr>
        <w:t xml:space="preserve">PUT /thresholds/{domain}</w:t>
      </w:r>
      <w:r w:rsidDel="00000000" w:rsidR="00000000" w:rsidRPr="00000000">
        <w:rPr>
          <w:rtl w:val="0"/>
        </w:rPr>
        <w:t xml:space="preserve">, the Treasury imposes mandatory external audit fees and reduces fee rebates. Each modification is individually reviewed, but the pattern across modifications is also tracked. An institution that submits ten individually defensible schema relaxations over twelve months, each narrowing a different governance boundary by a small amount, receives a pattern-of-drift penalty even if no single modification triggered an individual flag.</w:t>
      </w:r>
      <w:hyperlink r:id="rId820">
        <w:r w:rsidDel="00000000" w:rsidR="00000000" w:rsidRPr="00000000">
          <w:rPr>
            <w:rtl w:val="0"/>
          </w:rPr>
          <w:t xml:space="preserve"> </w:t>
        </w:r>
      </w:hyperlink>
      <w:hyperlink r:id="rId821">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3CB">
      <w:pPr>
        <w:spacing w:after="240" w:before="240" w:lineRule="auto"/>
        <w:rPr>
          <w:color w:val="1155cc"/>
          <w:u w:val="single"/>
        </w:rPr>
      </w:pPr>
      <w:r w:rsidDel="00000000" w:rsidR="00000000" w:rsidRPr="00000000">
        <w:rPr>
          <w:rtl w:val="0"/>
        </w:rPr>
        <w:t xml:space="preserve">When a supplier in a supply chain network repeatedly submits proposals triggering Refuse for sanctions matches via </w:t>
      </w:r>
      <w:r w:rsidDel="00000000" w:rsidR="00000000" w:rsidRPr="00000000">
        <w:rPr>
          <w:rFonts w:ascii="Roboto Mono" w:cs="Roboto Mono" w:eastAsia="Roboto Mono" w:hAnsi="Roboto Mono"/>
          <w:color w:val="188038"/>
          <w:rtl w:val="0"/>
        </w:rPr>
        <w:t xml:space="preserve">RegulatoryContext.fatf.sanctionsScreened</w:t>
      </w:r>
      <w:r w:rsidDel="00000000" w:rsidR="00000000" w:rsidRPr="00000000">
        <w:rPr>
          <w:rtl w:val="0"/>
        </w:rPr>
        <w:t xml:space="preserve">, the Treasury automatically suspends the supplier's credit lines, revokes its pre-clearance status, and notifies all counterparties in the ledger network. The notification is cryptographically authenticated and anchored to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visible to every participant who queries </w:t>
      </w:r>
      <w:r w:rsidDel="00000000" w:rsidR="00000000" w:rsidRPr="00000000">
        <w:rPr>
          <w:rFonts w:ascii="Roboto Mono" w:cs="Roboto Mono" w:eastAsia="Roboto Mono" w:hAnsi="Roboto Mono"/>
          <w:color w:val="188038"/>
          <w:rtl w:val="0"/>
        </w:rPr>
        <w:t xml:space="preserve">GET /audit/verifications/inclusion/{logId}</w:t>
      </w:r>
      <w:r w:rsidDel="00000000" w:rsidR="00000000" w:rsidRPr="00000000">
        <w:rPr>
          <w:rtl w:val="0"/>
        </w:rPr>
        <w:t xml:space="preserve">.</w:t>
      </w:r>
      <w:hyperlink r:id="rId822">
        <w:r w:rsidDel="00000000" w:rsidR="00000000" w:rsidRPr="00000000">
          <w:rPr>
            <w:rtl w:val="0"/>
          </w:rPr>
          <w:t xml:space="preserve"> </w:t>
        </w:r>
      </w:hyperlink>
      <w:hyperlink r:id="rId823">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3CC">
      <w:pPr>
        <w:spacing w:after="240" w:before="240" w:lineRule="auto"/>
        <w:rPr>
          <w:color w:val="1155cc"/>
          <w:u w:val="single"/>
        </w:rPr>
      </w:pPr>
      <w:r w:rsidDel="00000000" w:rsidR="00000000" w:rsidRPr="00000000">
        <w:rPr>
          <w:rtl w:val="0"/>
        </w:rPr>
        <w:t xml:space="preserve">When an institution demonstrates a verifiable pattern of no-spy, no-weapon compliance over a defined measurement period, the Treasury allocates fee reductions, reputation tokens anchored to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and preferential liquidity access. The compliance reputation score is publicly queryable through the Regulatory Nexus. Counterparties can factor the score into their transaction pricing, creating a market premium for governance compliance that does not require regulatory mandate to emerge.</w:t>
      </w:r>
      <w:hyperlink r:id="rId824">
        <w:r w:rsidDel="00000000" w:rsidR="00000000" w:rsidRPr="00000000">
          <w:rPr>
            <w:rtl w:val="0"/>
          </w:rPr>
          <w:t xml:space="preserve"> </w:t>
        </w:r>
      </w:hyperlink>
      <w:hyperlink r:id="rId825">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3CD">
      <w:pPr>
        <w:pStyle w:val="Heading2"/>
        <w:keepNext w:val="0"/>
        <w:keepLines w:val="0"/>
        <w:spacing w:after="80" w:lineRule="auto"/>
        <w:rPr>
          <w:b w:val="1"/>
          <w:bCs w:val="1"/>
          <w:sz w:val="34"/>
          <w:szCs w:val="34"/>
        </w:rPr>
      </w:pPr>
      <w:bookmarkStart w:colFirst="0" w:colLast="0" w:name="_nkaugmufs84i" w:id="130"/>
      <w:bookmarkEnd w:id="130"/>
      <w:r w:rsidDel="00000000" w:rsidR="00000000" w:rsidRPr="00000000">
        <w:rPr>
          <w:b w:val="1"/>
          <w:bCs w:val="1"/>
          <w:sz w:val="34"/>
          <w:szCs w:val="34"/>
          <w:rtl w:val="0"/>
        </w:rPr>
        <w:t xml:space="preserve">9.4 Chamber Interdependence and Separation of Powers</w:t>
      </w:r>
    </w:p>
    <w:p w:rsidR="00000000" w:rsidDel="00000000" w:rsidP="00000000" w:rsidRDefault="00000000" w:rsidRPr="00000000" w14:paraId="000003CE">
      <w:pPr>
        <w:spacing w:after="240" w:before="240" w:lineRule="auto"/>
        <w:rPr>
          <w:color w:val="1155cc"/>
          <w:u w:val="single"/>
        </w:rPr>
      </w:pPr>
      <w:r w:rsidDel="00000000" w:rsidR="00000000" w:rsidRPr="00000000">
        <w:rPr>
          <w:rtl w:val="0"/>
        </w:rPr>
        <w:t xml:space="preserve">The three chambers operate under a principle of mutual veto: no single chamber can authorize the framework's most sensitive operations unilaterally, and each chamber can block operations proposed by either of the other two.</w:t>
      </w:r>
      <w:hyperlink r:id="rId826">
        <w:r w:rsidDel="00000000" w:rsidR="00000000" w:rsidRPr="00000000">
          <w:rPr>
            <w:rtl w:val="0"/>
          </w:rPr>
          <w:t xml:space="preserve"> </w:t>
        </w:r>
      </w:hyperlink>
      <w:hyperlink r:id="rId827">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3CF">
      <w:pPr>
        <w:spacing w:after="240" w:before="240" w:lineRule="auto"/>
        <w:rPr/>
      </w:pPr>
      <w:r w:rsidDel="00000000" w:rsidR="00000000" w:rsidRPr="00000000">
        <w:rPr>
          <w:rtl w:val="0"/>
        </w:rPr>
        <w:t xml:space="preserve">This mutual veto structure creates a capture problem for adversaries: capturing one chamber is insufficient. Capturing two chambers is necessary for most sensitive operations, and capturing all three is required for the most critical ones. The institutional diversity requirements - different stakeholder categories, different nomination processes, different expertise profiles, different economic incentives - ensure that the path to two-chamber capture requires compromising entities with fundamentally different interests, networks, and pressure points.</w:t>
      </w:r>
    </w:p>
    <w:p w:rsidR="00000000" w:rsidDel="00000000" w:rsidP="00000000" w:rsidRDefault="00000000" w:rsidRPr="00000000" w14:paraId="000003D0">
      <w:pPr>
        <w:spacing w:after="240" w:before="240" w:lineRule="auto"/>
        <w:rPr>
          <w:color w:val="1155cc"/>
          <w:u w:val="single"/>
        </w:rPr>
      </w:pPr>
      <w:r w:rsidDel="00000000" w:rsidR="00000000" w:rsidRPr="00000000">
        <w:rPr>
          <w:rtl w:val="0"/>
        </w:rPr>
        <w:t xml:space="preserve">The separation also prevents procedural deadlock. The Smart Contract Treasury's algorithmic agents can execute routine operations without waiting for human quorum in either of the other two chambers. The Technical Council's standard monitoring and calibration functions do not require Stewardship Custodian approval. The Stewardship Custodians' Regulatory Nexus updates do not require Smart Contract Treasury allocation decisions. The chambers are independent enough to operate continuously while being interdependent enough that sensitive operations require multi-chamber coordination.</w:t>
      </w:r>
      <w:hyperlink r:id="rId828">
        <w:r w:rsidDel="00000000" w:rsidR="00000000" w:rsidRPr="00000000">
          <w:rPr>
            <w:rtl w:val="0"/>
          </w:rPr>
          <w:t xml:space="preserve"> </w:t>
        </w:r>
      </w:hyperlink>
      <w:hyperlink r:id="rId829">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3D1">
      <w:pPr>
        <w:pStyle w:val="Heading2"/>
        <w:keepNext w:val="0"/>
        <w:keepLines w:val="0"/>
        <w:spacing w:after="80" w:lineRule="auto"/>
        <w:rPr>
          <w:b w:val="1"/>
          <w:bCs w:val="1"/>
          <w:sz w:val="34"/>
          <w:szCs w:val="34"/>
        </w:rPr>
      </w:pPr>
      <w:bookmarkStart w:colFirst="0" w:colLast="0" w:name="_cfxvv6j2z9of" w:id="131"/>
      <w:bookmarkEnd w:id="131"/>
      <w:r w:rsidDel="00000000" w:rsidR="00000000" w:rsidRPr="00000000">
        <w:rPr>
          <w:b w:val="1"/>
          <w:bCs w:val="1"/>
          <w:sz w:val="34"/>
          <w:szCs w:val="34"/>
          <w:rtl w:val="0"/>
        </w:rPr>
        <w:t xml:space="preserve">9.5 The Emergency Constitutional Override Protocol</w:t>
      </w:r>
    </w:p>
    <w:p w:rsidR="00000000" w:rsidDel="00000000" w:rsidP="00000000" w:rsidRDefault="00000000" w:rsidRPr="00000000" w14:paraId="000003D2">
      <w:pPr>
        <w:spacing w:after="240" w:before="240" w:lineRule="auto"/>
        <w:rPr>
          <w:color w:val="1155cc"/>
          <w:u w:val="single"/>
        </w:rPr>
      </w:pPr>
      <w:r w:rsidDel="00000000" w:rsidR="00000000" w:rsidRPr="00000000">
        <w:rPr>
          <w:rtl w:val="0"/>
        </w:rPr>
        <w:t xml:space="preserve">The emergency override protocol is the structured mechanism through which the Governance Lane accelerates its evaluation of proposals in Epistemic Hold beyond the standard escalation timeline due to genuine operational urgency. It is not a bypass mechanism. It is a compressed governance process that still satisfies all framework requirements.</w:t>
      </w:r>
      <w:hyperlink r:id="rId830">
        <w:r w:rsidDel="00000000" w:rsidR="00000000" w:rsidRPr="00000000">
          <w:rPr>
            <w:rtl w:val="0"/>
          </w:rPr>
          <w:t xml:space="preserve"> </w:t>
        </w:r>
      </w:hyperlink>
      <w:hyperlink r:id="rId831">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3D3">
      <w:pPr>
        <w:spacing w:after="240" w:before="240" w:lineRule="auto"/>
        <w:rPr>
          <w:color w:val="1155cc"/>
          <w:u w:val="single"/>
        </w:rPr>
      </w:pPr>
      <w:r w:rsidDel="00000000" w:rsidR="00000000" w:rsidRPr="00000000">
        <w:rPr>
          <w:rtl w:val="0"/>
        </w:rPr>
        <w:t xml:space="preserve">Technically, an emergency override is triggered through </w:t>
      </w:r>
      <w:r w:rsidDel="00000000" w:rsidR="00000000" w:rsidRPr="00000000">
        <w:rPr>
          <w:rFonts w:ascii="Roboto Mono" w:cs="Roboto Mono" w:eastAsia="Roboto Mono" w:hAnsi="Roboto Mono"/>
          <w:color w:val="188038"/>
          <w:rtl w:val="0"/>
        </w:rPr>
        <w:t xml:space="preserve">POST /emergency/override</w:t>
      </w:r>
      <w:r w:rsidDel="00000000" w:rsidR="00000000" w:rsidRPr="00000000">
        <w:rPr>
          <w:rtl w:val="0"/>
        </w:rPr>
        <w:t xml:space="preserve"> with an </w:t>
      </w:r>
      <w:r w:rsidDel="00000000" w:rsidR="00000000" w:rsidRPr="00000000">
        <w:rPr>
          <w:rFonts w:ascii="Roboto Mono" w:cs="Roboto Mono" w:eastAsia="Roboto Mono" w:hAnsi="Roboto Mono"/>
          <w:color w:val="188038"/>
          <w:rtl w:val="0"/>
        </w:rPr>
        <w:t xml:space="preserve">EmergencyOverrideRequest_v1_0_0</w:t>
      </w:r>
      <w:r w:rsidDel="00000000" w:rsidR="00000000" w:rsidRPr="00000000">
        <w:rPr>
          <w:rtl w:val="0"/>
        </w:rPr>
        <w:t xml:space="preserve"> payload, which requires a </w:t>
      </w:r>
      <w:r w:rsidDel="00000000" w:rsidR="00000000" w:rsidRPr="00000000">
        <w:rPr>
          <w:rFonts w:ascii="Roboto Mono" w:cs="Roboto Mono" w:eastAsia="Roboto Mono" w:hAnsi="Roboto Mono"/>
          <w:color w:val="188038"/>
          <w:rtl w:val="0"/>
        </w:rPr>
        <w:t xml:space="preserve">TriCameralApproval_v1_0_0</w:t>
      </w:r>
      <w:r w:rsidDel="00000000" w:rsidR="00000000" w:rsidRPr="00000000">
        <w:rPr>
          <w:rtl w:val="0"/>
        </w:rPr>
        <w:t xml:space="preserve"> carrying signatures from all three chambers and an </w:t>
      </w:r>
      <w:r w:rsidDel="00000000" w:rsidR="00000000" w:rsidRPr="00000000">
        <w:rPr>
          <w:rFonts w:ascii="Roboto Mono" w:cs="Roboto Mono" w:eastAsia="Roboto Mono" w:hAnsi="Roboto Mono"/>
          <w:color w:val="188038"/>
          <w:rtl w:val="0"/>
        </w:rPr>
        <w:t xml:space="preserve">overrideJustification</w:t>
      </w:r>
      <w:r w:rsidDel="00000000" w:rsidR="00000000" w:rsidRPr="00000000">
        <w:rPr>
          <w:rtl w:val="0"/>
        </w:rPr>
        <w:t xml:space="preserve"> field documenting the emergency circumstances. The override status is monitored via </w:t>
      </w:r>
      <w:r w:rsidDel="00000000" w:rsidR="00000000" w:rsidRPr="00000000">
        <w:rPr>
          <w:rFonts w:ascii="Roboto Mono" w:cs="Roboto Mono" w:eastAsia="Roboto Mono" w:hAnsi="Roboto Mono"/>
          <w:color w:val="188038"/>
          <w:rtl w:val="0"/>
        </w:rPr>
        <w:t xml:space="preserve">GET /emergency/status</w:t>
      </w:r>
      <w:r w:rsidDel="00000000" w:rsidR="00000000" w:rsidRPr="00000000">
        <w:rPr>
          <w:rtl w:val="0"/>
        </w:rPr>
        <w:t xml:space="preserve">.</w:t>
      </w:r>
      <w:hyperlink r:id="rId832">
        <w:r w:rsidDel="00000000" w:rsidR="00000000" w:rsidRPr="00000000">
          <w:rPr>
            <w:rtl w:val="0"/>
          </w:rPr>
          <w:t xml:space="preserve"> </w:t>
        </w:r>
      </w:hyperlink>
      <w:hyperlink r:id="rId833">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3D4">
      <w:pPr>
        <w:spacing w:after="240" w:before="240" w:lineRule="auto"/>
        <w:rPr/>
      </w:pPr>
      <w:r w:rsidDel="00000000" w:rsidR="00000000" w:rsidRPr="00000000">
        <w:rPr>
          <w:rtl w:val="0"/>
        </w:rPr>
        <w:t xml:space="preserve">The protocol contains five mandatory safeguards.</w:t>
      </w:r>
    </w:p>
    <w:p w:rsidR="00000000" w:rsidDel="00000000" w:rsidP="00000000" w:rsidRDefault="00000000" w:rsidRPr="00000000" w14:paraId="000003D5">
      <w:pPr>
        <w:spacing w:after="240" w:before="240" w:lineRule="auto"/>
        <w:rPr>
          <w:color w:val="1155cc"/>
          <w:u w:val="single"/>
        </w:rPr>
      </w:pPr>
      <w:r w:rsidDel="00000000" w:rsidR="00000000" w:rsidRPr="00000000">
        <w:rPr>
          <w:b w:val="1"/>
          <w:bCs w:val="1"/>
          <w:rtl w:val="0"/>
        </w:rPr>
        <w:t xml:space="preserve">Safeguard 1: Hold Prerequisite.</w:t>
      </w:r>
      <w:r w:rsidDel="00000000" w:rsidR="00000000" w:rsidRPr="00000000">
        <w:rPr>
          <w:rtl w:val="0"/>
        </w:rPr>
        <w:t xml:space="preserve"> The override can only be invoked for proposals already in Epistemic Hold through normal Governance Lane evaluation. A proposal that has been Refused cannot be overridden. Refuse is final and absolute under the Goukassian Vow. State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is not a valid resolution state as enforced by </w:t>
      </w:r>
      <w:r w:rsidDel="00000000" w:rsidR="00000000" w:rsidRPr="00000000">
        <w:rPr>
          <w:rFonts w:ascii="Roboto Mono" w:cs="Roboto Mono" w:eastAsia="Roboto Mono" w:hAnsi="Roboto Mono"/>
          <w:color w:val="188038"/>
          <w:rtl w:val="0"/>
        </w:rPr>
        <w:t xml:space="preserve">TL_Ledger_Core.resolveEpistemicHoldSystemWide</w:t>
      </w:r>
      <w:r w:rsidDel="00000000" w:rsidR="00000000" w:rsidRPr="00000000">
        <w:rPr>
          <w:rtl w:val="0"/>
        </w:rPr>
        <w:t xml:space="preserve"> which reverts with </w:t>
      </w:r>
      <w:r w:rsidDel="00000000" w:rsidR="00000000" w:rsidRPr="00000000">
        <w:rPr>
          <w:rFonts w:ascii="Roboto Mono" w:cs="Roboto Mono" w:eastAsia="Roboto Mono" w:hAnsi="Roboto Mono"/>
          <w:color w:val="188038"/>
          <w:rtl w:val="0"/>
        </w:rPr>
        <w:t xml:space="preserve">InvalidResolutionState</w:t>
      </w:r>
      <w:r w:rsidDel="00000000" w:rsidR="00000000" w:rsidRPr="00000000">
        <w:rPr>
          <w:rtl w:val="0"/>
        </w:rPr>
        <w:t xml:space="preserve"> for any </w:t>
      </w:r>
      <w:r w:rsidDel="00000000" w:rsidR="00000000" w:rsidRPr="00000000">
        <w:rPr>
          <w:rFonts w:ascii="Roboto Mono" w:cs="Roboto Mono" w:eastAsia="Roboto Mono" w:hAnsi="Roboto Mono"/>
          <w:color w:val="188038"/>
          <w:rtl w:val="0"/>
        </w:rPr>
        <w:t xml:space="preserve">resolvedState</w:t>
      </w:r>
      <w:r w:rsidDel="00000000" w:rsidR="00000000" w:rsidRPr="00000000">
        <w:rPr>
          <w:rtl w:val="0"/>
        </w:rPr>
        <w:t xml:space="preserve"> value other than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hyperlink r:id="rId834">
        <w:r w:rsidDel="00000000" w:rsidR="00000000" w:rsidRPr="00000000">
          <w:rPr>
            <w:rtl w:val="0"/>
          </w:rPr>
          <w:t xml:space="preserve"> </w:t>
        </w:r>
      </w:hyperlink>
      <w:hyperlink r:id="rId835">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3D6">
      <w:pPr>
        <w:spacing w:after="240" w:before="240" w:lineRule="auto"/>
        <w:rPr>
          <w:color w:val="1155cc"/>
          <w:u w:val="single"/>
        </w:rPr>
      </w:pPr>
      <w:r w:rsidDel="00000000" w:rsidR="00000000" w:rsidRPr="00000000">
        <w:rPr>
          <w:b w:val="1"/>
          <w:bCs w:val="1"/>
          <w:rtl w:val="0"/>
        </w:rPr>
        <w:t xml:space="preserve">Safeguard 2: Supermajority Quorum.</w:t>
      </w:r>
      <w:r w:rsidDel="00000000" w:rsidR="00000000" w:rsidRPr="00000000">
        <w:rPr>
          <w:rtl w:val="0"/>
        </w:rPr>
        <w:t xml:space="preserve"> The override requires supermajority quorum exceeding the standard threshold. For the Stewardship Custodians, an emergency session requires nine of eleven members rather than the standard eight. For the Technical Council, it requires eight of nine rather than the standard seven. The Smart Contract Treasury's algorithmic agents must confirm that override resources are available before the session commences. Quorum status is verified via </w:t>
      </w:r>
      <w:r w:rsidDel="00000000" w:rsidR="00000000" w:rsidRPr="00000000">
        <w:rPr>
          <w:rFonts w:ascii="Roboto Mono" w:cs="Roboto Mono" w:eastAsia="Roboto Mono" w:hAnsi="Roboto Mono"/>
          <w:color w:val="188038"/>
          <w:rtl w:val="0"/>
        </w:rPr>
        <w:t xml:space="preserve">GET /regulator/custodian-quorum</w:t>
      </w:r>
      <w:r w:rsidDel="00000000" w:rsidR="00000000" w:rsidRPr="00000000">
        <w:rPr>
          <w:rtl w:val="0"/>
        </w:rPr>
        <w:t xml:space="preserve">.</w:t>
      </w:r>
      <w:hyperlink r:id="rId836">
        <w:r w:rsidDel="00000000" w:rsidR="00000000" w:rsidRPr="00000000">
          <w:rPr>
            <w:rtl w:val="0"/>
          </w:rPr>
          <w:t xml:space="preserve"> </w:t>
        </w:r>
      </w:hyperlink>
      <w:hyperlink r:id="rId837">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3D7">
      <w:pPr>
        <w:spacing w:after="240" w:before="240" w:lineRule="auto"/>
        <w:rPr>
          <w:color w:val="1155cc"/>
          <w:u w:val="single"/>
        </w:rPr>
      </w:pPr>
      <w:r w:rsidDel="00000000" w:rsidR="00000000" w:rsidRPr="00000000">
        <w:rPr>
          <w:b w:val="1"/>
          <w:bCs w:val="1"/>
          <w:rtl w:val="0"/>
        </w:rPr>
        <w:t xml:space="preserve">Safeguard 3: Authenticated Channel Requirement.</w:t>
      </w:r>
      <w:r w:rsidDel="00000000" w:rsidR="00000000" w:rsidRPr="00000000">
        <w:rPr>
          <w:rtl w:val="0"/>
        </w:rPr>
        <w:t xml:space="preserve"> The override session must be conducted through authenticated, cryptographically signed channels with hardware-bound identity verification for all participating chamber members via </w:t>
      </w:r>
      <w:r w:rsidDel="00000000" w:rsidR="00000000" w:rsidRPr="00000000">
        <w:rPr>
          <w:rFonts w:ascii="Roboto Mono" w:cs="Roboto Mono" w:eastAsia="Roboto Mono" w:hAnsi="Roboto Mono"/>
          <w:color w:val="188038"/>
          <w:rtl w:val="0"/>
        </w:rPr>
        <w:t xml:space="preserve">HSMSignedJWT</w:t>
      </w:r>
      <w:r w:rsidDel="00000000" w:rsidR="00000000" w:rsidRPr="00000000">
        <w:rPr>
          <w:rtl w:val="0"/>
        </w:rPr>
        <w:t xml:space="preserve">. Any participant whose authentication cannot be verified through the registered endpoint is excluded from the session quorum count.</w:t>
      </w:r>
      <w:hyperlink r:id="rId838">
        <w:r w:rsidDel="00000000" w:rsidR="00000000" w:rsidRPr="00000000">
          <w:rPr>
            <w:rtl w:val="0"/>
          </w:rPr>
          <w:t xml:space="preserve"> </w:t>
        </w:r>
      </w:hyperlink>
      <w:hyperlink r:id="rId839">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3D8">
      <w:pPr>
        <w:spacing w:after="240" w:before="240" w:lineRule="auto"/>
        <w:rPr>
          <w:color w:val="1155cc"/>
          <w:u w:val="single"/>
        </w:rPr>
      </w:pPr>
      <w:r w:rsidDel="00000000" w:rsidR="00000000" w:rsidRPr="00000000">
        <w:rPr>
          <w:b w:val="1"/>
          <w:bCs w:val="1"/>
          <w:rtl w:val="0"/>
        </w:rPr>
        <w:t xml:space="preserve">Safeguard 4: Mandatory Override Justification Field.</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EmergencyOverrideRequest_v1_0_0</w:t>
      </w:r>
      <w:r w:rsidDel="00000000" w:rsidR="00000000" w:rsidRPr="00000000">
        <w:rPr>
          <w:rtl w:val="0"/>
        </w:rPr>
        <w:t xml:space="preserve"> must contain a mandatory </w:t>
      </w:r>
      <w:r w:rsidDel="00000000" w:rsidR="00000000" w:rsidRPr="00000000">
        <w:rPr>
          <w:rFonts w:ascii="Roboto Mono" w:cs="Roboto Mono" w:eastAsia="Roboto Mono" w:hAnsi="Roboto Mono"/>
          <w:color w:val="188038"/>
          <w:rtl w:val="0"/>
        </w:rPr>
        <w:t xml:space="preserve">overrideJustification</w:t>
      </w:r>
      <w:r w:rsidDel="00000000" w:rsidR="00000000" w:rsidRPr="00000000">
        <w:rPr>
          <w:rtl w:val="0"/>
        </w:rPr>
        <w:t xml:space="preserve"> field documenting the emergency circumstances, the evidentiary risks of further delay, the specific evidentiary minimum applied in lieu of standard requirements, and the expected post-hoc supplementation timeline. The justification is signed by all participating chamber members through </w:t>
      </w:r>
      <w:r w:rsidDel="00000000" w:rsidR="00000000" w:rsidRPr="00000000">
        <w:rPr>
          <w:rFonts w:ascii="Roboto Mono" w:cs="Roboto Mono" w:eastAsia="Roboto Mono" w:hAnsi="Roboto Mono"/>
          <w:color w:val="188038"/>
          <w:rtl w:val="0"/>
        </w:rPr>
        <w:t xml:space="preserve">TriCameralApproval_v1_0_0</w:t>
      </w:r>
      <w:r w:rsidDel="00000000" w:rsidR="00000000" w:rsidRPr="00000000">
        <w:rPr>
          <w:rtl w:val="0"/>
        </w:rPr>
        <w:t xml:space="preserve"> and anchored to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 before the </w:t>
      </w:r>
      <w:r w:rsidDel="00000000" w:rsidR="00000000" w:rsidRPr="00000000">
        <w:rPr>
          <w:rFonts w:ascii="Roboto Mono" w:cs="Roboto Mono" w:eastAsia="Roboto Mono" w:hAnsi="Roboto Mono"/>
          <w:color w:val="188038"/>
          <w:rtl w:val="0"/>
        </w:rPr>
        <w:t xml:space="preserve">PermissionToken_v1_0_0</w:t>
      </w:r>
      <w:r w:rsidDel="00000000" w:rsidR="00000000" w:rsidRPr="00000000">
        <w:rPr>
          <w:rtl w:val="0"/>
        </w:rPr>
        <w:t xml:space="preserve"> is issued.</w:t>
      </w:r>
      <w:hyperlink r:id="rId840">
        <w:r w:rsidDel="00000000" w:rsidR="00000000" w:rsidRPr="00000000">
          <w:rPr>
            <w:rtl w:val="0"/>
          </w:rPr>
          <w:t xml:space="preserve"> </w:t>
        </w:r>
      </w:hyperlink>
      <w:hyperlink r:id="rId841">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3D9">
      <w:pPr>
        <w:spacing w:after="240" w:before="240" w:lineRule="auto"/>
        <w:rPr>
          <w:color w:val="1155cc"/>
          <w:u w:val="single"/>
        </w:rPr>
      </w:pPr>
      <w:r w:rsidDel="00000000" w:rsidR="00000000" w:rsidRPr="00000000">
        <w:rPr>
          <w:b w:val="1"/>
          <w:bCs w:val="1"/>
          <w:rtl w:val="0"/>
        </w:rPr>
        <w:t xml:space="preserve">Safeguard 5: Post-Override Supplementation Requirement.</w:t>
      </w:r>
      <w:r w:rsidDel="00000000" w:rsidR="00000000" w:rsidRPr="00000000">
        <w:rPr>
          <w:rtl w:val="0"/>
        </w:rPr>
        <w:t xml:space="preserve"> When an override Permission Token is issued with the emergency flag set, it carries a mandatory post-hoc documentation requirement: the full evidentiary standard not met at the time of the emergency evaluation must be satisfied and submitted to the Governance Lane via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 within a framework-defined window - typically seventy-two hours for liquidity operations and five business days for more complex determinations. If the post-hoc documentation is not submitted within the window, the Smart Contract Treasury automatically imposes a late supplementation penalty via its automated enforcement architecture, and the Technical Council places the relevant Inference Lane models under enhanced monitoring through </w:t>
      </w:r>
      <w:r w:rsidDel="00000000" w:rsidR="00000000" w:rsidRPr="00000000">
        <w:rPr>
          <w:rFonts w:ascii="Roboto Mono" w:cs="Roboto Mono" w:eastAsia="Roboto Mono" w:hAnsi="Roboto Mono"/>
          <w:color w:val="188038"/>
          <w:rtl w:val="0"/>
        </w:rPr>
        <w:t xml:space="preserve">PUT /thresholds/{domain}</w:t>
      </w:r>
      <w:r w:rsidDel="00000000" w:rsidR="00000000" w:rsidRPr="00000000">
        <w:rPr>
          <w:rtl w:val="0"/>
        </w:rPr>
        <w:t xml:space="preserve">.</w:t>
      </w:r>
      <w:hyperlink r:id="rId842">
        <w:r w:rsidDel="00000000" w:rsidR="00000000" w:rsidRPr="00000000">
          <w:rPr>
            <w:rtl w:val="0"/>
          </w:rPr>
          <w:t xml:space="preserve"> </w:t>
        </w:r>
      </w:hyperlink>
      <w:hyperlink r:id="rId843">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3DA">
      <w:pPr>
        <w:spacing w:after="240" w:before="240" w:lineRule="auto"/>
        <w:rPr>
          <w:color w:val="1155cc"/>
          <w:u w:val="single"/>
        </w:rPr>
      </w:pPr>
      <w:r w:rsidDel="00000000" w:rsidR="00000000" w:rsidRPr="00000000">
        <w:rPr>
          <w:rtl w:val="0"/>
        </w:rPr>
        <w:t xml:space="preserve">The distinction between the emergency override and an executive override is the difference between monetary sovereignty and monetary capture. A governor who invokes the emergency override protocol convenes a Tri-Cameral session, generates a Decision Log with full chamber signatures, and accepts post-hoc documentation obligations. A governor who attempts a direct executive override presses a button that the hardware ignores, generates a </w:t>
      </w:r>
      <w:r w:rsidDel="00000000" w:rsidR="00000000" w:rsidRPr="00000000">
        <w:rPr>
          <w:rFonts w:ascii="Roboto Mono" w:cs="Roboto Mono" w:eastAsia="Roboto Mono" w:hAnsi="Roboto Mono"/>
          <w:color w:val="188038"/>
          <w:rtl w:val="0"/>
        </w:rPr>
        <w:t xml:space="preserve">GhostGovernanceDetectedError</w:t>
      </w:r>
      <w:r w:rsidDel="00000000" w:rsidR="00000000" w:rsidRPr="00000000">
        <w:rPr>
          <w:rtl w:val="0"/>
        </w:rPr>
        <w:t xml:space="preserve"> event in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x-tl-state: -1</w:t>
      </w:r>
      <w:r w:rsidDel="00000000" w:rsidR="00000000" w:rsidRPr="00000000">
        <w:rPr>
          <w:rtl w:val="0"/>
        </w:rPr>
        <w:t xml:space="preserve">, and triggers notification to the Stewardship Custodians.</w:t>
      </w:r>
      <w:hyperlink r:id="rId844">
        <w:r w:rsidDel="00000000" w:rsidR="00000000" w:rsidRPr="00000000">
          <w:rPr>
            <w:rtl w:val="0"/>
          </w:rPr>
          <w:t xml:space="preserve"> </w:t>
        </w:r>
      </w:hyperlink>
      <w:hyperlink r:id="rId845">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3DB">
      <w:pPr>
        <w:pStyle w:val="Heading2"/>
        <w:keepNext w:val="0"/>
        <w:keepLines w:val="0"/>
        <w:spacing w:after="80" w:lineRule="auto"/>
        <w:rPr>
          <w:b w:val="1"/>
          <w:bCs w:val="1"/>
          <w:sz w:val="34"/>
          <w:szCs w:val="34"/>
        </w:rPr>
      </w:pPr>
      <w:bookmarkStart w:colFirst="0" w:colLast="0" w:name="_2wmz1r487ft8" w:id="132"/>
      <w:bookmarkEnd w:id="132"/>
      <w:r w:rsidDel="00000000" w:rsidR="00000000" w:rsidRPr="00000000">
        <w:rPr>
          <w:b w:val="1"/>
          <w:bCs w:val="1"/>
          <w:sz w:val="34"/>
          <w:szCs w:val="34"/>
          <w:rtl w:val="0"/>
        </w:rPr>
        <w:t xml:space="preserve">9.6 The No Switch Off Rule</w:t>
      </w:r>
    </w:p>
    <w:p w:rsidR="00000000" w:rsidDel="00000000" w:rsidP="00000000" w:rsidRDefault="00000000" w:rsidRPr="00000000" w14:paraId="000003DC">
      <w:pPr>
        <w:spacing w:after="240" w:before="240" w:lineRule="auto"/>
        <w:rPr>
          <w:color w:val="1155cc"/>
          <w:u w:val="single"/>
        </w:rPr>
      </w:pPr>
      <w:r w:rsidDel="00000000" w:rsidR="00000000" w:rsidRPr="00000000">
        <w:rPr>
          <w:rtl w:val="0"/>
        </w:rPr>
        <w:t xml:space="preserve">The No Switch Off Rule is the prohibition on unilateral termination of the TL governance framework by any single entity, chamber, institution, or sovereign authority. It is embedded in the governance schema, enforced by the Smart Contract Treasury's algorithmic agents, and made irreversible by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's distributed consensus.</w:t>
      </w:r>
      <w:hyperlink r:id="rId846">
        <w:r w:rsidDel="00000000" w:rsidR="00000000" w:rsidRPr="00000000">
          <w:rPr>
            <w:rtl w:val="0"/>
          </w:rPr>
          <w:t xml:space="preserve"> </w:t>
        </w:r>
      </w:hyperlink>
      <w:hyperlink r:id="rId847">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3DD">
      <w:pPr>
        <w:spacing w:after="240" w:before="240" w:lineRule="auto"/>
        <w:rPr/>
      </w:pPr>
      <w:r w:rsidDel="00000000" w:rsidR="00000000" w:rsidRPr="00000000">
        <w:rPr>
          <w:rtl w:val="0"/>
        </w:rPr>
        <w:t xml:space="preserve">The Rule derives from a fundamental asymmetry in governance risk. A governance system that can be switched off by a single actor under pressure is not a governance system. It is a policy that holds until it becomes inconvenient. The moment of maximum governance value - the moment when a constraint is most needed - is precisely the moment when the institutional pressure to bypass or terminate it is highest.</w:t>
      </w:r>
    </w:p>
    <w:p w:rsidR="00000000" w:rsidDel="00000000" w:rsidP="00000000" w:rsidRDefault="00000000" w:rsidRPr="00000000" w14:paraId="000003DE">
      <w:pPr>
        <w:spacing w:after="240" w:before="240" w:lineRule="auto"/>
        <w:rPr/>
      </w:pPr>
      <w:r w:rsidDel="00000000" w:rsidR="00000000" w:rsidRPr="00000000">
        <w:rPr>
          <w:rtl w:val="0"/>
        </w:rPr>
        <w:t xml:space="preserve">The No Switch Off Rule operates through four mechanisms.</w:t>
      </w:r>
    </w:p>
    <w:p w:rsidR="00000000" w:rsidDel="00000000" w:rsidP="00000000" w:rsidRDefault="00000000" w:rsidRPr="00000000" w14:paraId="000003DF">
      <w:pPr>
        <w:spacing w:after="240" w:before="240" w:lineRule="auto"/>
        <w:rPr>
          <w:color w:val="1155cc"/>
          <w:u w:val="single"/>
        </w:rPr>
      </w:pPr>
      <w:r w:rsidDel="00000000" w:rsidR="00000000" w:rsidRPr="00000000">
        <w:rPr>
          <w:b w:val="1"/>
          <w:bCs w:val="1"/>
          <w:rtl w:val="0"/>
        </w:rPr>
        <w:t xml:space="preserve">Smart Contract Enforcement.</w:t>
      </w:r>
      <w:r w:rsidDel="00000000" w:rsidR="00000000" w:rsidRPr="00000000">
        <w:rPr>
          <w:rtl w:val="0"/>
        </w:rPr>
        <w:t xml:space="preserve"> The Treasury's smart contracts do not contain a shutdown function callable by any single entity. Terminating the Governance Lane requires that the Treasury's resource allocation to the Lane drop to zero, which requires a Stewardship Custodian supermajority to modify the Treasury's allocation parameters via </w:t>
      </w:r>
      <w:r w:rsidDel="00000000" w:rsidR="00000000" w:rsidRPr="00000000">
        <w:rPr>
          <w:rFonts w:ascii="Roboto Mono" w:cs="Roboto Mono" w:eastAsia="Roboto Mono" w:hAnsi="Roboto Mono"/>
          <w:color w:val="188038"/>
          <w:rtl w:val="0"/>
        </w:rPr>
        <w:t xml:space="preserve">POST /pillars/{pillarId}/configure</w:t>
      </w:r>
      <w:r w:rsidDel="00000000" w:rsidR="00000000" w:rsidRPr="00000000">
        <w:rPr>
          <w:rtl w:val="0"/>
        </w:rPr>
        <w:t xml:space="preserve">, which requires Technical Council validation of the proposed modification, which requires the modification to pass the five-layer NL=NA enforcement architecture. A schema modification that would enable unilateral shutdown fails Layer 1 schema validation because </w:t>
      </w:r>
      <w:r w:rsidDel="00000000" w:rsidR="00000000" w:rsidRPr="00000000">
        <w:rPr>
          <w:rFonts w:ascii="Roboto Mono" w:cs="Roboto Mono" w:eastAsia="Roboto Mono" w:hAnsi="Roboto Mono"/>
          <w:color w:val="188038"/>
          <w:rtl w:val="0"/>
        </w:rPr>
        <w:t xml:space="preserve">unevaluatedProperties: false</w:t>
      </w:r>
      <w:r w:rsidDel="00000000" w:rsidR="00000000" w:rsidRPr="00000000">
        <w:rPr>
          <w:rtl w:val="0"/>
        </w:rPr>
        <w:t xml:space="preserve"> prevents any emergency shutdown field from being introduced into </w:t>
      </w:r>
      <w:r w:rsidDel="00000000" w:rsidR="00000000" w:rsidRPr="00000000">
        <w:rPr>
          <w:rFonts w:ascii="Roboto Mono" w:cs="Roboto Mono" w:eastAsia="Roboto Mono" w:hAnsi="Roboto Mono"/>
          <w:color w:val="188038"/>
          <w:rtl w:val="0"/>
        </w:rPr>
        <w:t xml:space="preserve">StateEnvelope_v1_0_0</w:t>
      </w:r>
      <w:r w:rsidDel="00000000" w:rsidR="00000000" w:rsidRPr="00000000">
        <w:rPr>
          <w:rtl w:val="0"/>
        </w:rPr>
        <w:t xml:space="preserve"> without full schema versioning.</w:t>
      </w:r>
      <w:hyperlink r:id="rId848">
        <w:r w:rsidDel="00000000" w:rsidR="00000000" w:rsidRPr="00000000">
          <w:rPr>
            <w:rtl w:val="0"/>
          </w:rPr>
          <w:t xml:space="preserve"> </w:t>
        </w:r>
      </w:hyperlink>
      <w:hyperlink r:id="rId849">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3E0">
      <w:pPr>
        <w:spacing w:after="240" w:before="240" w:lineRule="auto"/>
        <w:rPr>
          <w:color w:val="1155cc"/>
          <w:u w:val="single"/>
        </w:rPr>
      </w:pPr>
      <w:r w:rsidDel="00000000" w:rsidR="00000000" w:rsidRPr="00000000">
        <w:rPr>
          <w:b w:val="1"/>
          <w:bCs w:val="1"/>
          <w:rtl w:val="0"/>
        </w:rPr>
        <w:t xml:space="preserve">Immutable Ledger Anchoring.</w:t>
      </w:r>
      <w:r w:rsidDel="00000000" w:rsidR="00000000" w:rsidRPr="00000000">
        <w:rPr>
          <w:rtl w:val="0"/>
        </w:rPr>
        <w:t xml:space="preserve"> Every governance action is anchored to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and replicated across Bitcoin, Ethereum, and Polygon nodes. No single institution controls all three chains. A sovereign government that seizes the primary Governance Lane infrastructure cannot erase the ledger's history. The history persists on distributed nodes outside the sovereign's jurisdiction. Any subsequent attempt to reconstruct the governance record must reconcile with the distributed ledger, making falsification detectable via </w:t>
      </w:r>
      <w:r w:rsidDel="00000000" w:rsidR="00000000" w:rsidRPr="00000000">
        <w:rPr>
          <w:rFonts w:ascii="Roboto Mono" w:cs="Roboto Mono" w:eastAsia="Roboto Mono" w:hAnsi="Roboto Mono"/>
          <w:color w:val="188038"/>
          <w:rtl w:val="0"/>
        </w:rPr>
        <w:t xml:space="preserve">GET /audit/verifications/merkle/{merkleRoot}</w:t>
      </w:r>
      <w:r w:rsidDel="00000000" w:rsidR="00000000" w:rsidRPr="00000000">
        <w:rPr>
          <w:rtl w:val="0"/>
        </w:rPr>
        <w:t xml:space="preserve">.</w:t>
      </w:r>
      <w:hyperlink r:id="rId850">
        <w:r w:rsidDel="00000000" w:rsidR="00000000" w:rsidRPr="00000000">
          <w:rPr>
            <w:rtl w:val="0"/>
          </w:rPr>
          <w:t xml:space="preserve"> </w:t>
        </w:r>
      </w:hyperlink>
      <w:hyperlink r:id="rId851">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3E1">
      <w:pPr>
        <w:spacing w:after="240" w:before="240" w:lineRule="auto"/>
        <w:rPr>
          <w:color w:val="1155cc"/>
          <w:u w:val="single"/>
        </w:rPr>
      </w:pPr>
      <w:r w:rsidDel="00000000" w:rsidR="00000000" w:rsidRPr="00000000">
        <w:rPr>
          <w:b w:val="1"/>
          <w:bCs w:val="1"/>
          <w:rtl w:val="0"/>
        </w:rPr>
        <w:t xml:space="preserve">Distributed Key Material.</w:t>
      </w:r>
      <w:r w:rsidDel="00000000" w:rsidR="00000000" w:rsidRPr="00000000">
        <w:rPr>
          <w:rtl w:val="0"/>
        </w:rPr>
        <w:t xml:space="preserve"> The cryptographic keys required to generate valid </w:t>
      </w:r>
      <w:r w:rsidDel="00000000" w:rsidR="00000000" w:rsidRPr="00000000">
        <w:rPr>
          <w:rFonts w:ascii="Roboto Mono" w:cs="Roboto Mono" w:eastAsia="Roboto Mono" w:hAnsi="Roboto Mono"/>
          <w:color w:val="188038"/>
          <w:rtl w:val="0"/>
        </w:rPr>
        <w:t xml:space="preserve">PermissionToken_v1_0_0</w:t>
      </w:r>
      <w:r w:rsidDel="00000000" w:rsidR="00000000" w:rsidRPr="00000000">
        <w:rPr>
          <w:rtl w:val="0"/>
        </w:rPr>
        <w:t xml:space="preserve"> objects are distributed across the Tri-Cameral chambers through the Shamir Secret Sharing protocol. No single chamber holds sufficient key material to generate tokens unilaterally. An institution that seizes the hardware of one chamber has seized key shares that are insufficient to operate the framework. The remaining chambers continue to operate with reduced quorum capacity but retain full authority.</w:t>
      </w:r>
      <w:hyperlink r:id="rId852">
        <w:r w:rsidDel="00000000" w:rsidR="00000000" w:rsidRPr="00000000">
          <w:rPr>
            <w:rtl w:val="0"/>
          </w:rPr>
          <w:t xml:space="preserve"> </w:t>
        </w:r>
      </w:hyperlink>
      <w:hyperlink r:id="rId853">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3E2">
      <w:pPr>
        <w:spacing w:after="240" w:before="240" w:lineRule="auto"/>
        <w:rPr>
          <w:color w:val="1155cc"/>
          <w:u w:val="single"/>
        </w:rPr>
      </w:pPr>
      <w:r w:rsidDel="00000000" w:rsidR="00000000" w:rsidRPr="00000000">
        <w:rPr>
          <w:b w:val="1"/>
          <w:bCs w:val="1"/>
          <w:rtl w:val="0"/>
        </w:rPr>
        <w:t xml:space="preserve">Open Source License.</w:t>
      </w:r>
      <w:r w:rsidDel="00000000" w:rsidR="00000000" w:rsidRPr="00000000">
        <w:rPr>
          <w:rtl w:val="0"/>
        </w:rPr>
        <w:t xml:space="preserve"> The Open Source License specified in Section 13 prohibits patent claims, exclusive licensing, and proprietary enclosure that would prevent the framework from remaining in the intellectual commons. A sovereign government that compels the framework's steward to assign all intellectual property to the state cannot prevent pre-existing open-source implementations from continuing to operate under the License. The </w:t>
      </w:r>
      <w:r w:rsidDel="00000000" w:rsidR="00000000" w:rsidRPr="00000000">
        <w:rPr>
          <w:rFonts w:ascii="Roboto Mono" w:cs="Roboto Mono" w:eastAsia="Roboto Mono" w:hAnsi="Roboto Mono"/>
          <w:color w:val="188038"/>
          <w:rtl w:val="0"/>
        </w:rPr>
        <w:t xml:space="preserve">SuccessionDeclaration_v1_0_0</w:t>
      </w:r>
      <w:r w:rsidDel="00000000" w:rsidR="00000000" w:rsidRPr="00000000">
        <w:rPr>
          <w:rtl w:val="0"/>
        </w:rPr>
        <w:t xml:space="preserve"> schema tracks whether the succession protocol has been activated, with </w:t>
      </w:r>
      <w:r w:rsidDel="00000000" w:rsidR="00000000" w:rsidRPr="00000000">
        <w:rPr>
          <w:rFonts w:ascii="Roboto Mono" w:cs="Roboto Mono" w:eastAsia="Roboto Mono" w:hAnsi="Roboto Mono"/>
          <w:color w:val="188038"/>
          <w:rtl w:val="0"/>
        </w:rPr>
        <w:t xml:space="preserve">SUCCESSION_DECLARATION_REQUIRED_ERROR</w:t>
      </w:r>
      <w:r w:rsidDel="00000000" w:rsidR="00000000" w:rsidRPr="00000000">
        <w:rPr>
          <w:rtl w:val="0"/>
        </w:rPr>
        <w:t xml:space="preserve"> firing when a governance operation requires a valid declaration that is absent.</w:t>
      </w:r>
      <w:hyperlink r:id="rId854">
        <w:r w:rsidDel="00000000" w:rsidR="00000000" w:rsidRPr="00000000">
          <w:rPr>
            <w:rtl w:val="0"/>
          </w:rPr>
          <w:t xml:space="preserve"> </w:t>
        </w:r>
      </w:hyperlink>
      <w:hyperlink r:id="rId855">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3E3">
      <w:pPr>
        <w:pStyle w:val="Heading2"/>
        <w:keepNext w:val="0"/>
        <w:keepLines w:val="0"/>
        <w:spacing w:after="80" w:lineRule="auto"/>
        <w:rPr>
          <w:b w:val="1"/>
          <w:bCs w:val="1"/>
          <w:sz w:val="34"/>
          <w:szCs w:val="34"/>
        </w:rPr>
      </w:pPr>
      <w:bookmarkStart w:colFirst="0" w:colLast="0" w:name="_gwjp2g8ngvyy" w:id="133"/>
      <w:bookmarkEnd w:id="133"/>
      <w:r w:rsidDel="00000000" w:rsidR="00000000" w:rsidRPr="00000000">
        <w:rPr>
          <w:b w:val="1"/>
          <w:bCs w:val="1"/>
          <w:sz w:val="34"/>
          <w:szCs w:val="34"/>
          <w:rtl w:val="0"/>
        </w:rPr>
        <w:t xml:space="preserve">9.7 Governance Capture Vectors and Institutional Countermeasures</w:t>
      </w:r>
    </w:p>
    <w:p w:rsidR="00000000" w:rsidDel="00000000" w:rsidP="00000000" w:rsidRDefault="00000000" w:rsidRPr="00000000" w14:paraId="000003E4">
      <w:pPr>
        <w:spacing w:after="240" w:before="240" w:lineRule="auto"/>
        <w:rPr>
          <w:color w:val="1155cc"/>
          <w:u w:val="single"/>
        </w:rPr>
      </w:pPr>
      <w:r w:rsidDel="00000000" w:rsidR="00000000" w:rsidRPr="00000000">
        <w:rPr>
          <w:rtl w:val="0"/>
        </w:rPr>
        <w:t xml:space="preserve">Four primary capture vectors threaten the Tri-Cameral model.</w:t>
      </w:r>
      <w:hyperlink r:id="rId856">
        <w:r w:rsidDel="00000000" w:rsidR="00000000" w:rsidRPr="00000000">
          <w:rPr>
            <w:rtl w:val="0"/>
          </w:rPr>
          <w:t xml:space="preserve"> </w:t>
        </w:r>
      </w:hyperlink>
      <w:hyperlink r:id="rId857">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E5">
      <w:pPr>
        <w:spacing w:after="240" w:before="240" w:lineRule="auto"/>
        <w:rPr>
          <w:color w:val="1155cc"/>
          <w:u w:val="single"/>
        </w:rPr>
      </w:pPr>
      <w:r w:rsidDel="00000000" w:rsidR="00000000" w:rsidRPr="00000000">
        <w:rPr>
          <w:b w:val="1"/>
          <w:bCs w:val="1"/>
          <w:rtl w:val="0"/>
        </w:rPr>
        <w:t xml:space="preserve">The Fifty-One Percent Custodian Attack.</w:t>
      </w:r>
      <w:r w:rsidDel="00000000" w:rsidR="00000000" w:rsidRPr="00000000">
        <w:rPr>
          <w:rtl w:val="0"/>
        </w:rPr>
        <w:t xml:space="preserve"> An adversary who controls a majority of Stewardship Custodian seats can vote to modify the schema, relax evidentiary requirements, or approve emergency overrides. The supermajority requirement raises this threshold to two-thirds, and the dual-nomination structure increases the cost of achieving that majority through a single appointing channel. The timelock on schema modifications committed via </w:t>
      </w:r>
      <w:r w:rsidDel="00000000" w:rsidR="00000000" w:rsidRPr="00000000">
        <w:rPr>
          <w:rFonts w:ascii="Roboto Mono" w:cs="Roboto Mono" w:eastAsia="Roboto Mono" w:hAnsi="Roboto Mono"/>
          <w:color w:val="188038"/>
          <w:rtl w:val="0"/>
        </w:rPr>
        <w:t xml:space="preserve">PUT /thresholds/{domain}</w:t>
      </w:r>
      <w:r w:rsidDel="00000000" w:rsidR="00000000" w:rsidRPr="00000000">
        <w:rPr>
          <w:rtl w:val="0"/>
        </w:rPr>
        <w:t xml:space="preserve"> provides a detection window: every approved modification is visible to external analysts through </w:t>
      </w:r>
      <w:r w:rsidDel="00000000" w:rsidR="00000000" w:rsidRPr="00000000">
        <w:rPr>
          <w:rFonts w:ascii="Roboto Mono" w:cs="Roboto Mono" w:eastAsia="Roboto Mono" w:hAnsi="Roboto Mono"/>
          <w:color w:val="188038"/>
          <w:rtl w:val="0"/>
        </w:rPr>
        <w:t xml:space="preserve">GET /audit/verifications/inclusion/{logId}</w:t>
      </w:r>
      <w:r w:rsidDel="00000000" w:rsidR="00000000" w:rsidRPr="00000000">
        <w:rPr>
          <w:rtl w:val="0"/>
        </w:rPr>
        <w:t xml:space="preserve">. Estimated time to effective capture through standard appointment channels: three to seven years for a patient adversary with sufficient institutional influence.</w:t>
      </w:r>
      <w:hyperlink r:id="rId858">
        <w:r w:rsidDel="00000000" w:rsidR="00000000" w:rsidRPr="00000000">
          <w:rPr>
            <w:rtl w:val="0"/>
          </w:rPr>
          <w:t xml:space="preserve"> </w:t>
        </w:r>
      </w:hyperlink>
      <w:hyperlink r:id="rId859">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E6">
      <w:pPr>
        <w:spacing w:after="240" w:before="240" w:lineRule="auto"/>
        <w:rPr>
          <w:color w:val="1155cc"/>
          <w:u w:val="single"/>
        </w:rPr>
      </w:pPr>
      <w:r w:rsidDel="00000000" w:rsidR="00000000" w:rsidRPr="00000000">
        <w:rPr>
          <w:b w:val="1"/>
          <w:bCs w:val="1"/>
          <w:rtl w:val="0"/>
        </w:rPr>
        <w:t xml:space="preserve">The Technical Council Backdoor.</w:t>
      </w:r>
      <w:r w:rsidDel="00000000" w:rsidR="00000000" w:rsidRPr="00000000">
        <w:rPr>
          <w:rtl w:val="0"/>
        </w:rPr>
        <w:t xml:space="preserve"> An adversary who controls Council membership through academic appointment or research funding can certify compromised models, approve weakened cryptographic parameters, or validate detection algorithms that systematically fail to flag preferred manipulation patterns. Non-technical Stewardship Custodians lack the mathematical literacy to independently verify Council certifications, creating a hierarchical dependency. Multi-party validation across independent technical committees and open algorithmic audit surfaced through </w:t>
      </w:r>
      <w:r w:rsidDel="00000000" w:rsidR="00000000" w:rsidRPr="00000000">
        <w:rPr>
          <w:rFonts w:ascii="Roboto Mono" w:cs="Roboto Mono" w:eastAsia="Roboto Mono" w:hAnsi="Roboto Mono"/>
          <w:color w:val="188038"/>
          <w:rtl w:val="0"/>
        </w:rPr>
        <w:t xml:space="preserve">GET /epistemic-hold/lantern</w:t>
      </w:r>
      <w:r w:rsidDel="00000000" w:rsidR="00000000" w:rsidRPr="00000000">
        <w:rPr>
          <w:rtl w:val="0"/>
        </w:rPr>
        <w:t xml:space="preserve"> are the primary countermeasures.</w:t>
      </w:r>
      <w:hyperlink r:id="rId860">
        <w:r w:rsidDel="00000000" w:rsidR="00000000" w:rsidRPr="00000000">
          <w:rPr>
            <w:rtl w:val="0"/>
          </w:rPr>
          <w:t xml:space="preserve"> </w:t>
        </w:r>
      </w:hyperlink>
      <w:hyperlink r:id="rId861">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E7">
      <w:pPr>
        <w:spacing w:after="240" w:before="240" w:lineRule="auto"/>
        <w:rPr>
          <w:color w:val="1155cc"/>
          <w:u w:val="single"/>
        </w:rPr>
      </w:pPr>
      <w:r w:rsidDel="00000000" w:rsidR="00000000" w:rsidRPr="00000000">
        <w:rPr>
          <w:b w:val="1"/>
          <w:bCs w:val="1"/>
          <w:rtl w:val="0"/>
        </w:rPr>
        <w:t xml:space="preserve">Treasury Deadlock.</w:t>
      </w:r>
      <w:r w:rsidDel="00000000" w:rsidR="00000000" w:rsidRPr="00000000">
        <w:rPr>
          <w:rtl w:val="0"/>
        </w:rPr>
        <w:t xml:space="preserve"> The adversary paralyzes the Smart Contract Treasury through institutional conflict, preventing resource allocation to the Governance Lane. The four constitutionally protected reserves and the algorithmic agents' autonomous allocation authority are the primary countermeasures. If deadlock extends to the algorithmic agents themselves - through compromise of their signing keys or corruption of allocation logic - the automatic mechanisms fail. The protected reserves provide a buffer measured in weeks rather than indefinitely.</w:t>
      </w:r>
      <w:hyperlink r:id="rId862">
        <w:r w:rsidDel="00000000" w:rsidR="00000000" w:rsidRPr="00000000">
          <w:rPr>
            <w:rtl w:val="0"/>
          </w:rPr>
          <w:t xml:space="preserve"> </w:t>
        </w:r>
      </w:hyperlink>
      <w:hyperlink r:id="rId863">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E8">
      <w:pPr>
        <w:spacing w:after="240" w:before="240" w:lineRule="auto"/>
        <w:rPr>
          <w:color w:val="1155cc"/>
          <w:u w:val="single"/>
        </w:rPr>
      </w:pPr>
      <w:r w:rsidDel="00000000" w:rsidR="00000000" w:rsidRPr="00000000">
        <w:rPr>
          <w:b w:val="1"/>
          <w:bCs w:val="1"/>
          <w:rtl w:val="0"/>
        </w:rPr>
        <w:t xml:space="preserve">Emergency Override Abuse.</w:t>
      </w:r>
      <w:r w:rsidDel="00000000" w:rsidR="00000000" w:rsidRPr="00000000">
        <w:rPr>
          <w:rtl w:val="0"/>
        </w:rPr>
        <w:t xml:space="preserve"> Historical analysis of governance frameworks with emergency provisions shows that twenty to thirty-five percent of emergency overrides are later determined to have been unnecessary, improperly justified, or deliberately fabricated to bypass normal constraints. The five mandatory safeguards of Section 9.5, enforced through the </w:t>
      </w:r>
      <w:r w:rsidDel="00000000" w:rsidR="00000000" w:rsidRPr="00000000">
        <w:rPr>
          <w:rFonts w:ascii="Roboto Mono" w:cs="Roboto Mono" w:eastAsia="Roboto Mono" w:hAnsi="Roboto Mono"/>
          <w:color w:val="188038"/>
          <w:rtl w:val="0"/>
        </w:rPr>
        <w:t xml:space="preserve">EmergencyOverrideRequest_v1_0_0</w:t>
      </w:r>
      <w:r w:rsidDel="00000000" w:rsidR="00000000" w:rsidRPr="00000000">
        <w:rPr>
          <w:rtl w:val="0"/>
        </w:rPr>
        <w:t xml:space="preserve"> schema and </w:t>
      </w:r>
      <w:r w:rsidDel="00000000" w:rsidR="00000000" w:rsidRPr="00000000">
        <w:rPr>
          <w:rFonts w:ascii="Roboto Mono" w:cs="Roboto Mono" w:eastAsia="Roboto Mono" w:hAnsi="Roboto Mono"/>
          <w:color w:val="188038"/>
          <w:rtl w:val="0"/>
        </w:rPr>
        <w:t xml:space="preserve">POST /emergency/override</w:t>
      </w:r>
      <w:r w:rsidDel="00000000" w:rsidR="00000000" w:rsidRPr="00000000">
        <w:rPr>
          <w:rtl w:val="0"/>
        </w:rPr>
        <w:t xml:space="preserve"> endpoint, raise the institutional cost of abuse but do not eliminate the historical baseline. The </w:t>
      </w:r>
      <w:r w:rsidDel="00000000" w:rsidR="00000000" w:rsidRPr="00000000">
        <w:rPr>
          <w:rFonts w:ascii="Roboto Mono" w:cs="Roboto Mono" w:eastAsia="Roboto Mono" w:hAnsi="Roboto Mono"/>
          <w:color w:val="188038"/>
          <w:rtl w:val="0"/>
        </w:rPr>
        <w:t xml:space="preserve">GET /emergency/status</w:t>
      </w:r>
      <w:r w:rsidDel="00000000" w:rsidR="00000000" w:rsidRPr="00000000">
        <w:rPr>
          <w:rtl w:val="0"/>
        </w:rPr>
        <w:t xml:space="preserve"> endpoint exposes all active and historical emergency overrides to monitoring parties.</w:t>
      </w:r>
      <w:hyperlink r:id="rId864">
        <w:r w:rsidDel="00000000" w:rsidR="00000000" w:rsidRPr="00000000">
          <w:rPr>
            <w:rtl w:val="0"/>
          </w:rPr>
          <w:t xml:space="preserve"> </w:t>
        </w:r>
      </w:hyperlink>
      <w:hyperlink r:id="rId865">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E9">
      <w:pPr>
        <w:pStyle w:val="Heading2"/>
        <w:keepNext w:val="0"/>
        <w:keepLines w:val="0"/>
        <w:spacing w:after="80" w:lineRule="auto"/>
        <w:rPr>
          <w:b w:val="1"/>
          <w:bCs w:val="1"/>
          <w:sz w:val="34"/>
          <w:szCs w:val="34"/>
        </w:rPr>
      </w:pPr>
      <w:bookmarkStart w:colFirst="0" w:colLast="0" w:name="_n311pdnmoh0s" w:id="134"/>
      <w:bookmarkEnd w:id="134"/>
      <w:r w:rsidDel="00000000" w:rsidR="00000000" w:rsidRPr="00000000">
        <w:rPr>
          <w:b w:val="1"/>
          <w:bCs w:val="1"/>
          <w:sz w:val="34"/>
          <w:szCs w:val="34"/>
          <w:rtl w:val="0"/>
        </w:rPr>
        <w:t xml:space="preserve">9.8 The Tri-Cameral Model in Macroeconomic Practice</w:t>
      </w:r>
    </w:p>
    <w:p w:rsidR="00000000" w:rsidDel="00000000" w:rsidP="00000000" w:rsidRDefault="00000000" w:rsidRPr="00000000" w14:paraId="000003EA">
      <w:pPr>
        <w:spacing w:after="240" w:before="240" w:lineRule="auto"/>
        <w:rPr/>
      </w:pPr>
      <w:r w:rsidDel="00000000" w:rsidR="00000000" w:rsidRPr="00000000">
        <w:rPr>
          <w:rtl w:val="0"/>
        </w:rPr>
        <w:t xml:space="preserve">The Tri-Cameral Governance Model adapts to the institutional structures of specific economic domains while maintaining its core architecture across all of them.</w:t>
      </w:r>
    </w:p>
    <w:p w:rsidR="00000000" w:rsidDel="00000000" w:rsidP="00000000" w:rsidRDefault="00000000" w:rsidRPr="00000000" w14:paraId="000003EB">
      <w:pPr>
        <w:spacing w:after="240" w:before="240" w:lineRule="auto"/>
        <w:rPr>
          <w:color w:val="1155cc"/>
          <w:u w:val="single"/>
        </w:rPr>
      </w:pPr>
      <w:r w:rsidDel="00000000" w:rsidR="00000000" w:rsidRPr="00000000">
        <w:rPr>
          <w:rtl w:val="0"/>
        </w:rPr>
        <w:t xml:space="preserve">In </w:t>
      </w:r>
      <w:r w:rsidDel="00000000" w:rsidR="00000000" w:rsidRPr="00000000">
        <w:rPr>
          <w:b w:val="1"/>
          <w:bCs w:val="1"/>
          <w:rtl w:val="0"/>
        </w:rPr>
        <w:t xml:space="preserve">central banking</w:t>
      </w:r>
      <w:r w:rsidDel="00000000" w:rsidR="00000000" w:rsidRPr="00000000">
        <w:rPr>
          <w:rtl w:val="0"/>
        </w:rPr>
        <w:t xml:space="preserve">, the Technical Council corresponds to the research and statistics department validating macroeconomic models whose outputs feed the Inference Lane. The Stewardship Custodians correspond to the independent oversight board or external audit committee ensuring adherence to the statutory monetary policy mandate, with their determinations recorded through </w:t>
      </w:r>
      <w:r w:rsidDel="00000000" w:rsidR="00000000" w:rsidRPr="00000000">
        <w:rPr>
          <w:rFonts w:ascii="Roboto Mono" w:cs="Roboto Mono" w:eastAsia="Roboto Mono" w:hAnsi="Roboto Mono"/>
          <w:color w:val="188038"/>
          <w:rtl w:val="0"/>
        </w:rPr>
        <w:t xml:space="preserve">TriCameralApproval_v1_0_0</w:t>
      </w:r>
      <w:r w:rsidDel="00000000" w:rsidR="00000000" w:rsidRPr="00000000">
        <w:rPr>
          <w:rtl w:val="0"/>
        </w:rPr>
        <w:t xml:space="preserve">. The Smart Contract Treasury corresponds to the internal financial operations division managing reserves and collateral pools verified through </w:t>
      </w:r>
      <w:r w:rsidDel="00000000" w:rsidR="00000000" w:rsidRPr="00000000">
        <w:rPr>
          <w:rFonts w:ascii="Roboto Mono" w:cs="Roboto Mono" w:eastAsia="Roboto Mono" w:hAnsi="Roboto Mono"/>
          <w:color w:val="188038"/>
          <w:rtl w:val="0"/>
        </w:rPr>
        <w:t xml:space="preserve">baselIiiVector.lcr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baselIiiVector.nsfr</w:t>
      </w:r>
      <w:r w:rsidDel="00000000" w:rsidR="00000000" w:rsidRPr="00000000">
        <w:rPr>
          <w:rtl w:val="0"/>
        </w:rPr>
        <w:t xml:space="preserve">.</w:t>
      </w:r>
      <w:hyperlink r:id="rId866">
        <w:r w:rsidDel="00000000" w:rsidR="00000000" w:rsidRPr="00000000">
          <w:rPr>
            <w:rtl w:val="0"/>
          </w:rPr>
          <w:t xml:space="preserve"> </w:t>
        </w:r>
      </w:hyperlink>
      <w:hyperlink r:id="rId867">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3EC">
      <w:pPr>
        <w:spacing w:after="240" w:before="240" w:lineRule="auto"/>
        <w:rPr>
          <w:color w:val="1155cc"/>
          <w:u w:val="single"/>
        </w:rPr>
      </w:pPr>
      <w:r w:rsidDel="00000000" w:rsidR="00000000" w:rsidRPr="00000000">
        <w:rPr>
          <w:rtl w:val="0"/>
        </w:rPr>
        <w:t xml:space="preserve">In </w:t>
      </w:r>
      <w:r w:rsidDel="00000000" w:rsidR="00000000" w:rsidRPr="00000000">
        <w:rPr>
          <w:b w:val="1"/>
          <w:bCs w:val="1"/>
          <w:rtl w:val="0"/>
        </w:rPr>
        <w:t xml:space="preserve">capital markets</w:t>
      </w:r>
      <w:r w:rsidDel="00000000" w:rsidR="00000000" w:rsidRPr="00000000">
        <w:rPr>
          <w:rtl w:val="0"/>
        </w:rPr>
        <w:t xml:space="preserve">, the Technical Council maintains the market microstructure expertise sub-council that defines statistical signatures of manipulation in </w:t>
      </w:r>
      <w:r w:rsidDel="00000000" w:rsidR="00000000" w:rsidRPr="00000000">
        <w:rPr>
          <w:rFonts w:ascii="Roboto Mono" w:cs="Roboto Mono" w:eastAsia="Roboto Mono" w:hAnsi="Roboto Mono"/>
          <w:color w:val="188038"/>
          <w:rtl w:val="0"/>
        </w:rPr>
        <w:t xml:space="preserve">ThresholdProfile_v1_0_0</w:t>
      </w:r>
      <w:r w:rsidDel="00000000" w:rsidR="00000000" w:rsidRPr="00000000">
        <w:rPr>
          <w:rtl w:val="0"/>
        </w:rPr>
        <w:t xml:space="preserve">, calibrates message rate boundaries configurable via </w:t>
      </w:r>
      <w:r w:rsidDel="00000000" w:rsidR="00000000" w:rsidRPr="00000000">
        <w:rPr>
          <w:rFonts w:ascii="Roboto Mono" w:cs="Roboto Mono" w:eastAsia="Roboto Mono" w:hAnsi="Roboto Mono"/>
          <w:color w:val="188038"/>
          <w:rtl w:val="0"/>
        </w:rPr>
        <w:t xml:space="preserve">PUT /thresholds/{domain}</w:t>
      </w:r>
      <w:r w:rsidDel="00000000" w:rsidR="00000000" w:rsidRPr="00000000">
        <w:rPr>
          <w:rtl w:val="0"/>
        </w:rPr>
        <w:t xml:space="preserve">, and validates detection algorithms surfaced through </w:t>
      </w:r>
      <w:r w:rsidDel="00000000" w:rsidR="00000000" w:rsidRPr="00000000">
        <w:rPr>
          <w:rFonts w:ascii="Roboto Mono" w:cs="Roboto Mono" w:eastAsia="Roboto Mono" w:hAnsi="Roboto Mono"/>
          <w:color w:val="188038"/>
          <w:rtl w:val="0"/>
        </w:rPr>
        <w:t xml:space="preserve">GET /epistemic-hold/lantern</w:t>
      </w:r>
      <w:r w:rsidDel="00000000" w:rsidR="00000000" w:rsidRPr="00000000">
        <w:rPr>
          <w:rtl w:val="0"/>
        </w:rPr>
        <w:t xml:space="preserve">. The Stewardship Custodians include market surveillance representatives and regulatory enforcement liaison officers. The Smart Contract Treasury manages the automated collateral increases and credit line reductions imposed on trading desks whose proposals repeatedly trigger Refuse for manipulation signatures recorded in </w:t>
      </w:r>
      <w:r w:rsidDel="00000000" w:rsidR="00000000" w:rsidRPr="00000000">
        <w:rPr>
          <w:rFonts w:ascii="Roboto Mono" w:cs="Roboto Mono" w:eastAsia="Roboto Mono" w:hAnsi="Roboto Mono"/>
          <w:color w:val="188038"/>
          <w:rtl w:val="0"/>
        </w:rPr>
        <w:t xml:space="preserve">JustificationObject_v1_0_0</w:t>
      </w:r>
      <w:r w:rsidDel="00000000" w:rsidR="00000000" w:rsidRPr="00000000">
        <w:rPr>
          <w:rtl w:val="0"/>
        </w:rPr>
        <w:t xml:space="preserve">.</w:t>
      </w:r>
      <w:hyperlink r:id="rId868">
        <w:r w:rsidDel="00000000" w:rsidR="00000000" w:rsidRPr="00000000">
          <w:rPr>
            <w:rtl w:val="0"/>
          </w:rPr>
          <w:t xml:space="preserve"> </w:t>
        </w:r>
      </w:hyperlink>
      <w:hyperlink r:id="rId869">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3ED">
      <w:pPr>
        <w:spacing w:after="240" w:before="240" w:lineRule="auto"/>
        <w:rPr>
          <w:color w:val="1155cc"/>
          <w:u w:val="single"/>
        </w:rPr>
      </w:pPr>
      <w:r w:rsidDel="00000000" w:rsidR="00000000" w:rsidRPr="00000000">
        <w:rPr>
          <w:rtl w:val="0"/>
        </w:rPr>
        <w:t xml:space="preserve">In </w:t>
      </w:r>
      <w:r w:rsidDel="00000000" w:rsidR="00000000" w:rsidRPr="00000000">
        <w:rPr>
          <w:b w:val="1"/>
          <w:bCs w:val="1"/>
          <w:rtl w:val="0"/>
        </w:rPr>
        <w:t xml:space="preserve">global supply chains</w:t>
      </w:r>
      <w:r w:rsidDel="00000000" w:rsidR="00000000" w:rsidRPr="00000000">
        <w:rPr>
          <w:rtl w:val="0"/>
        </w:rPr>
        <w:t xml:space="preserve">, the Technical Council includes supply chain engineers, customs classification experts, and sanctions database administrators whose certifications gate the </w:t>
      </w:r>
      <w:r w:rsidDel="00000000" w:rsidR="00000000" w:rsidRPr="00000000">
        <w:rPr>
          <w:rFonts w:ascii="Roboto Mono" w:cs="Roboto Mono" w:eastAsia="Roboto Mono" w:hAnsi="Roboto Mono"/>
          <w:color w:val="188038"/>
          <w:rtl w:val="0"/>
        </w:rPr>
        <w:t xml:space="preserve">RegulatoryContext.fatf.sanctionsScreened</w:t>
      </w:r>
      <w:r w:rsidDel="00000000" w:rsidR="00000000" w:rsidRPr="00000000">
        <w:rPr>
          <w:rtl w:val="0"/>
        </w:rPr>
        <w:t xml:space="preserve"> evaluation. The Stewardship Custodians include trade compliance officers and export control specialists who maintain the </w:t>
      </w:r>
      <w:r w:rsidDel="00000000" w:rsidR="00000000" w:rsidRPr="00000000">
        <w:rPr>
          <w:rFonts w:ascii="Roboto Mono" w:cs="Roboto Mono" w:eastAsia="Roboto Mono" w:hAnsi="Roboto Mono"/>
          <w:color w:val="188038"/>
          <w:rtl w:val="0"/>
        </w:rPr>
        <w:t xml:space="preserve">trade_domain</w:t>
      </w:r>
      <w:r w:rsidDel="00000000" w:rsidR="00000000" w:rsidRPr="00000000">
        <w:rPr>
          <w:rtl w:val="0"/>
        </w:rPr>
        <w:t xml:space="preserve"> Regulatory Nexus provisions. The Smart Contract Treasury manages the pre-clearance status revocations and network-wide counterparty notifications anchored to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when sanctions violations recur.</w:t>
      </w:r>
      <w:hyperlink r:id="rId870">
        <w:r w:rsidDel="00000000" w:rsidR="00000000" w:rsidRPr="00000000">
          <w:rPr>
            <w:rtl w:val="0"/>
          </w:rPr>
          <w:t xml:space="preserve"> </w:t>
        </w:r>
      </w:hyperlink>
      <w:hyperlink r:id="rId871">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3EE">
      <w:pPr>
        <w:spacing w:after="240" w:before="240" w:lineRule="auto"/>
        <w:rPr/>
      </w:pPr>
      <w:r w:rsidDel="00000000" w:rsidR="00000000" w:rsidRPr="00000000">
        <w:rPr>
          <w:rtl w:val="0"/>
        </w:rPr>
        <w:t xml:space="preserve">In all three domains, the principle is invariant: the Technical Council ensures truth is computable, the Stewardship Custodians ensure harm is accurately defined, and the Smart Contract Treasury ensures that economic incentives align with governance integrity. The Goukassian Vow's three commands are not philosophical aspirations. They are the operational mandates of three institutions whose design prevents any one of them from substituting its own judgment for the framework they collectively serve.</w:t>
      </w:r>
    </w:p>
    <w:p w:rsidR="00000000" w:rsidDel="00000000" w:rsidP="00000000" w:rsidRDefault="00000000" w:rsidRPr="00000000" w14:paraId="000003EF">
      <w:pPr>
        <w:pStyle w:val="Heading1"/>
        <w:keepNext w:val="0"/>
        <w:keepLines w:val="0"/>
        <w:spacing w:before="480" w:lineRule="auto"/>
        <w:rPr>
          <w:b w:val="1"/>
          <w:bCs w:val="1"/>
          <w:sz w:val="46"/>
          <w:szCs w:val="46"/>
        </w:rPr>
      </w:pPr>
      <w:bookmarkStart w:colFirst="0" w:colLast="0" w:name="_qmpletrmjike" w:id="135"/>
      <w:bookmarkEnd w:id="135"/>
      <w:r w:rsidDel="00000000" w:rsidR="00000000" w:rsidRPr="00000000">
        <w:rPr>
          <w:b w:val="1"/>
          <w:bCs w:val="1"/>
          <w:sz w:val="46"/>
          <w:szCs w:val="46"/>
          <w:rtl w:val="0"/>
        </w:rPr>
        <w:t xml:space="preserve">SECTION 10: ADVERSARIAL SURVIVABILITY</w:t>
      </w:r>
    </w:p>
    <w:p w:rsidR="00000000" w:rsidDel="00000000" w:rsidP="00000000" w:rsidRDefault="00000000" w:rsidRPr="00000000" w14:paraId="000003F0">
      <w:pPr>
        <w:pStyle w:val="Heading2"/>
        <w:keepNext w:val="0"/>
        <w:keepLines w:val="0"/>
        <w:spacing w:after="80" w:lineRule="auto"/>
        <w:rPr>
          <w:b w:val="1"/>
          <w:bCs w:val="1"/>
          <w:sz w:val="34"/>
          <w:szCs w:val="34"/>
        </w:rPr>
      </w:pPr>
      <w:bookmarkStart w:colFirst="0" w:colLast="0" w:name="_98zyu4m3nwmg" w:id="136"/>
      <w:bookmarkEnd w:id="136"/>
      <w:r w:rsidDel="00000000" w:rsidR="00000000" w:rsidRPr="00000000">
        <w:rPr>
          <w:b w:val="1"/>
          <w:bCs w:val="1"/>
          <w:sz w:val="34"/>
          <w:szCs w:val="34"/>
          <w:rtl w:val="0"/>
        </w:rPr>
        <w:t xml:space="preserve">10.0 Overview</w:t>
      </w:r>
    </w:p>
    <w:p w:rsidR="00000000" w:rsidDel="00000000" w:rsidP="00000000" w:rsidRDefault="00000000" w:rsidRPr="00000000" w14:paraId="000003F1">
      <w:pPr>
        <w:spacing w:after="240" w:before="240" w:lineRule="auto"/>
        <w:rPr>
          <w:color w:val="1155cc"/>
          <w:u w:val="single"/>
        </w:rPr>
      </w:pPr>
      <w:r w:rsidDel="00000000" w:rsidR="00000000" w:rsidRPr="00000000">
        <w:rPr>
          <w:rtl w:val="0"/>
        </w:rPr>
        <w:t xml:space="preserve">A governance framework that has never been stress-tested against adversarial pressure is not a governance framework. It is a hypothesis. Section 10 tests the hypothesis.</w:t>
      </w:r>
      <w:hyperlink r:id="rId872">
        <w:r w:rsidDel="00000000" w:rsidR="00000000" w:rsidRPr="00000000">
          <w:rPr>
            <w:rtl w:val="0"/>
          </w:rPr>
          <w:t xml:space="preserve"> </w:t>
        </w:r>
      </w:hyperlink>
      <w:hyperlink r:id="rId873">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F2">
      <w:pPr>
        <w:spacing w:after="240" w:before="240" w:lineRule="auto"/>
        <w:rPr>
          <w:color w:val="1155cc"/>
          <w:u w:val="single"/>
        </w:rPr>
      </w:pPr>
      <w:r w:rsidDel="00000000" w:rsidR="00000000" w:rsidRPr="00000000">
        <w:rPr>
          <w:rtl w:val="0"/>
        </w:rPr>
        <w:t xml:space="preserve">The adversarial survivability assessment evaluates Ternary Logic across four attack classes: technical attacks against the hardware and software substrate; social engineering and institutional capture attacks against the governance model; semantic drift attacks against the governance schema over multi-decade horizons; and sovereign coercion attacks by state actors with compulsory legal authority. For each attack class, the assessment specifies the attack vector, the cost and time required, the detection probability, and the non-maskable interrupt generation potential.</w:t>
      </w:r>
      <w:hyperlink r:id="rId874">
        <w:r w:rsidDel="00000000" w:rsidR="00000000" w:rsidRPr="00000000">
          <w:rPr>
            <w:rtl w:val="0"/>
          </w:rPr>
          <w:t xml:space="preserve"> </w:t>
        </w:r>
      </w:hyperlink>
      <w:hyperlink r:id="rId875">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F3">
      <w:pPr>
        <w:spacing w:after="240" w:before="240" w:lineRule="auto"/>
        <w:rPr/>
      </w:pPr>
      <w:r w:rsidDel="00000000" w:rsidR="00000000" w:rsidRPr="00000000">
        <w:rPr>
          <w:rtl w:val="0"/>
        </w:rPr>
        <w:t xml:space="preserve">The closing thesis: </w:t>
      </w:r>
      <w:r w:rsidDel="00000000" w:rsidR="00000000" w:rsidRPr="00000000">
        <w:rPr>
          <w:b w:val="1"/>
          <w:bCs w:val="1"/>
          <w:rtl w:val="0"/>
        </w:rPr>
        <w:t xml:space="preserve">hardware resists last. Institutions fail first.</w:t>
      </w:r>
      <w:r w:rsidDel="00000000" w:rsidR="00000000" w:rsidRPr="00000000">
        <w:rPr>
          <w:rtl w:val="0"/>
        </w:rPr>
        <w:t xml:space="preserve"> The most sophisticated physical attack on the DITL coprocessor is slower, more expensive, and more detectable than a patient campaign of governance capture through regulatory appointment, research funding, and schema parameter erosion via </w:t>
      </w:r>
      <w:r w:rsidDel="00000000" w:rsidR="00000000" w:rsidRPr="00000000">
        <w:rPr>
          <w:rFonts w:ascii="Roboto Mono" w:cs="Roboto Mono" w:eastAsia="Roboto Mono" w:hAnsi="Roboto Mono"/>
          <w:color w:val="188038"/>
          <w:rtl w:val="0"/>
        </w:rPr>
        <w:t xml:space="preserve">PUT /thresholds/{domain}</w:t>
      </w:r>
      <w:r w:rsidDel="00000000" w:rsidR="00000000" w:rsidRPr="00000000">
        <w:rPr>
          <w:rtl w:val="0"/>
        </w:rPr>
        <w:t xml:space="preserve">. The adversary who understands the framework will not attack the hardware. The adversary will attack the institutions that configure it.</w:t>
      </w:r>
    </w:p>
    <w:p w:rsidR="00000000" w:rsidDel="00000000" w:rsidP="00000000" w:rsidRDefault="00000000" w:rsidRPr="00000000" w14:paraId="000003F4">
      <w:pPr>
        <w:pStyle w:val="Heading2"/>
        <w:keepNext w:val="0"/>
        <w:keepLines w:val="0"/>
        <w:spacing w:after="80" w:lineRule="auto"/>
        <w:rPr>
          <w:b w:val="1"/>
          <w:bCs w:val="1"/>
          <w:sz w:val="34"/>
          <w:szCs w:val="34"/>
        </w:rPr>
      </w:pPr>
      <w:bookmarkStart w:colFirst="0" w:colLast="0" w:name="_3xb6ax6jady9" w:id="137"/>
      <w:bookmarkEnd w:id="137"/>
      <w:r w:rsidDel="00000000" w:rsidR="00000000" w:rsidRPr="00000000">
        <w:rPr>
          <w:b w:val="1"/>
          <w:bCs w:val="1"/>
          <w:sz w:val="34"/>
          <w:szCs w:val="34"/>
          <w:rtl w:val="0"/>
        </w:rPr>
        <w:t xml:space="preserve">10.1 Eight Pillars Survivability Assessment</w:t>
      </w:r>
    </w:p>
    <w:p w:rsidR="00000000" w:rsidDel="00000000" w:rsidP="00000000" w:rsidRDefault="00000000" w:rsidRPr="00000000" w14:paraId="000003F5">
      <w:pPr>
        <w:spacing w:after="240" w:before="240" w:lineRule="auto"/>
        <w:rPr>
          <w:color w:val="1155cc"/>
          <w:u w:val="single"/>
        </w:rPr>
      </w:pPr>
      <w:r w:rsidDel="00000000" w:rsidR="00000000" w:rsidRPr="00000000">
        <w:rPr>
          <w:rtl w:val="0"/>
        </w:rPr>
        <w:t xml:space="preserve">The Eight Pillars are the load-bearing elements of the framework architecture. Their adversarial survivability is evaluated across seven dimensions: software dependence, firmware dependence, hardware enforceability, override susceptibility, compromise detectability, fail behavior, and benchmark against the best current alternative.</w:t>
      </w:r>
      <w:hyperlink r:id="rId876">
        <w:r w:rsidDel="00000000" w:rsidR="00000000" w:rsidRPr="00000000">
          <w:rPr>
            <w:rtl w:val="0"/>
          </w:rPr>
          <w:t xml:space="preserve"> </w:t>
        </w:r>
      </w:hyperlink>
      <w:hyperlink r:id="rId877">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F6">
      <w:pPr>
        <w:spacing w:after="240" w:before="240" w:lineRule="auto"/>
        <w:rPr>
          <w:b w:val="1"/>
          <w:bCs w:val="1"/>
        </w:rPr>
      </w:pPr>
      <w:r w:rsidDel="00000000" w:rsidR="00000000" w:rsidRPr="00000000">
        <w:rPr>
          <w:b w:val="1"/>
          <w:bCs w:val="1"/>
          <w:rtl w:val="0"/>
        </w:rPr>
        <w:t xml:space="preserve">Pillar I - </w:t>
      </w:r>
      <w:r w:rsidDel="00000000" w:rsidR="00000000" w:rsidRPr="00000000">
        <w:rPr>
          <w:rFonts w:ascii="Roboto Mono" w:cs="Roboto Mono" w:eastAsia="Roboto Mono" w:hAnsi="Roboto Mono"/>
          <w:b w:val="1"/>
          <w:bCs w:val="1"/>
          <w:color w:val="188038"/>
          <w:rtl w:val="0"/>
        </w:rPr>
        <w:t xml:space="preserve">EpistemicHold</w:t>
      </w:r>
      <w:r w:rsidDel="00000000" w:rsidR="00000000" w:rsidRPr="00000000">
        <w:rPr>
          <w:b w:val="1"/>
          <w:bCs w:val="1"/>
          <w:rtl w:val="0"/>
        </w:rPr>
        <w:t xml:space="preserve">: Critical.</w:t>
      </w:r>
    </w:p>
    <w:p w:rsidR="00000000" w:rsidDel="00000000" w:rsidP="00000000" w:rsidRDefault="00000000" w:rsidRPr="00000000" w14:paraId="000003F7">
      <w:pPr>
        <w:spacing w:after="240" w:before="240" w:lineRule="auto"/>
        <w:rPr>
          <w:color w:val="1155cc"/>
          <w:u w:val="single"/>
        </w:rPr>
      </w:pPr>
      <w:r w:rsidDel="00000000" w:rsidR="00000000" w:rsidRPr="00000000">
        <w:rPr>
          <w:rtl w:val="0"/>
        </w:rPr>
        <w:t xml:space="preserve">In DITL hardware deployment, Pillar I achieves maximum enforceability. The NULL state at half-Vdd is a physical electrical condition - both dual-rail wires held at logic low, denoted as </w:t>
      </w:r>
      <w:r w:rsidDel="00000000" w:rsidR="00000000" w:rsidRPr="00000000">
        <w:rPr>
          <w:rFonts w:ascii="Roboto Mono" w:cs="Roboto Mono" w:eastAsia="Roboto Mono" w:hAnsi="Roboto Mono"/>
          <w:color w:val="188038"/>
          <w:rtl w:val="0"/>
        </w:rPr>
        <w:t xml:space="preserve">{0,0}</w:t>
      </w:r>
      <w:r w:rsidDel="00000000" w:rsidR="00000000" w:rsidRPr="00000000">
        <w:rPr>
          <w:rtl w:val="0"/>
        </w:rPr>
        <w:t xml:space="preserve"> - not a software flag. The four-phase handshake protocol guarantees that no execution token advances past a stage in the NULL state. Muller C-elements withhold acknowledge signals when any input remains in the NULL state. Override requires physical tampering: desoldering the coprocessor, bypassing the governance bus, or injecting fault voltages to corrupt C-element hysteresis thresholds. Detection probability is high because loss of handshake acknowledgment triggers a non-maskable fault visible through </w:t>
      </w:r>
      <w:r w:rsidDel="00000000" w:rsidR="00000000" w:rsidRPr="00000000">
        <w:rPr>
          <w:rFonts w:ascii="Roboto Mono" w:cs="Roboto Mono" w:eastAsia="Roboto Mono" w:hAnsi="Roboto Mono"/>
          <w:color w:val="188038"/>
          <w:rtl w:val="0"/>
        </w:rPr>
        <w:t xml:space="preserve">windowComparatorReading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EscrowRecord_v1_0_0</w:t>
      </w:r>
      <w:r w:rsidDel="00000000" w:rsidR="00000000" w:rsidRPr="00000000">
        <w:rPr>
          <w:rtl w:val="0"/>
        </w:rPr>
        <w:t xml:space="preserve">. Fail behavior is fail-closed by circuit construction. In software emulation mode, Pillar I degrades to a conditional branch instruction bypassable by any actor with root access. The </w:t>
      </w:r>
      <w:r w:rsidDel="00000000" w:rsidR="00000000" w:rsidRPr="00000000">
        <w:rPr>
          <w:rFonts w:ascii="Roboto Mono" w:cs="Roboto Mono" w:eastAsia="Roboto Mono" w:hAnsi="Roboto Mono"/>
          <w:color w:val="188038"/>
          <w:rtl w:val="0"/>
        </w:rPr>
        <w:t xml:space="preserve">NULL_PUF_DEPLOYMENT</w:t>
      </w:r>
      <w:r w:rsidDel="00000000" w:rsidR="00000000" w:rsidRPr="00000000">
        <w:rPr>
          <w:rtl w:val="0"/>
        </w:rPr>
        <w:t xml:space="preserve"> sentinel in </w:t>
      </w:r>
      <w:r w:rsidDel="00000000" w:rsidR="00000000" w:rsidRPr="00000000">
        <w:rPr>
          <w:rFonts w:ascii="Roboto Mono" w:cs="Roboto Mono" w:eastAsia="Roboto Mono" w:hAnsi="Roboto Mono"/>
          <w:color w:val="188038"/>
          <w:rtl w:val="0"/>
        </w:rPr>
        <w:t xml:space="preserve">NLNAAuditToken.pufAttestation</w:t>
      </w:r>
      <w:r w:rsidDel="00000000" w:rsidR="00000000" w:rsidRPr="00000000">
        <w:rPr>
          <w:rtl w:val="0"/>
        </w:rPr>
        <w:t xml:space="preserve"> signals this degradation to all downstream consumers.</w:t>
      </w:r>
      <w:hyperlink r:id="rId878">
        <w:r w:rsidDel="00000000" w:rsidR="00000000" w:rsidRPr="00000000">
          <w:rPr>
            <w:rtl w:val="0"/>
          </w:rPr>
          <w:t xml:space="preserve"> </w:t>
        </w:r>
      </w:hyperlink>
      <w:hyperlink r:id="rId879">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F8">
      <w:pPr>
        <w:spacing w:after="240" w:before="240" w:lineRule="auto"/>
        <w:rPr>
          <w:b w:val="1"/>
          <w:bCs w:val="1"/>
        </w:rPr>
      </w:pPr>
      <w:r w:rsidDel="00000000" w:rsidR="00000000" w:rsidRPr="00000000">
        <w:rPr>
          <w:b w:val="1"/>
          <w:bCs w:val="1"/>
          <w:rtl w:val="0"/>
        </w:rPr>
        <w:t xml:space="preserve">Pillar II - </w:t>
      </w:r>
      <w:r w:rsidDel="00000000" w:rsidR="00000000" w:rsidRPr="00000000">
        <w:rPr>
          <w:rFonts w:ascii="Roboto Mono" w:cs="Roboto Mono" w:eastAsia="Roboto Mono" w:hAnsi="Roboto Mono"/>
          <w:b w:val="1"/>
          <w:bCs w:val="1"/>
          <w:color w:val="188038"/>
          <w:rtl w:val="0"/>
        </w:rPr>
        <w:t xml:space="preserve">ImmutableLedger</w:t>
      </w:r>
      <w:r w:rsidDel="00000000" w:rsidR="00000000" w:rsidRPr="00000000">
        <w:rPr>
          <w:b w:val="1"/>
          <w:bCs w:val="1"/>
          <w:rtl w:val="0"/>
        </w:rPr>
        <w:t xml:space="preserve">: High.</w:t>
      </w:r>
    </w:p>
    <w:p w:rsidR="00000000" w:rsidDel="00000000" w:rsidP="00000000" w:rsidRDefault="00000000" w:rsidRPr="00000000" w14:paraId="000003F9">
      <w:pPr>
        <w:spacing w:after="240" w:before="240" w:lineRule="auto"/>
        <w:rPr>
          <w:color w:val="1155cc"/>
          <w:u w:val="single"/>
        </w:rPr>
      </w:pPr>
      <w:r w:rsidDel="00000000" w:rsidR="00000000" w:rsidRPr="00000000">
        <w:rPr>
          <w:rtl w:val="0"/>
        </w:rPr>
        <w:t xml:space="preserve">The evidentiary chain implements evidence-before-action through tamper-evident sequential hashing using BLAKE3-256 with ternary Merkle trees yielding thirty-five percent proof-depth reduction at 10^6 leaves. Software dependence is moderate. Hardware enforceability is low - hashing is computational, not physical. The primary vulnerability is pre-hash manipulation: an adversary who controls input data before it enters the hash pipeline can produce a cryptographically valid but semantically fraudulent ledger entry. Detectability of post-hoc tampering is high because any single-bit modification propagates catastrophically through the Merkle chain, detectable via </w:t>
      </w:r>
      <w:r w:rsidDel="00000000" w:rsidR="00000000" w:rsidRPr="00000000">
        <w:rPr>
          <w:rFonts w:ascii="Roboto Mono" w:cs="Roboto Mono" w:eastAsia="Roboto Mono" w:hAnsi="Roboto Mono"/>
          <w:color w:val="188038"/>
          <w:rtl w:val="0"/>
        </w:rPr>
        <w:t xml:space="preserve">GET /audit/verifications/merkle/{merkleRoot}</w:t>
      </w:r>
      <w:r w:rsidDel="00000000" w:rsidR="00000000" w:rsidRPr="00000000">
        <w:rPr>
          <w:rtl w:val="0"/>
        </w:rPr>
        <w:t xml:space="preserve">. Detectability of pre-hash injection is low without the chamber signature requirement in </w:t>
      </w:r>
      <w:r w:rsidDel="00000000" w:rsidR="00000000" w:rsidRPr="00000000">
        <w:rPr>
          <w:rFonts w:ascii="Roboto Mono" w:cs="Roboto Mono" w:eastAsia="Roboto Mono" w:hAnsi="Roboto Mono"/>
          <w:color w:val="188038"/>
          <w:rtl w:val="0"/>
        </w:rPr>
        <w:t xml:space="preserve">TriCameralApproval_v1_0_0</w:t>
      </w:r>
      <w:r w:rsidDel="00000000" w:rsidR="00000000" w:rsidRPr="00000000">
        <w:rPr>
          <w:rtl w:val="0"/>
        </w:rPr>
        <w:t xml:space="preserve">. This Pillar retains its High rating in software emulation mode.</w:t>
      </w:r>
      <w:hyperlink r:id="rId880">
        <w:r w:rsidDel="00000000" w:rsidR="00000000" w:rsidRPr="00000000">
          <w:rPr>
            <w:rtl w:val="0"/>
          </w:rPr>
          <w:t xml:space="preserve"> </w:t>
        </w:r>
      </w:hyperlink>
      <w:hyperlink r:id="rId881">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FA">
      <w:pPr>
        <w:spacing w:after="240" w:before="240" w:lineRule="auto"/>
        <w:rPr>
          <w:b w:val="1"/>
          <w:bCs w:val="1"/>
        </w:rPr>
      </w:pPr>
      <w:r w:rsidDel="00000000" w:rsidR="00000000" w:rsidRPr="00000000">
        <w:rPr>
          <w:b w:val="1"/>
          <w:bCs w:val="1"/>
          <w:rtl w:val="0"/>
        </w:rPr>
        <w:t xml:space="preserve">Pillar III - </w:t>
      </w:r>
      <w:r w:rsidDel="00000000" w:rsidR="00000000" w:rsidRPr="00000000">
        <w:rPr>
          <w:rFonts w:ascii="Roboto Mono" w:cs="Roboto Mono" w:eastAsia="Roboto Mono" w:hAnsi="Roboto Mono"/>
          <w:b w:val="1"/>
          <w:bCs w:val="1"/>
          <w:color w:val="188038"/>
          <w:rtl w:val="0"/>
        </w:rPr>
        <w:t xml:space="preserve">GoukassianPrinciple</w:t>
      </w:r>
      <w:r w:rsidDel="00000000" w:rsidR="00000000" w:rsidRPr="00000000">
        <w:rPr>
          <w:b w:val="1"/>
          <w:bCs w:val="1"/>
          <w:rtl w:val="0"/>
        </w:rPr>
        <w:t xml:space="preserve">: Moderate in DITL, Low in emulation.</w:t>
      </w:r>
    </w:p>
    <w:p w:rsidR="00000000" w:rsidDel="00000000" w:rsidP="00000000" w:rsidRDefault="00000000" w:rsidRPr="00000000" w14:paraId="000003FB">
      <w:pPr>
        <w:spacing w:after="240" w:before="240" w:lineRule="auto"/>
        <w:rPr>
          <w:color w:val="1155cc"/>
          <w:u w:val="single"/>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lantern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signature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license</w:t>
      </w:r>
      <w:r w:rsidDel="00000000" w:rsidR="00000000" w:rsidRPr="00000000">
        <w:rPr>
          <w:rtl w:val="0"/>
        </w:rPr>
        <w:t xml:space="preserve"> form a composite governance covenant. The </w:t>
      </w:r>
      <w:r w:rsidDel="00000000" w:rsidR="00000000" w:rsidRPr="00000000">
        <w:rPr>
          <w:rFonts w:ascii="Roboto Mono" w:cs="Roboto Mono" w:eastAsia="Roboto Mono" w:hAnsi="Roboto Mono"/>
          <w:color w:val="188038"/>
          <w:rtl w:val="0"/>
        </w:rPr>
        <w:t xml:space="preserve">lantern</w:t>
      </w:r>
      <w:r w:rsidDel="00000000" w:rsidR="00000000" w:rsidRPr="00000000">
        <w:rPr>
          <w:rtl w:val="0"/>
        </w:rPr>
        <w:t xml:space="preserve"> provides integrity self-test and public compliance beaconing through </w:t>
      </w:r>
      <w:r w:rsidDel="00000000" w:rsidR="00000000" w:rsidRPr="00000000">
        <w:rPr>
          <w:rFonts w:ascii="Roboto Mono" w:cs="Roboto Mono" w:eastAsia="Roboto Mono" w:hAnsi="Roboto Mono"/>
          <w:color w:val="188038"/>
          <w:rtl w:val="0"/>
        </w:rPr>
        <w:t xml:space="preserve">GET /epistemic-hold/lantern</w:t>
      </w:r>
      <w:r w:rsidDel="00000000" w:rsidR="00000000" w:rsidRPr="00000000">
        <w:rPr>
          <w:rtl w:val="0"/>
        </w:rPr>
        <w:t xml:space="preserve"> with automatic revocation if core mandates are suppressed. The </w:t>
      </w:r>
      <w:r w:rsidDel="00000000" w:rsidR="00000000" w:rsidRPr="00000000">
        <w:rPr>
          <w:rFonts w:ascii="Roboto Mono" w:cs="Roboto Mono" w:eastAsia="Roboto Mono" w:hAnsi="Roboto Mono"/>
          <w:color w:val="188038"/>
          <w:rtl w:val="0"/>
        </w:rPr>
        <w:t xml:space="preserve">signature</w:t>
      </w:r>
      <w:r w:rsidDel="00000000" w:rsidR="00000000" w:rsidRPr="00000000">
        <w:rPr>
          <w:rtl w:val="0"/>
        </w:rPr>
        <w:t xml:space="preserve"> embeds provenance through </w:t>
      </w:r>
      <w:r w:rsidDel="00000000" w:rsidR="00000000" w:rsidRPr="00000000">
        <w:rPr>
          <w:rFonts w:ascii="Roboto Mono" w:cs="Roboto Mono" w:eastAsia="Roboto Mono" w:hAnsi="Roboto Mono"/>
          <w:color w:val="188038"/>
          <w:rtl w:val="0"/>
        </w:rPr>
        <w:t xml:space="preserve">keccak256("signature")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eip712_typed_data.json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license</w:t>
      </w:r>
      <w:r w:rsidDel="00000000" w:rsidR="00000000" w:rsidRPr="00000000">
        <w:rPr>
          <w:rtl w:val="0"/>
        </w:rPr>
        <w:t xml:space="preserve"> inverts the evidentiary burden so that missing logs constitute presumptive evidence of negligence. Software dependence is high across all three. Hardware enforceability is minimal. Override susceptibility is moderate to high: the </w:t>
      </w:r>
      <w:r w:rsidDel="00000000" w:rsidR="00000000" w:rsidRPr="00000000">
        <w:rPr>
          <w:rFonts w:ascii="Roboto Mono" w:cs="Roboto Mono" w:eastAsia="Roboto Mono" w:hAnsi="Roboto Mono"/>
          <w:color w:val="188038"/>
          <w:rtl w:val="0"/>
        </w:rPr>
        <w:t xml:space="preserve">lantern</w:t>
      </w:r>
      <w:r w:rsidDel="00000000" w:rsidR="00000000" w:rsidRPr="00000000">
        <w:rPr>
          <w:rtl w:val="0"/>
        </w:rPr>
        <w:t xml:space="preserve"> can be spoofed through confidence poisoning, the </w:t>
      </w:r>
      <w:r w:rsidDel="00000000" w:rsidR="00000000" w:rsidRPr="00000000">
        <w:rPr>
          <w:rFonts w:ascii="Roboto Mono" w:cs="Roboto Mono" w:eastAsia="Roboto Mono" w:hAnsi="Roboto Mono"/>
          <w:color w:val="188038"/>
          <w:rtl w:val="0"/>
        </w:rPr>
        <w:t xml:space="preserve">signature</w:t>
      </w:r>
      <w:r w:rsidDel="00000000" w:rsidR="00000000" w:rsidRPr="00000000">
        <w:rPr>
          <w:rtl w:val="0"/>
        </w:rPr>
        <w:t xml:space="preserve"> can be stripped in a fork, the </w:t>
      </w:r>
      <w:r w:rsidDel="00000000" w:rsidR="00000000" w:rsidRPr="00000000">
        <w:rPr>
          <w:rFonts w:ascii="Roboto Mono" w:cs="Roboto Mono" w:eastAsia="Roboto Mono" w:hAnsi="Roboto Mono"/>
          <w:color w:val="188038"/>
          <w:rtl w:val="0"/>
        </w:rPr>
        <w:t xml:space="preserve">license</w:t>
      </w:r>
      <w:r w:rsidDel="00000000" w:rsidR="00000000" w:rsidRPr="00000000">
        <w:rPr>
          <w:rtl w:val="0"/>
        </w:rPr>
        <w:t xml:space="preserve"> depends on jurisdictional enforcement. In software emulation mode, all three degrade because hardware attestation backing is absent.</w:t>
      </w:r>
      <w:hyperlink r:id="rId882">
        <w:r w:rsidDel="00000000" w:rsidR="00000000" w:rsidRPr="00000000">
          <w:rPr>
            <w:rtl w:val="0"/>
          </w:rPr>
          <w:t xml:space="preserve"> </w:t>
        </w:r>
      </w:hyperlink>
      <w:hyperlink r:id="rId883">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FC">
      <w:pPr>
        <w:spacing w:after="240" w:before="240" w:lineRule="auto"/>
        <w:rPr>
          <w:b w:val="1"/>
          <w:bCs w:val="1"/>
        </w:rPr>
      </w:pPr>
      <w:r w:rsidDel="00000000" w:rsidR="00000000" w:rsidRPr="00000000">
        <w:rPr>
          <w:b w:val="1"/>
          <w:bCs w:val="1"/>
          <w:rtl w:val="0"/>
        </w:rPr>
        <w:t xml:space="preserve">Pillar IV - </w:t>
      </w:r>
      <w:r w:rsidDel="00000000" w:rsidR="00000000" w:rsidRPr="00000000">
        <w:rPr>
          <w:rFonts w:ascii="Roboto Mono" w:cs="Roboto Mono" w:eastAsia="Roboto Mono" w:hAnsi="Roboto Mono"/>
          <w:b w:val="1"/>
          <w:bCs w:val="1"/>
          <w:color w:val="188038"/>
          <w:rtl w:val="0"/>
        </w:rPr>
        <w:t xml:space="preserve">DecisionLogs</w:t>
      </w:r>
      <w:r w:rsidDel="00000000" w:rsidR="00000000" w:rsidRPr="00000000">
        <w:rPr>
          <w:b w:val="1"/>
          <w:bCs w:val="1"/>
          <w:rtl w:val="0"/>
        </w:rPr>
        <w:t xml:space="preserve">: Critical.</w:t>
      </w:r>
    </w:p>
    <w:p w:rsidR="00000000" w:rsidDel="00000000" w:rsidP="00000000" w:rsidRDefault="00000000" w:rsidRPr="00000000" w14:paraId="000003FD">
      <w:pPr>
        <w:spacing w:after="240" w:before="240" w:lineRule="auto"/>
        <w:rPr>
          <w:color w:val="1155cc"/>
          <w:u w:val="single"/>
        </w:rPr>
      </w:pPr>
      <w:r w:rsidDel="00000000" w:rsidR="00000000" w:rsidRPr="00000000">
        <w:rPr>
          <w:rtl w:val="0"/>
        </w:rPr>
        <w:t xml:space="preserve">In DITL mode, the Merkle accumulator root functions as a hardware-bound execution capability token stored in physically isolated registers. Without a valid, freshly computed token, the actuator interlock triggers a non-maskable fault. </w:t>
      </w:r>
      <w:r w:rsidDel="00000000" w:rsidR="00000000" w:rsidRPr="00000000">
        <w:rPr>
          <w:rFonts w:ascii="Roboto Mono" w:cs="Roboto Mono" w:eastAsia="Roboto Mono" w:hAnsi="Roboto Mono"/>
          <w:color w:val="188038"/>
          <w:rtl w:val="0"/>
        </w:rPr>
        <w:t xml:space="preserve">TL_Ledger_Core.registerPermissionToken</w:t>
      </w:r>
      <w:r w:rsidDel="00000000" w:rsidR="00000000" w:rsidRPr="00000000">
        <w:rPr>
          <w:rtl w:val="0"/>
        </w:rPr>
        <w:t xml:space="preserve"> reverts with </w:t>
      </w:r>
      <w:r w:rsidDel="00000000" w:rsidR="00000000" w:rsidRPr="00000000">
        <w:rPr>
          <w:rFonts w:ascii="Roboto Mono" w:cs="Roboto Mono" w:eastAsia="Roboto Mono" w:hAnsi="Roboto Mono"/>
          <w:color w:val="188038"/>
          <w:rtl w:val="0"/>
        </w:rPr>
        <w:t xml:space="preserve">NLNAViolation</w:t>
      </w:r>
      <w:r w:rsidDel="00000000" w:rsidR="00000000" w:rsidRPr="00000000">
        <w:rPr>
          <w:rtl w:val="0"/>
        </w:rPr>
        <w:t xml:space="preserve"> if the supplied </w:t>
      </w:r>
      <w:r w:rsidDel="00000000" w:rsidR="00000000" w:rsidRPr="00000000">
        <w:rPr>
          <w:rFonts w:ascii="Roboto Mono" w:cs="Roboto Mono" w:eastAsia="Roboto Mono" w:hAnsi="Roboto Mono"/>
          <w:color w:val="188038"/>
          <w:rtl w:val="0"/>
        </w:rPr>
        <w:t xml:space="preserve">logHash</w:t>
      </w:r>
      <w:r w:rsidDel="00000000" w:rsidR="00000000" w:rsidRPr="00000000">
        <w:rPr>
          <w:rtl w:val="0"/>
        </w:rPr>
        <w:t xml:space="preserve"> is not provably included in an anchored Merkle root via </w:t>
      </w:r>
      <w:r w:rsidDel="00000000" w:rsidR="00000000" w:rsidRPr="00000000">
        <w:rPr>
          <w:rFonts w:ascii="Roboto Mono" w:cs="Roboto Mono" w:eastAsia="Roboto Mono" w:hAnsi="Roboto Mono"/>
          <w:color w:val="188038"/>
          <w:rtl w:val="0"/>
        </w:rPr>
        <w:t xml:space="preserve">verifyMerkleInclusion</w:t>
      </w:r>
      <w:r w:rsidDel="00000000" w:rsidR="00000000" w:rsidRPr="00000000">
        <w:rPr>
          <w:rtl w:val="0"/>
        </w:rPr>
        <w:t xml:space="preserve">. In software mode, the token check is a branch instruction that root access can override, fabricate, or eliminate. The </w:t>
      </w:r>
      <w:r w:rsidDel="00000000" w:rsidR="00000000" w:rsidRPr="00000000">
        <w:rPr>
          <w:rFonts w:ascii="Roboto Mono" w:cs="Roboto Mono" w:eastAsia="Roboto Mono" w:hAnsi="Roboto Mono"/>
          <w:color w:val="188038"/>
          <w:rtl w:val="0"/>
        </w:rPr>
        <w:t xml:space="preserve">TLCapabilityFlags.pufAttestationMode</w:t>
      </w:r>
      <w:r w:rsidDel="00000000" w:rsidR="00000000" w:rsidRPr="00000000">
        <w:rPr>
          <w:rtl w:val="0"/>
        </w:rPr>
        <w:t xml:space="preserve"> field reports the enforcement posture in every </w:t>
      </w:r>
      <w:r w:rsidDel="00000000" w:rsidR="00000000" w:rsidRPr="00000000">
        <w:rPr>
          <w:rFonts w:ascii="Roboto Mono" w:cs="Roboto Mono" w:eastAsia="Roboto Mono" w:hAnsi="Roboto Mono"/>
          <w:color w:val="188038"/>
          <w:rtl w:val="0"/>
        </w:rPr>
        <w:t xml:space="preserve">PermissionToken_v1_0_0</w:t>
      </w:r>
      <w:r w:rsidDel="00000000" w:rsidR="00000000" w:rsidRPr="00000000">
        <w:rPr>
          <w:rtl w:val="0"/>
        </w:rPr>
        <w:t xml:space="preserve">.</w:t>
      </w:r>
      <w:hyperlink r:id="rId884">
        <w:r w:rsidDel="00000000" w:rsidR="00000000" w:rsidRPr="00000000">
          <w:rPr>
            <w:rtl w:val="0"/>
          </w:rPr>
          <w:t xml:space="preserve"> </w:t>
        </w:r>
      </w:hyperlink>
      <w:hyperlink r:id="rId885">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3FE">
      <w:pPr>
        <w:spacing w:after="240" w:before="240" w:lineRule="auto"/>
        <w:rPr>
          <w:b w:val="1"/>
          <w:bCs w:val="1"/>
        </w:rPr>
      </w:pPr>
      <w:r w:rsidDel="00000000" w:rsidR="00000000" w:rsidRPr="00000000">
        <w:rPr>
          <w:b w:val="1"/>
          <w:bCs w:val="1"/>
          <w:rtl w:val="0"/>
        </w:rPr>
        <w:t xml:space="preserve">Pillar V - </w:t>
      </w:r>
      <w:r w:rsidDel="00000000" w:rsidR="00000000" w:rsidRPr="00000000">
        <w:rPr>
          <w:rFonts w:ascii="Roboto Mono" w:cs="Roboto Mono" w:eastAsia="Roboto Mono" w:hAnsi="Roboto Mono"/>
          <w:b w:val="1"/>
          <w:bCs w:val="1"/>
          <w:color w:val="188038"/>
          <w:rtl w:val="0"/>
        </w:rPr>
        <w:t xml:space="preserve">EconomicRightsAndTransparencyMandate</w:t>
      </w:r>
      <w:r w:rsidDel="00000000" w:rsidR="00000000" w:rsidRPr="00000000">
        <w:rPr>
          <w:b w:val="1"/>
          <w:bCs w:val="1"/>
          <w:rtl w:val="0"/>
        </w:rPr>
        <w:t xml:space="preserve">: Low.</w:t>
      </w:r>
    </w:p>
    <w:p w:rsidR="00000000" w:rsidDel="00000000" w:rsidP="00000000" w:rsidRDefault="00000000" w:rsidRPr="00000000" w14:paraId="000003FF">
      <w:pPr>
        <w:spacing w:after="240" w:before="240" w:lineRule="auto"/>
        <w:rPr>
          <w:color w:val="1155cc"/>
          <w:u w:val="single"/>
        </w:rPr>
      </w:pPr>
      <w:r w:rsidDel="00000000" w:rsidR="00000000" w:rsidRPr="00000000">
        <w:rPr>
          <w:rtl w:val="0"/>
        </w:rPr>
        <w:t xml:space="preserve">Policy-layer construct with no cryptographic enforcement mechanism beyond the </w:t>
      </w:r>
      <w:r w:rsidDel="00000000" w:rsidR="00000000" w:rsidRPr="00000000">
        <w:rPr>
          <w:rFonts w:ascii="Roboto Mono" w:cs="Roboto Mono" w:eastAsia="Roboto Mono" w:hAnsi="Roboto Mono"/>
          <w:color w:val="188038"/>
          <w:rtl w:val="0"/>
        </w:rPr>
        <w:t xml:space="preserve">HybridShield</w:t>
      </w:r>
      <w:r w:rsidDel="00000000" w:rsidR="00000000" w:rsidRPr="00000000">
        <w:rPr>
          <w:rtl w:val="0"/>
        </w:rPr>
        <w:t xml:space="preserve">'s pseudonymization protocols. Software dependence is total. Hardware enforceability is zero. Override susceptibility is high: access rights can be administratively revoked and pseudonymization parameters can be manipulated to prevent meaningful verification. The </w:t>
      </w:r>
      <w:r w:rsidDel="00000000" w:rsidR="00000000" w:rsidRPr="00000000">
        <w:rPr>
          <w:rFonts w:ascii="Roboto Mono" w:cs="Roboto Mono" w:eastAsia="Roboto Mono" w:hAnsi="Roboto Mono"/>
          <w:color w:val="188038"/>
          <w:rtl w:val="0"/>
        </w:rPr>
        <w:t xml:space="preserve">POST /redress/*</w:t>
      </w:r>
      <w:r w:rsidDel="00000000" w:rsidR="00000000" w:rsidRPr="00000000">
        <w:rPr>
          <w:rtl w:val="0"/>
        </w:rPr>
        <w:t xml:space="preserve"> endpoints are the primary expression of Pillar V rights enforcement.</w:t>
      </w:r>
      <w:hyperlink r:id="rId886">
        <w:r w:rsidDel="00000000" w:rsidR="00000000" w:rsidRPr="00000000">
          <w:rPr>
            <w:rtl w:val="0"/>
          </w:rPr>
          <w:t xml:space="preserve"> </w:t>
        </w:r>
      </w:hyperlink>
      <w:hyperlink r:id="rId887">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00">
      <w:pPr>
        <w:spacing w:after="240" w:before="240" w:lineRule="auto"/>
        <w:rPr>
          <w:b w:val="1"/>
          <w:bCs w:val="1"/>
        </w:rPr>
      </w:pPr>
      <w:r w:rsidDel="00000000" w:rsidR="00000000" w:rsidRPr="00000000">
        <w:rPr>
          <w:b w:val="1"/>
          <w:bCs w:val="1"/>
          <w:rtl w:val="0"/>
        </w:rPr>
        <w:t xml:space="preserve">Pillar VI - </w:t>
      </w:r>
      <w:r w:rsidDel="00000000" w:rsidR="00000000" w:rsidRPr="00000000">
        <w:rPr>
          <w:rFonts w:ascii="Roboto Mono" w:cs="Roboto Mono" w:eastAsia="Roboto Mono" w:hAnsi="Roboto Mono"/>
          <w:b w:val="1"/>
          <w:bCs w:val="1"/>
          <w:color w:val="188038"/>
          <w:rtl w:val="0"/>
        </w:rPr>
        <w:t xml:space="preserve">SustainableCapitalAllocationMandate</w:t>
      </w:r>
      <w:r w:rsidDel="00000000" w:rsidR="00000000" w:rsidRPr="00000000">
        <w:rPr>
          <w:b w:val="1"/>
          <w:bCs w:val="1"/>
          <w:rtl w:val="0"/>
        </w:rPr>
        <w:t xml:space="preserve">: Low.</w:t>
      </w:r>
    </w:p>
    <w:p w:rsidR="00000000" w:rsidDel="00000000" w:rsidP="00000000" w:rsidRDefault="00000000" w:rsidRPr="00000000" w14:paraId="00000401">
      <w:pPr>
        <w:spacing w:after="240" w:before="240" w:lineRule="auto"/>
        <w:rPr>
          <w:color w:val="1155cc"/>
          <w:u w:val="single"/>
        </w:rPr>
      </w:pPr>
      <w:r w:rsidDel="00000000" w:rsidR="00000000" w:rsidRPr="00000000">
        <w:rPr>
          <w:rtl w:val="0"/>
        </w:rPr>
        <w:t xml:space="preserve">Enforcement is entirely policy-dependent. The mandate's parameters are configurable inputs via </w:t>
      </w:r>
      <w:r w:rsidDel="00000000" w:rsidR="00000000" w:rsidRPr="00000000">
        <w:rPr>
          <w:rFonts w:ascii="Roboto Mono" w:cs="Roboto Mono" w:eastAsia="Roboto Mono" w:hAnsi="Roboto Mono"/>
          <w:color w:val="188038"/>
          <w:rtl w:val="0"/>
        </w:rPr>
        <w:t xml:space="preserve">PUT /thresholds/{domain}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POST /pillars/{pillarId}/configure</w:t>
      </w:r>
      <w:r w:rsidDel="00000000" w:rsidR="00000000" w:rsidRPr="00000000">
        <w:rPr>
          <w:rtl w:val="0"/>
        </w:rPr>
        <w:t xml:space="preserve">, not hardcoded constraints. An adversary who controls parameter configuration can redefine sustainability criteria to permit any desired action while maintaining formal compliance. Hardware enforceability is zero.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record of all parameter modifications - each anchored via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 - makes capture visible even when it cannot be prevented by the architecture alone.</w:t>
      </w:r>
      <w:hyperlink r:id="rId888">
        <w:r w:rsidDel="00000000" w:rsidR="00000000" w:rsidRPr="00000000">
          <w:rPr>
            <w:rtl w:val="0"/>
          </w:rPr>
          <w:t xml:space="preserve"> </w:t>
        </w:r>
      </w:hyperlink>
      <w:hyperlink r:id="rId889">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02">
      <w:pPr>
        <w:spacing w:after="240" w:before="240" w:lineRule="auto"/>
        <w:rPr>
          <w:b w:val="1"/>
          <w:bCs w:val="1"/>
        </w:rPr>
      </w:pPr>
      <w:r w:rsidDel="00000000" w:rsidR="00000000" w:rsidRPr="00000000">
        <w:rPr>
          <w:b w:val="1"/>
          <w:bCs w:val="1"/>
          <w:rtl w:val="0"/>
        </w:rPr>
        <w:t xml:space="preserve">Pillar VII - </w:t>
      </w:r>
      <w:r w:rsidDel="00000000" w:rsidR="00000000" w:rsidRPr="00000000">
        <w:rPr>
          <w:rFonts w:ascii="Roboto Mono" w:cs="Roboto Mono" w:eastAsia="Roboto Mono" w:hAnsi="Roboto Mono"/>
          <w:b w:val="1"/>
          <w:bCs w:val="1"/>
          <w:color w:val="188038"/>
          <w:rtl w:val="0"/>
        </w:rPr>
        <w:t xml:space="preserve">HybridShield</w:t>
      </w:r>
      <w:r w:rsidDel="00000000" w:rsidR="00000000" w:rsidRPr="00000000">
        <w:rPr>
          <w:b w:val="1"/>
          <w:bCs w:val="1"/>
          <w:rtl w:val="0"/>
        </w:rPr>
        <w:t xml:space="preserve">: Moderate.</w:t>
      </w:r>
    </w:p>
    <w:p w:rsidR="00000000" w:rsidDel="00000000" w:rsidP="00000000" w:rsidRDefault="00000000" w:rsidRPr="00000000" w14:paraId="00000403">
      <w:pPr>
        <w:spacing w:after="240" w:before="240" w:lineRule="auto"/>
        <w:rPr>
          <w:color w:val="1155cc"/>
          <w:u w:val="single"/>
        </w:rPr>
      </w:pPr>
      <w:r w:rsidDel="00000000" w:rsidR="00000000" w:rsidRPr="00000000">
        <w:rPr>
          <w:rtl w:val="0"/>
        </w:rPr>
        <w:t xml:space="preserve">The dual-layer defense combines pseudonymization-before-hashing with decoupled access control using </w:t>
      </w:r>
      <w:r w:rsidDel="00000000" w:rsidR="00000000" w:rsidRPr="00000000">
        <w:rPr>
          <w:rFonts w:ascii="Roboto Mono" w:cs="Roboto Mono" w:eastAsia="Roboto Mono" w:hAnsi="Roboto Mono"/>
          <w:color w:val="188038"/>
          <w:rtl w:val="0"/>
        </w:rPr>
        <w:t xml:space="preserve">HKDF-SHA3-256</w:t>
      </w:r>
      <w:r w:rsidDel="00000000" w:rsidR="00000000" w:rsidRPr="00000000">
        <w:rPr>
          <w:rtl w:val="0"/>
        </w:rPr>
        <w:t xml:space="preserve"> key derivation confirmed through </w:t>
      </w:r>
      <w:r w:rsidDel="00000000" w:rsidR="00000000" w:rsidRPr="00000000">
        <w:rPr>
          <w:rFonts w:ascii="Roboto Mono" w:cs="Roboto Mono" w:eastAsia="Roboto Mono" w:hAnsi="Roboto Mono"/>
          <w:color w:val="188038"/>
          <w:rtl w:val="0"/>
        </w:rPr>
        <w:t xml:space="preserve">hkdfSha3256Confirmed: true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EKRRecord_v1_0_0</w:t>
      </w:r>
      <w:r w:rsidDel="00000000" w:rsidR="00000000" w:rsidRPr="00000000">
        <w:rPr>
          <w:rtl w:val="0"/>
        </w:rPr>
        <w:t xml:space="preserve">. Shamir Secret Sharing with six custodians and three-of-six quorum for crypto-shredding operations. Software dependence is moderate. Hardware enforceability is low but improvable with HSM and DITL-protected enclaves. The primary governance vulnerability centers on the quorum threshold: compromise of three of six custodians enables unauthorized crypto-shredding. Quorum status is continuously monitored via </w:t>
      </w:r>
      <w:r w:rsidDel="00000000" w:rsidR="00000000" w:rsidRPr="00000000">
        <w:rPr>
          <w:rFonts w:ascii="Roboto Mono" w:cs="Roboto Mono" w:eastAsia="Roboto Mono" w:hAnsi="Roboto Mono"/>
          <w:color w:val="188038"/>
          <w:rtl w:val="0"/>
        </w:rPr>
        <w:t xml:space="preserve">GET /regulator/custodian-quorum</w:t>
      </w:r>
      <w:r w:rsidDel="00000000" w:rsidR="00000000" w:rsidRPr="00000000">
        <w:rPr>
          <w:rtl w:val="0"/>
        </w:rPr>
        <w:t xml:space="preserve">. Fail behavior is asymmetric: fail-closed for data access, fail-open for the underlying evidentiary chain because Merkle proofs remain valid even when underlying data is shredded.</w:t>
      </w:r>
      <w:hyperlink r:id="rId890">
        <w:r w:rsidDel="00000000" w:rsidR="00000000" w:rsidRPr="00000000">
          <w:rPr>
            <w:rtl w:val="0"/>
          </w:rPr>
          <w:t xml:space="preserve"> </w:t>
        </w:r>
      </w:hyperlink>
      <w:hyperlink r:id="rId891">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04">
      <w:pPr>
        <w:spacing w:after="240" w:before="240" w:lineRule="auto"/>
        <w:rPr>
          <w:b w:val="1"/>
          <w:bCs w:val="1"/>
        </w:rPr>
      </w:pPr>
      <w:r w:rsidDel="00000000" w:rsidR="00000000" w:rsidRPr="00000000">
        <w:rPr>
          <w:b w:val="1"/>
          <w:bCs w:val="1"/>
          <w:rtl w:val="0"/>
        </w:rPr>
        <w:t xml:space="preserve">Pillar VIII - </w:t>
      </w:r>
      <w:r w:rsidDel="00000000" w:rsidR="00000000" w:rsidRPr="00000000">
        <w:rPr>
          <w:rFonts w:ascii="Roboto Mono" w:cs="Roboto Mono" w:eastAsia="Roboto Mono" w:hAnsi="Roboto Mono"/>
          <w:b w:val="1"/>
          <w:bCs w:val="1"/>
          <w:color w:val="188038"/>
          <w:rtl w:val="0"/>
        </w:rPr>
        <w:t xml:space="preserve">Anchors</w:t>
      </w:r>
      <w:r w:rsidDel="00000000" w:rsidR="00000000" w:rsidRPr="00000000">
        <w:rPr>
          <w:b w:val="1"/>
          <w:bCs w:val="1"/>
          <w:rtl w:val="0"/>
        </w:rPr>
        <w:t xml:space="preserve">: High.</w:t>
      </w:r>
    </w:p>
    <w:p w:rsidR="00000000" w:rsidDel="00000000" w:rsidP="00000000" w:rsidRDefault="00000000" w:rsidRPr="00000000" w14:paraId="00000405">
      <w:pPr>
        <w:spacing w:after="240" w:before="240" w:lineRule="auto"/>
        <w:rPr>
          <w:color w:val="1155cc"/>
          <w:u w:val="single"/>
        </w:rPr>
      </w:pPr>
      <w:r w:rsidDel="00000000" w:rsidR="00000000" w:rsidRPr="00000000">
        <w:rPr>
          <w:rtl w:val="0"/>
        </w:rPr>
        <w:t xml:space="preserve">Merkle-batched commitments anchor to Bitcoin, Ethereum, and Polygon with a maximum anchoring delay of three hundred seconds. A TL proof is globally confirmed only when successfully included and finalized on at least three of five active anchor chains under the </w:t>
      </w:r>
      <w:r w:rsidDel="00000000" w:rsidR="00000000" w:rsidRPr="00000000">
        <w:rPr>
          <w:rFonts w:ascii="Roboto Mono" w:cs="Roboto Mono" w:eastAsia="Roboto Mono" w:hAnsi="Roboto Mono"/>
          <w:color w:val="188038"/>
          <w:rtl w:val="0"/>
        </w:rPr>
        <w:t xml:space="preserve">3-of-5</w:t>
      </w:r>
      <w:r w:rsidDel="00000000" w:rsidR="00000000" w:rsidRPr="00000000">
        <w:rPr>
          <w:rtl w:val="0"/>
        </w:rPr>
        <w:t xml:space="preserve"> quorum requirement. Software dependence is moderate. Hardware enforceability is low. Override susceptibility is low for the anchors themselves because blockchain immutability is backed by billions of dollars of mining and staking infrastructure, but moderate for the anchoring process because an adversary can delay or suppress anchoring transactions within the three-hundred-second window. Detection of missed anchoring is high if external monitors track expected anchor frequency via </w:t>
      </w:r>
      <w:r w:rsidDel="00000000" w:rsidR="00000000" w:rsidRPr="00000000">
        <w:rPr>
          <w:rFonts w:ascii="Roboto Mono" w:cs="Roboto Mono" w:eastAsia="Roboto Mono" w:hAnsi="Roboto Mono"/>
          <w:color w:val="188038"/>
          <w:rtl w:val="0"/>
        </w:rPr>
        <w:t xml:space="preserve">GET /audit/verifications/merkle/{merkleRoot}</w:t>
      </w:r>
      <w:r w:rsidDel="00000000" w:rsidR="00000000" w:rsidRPr="00000000">
        <w:rPr>
          <w:rtl w:val="0"/>
        </w:rPr>
        <w:t xml:space="preserve">. This Pillar retains its High rating in software emulation mode.</w:t>
      </w:r>
      <w:hyperlink r:id="rId892">
        <w:r w:rsidDel="00000000" w:rsidR="00000000" w:rsidRPr="00000000">
          <w:rPr>
            <w:rtl w:val="0"/>
          </w:rPr>
          <w:t xml:space="preserve"> </w:t>
        </w:r>
      </w:hyperlink>
      <w:hyperlink r:id="rId893">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06">
      <w:pPr>
        <w:spacing w:after="240" w:before="240" w:lineRule="auto"/>
        <w:rPr>
          <w:color w:val="1155cc"/>
          <w:u w:val="single"/>
        </w:rPr>
      </w:pPr>
      <w:r w:rsidDel="00000000" w:rsidR="00000000" w:rsidRPr="00000000">
        <w:rPr>
          <w:b w:val="1"/>
          <w:bCs w:val="1"/>
          <w:rtl w:val="0"/>
        </w:rPr>
        <w:t xml:space="preserve">The Critical Binary Dependency.</w:t>
      </w:r>
      <w:r w:rsidDel="00000000" w:rsidR="00000000" w:rsidRPr="00000000">
        <w:rPr>
          <w:rtl w:val="0"/>
        </w:rPr>
        <w:t xml:space="preserve"> The most consequential finding of the Pillar assessment is the binary dependency between Pillars I and IV. Both are rated Critical. Both depend entirely on DITL hardware for their non-bypassability guarantees. In software-only emulation mode, both degrade to policy enforcement simultaneously. This exceeds the collapse threshold: two Critical-rated Pillars simultaneously compromised causes the framework to structurally collapse from a physics-enforced governance architecture to a policy-governance system. Pillars II and VIII retain their High ratings in emulation mode. The </w:t>
      </w:r>
      <w:r w:rsidDel="00000000" w:rsidR="00000000" w:rsidRPr="00000000">
        <w:rPr>
          <w:rFonts w:ascii="Roboto Mono" w:cs="Roboto Mono" w:eastAsia="Roboto Mono" w:hAnsi="Roboto Mono"/>
          <w:color w:val="188038"/>
          <w:rtl w:val="0"/>
        </w:rPr>
        <w:t xml:space="preserve">NULL_PUF_DEPLOYMENT</w:t>
      </w:r>
      <w:r w:rsidDel="00000000" w:rsidR="00000000" w:rsidRPr="00000000">
        <w:rPr>
          <w:rtl w:val="0"/>
        </w:rPr>
        <w:t xml:space="preserve"> sentinel and </w:t>
      </w:r>
      <w:r w:rsidDel="00000000" w:rsidR="00000000" w:rsidRPr="00000000">
        <w:rPr>
          <w:rFonts w:ascii="Roboto Mono" w:cs="Roboto Mono" w:eastAsia="Roboto Mono" w:hAnsi="Roboto Mono"/>
          <w:color w:val="188038"/>
          <w:rtl w:val="0"/>
        </w:rPr>
        <w:t xml:space="preserve">windowComparatorReading.softwareEnforcementActive: true</w:t>
      </w:r>
      <w:r w:rsidDel="00000000" w:rsidR="00000000" w:rsidRPr="00000000">
        <w:rPr>
          <w:rtl w:val="0"/>
        </w:rPr>
        <w:t xml:space="preserve"> fields signal this posture in every governance interaction.</w:t>
      </w:r>
      <w:hyperlink r:id="rId894">
        <w:r w:rsidDel="00000000" w:rsidR="00000000" w:rsidRPr="00000000">
          <w:rPr>
            <w:rtl w:val="0"/>
          </w:rPr>
          <w:t xml:space="preserve"> </w:t>
        </w:r>
      </w:hyperlink>
      <w:hyperlink r:id="rId895">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07">
      <w:pPr>
        <w:pStyle w:val="Heading2"/>
        <w:keepNext w:val="0"/>
        <w:keepLines w:val="0"/>
        <w:spacing w:after="80" w:lineRule="auto"/>
        <w:rPr>
          <w:b w:val="1"/>
          <w:bCs w:val="1"/>
          <w:sz w:val="34"/>
          <w:szCs w:val="34"/>
        </w:rPr>
      </w:pPr>
      <w:bookmarkStart w:colFirst="0" w:colLast="0" w:name="_hlw3phys3pw7" w:id="138"/>
      <w:bookmarkEnd w:id="138"/>
      <w:r w:rsidDel="00000000" w:rsidR="00000000" w:rsidRPr="00000000">
        <w:rPr>
          <w:b w:val="1"/>
          <w:bCs w:val="1"/>
          <w:sz w:val="34"/>
          <w:szCs w:val="34"/>
          <w:rtl w:val="0"/>
        </w:rPr>
        <w:t xml:space="preserve">10.2 NL=NA Under Five Adversarial Scenarios</w:t>
      </w:r>
    </w:p>
    <w:p w:rsidR="00000000" w:rsidDel="00000000" w:rsidP="00000000" w:rsidRDefault="00000000" w:rsidRPr="00000000" w14:paraId="00000408">
      <w:pPr>
        <w:spacing w:after="240" w:before="240" w:lineRule="auto"/>
        <w:rPr>
          <w:color w:val="1155cc"/>
          <w:u w:val="single"/>
        </w:rPr>
      </w:pPr>
      <w:r w:rsidDel="00000000" w:rsidR="00000000" w:rsidRPr="00000000">
        <w:rPr>
          <w:rtl w:val="0"/>
        </w:rPr>
        <w:t xml:space="preserve">The NL=NA invariant is formalized in Linear Temporal Logic as: for all actions x, execution E(x) remains strictly false until commitment C(x) transitions to true. The specification strengthens this with a strict Before operator requiring that hardware commitment must precede execution release in the temporal ordering of physical clock cycles. Five adversarial scenarios stress-test this invariant.</w:t>
      </w:r>
      <w:hyperlink r:id="rId896">
        <w:r w:rsidDel="00000000" w:rsidR="00000000" w:rsidRPr="00000000">
          <w:rPr>
            <w:rtl w:val="0"/>
          </w:rPr>
          <w:t xml:space="preserve"> </w:t>
        </w:r>
      </w:hyperlink>
      <w:hyperlink r:id="rId897">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09">
      <w:pPr>
        <w:spacing w:after="240" w:before="240" w:lineRule="auto"/>
        <w:rPr>
          <w:color w:val="1155cc"/>
          <w:u w:val="single"/>
        </w:rPr>
      </w:pPr>
      <w:r w:rsidDel="00000000" w:rsidR="00000000" w:rsidRPr="00000000">
        <w:rPr>
          <w:b w:val="1"/>
          <w:bCs w:val="1"/>
          <w:rtl w:val="0"/>
        </w:rPr>
        <w:t xml:space="preserve">Scenario 1: Log Truncation.</w:t>
      </w:r>
      <w:r w:rsidDel="00000000" w:rsidR="00000000" w:rsidRPr="00000000">
        <w:rPr>
          <w:rtl w:val="0"/>
        </w:rPr>
        <w:t xml:space="preserve"> The attacker removes log entries post-execution to conceal actions already taken. The Merkle chain detects this immediately if consistency proofs are checked via </w:t>
      </w:r>
      <w:r w:rsidDel="00000000" w:rsidR="00000000" w:rsidRPr="00000000">
        <w:rPr>
          <w:rFonts w:ascii="Roboto Mono" w:cs="Roboto Mono" w:eastAsia="Roboto Mono" w:hAnsi="Roboto Mono"/>
          <w:color w:val="188038"/>
          <w:rtl w:val="0"/>
        </w:rPr>
        <w:t xml:space="preserve">GET /audit/verifications/inclusion/{logId}</w:t>
      </w:r>
      <w:r w:rsidDel="00000000" w:rsidR="00000000" w:rsidRPr="00000000">
        <w:rPr>
          <w:rtl w:val="0"/>
        </w:rPr>
        <w:t xml:space="preserve">: a truncated tree cannot produce a valid consistency proof against a previously published Signed Tree Head. If anchoring to external blockchains has occurred, truncation is permanently detectable by any observer. If the attack occurs within the three-hundred-second pre-anchoring window, the truncation may succeed against local observers. DITL blocks this at hardware level through the nvSRAM accumulator's write-once enforcement with monotonic sequence counters. Residual probability in DITL: negligible. In software emulation during the pre-anchoring window: moderate, estimated at 10^-2 per attack attempt given active monitoring.</w:t>
      </w:r>
      <w:hyperlink r:id="rId898">
        <w:r w:rsidDel="00000000" w:rsidR="00000000" w:rsidRPr="00000000">
          <w:rPr>
            <w:rtl w:val="0"/>
          </w:rPr>
          <w:t xml:space="preserve"> </w:t>
        </w:r>
      </w:hyperlink>
      <w:hyperlink r:id="rId899">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0A">
      <w:pPr>
        <w:spacing w:after="240" w:before="240" w:lineRule="auto"/>
        <w:rPr>
          <w:color w:val="1155cc"/>
          <w:u w:val="single"/>
        </w:rPr>
      </w:pPr>
      <w:r w:rsidDel="00000000" w:rsidR="00000000" w:rsidRPr="00000000">
        <w:rPr>
          <w:b w:val="1"/>
          <w:bCs w:val="1"/>
          <w:rtl w:val="0"/>
        </w:rPr>
        <w:t xml:space="preserve">Scenario 2: Shadow Buffer Logging.</w:t>
      </w:r>
      <w:r w:rsidDel="00000000" w:rsidR="00000000" w:rsidRPr="00000000">
        <w:rPr>
          <w:rtl w:val="0"/>
        </w:rPr>
        <w:t xml:space="preserve"> The attacker maintains a parallel fake log while suppressing the real log, presenting the fake to auditors. Detection requires cross-comparison of log states between independent observers. DITL partially blocks this because the </w:t>
      </w:r>
      <w:r w:rsidDel="00000000" w:rsidR="00000000" w:rsidRPr="00000000">
        <w:rPr>
          <w:rFonts w:ascii="Roboto Mono" w:cs="Roboto Mono" w:eastAsia="Roboto Mono" w:hAnsi="Roboto Mono"/>
          <w:color w:val="188038"/>
          <w:rtl w:val="0"/>
        </w:rPr>
        <w:t xml:space="preserve">PermissionToken_v1_0_0</w:t>
      </w:r>
      <w:r w:rsidDel="00000000" w:rsidR="00000000" w:rsidRPr="00000000">
        <w:rPr>
          <w:rtl w:val="0"/>
        </w:rPr>
        <w:t xml:space="preserve"> is generated by the dedicated hardware logging subsystem using keys generated exclusively within the secure enclave - a shadow buffer system would need to forge these tokens, requiring extraction of the enclave's private key through physical attack on the HSM boundary. Residual probability in DITL: low, estimated at 10^-4. In software emulation: high, estimated at 10^-1.</w:t>
      </w:r>
      <w:hyperlink r:id="rId900">
        <w:r w:rsidDel="00000000" w:rsidR="00000000" w:rsidRPr="00000000">
          <w:rPr>
            <w:rtl w:val="0"/>
          </w:rPr>
          <w:t xml:space="preserve"> </w:t>
        </w:r>
      </w:hyperlink>
      <w:hyperlink r:id="rId901">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0B">
      <w:pPr>
        <w:spacing w:after="240" w:before="240" w:lineRule="auto"/>
        <w:rPr>
          <w:color w:val="1155cc"/>
          <w:u w:val="single"/>
        </w:rPr>
      </w:pPr>
      <w:r w:rsidDel="00000000" w:rsidR="00000000" w:rsidRPr="00000000">
        <w:rPr>
          <w:b w:val="1"/>
          <w:bCs w:val="1"/>
          <w:rtl w:val="0"/>
        </w:rPr>
        <w:t xml:space="preserve">Scenario 3: Delayed or Skipped Anchoring.</w:t>
      </w:r>
      <w:r w:rsidDel="00000000" w:rsidR="00000000" w:rsidRPr="00000000">
        <w:rPr>
          <w:rtl w:val="0"/>
        </w:rPr>
        <w:t xml:space="preserve"> The attacker exploits the three-hundred-second Governance Lane anchoring window to execute actions whose logs exist locally but are never externally anchored, then destroys local logs before anchoring occurs. This is TL's most significant temporal vulnerability. DITL does not fully block this attack because the execution gate depends on local Fast Lane commitment, not on Governance Lane anchoring completion. The nvSRAM accumulator protects against local log destruction because it is battery-backed and tamper-resistant, but a resourced adversary with physical access could destroy the accumulator hardware within the three-hundred-second window. Residual probability: moderate, estimated at 10^-2, even with DITL.</w:t>
      </w:r>
      <w:hyperlink r:id="rId902">
        <w:r w:rsidDel="00000000" w:rsidR="00000000" w:rsidRPr="00000000">
          <w:rPr>
            <w:rtl w:val="0"/>
          </w:rPr>
          <w:t xml:space="preserve"> </w:t>
        </w:r>
      </w:hyperlink>
      <w:hyperlink r:id="rId903">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0C">
      <w:pPr>
        <w:spacing w:after="240" w:before="240" w:lineRule="auto"/>
        <w:rPr>
          <w:color w:val="1155cc"/>
          <w:u w:val="single"/>
        </w:rPr>
      </w:pPr>
      <w:r w:rsidDel="00000000" w:rsidR="00000000" w:rsidRPr="00000000">
        <w:rPr>
          <w:b w:val="1"/>
          <w:bCs w:val="1"/>
          <w:rtl w:val="0"/>
        </w:rPr>
        <w:t xml:space="preserve">Scenario 4: Schema Manipulation.</w:t>
      </w:r>
      <w:r w:rsidDel="00000000" w:rsidR="00000000" w:rsidRPr="00000000">
        <w:rPr>
          <w:rtl w:val="0"/>
        </w:rPr>
        <w:t xml:space="preserve"> The attacker modifies the log schema to make malicious entries appear structurally valid - for example, redefining the risk classification taxonomy so that high-risk actions are categorized as low-risk. The </w:t>
      </w:r>
      <w:r w:rsidDel="00000000" w:rsidR="00000000" w:rsidRPr="00000000">
        <w:rPr>
          <w:rFonts w:ascii="Roboto Mono" w:cs="Roboto Mono" w:eastAsia="Roboto Mono" w:hAnsi="Roboto Mono"/>
          <w:color w:val="188038"/>
          <w:rtl w:val="0"/>
        </w:rPr>
        <w:t xml:space="preserve">activeAxiomSetHash</w:t>
      </w:r>
      <w:r w:rsidDel="00000000" w:rsidR="00000000" w:rsidRPr="00000000">
        <w:rPr>
          <w:rtl w:val="0"/>
        </w:rPr>
        <w:t xml:space="preserve"> field in </w:t>
      </w:r>
      <w:r w:rsidDel="00000000" w:rsidR="00000000" w:rsidRPr="00000000">
        <w:rPr>
          <w:rFonts w:ascii="Roboto Mono" w:cs="Roboto Mono" w:eastAsia="Roboto Mono" w:hAnsi="Roboto Mono"/>
          <w:color w:val="188038"/>
          <w:rtl w:val="0"/>
        </w:rPr>
        <w:t xml:space="preserve">TGLF_StateP1_v1_0_0</w:t>
      </w:r>
      <w:r w:rsidDel="00000000" w:rsidR="00000000" w:rsidRPr="00000000">
        <w:rPr>
          <w:rtl w:val="0"/>
        </w:rPr>
        <w:t xml:space="preserve"> cryptographically binds the schema version to the log entry. Post-hoc schema changes are detectable because they produce a different schema hash. However, if the attacker controls the schema at generation time through a captured Stewardship Custodian majority, they can commit a malicious schema and produce cryptographically valid entries under it. DITL does not directly block this because schema content is a semantic concern, not a physical enforcement property. Residual probability: moderate, estimated at 10^-2, against adversaries with administrative access to </w:t>
      </w:r>
      <w:r w:rsidDel="00000000" w:rsidR="00000000" w:rsidRPr="00000000">
        <w:rPr>
          <w:rFonts w:ascii="Roboto Mono" w:cs="Roboto Mono" w:eastAsia="Roboto Mono" w:hAnsi="Roboto Mono"/>
          <w:color w:val="188038"/>
          <w:rtl w:val="0"/>
        </w:rPr>
        <w:t xml:space="preserve">PUT /thresholds/{domain}</w:t>
      </w:r>
      <w:r w:rsidDel="00000000" w:rsidR="00000000" w:rsidRPr="00000000">
        <w:rPr>
          <w:rtl w:val="0"/>
        </w:rPr>
        <w:t xml:space="preserve">.</w:t>
      </w:r>
      <w:hyperlink r:id="rId904">
        <w:r w:rsidDel="00000000" w:rsidR="00000000" w:rsidRPr="00000000">
          <w:rPr>
            <w:rtl w:val="0"/>
          </w:rPr>
          <w:t xml:space="preserve"> </w:t>
        </w:r>
      </w:hyperlink>
      <w:hyperlink r:id="rId905">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0D">
      <w:pPr>
        <w:spacing w:after="240" w:before="240" w:lineRule="auto"/>
        <w:rPr>
          <w:color w:val="1155cc"/>
          <w:u w:val="single"/>
        </w:rPr>
      </w:pPr>
      <w:r w:rsidDel="00000000" w:rsidR="00000000" w:rsidRPr="00000000">
        <w:rPr>
          <w:b w:val="1"/>
          <w:bCs w:val="1"/>
          <w:rtl w:val="0"/>
        </w:rPr>
        <w:t xml:space="preserve">Scenario 5: Timestamp Forgery.</w:t>
      </w:r>
      <w:r w:rsidDel="00000000" w:rsidR="00000000" w:rsidRPr="00000000">
        <w:rPr>
          <w:rtl w:val="0"/>
        </w:rPr>
        <w:t xml:space="preserve"> The attacker backdates or forward-dates log entries to obscure causal ordering. UUIDv7 includes an embedded timestamp and the monotonic sequence ID in </w:t>
      </w:r>
      <w:r w:rsidDel="00000000" w:rsidR="00000000" w:rsidRPr="00000000">
        <w:rPr>
          <w:rFonts w:ascii="Roboto Mono" w:cs="Roboto Mono" w:eastAsia="Roboto Mono" w:hAnsi="Roboto Mono"/>
          <w:color w:val="188038"/>
          <w:rtl w:val="0"/>
        </w:rPr>
        <w:t xml:space="preserve">TGLF_State0_v1_0_0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TGLF_StateP1_v1_0_0</w:t>
      </w:r>
      <w:r w:rsidDel="00000000" w:rsidR="00000000" w:rsidRPr="00000000">
        <w:rPr>
          <w:rtl w:val="0"/>
        </w:rPr>
        <w:t xml:space="preserve"> provides strict ordering guarantees. Both depend on the trustworthiness of the time source. NTP manipulation, GPS spoofing, or compromised hardware clocks can shift timestamps arbitrarily. DITL partially blocks this because the specification mandates hardware-generated timestamps from physically isolated real-time clocks with tamper detection, and monotonic counters in the TPM prevent sequence ID regression. Cross-anchoring to external blockchain timestamps via </w:t>
      </w:r>
      <w:r w:rsidDel="00000000" w:rsidR="00000000" w:rsidRPr="00000000">
        <w:rPr>
          <w:rFonts w:ascii="Roboto Mono" w:cs="Roboto Mono" w:eastAsia="Roboto Mono" w:hAnsi="Roboto Mono"/>
          <w:color w:val="188038"/>
          <w:rtl w:val="0"/>
        </w:rPr>
        <w:t xml:space="preserve">GET /audit/verifications/merkle/{merkleRoot}</w:t>
      </w:r>
      <w:r w:rsidDel="00000000" w:rsidR="00000000" w:rsidRPr="00000000">
        <w:rPr>
          <w:rtl w:val="0"/>
        </w:rPr>
        <w:t xml:space="preserve"> provides independent temporal proof at three-hundred-second intervals. Residual probability in DITL: low, estimated at 10^-3. In software emulation: moderate, estimated at 10^-2.</w:t>
      </w:r>
      <w:hyperlink r:id="rId906">
        <w:r w:rsidDel="00000000" w:rsidR="00000000" w:rsidRPr="00000000">
          <w:rPr>
            <w:rtl w:val="0"/>
          </w:rPr>
          <w:t xml:space="preserve"> </w:t>
        </w:r>
      </w:hyperlink>
      <w:hyperlink r:id="rId907">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0E">
      <w:pPr>
        <w:spacing w:after="240" w:before="240" w:lineRule="auto"/>
        <w:rPr>
          <w:b w:val="1"/>
          <w:bCs w:val="1"/>
        </w:rPr>
      </w:pPr>
      <w:r w:rsidDel="00000000" w:rsidR="00000000" w:rsidRPr="00000000">
        <w:rPr>
          <w:b w:val="1"/>
          <w:bCs w:val="1"/>
          <w:rtl w:val="0"/>
        </w:rPr>
        <w:t xml:space="preserve">NL=NA Invariant Strength by Deployment Mode:</w:t>
      </w:r>
    </w:p>
    <w:tbl>
      <w:tblPr>
        <w:tblStyle w:val="Table1"/>
        <w:tblW w:w="9360.0" w:type="dxa"/>
        <w:jc w:val="left"/>
        <w:tblLayout w:type="fixed"/>
        <w:tblLook w:val="0600"/>
      </w:tblPr>
      <w:tblGrid>
        <w:gridCol w:w="1999.2233009708739"/>
        <w:gridCol w:w="2185.7537046499747"/>
        <w:gridCol w:w="2214.450689831375"/>
        <w:gridCol w:w="2960.572304547777"/>
        <w:tblGridChange w:id="0">
          <w:tblGrid>
            <w:gridCol w:w="1999.2233009708739"/>
            <w:gridCol w:w="2185.7537046499747"/>
            <w:gridCol w:w="2214.450689831375"/>
            <w:gridCol w:w="2960.572304547777"/>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0F">
            <w:pPr>
              <w:jc w:val="center"/>
              <w:rPr/>
            </w:pPr>
            <w:r w:rsidDel="00000000" w:rsidR="00000000" w:rsidRPr="00000000">
              <w:rPr>
                <w:b w:val="1"/>
                <w:bCs w:val="1"/>
                <w:rtl w:val="0"/>
              </w:rPr>
              <w:t xml:space="preserve">Layer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10">
            <w:pPr>
              <w:jc w:val="center"/>
              <w:rPr/>
            </w:pPr>
            <w:r w:rsidDel="00000000" w:rsidR="00000000" w:rsidRPr="00000000">
              <w:rPr>
                <w:b w:val="1"/>
                <w:bCs w:val="1"/>
                <w:rtl w:val="0"/>
              </w:rPr>
              <w:t xml:space="preserve">Software-Only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11">
            <w:pPr>
              <w:jc w:val="center"/>
              <w:rPr/>
            </w:pPr>
            <w:r w:rsidDel="00000000" w:rsidR="00000000" w:rsidRPr="00000000">
              <w:rPr>
                <w:b w:val="1"/>
                <w:bCs w:val="1"/>
                <w:rtl w:val="0"/>
              </w:rPr>
              <w:t xml:space="preserve">Firmware-Bound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12">
            <w:pPr>
              <w:jc w:val="center"/>
              <w:rPr/>
            </w:pPr>
            <w:r w:rsidDel="00000000" w:rsidR="00000000" w:rsidRPr="00000000">
              <w:rPr>
                <w:b w:val="1"/>
                <w:bCs w:val="1"/>
                <w:rtl w:val="0"/>
              </w:rPr>
              <w:t xml:space="preserve">DITL Hardware</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rtl w:val="0"/>
              </w:rPr>
              <w:t xml:space="preserve">Log generation</w:t>
            </w:r>
          </w:p>
        </w:tc>
        <w:tc>
          <w:tcPr>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rtl w:val="0"/>
              </w:rPr>
              <w:t xml:space="preserve">Bypassable (root access)</w:t>
            </w:r>
          </w:p>
        </w:tc>
        <w:tc>
          <w:tcPr>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tl w:val="0"/>
              </w:rPr>
              <w:t xml:space="preserve">Firmware-verified</w:t>
            </w:r>
          </w:p>
        </w:tc>
        <w:tc>
          <w:tcPr>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rtl w:val="0"/>
              </w:rPr>
              <w:t xml:space="preserve">Hardware-isolated nvSRAM</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17">
            <w:pPr>
              <w:rPr/>
            </w:pPr>
            <w:r w:rsidDel="00000000" w:rsidR="00000000" w:rsidRPr="00000000">
              <w:rPr>
                <w:rtl w:val="0"/>
              </w:rPr>
              <w:t xml:space="preserve">Execution block</w:t>
            </w:r>
          </w:p>
        </w:tc>
        <w:tc>
          <w:tcPr>
            <w:tcMar>
              <w:top w:w="100.0" w:type="dxa"/>
              <w:left w:w="100.0" w:type="dxa"/>
              <w:bottom w:w="100.0" w:type="dxa"/>
              <w:right w:w="100.0" w:type="dxa"/>
            </w:tcMar>
            <w:vAlign w:val="top"/>
          </w:tcPr>
          <w:p w:rsidR="00000000" w:rsidDel="00000000" w:rsidP="00000000" w:rsidRDefault="00000000" w:rsidRPr="00000000" w14:paraId="00000418">
            <w:pPr>
              <w:rPr/>
            </w:pPr>
            <w:r w:rsidDel="00000000" w:rsidR="00000000" w:rsidRPr="00000000">
              <w:rPr>
                <w:rtl w:val="0"/>
              </w:rPr>
              <w:t xml:space="preserve">Patchable branch</w:t>
            </w:r>
          </w:p>
        </w:tc>
        <w:tc>
          <w:tcPr>
            <w:tcMar>
              <w:top w:w="100.0" w:type="dxa"/>
              <w:left w:w="100.0" w:type="dxa"/>
              <w:bottom w:w="100.0" w:type="dxa"/>
              <w:right w:w="100.0" w:type="dxa"/>
            </w:tcMar>
            <w:vAlign w:val="top"/>
          </w:tcPr>
          <w:p w:rsidR="00000000" w:rsidDel="00000000" w:rsidP="00000000" w:rsidRDefault="00000000" w:rsidRPr="00000000" w14:paraId="00000419">
            <w:pPr>
              <w:rPr/>
            </w:pPr>
            <w:r w:rsidDel="00000000" w:rsidR="00000000" w:rsidRPr="00000000">
              <w:rPr>
                <w:rtl w:val="0"/>
              </w:rPr>
              <w:t xml:space="preserve">Voltage glitch vulnerable</w:t>
            </w:r>
          </w:p>
        </w:tc>
        <w:tc>
          <w:tcPr>
            <w:tcMar>
              <w:top w:w="100.0" w:type="dxa"/>
              <w:left w:w="100.0" w:type="dxa"/>
              <w:bottom w:w="100.0" w:type="dxa"/>
              <w:right w:w="100.0" w:type="dxa"/>
            </w:tcMar>
            <w:vAlign w:val="top"/>
          </w:tcPr>
          <w:p w:rsidR="00000000" w:rsidDel="00000000" w:rsidP="00000000" w:rsidRDefault="00000000" w:rsidRPr="00000000" w14:paraId="0000041A">
            <w:pPr>
              <w:rPr/>
            </w:pPr>
            <w:r w:rsidDel="00000000" w:rsidR="00000000" w:rsidRPr="00000000">
              <w:rPr>
                <w:rtl w:val="0"/>
              </w:rPr>
              <w:t xml:space="preserve">Physical C-element stall</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1B">
            <w:pPr>
              <w:rPr/>
            </w:pPr>
            <w:r w:rsidDel="00000000" w:rsidR="00000000" w:rsidRPr="00000000">
              <w:rPr>
                <w:rtl w:val="0"/>
              </w:rPr>
              <w:t xml:space="preserve">Merkle coupling</w:t>
            </w:r>
          </w:p>
        </w:tc>
        <w:tc>
          <w:tcPr>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rtl w:val="0"/>
              </w:rPr>
              <w:t xml:space="preserve">Software-gated</w:t>
            </w:r>
          </w:p>
        </w:tc>
        <w:tc>
          <w:tcPr>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rtl w:val="0"/>
              </w:rPr>
              <w:t xml:space="preserve">Firmware-gated</w:t>
            </w:r>
          </w:p>
        </w:tc>
        <w:tc>
          <w:tcPr>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rtl w:val="0"/>
              </w:rPr>
              <w:t xml:space="preserve">Hardware token in isolated registers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rtl w:val="0"/>
              </w:rPr>
              <w:t xml:space="preserve">Root access resistance</w:t>
            </w:r>
          </w:p>
        </w:tc>
        <w:tc>
          <w:tcPr>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t xml:space="preserve">None</w:t>
            </w:r>
          </w:p>
        </w:tc>
        <w:tc>
          <w:tcPr>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tl w:val="0"/>
              </w:rPr>
              <w:t xml:space="preserve">Limited</w:t>
            </w:r>
          </w:p>
        </w:tc>
        <w:tc>
          <w:tcPr>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tl w:val="0"/>
              </w:rPr>
              <w:t xml:space="preserve">Categorical</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b w:val="1"/>
                <w:bCs w:val="1"/>
                <w:rtl w:val="0"/>
              </w:rPr>
              <w:t xml:space="preserve">Overall strength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b w:val="1"/>
                <w:bCs w:val="1"/>
                <w:rtl w:val="0"/>
              </w:rPr>
              <w:t xml:space="preserve">Low</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b w:val="1"/>
                <w:bCs w:val="1"/>
                <w:rtl w:val="0"/>
              </w:rPr>
              <w:t xml:space="preserve">Moderate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b w:val="1"/>
                <w:bCs w:val="1"/>
                <w:rtl w:val="0"/>
              </w:rPr>
              <w:t xml:space="preserve">High</w:t>
            </w:r>
            <w:r w:rsidDel="00000000" w:rsidR="00000000" w:rsidRPr="00000000">
              <w:rPr>
                <w:rtl w:val="0"/>
              </w:rPr>
            </w:r>
          </w:p>
        </w:tc>
      </w:tr>
    </w:tbl>
    <w:p w:rsidR="00000000" w:rsidDel="00000000" w:rsidP="00000000" w:rsidRDefault="00000000" w:rsidRPr="00000000" w14:paraId="00000427">
      <w:pPr>
        <w:spacing w:after="240" w:before="240" w:lineRule="auto"/>
        <w:rPr>
          <w:color w:val="1155cc"/>
          <w:u w:val="single"/>
        </w:rPr>
      </w:pPr>
      <w:r w:rsidDel="00000000" w:rsidR="00000000" w:rsidRPr="00000000">
        <w:rPr>
          <w:rtl w:val="0"/>
        </w:rPr>
        <w:t xml:space="preserve">The verdict: NL=NA achieves non-bypassable enforcement exclusively in DITL hardware-gated mode. In software-only mode, the invariant is a policy constraint enforceable only against adversaries without root access - excluding nation-state actors, compromised supply chains, and insider threats.</w:t>
      </w:r>
      <w:hyperlink r:id="rId908">
        <w:r w:rsidDel="00000000" w:rsidR="00000000" w:rsidRPr="00000000">
          <w:rPr>
            <w:rtl w:val="0"/>
          </w:rPr>
          <w:t xml:space="preserve"> </w:t>
        </w:r>
      </w:hyperlink>
      <w:hyperlink r:id="rId909">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28">
      <w:pPr>
        <w:pStyle w:val="Heading2"/>
        <w:keepNext w:val="0"/>
        <w:keepLines w:val="0"/>
        <w:spacing w:after="80" w:lineRule="auto"/>
        <w:rPr>
          <w:b w:val="1"/>
          <w:bCs w:val="1"/>
          <w:sz w:val="34"/>
          <w:szCs w:val="34"/>
        </w:rPr>
      </w:pPr>
      <w:bookmarkStart w:colFirst="0" w:colLast="0" w:name="_en3bdlg6tr1h" w:id="139"/>
      <w:bookmarkEnd w:id="139"/>
      <w:r w:rsidDel="00000000" w:rsidR="00000000" w:rsidRPr="00000000">
        <w:rPr>
          <w:b w:val="1"/>
          <w:bCs w:val="1"/>
          <w:sz w:val="34"/>
          <w:szCs w:val="34"/>
          <w:rtl w:val="0"/>
        </w:rPr>
        <w:t xml:space="preserve">10.3 Transitional Emulation Mode: Collapse Analysis</w:t>
      </w:r>
    </w:p>
    <w:p w:rsidR="00000000" w:rsidDel="00000000" w:rsidP="00000000" w:rsidRDefault="00000000" w:rsidRPr="00000000" w14:paraId="00000429">
      <w:pPr>
        <w:spacing w:after="240" w:before="240" w:lineRule="auto"/>
        <w:rPr>
          <w:color w:val="1155cc"/>
          <w:u w:val="single"/>
        </w:rPr>
      </w:pPr>
      <w:r w:rsidDel="00000000" w:rsidR="00000000" w:rsidRPr="00000000">
        <w:rPr>
          <w:rtl w:val="0"/>
        </w:rPr>
        <w:t xml:space="preserve">The pre-DITL window - when TL runs on conventional binary hardware - is the highest-risk operational phase in the framework's lifecycle. Every hardware-dependent guarantee reverts to software policy, and survivability depends on whether cryptographic mechanisms alone can substitute for physical enforcement.</w:t>
      </w:r>
      <w:hyperlink r:id="rId910">
        <w:r w:rsidDel="00000000" w:rsidR="00000000" w:rsidRPr="00000000">
          <w:rPr>
            <w:rtl w:val="0"/>
          </w:rPr>
          <w:t xml:space="preserve"> </w:t>
        </w:r>
      </w:hyperlink>
      <w:hyperlink r:id="rId911">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2A">
      <w:pPr>
        <w:spacing w:after="240" w:before="240" w:lineRule="auto"/>
        <w:rPr>
          <w:color w:val="1155cc"/>
          <w:u w:val="single"/>
        </w:rPr>
      </w:pPr>
      <w:r w:rsidDel="00000000" w:rsidR="00000000" w:rsidRPr="00000000">
        <w:rPr>
          <w:rtl w:val="0"/>
        </w:rPr>
        <w:t xml:space="preserve">The API truthfully reports this posture through </w:t>
      </w:r>
      <w:r w:rsidDel="00000000" w:rsidR="00000000" w:rsidRPr="00000000">
        <w:rPr>
          <w:rFonts w:ascii="Roboto Mono" w:cs="Roboto Mono" w:eastAsia="Roboto Mono" w:hAnsi="Roboto Mono"/>
          <w:color w:val="188038"/>
          <w:rtl w:val="0"/>
        </w:rPr>
        <w:t xml:space="preserve">NULL_PUF_DEPLOYMENT</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NLNAAuditToken.pufAttestation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windowComparatorReading.softwareEnforcementActive: true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EscrowRecord_v1_0_0</w:t>
      </w:r>
      <w:r w:rsidDel="00000000" w:rsidR="00000000" w:rsidRPr="00000000">
        <w:rPr>
          <w:rtl w:val="0"/>
        </w:rPr>
        <w:t xml:space="preserve">. Institutions cannot misrepresent their enforcement posture. Every </w:t>
      </w:r>
      <w:r w:rsidDel="00000000" w:rsidR="00000000" w:rsidRPr="00000000">
        <w:rPr>
          <w:rFonts w:ascii="Roboto Mono" w:cs="Roboto Mono" w:eastAsia="Roboto Mono" w:hAnsi="Roboto Mono"/>
          <w:color w:val="188038"/>
          <w:rtl w:val="0"/>
        </w:rPr>
        <w:t xml:space="preserve">PermissionToken_v1_0_0</w:t>
      </w:r>
      <w:r w:rsidDel="00000000" w:rsidR="00000000" w:rsidRPr="00000000">
        <w:rPr>
          <w:rtl w:val="0"/>
        </w:rPr>
        <w:t xml:space="preserve"> carries the </w:t>
      </w:r>
      <w:r w:rsidDel="00000000" w:rsidR="00000000" w:rsidRPr="00000000">
        <w:rPr>
          <w:rFonts w:ascii="Roboto Mono" w:cs="Roboto Mono" w:eastAsia="Roboto Mono" w:hAnsi="Roboto Mono"/>
          <w:color w:val="188038"/>
          <w:rtl w:val="0"/>
        </w:rPr>
        <w:t xml:space="preserve">TLCapabilityFlags</w:t>
      </w:r>
      <w:r w:rsidDel="00000000" w:rsidR="00000000" w:rsidRPr="00000000">
        <w:rPr>
          <w:rtl w:val="0"/>
        </w:rPr>
        <w:t xml:space="preserve"> that expose the actual substrate.</w:t>
      </w:r>
      <w:hyperlink r:id="rId912">
        <w:r w:rsidDel="00000000" w:rsidR="00000000" w:rsidRPr="00000000">
          <w:rPr>
            <w:rtl w:val="0"/>
          </w:rPr>
          <w:t xml:space="preserve"> </w:t>
        </w:r>
      </w:hyperlink>
      <w:hyperlink r:id="rId913">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42B">
      <w:pPr>
        <w:spacing w:after="240" w:before="240" w:lineRule="auto"/>
        <w:rPr/>
      </w:pPr>
      <w:r w:rsidDel="00000000" w:rsidR="00000000" w:rsidRPr="00000000">
        <w:rPr>
          <w:rtl w:val="0"/>
        </w:rPr>
        <w:t xml:space="preserve">The critical observation is that Pillars II, VII, and VIII retain their enforcement in emulation mode. The evidentiary record remains tamper-evident and externally anchored. What is lost is the execution gate - the physical prevention of unauthorized execution. In emulation mode, the framework can record and detect governance violations. It cannot physically prevent them.</w:t>
      </w:r>
    </w:p>
    <w:p w:rsidR="00000000" w:rsidDel="00000000" w:rsidP="00000000" w:rsidRDefault="00000000" w:rsidRPr="00000000" w14:paraId="0000042C">
      <w:pPr>
        <w:spacing w:after="240" w:before="240" w:lineRule="auto"/>
        <w:rPr>
          <w:color w:val="1155cc"/>
          <w:u w:val="single"/>
        </w:rPr>
      </w:pPr>
      <w:r w:rsidDel="00000000" w:rsidR="00000000" w:rsidRPr="00000000">
        <w:rPr>
          <w:rtl w:val="0"/>
        </w:rPr>
        <w:t xml:space="preserve">A sophisticated adversary need not attack TL's cryptography or logic. They need only prevent DITL hardware from being manufactured or deployed. This is a realistic supply chain denial attack with multiple vectors: no existing semiconductor foundry offers ternary-native process design kits; the Entity List mechanism can block access to necessary EDA tools for targeted entities; the Huawei precedent demonstrates that even major technology firms can be cut off from advanced semiconductor manufacturing for years.</w:t>
      </w:r>
      <w:hyperlink r:id="rId914">
        <w:r w:rsidDel="00000000" w:rsidR="00000000" w:rsidRPr="00000000">
          <w:rPr>
            <w:rtl w:val="0"/>
          </w:rPr>
          <w:t xml:space="preserve"> </w:t>
        </w:r>
      </w:hyperlink>
      <w:hyperlink r:id="rId915">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2D">
      <w:pPr>
        <w:spacing w:after="240" w:before="240" w:lineRule="auto"/>
        <w:rPr>
          <w:color w:val="1155cc"/>
          <w:u w:val="single"/>
        </w:rPr>
      </w:pPr>
      <w:r w:rsidDel="00000000" w:rsidR="00000000" w:rsidRPr="00000000">
        <w:rPr>
          <w:rtl w:val="0"/>
        </w:rPr>
        <w:t xml:space="preserve">Against a well-resourced nation-state adversary, software-only TL provides meaningful governance for an estimated six to eighteen months before the adversary develops reliable bypass tooling. Against commercial adversaries such as insider threats, the window extends to two to five years. Against regulatory capture - slow parameter erosion via </w:t>
      </w:r>
      <w:r w:rsidDel="00000000" w:rsidR="00000000" w:rsidRPr="00000000">
        <w:rPr>
          <w:rFonts w:ascii="Roboto Mono" w:cs="Roboto Mono" w:eastAsia="Roboto Mono" w:hAnsi="Roboto Mono"/>
          <w:color w:val="188038"/>
          <w:rtl w:val="0"/>
        </w:rPr>
        <w:t xml:space="preserve">PUT /thresholds/{domain}</w:t>
      </w:r>
      <w:r w:rsidDel="00000000" w:rsidR="00000000" w:rsidRPr="00000000">
        <w:rPr>
          <w:rtl w:val="0"/>
        </w:rPr>
        <w:t xml:space="preserve"> - degradation is gradual and potentially undetectable for a decade or more.</w:t>
      </w:r>
      <w:hyperlink r:id="rId916">
        <w:r w:rsidDel="00000000" w:rsidR="00000000" w:rsidRPr="00000000">
          <w:rPr>
            <w:rtl w:val="0"/>
          </w:rPr>
          <w:t xml:space="preserve"> </w:t>
        </w:r>
      </w:hyperlink>
      <w:hyperlink r:id="rId917">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2E">
      <w:pPr>
        <w:spacing w:after="240" w:before="240" w:lineRule="auto"/>
        <w:rPr/>
      </w:pPr>
      <w:r w:rsidDel="00000000" w:rsidR="00000000" w:rsidRPr="00000000">
        <w:rPr>
          <w:rtl w:val="0"/>
        </w:rPr>
        <w:t xml:space="preserve">Can governance bodies reliably distinguish genuine pre-DITL deployment from deliberate DITL avoidance? The forensic indicators are weak. Both scenarios produce identical software artifacts: properly formed Decision Logs, valid Merkle chains, successful blockchain anchoring. The </w:t>
      </w:r>
      <w:r w:rsidDel="00000000" w:rsidR="00000000" w:rsidRPr="00000000">
        <w:rPr>
          <w:rFonts w:ascii="Roboto Mono" w:cs="Roboto Mono" w:eastAsia="Roboto Mono" w:hAnsi="Roboto Mono"/>
          <w:color w:val="188038"/>
          <w:rtl w:val="0"/>
        </w:rPr>
        <w:t xml:space="preserve">NULL_PUF_DEPLOYMENT</w:t>
      </w:r>
      <w:r w:rsidDel="00000000" w:rsidR="00000000" w:rsidRPr="00000000">
        <w:rPr>
          <w:rtl w:val="0"/>
        </w:rPr>
        <w:t xml:space="preserve"> sentinel is self-reported and could be falsified by an adversary who also controls the API response layer. TPM remote attestation could theoretically distinguish the two cases, but the faulTPM attack demonstrated that the trust chain underlying TPM attestation can be compromised with fifty-dollar equipment.</w:t>
      </w:r>
      <w:hyperlink r:id="rId918">
        <w:r w:rsidDel="00000000" w:rsidR="00000000" w:rsidRPr="00000000">
          <w:rPr>
            <w:rtl w:val="0"/>
          </w:rPr>
          <w:t xml:space="preserve"> </w:t>
        </w:r>
      </w:hyperlink>
      <w:hyperlink r:id="rId919">
        <w:r w:rsidDel="00000000" w:rsidR="00000000" w:rsidRPr="00000000">
          <w:rPr>
            <w:color w:val="1155cc"/>
            <w:u w:val="single"/>
            <w:rtl w:val="0"/>
          </w:rPr>
          <w:t xml:space="preserve">[17]</w:t>
        </w:r>
      </w:hyperlink>
      <w:r w:rsidDel="00000000" w:rsidR="00000000" w:rsidRPr="00000000">
        <w:rPr>
          <w:rtl w:val="0"/>
        </w:rPr>
        <w:t xml:space="preserve"> This detection gap is tracked in the Constitutional Uncertainty Register as an immediate-resolution item.</w:t>
      </w:r>
    </w:p>
    <w:p w:rsidR="00000000" w:rsidDel="00000000" w:rsidP="00000000" w:rsidRDefault="00000000" w:rsidRPr="00000000" w14:paraId="0000042F">
      <w:pPr>
        <w:pStyle w:val="Heading2"/>
        <w:keepNext w:val="0"/>
        <w:keepLines w:val="0"/>
        <w:spacing w:after="80" w:lineRule="auto"/>
        <w:rPr>
          <w:b w:val="1"/>
          <w:bCs w:val="1"/>
          <w:sz w:val="34"/>
          <w:szCs w:val="34"/>
        </w:rPr>
      </w:pPr>
      <w:bookmarkStart w:colFirst="0" w:colLast="0" w:name="_vcmdefme2ycv" w:id="140"/>
      <w:bookmarkEnd w:id="140"/>
      <w:r w:rsidDel="00000000" w:rsidR="00000000" w:rsidRPr="00000000">
        <w:rPr>
          <w:b w:val="1"/>
          <w:bCs w:val="1"/>
          <w:sz w:val="34"/>
          <w:szCs w:val="34"/>
          <w:rtl w:val="0"/>
        </w:rPr>
        <w:t xml:space="preserve">10.4 Triadic State Integrity and Epistemic Exploitation</w:t>
      </w:r>
    </w:p>
    <w:p w:rsidR="00000000" w:rsidDel="00000000" w:rsidP="00000000" w:rsidRDefault="00000000" w:rsidRPr="00000000" w14:paraId="00000430">
      <w:pPr>
        <w:spacing w:after="240" w:before="240" w:lineRule="auto"/>
        <w:rPr/>
      </w:pPr>
      <w:r w:rsidDel="00000000" w:rsidR="00000000" w:rsidRPr="00000000">
        <w:rPr>
          <w:rtl w:val="0"/>
        </w:rPr>
        <w:t xml:space="preserve">Three attacks target the triadic state alphabet directly.</w:t>
      </w:r>
    </w:p>
    <w:p w:rsidR="00000000" w:rsidDel="00000000" w:rsidP="00000000" w:rsidRDefault="00000000" w:rsidRPr="00000000" w14:paraId="00000431">
      <w:pPr>
        <w:spacing w:after="240" w:before="240" w:lineRule="auto"/>
        <w:rPr>
          <w:color w:val="1155cc"/>
          <w:u w:val="single"/>
        </w:rPr>
      </w:pPr>
      <w:r w:rsidDel="00000000" w:rsidR="00000000" w:rsidRPr="00000000">
        <w:rPr>
          <w:b w:val="1"/>
          <w:bCs w:val="1"/>
          <w:rtl w:val="0"/>
        </w:rPr>
        <w:t xml:space="preserve">Forced +1 Under Uncertainty.</w:t>
      </w:r>
      <w:r w:rsidDel="00000000" w:rsidR="00000000" w:rsidRPr="00000000">
        <w:rPr>
          <w:rtl w:val="0"/>
        </w:rPr>
        <w:t xml:space="preserve"> The adversary overrides Epistemic Hold to issue Proceed when the evidentiary basis is incomplete. This operates through governance capture: an adversary controlling a majority of Stewardship Custodians can configure the governance schema via </w:t>
      </w:r>
      <w:r w:rsidDel="00000000" w:rsidR="00000000" w:rsidRPr="00000000">
        <w:rPr>
          <w:rFonts w:ascii="Roboto Mono" w:cs="Roboto Mono" w:eastAsia="Roboto Mono" w:hAnsi="Roboto Mono"/>
          <w:color w:val="188038"/>
          <w:rtl w:val="0"/>
        </w:rPr>
        <w:t xml:space="preserve">PUT /thresholds/{domain}</w:t>
      </w:r>
      <w:r w:rsidDel="00000000" w:rsidR="00000000" w:rsidRPr="00000000">
        <w:rPr>
          <w:rtl w:val="0"/>
        </w:rPr>
        <w:t xml:space="preserve"> to lower the evidentiary threshold for Proceed. What previously required three independent data sources now requires one. Each parameter relaxation is individually defensible as operational streamlining. In aggregate, they transform the Governance Lane from a governance coprocessor into a rubber stamp.</w:t>
      </w:r>
      <w:hyperlink r:id="rId920">
        <w:r w:rsidDel="00000000" w:rsidR="00000000" w:rsidRPr="00000000">
          <w:rPr>
            <w:rtl w:val="0"/>
          </w:rPr>
          <w:t xml:space="preserve"> </w:t>
        </w:r>
      </w:hyperlink>
      <w:hyperlink r:id="rId921">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32">
      <w:pPr>
        <w:spacing w:after="240" w:before="240" w:lineRule="auto"/>
        <w:rPr/>
      </w:pPr>
      <w:r w:rsidDel="00000000" w:rsidR="00000000" w:rsidRPr="00000000">
        <w:rPr>
          <w:rtl w:val="0"/>
        </w:rPr>
        <w:t xml:space="preserve">The historical precedent is the Basel II internal-models approach, where banks were permitted to use their own risk models for capital requirements. Over a decade of gradual parameter relaxation, the models became systematically optimistic and the 2008 financial crisis revealed that the framework had been captured by the institutions it governed. TL faces the identical dynamic through its schema update process. The timelock on schema modifications and the Smart Contract Treasury's pattern-of-drift penalty are the primary countermeasures.</w:t>
      </w:r>
    </w:p>
    <w:p w:rsidR="00000000" w:rsidDel="00000000" w:rsidP="00000000" w:rsidRDefault="00000000" w:rsidRPr="00000000" w14:paraId="00000433">
      <w:pPr>
        <w:spacing w:after="240" w:before="240" w:lineRule="auto"/>
        <w:rPr>
          <w:color w:val="1155cc"/>
          <w:u w:val="single"/>
        </w:rPr>
      </w:pPr>
      <w:r w:rsidDel="00000000" w:rsidR="00000000" w:rsidRPr="00000000">
        <w:rPr>
          <w:b w:val="1"/>
          <w:bCs w:val="1"/>
          <w:rtl w:val="0"/>
        </w:rPr>
        <w:t xml:space="preserve">Sacred Pause Flooding.</w:t>
      </w:r>
      <w:r w:rsidDel="00000000" w:rsidR="00000000" w:rsidRPr="00000000">
        <w:rPr>
          <w:rtl w:val="0"/>
        </w:rPr>
        <w:t xml:space="preserve"> The adversary deliberately creates conditions triggering massive Epistemic Hold volumes to cause operational paralysis and alert fatigue. The adversary does not need to compromise the Governance Lane. They need only degrade the quality or availability of data sources it depends upon: delay sovereign debt statistics, corrupt a data feed from a central securities depository, or misconfigure the Regulatory Nexus endpoint to return stale sanctions lists. Each action creates evidentiary gaps. The Governance Lane correctly issues Epistemic Hold via </w:t>
      </w:r>
      <w:r w:rsidDel="00000000" w:rsidR="00000000" w:rsidRPr="00000000">
        <w:rPr>
          <w:rFonts w:ascii="Roboto Mono" w:cs="Roboto Mono" w:eastAsia="Roboto Mono" w:hAnsi="Roboto Mono"/>
          <w:color w:val="188038"/>
          <w:rtl w:val="0"/>
        </w:rPr>
        <w:t xml:space="preserve">EscrowRecord_v1_0_0</w:t>
      </w:r>
      <w:r w:rsidDel="00000000" w:rsidR="00000000" w:rsidRPr="00000000">
        <w:rPr>
          <w:rtl w:val="0"/>
        </w:rPr>
        <w:t xml:space="preserve"> on every proposal depending on the missing or corrupted data.</w:t>
      </w:r>
      <w:hyperlink r:id="rId922">
        <w:r w:rsidDel="00000000" w:rsidR="00000000" w:rsidRPr="00000000">
          <w:rPr>
            <w:rtl w:val="0"/>
          </w:rPr>
          <w:t xml:space="preserve"> </w:t>
        </w:r>
      </w:hyperlink>
      <w:hyperlink r:id="rId923">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34">
      <w:pPr>
        <w:spacing w:after="240" w:before="240" w:lineRule="auto"/>
        <w:rPr>
          <w:color w:val="1155cc"/>
          <w:u w:val="single"/>
        </w:rPr>
      </w:pPr>
      <w:r w:rsidDel="00000000" w:rsidR="00000000" w:rsidRPr="00000000">
        <w:rPr>
          <w:rtl w:val="0"/>
        </w:rPr>
        <w:t xml:space="preserve">Alert fatigue is the operational consequence. At approximately fifty to one hundred Epistemic Hold events per day per oversight team, institutional bypass behavior begins: teams develop standard override templates and batch-process holds via </w:t>
      </w:r>
      <w:r w:rsidDel="00000000" w:rsidR="00000000" w:rsidRPr="00000000">
        <w:rPr>
          <w:rFonts w:ascii="Roboto Mono" w:cs="Roboto Mono" w:eastAsia="Roboto Mono" w:hAnsi="Roboto Mono"/>
          <w:color w:val="188038"/>
          <w:rtl w:val="0"/>
        </w:rPr>
        <w:t xml:space="preserve">PATCH /epistemic-hold/escalations/{escalationId}</w:t>
      </w:r>
      <w:r w:rsidDel="00000000" w:rsidR="00000000" w:rsidRPr="00000000">
        <w:rPr>
          <w:rtl w:val="0"/>
        </w:rPr>
        <w:t xml:space="preserve"> without individual review. The mandatory hesitation, intended as a mechanism for truth-seeking, becomes a bureaucratic delay that practitioners learn to circumvent.</w:t>
      </w:r>
      <w:hyperlink r:id="rId924">
        <w:r w:rsidDel="00000000" w:rsidR="00000000" w:rsidRPr="00000000">
          <w:rPr>
            <w:rtl w:val="0"/>
          </w:rPr>
          <w:t xml:space="preserve"> </w:t>
        </w:r>
      </w:hyperlink>
      <w:hyperlink r:id="rId925">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35">
      <w:pPr>
        <w:spacing w:after="240" w:before="240" w:lineRule="auto"/>
        <w:rPr/>
      </w:pPr>
      <w:r w:rsidDel="00000000" w:rsidR="00000000" w:rsidRPr="00000000">
        <w:rPr>
          <w:rtl w:val="0"/>
        </w:rPr>
        <w:t xml:space="preserve">The DITL hardware provides partial protection because the physical stall does not depend on human oversight - the NULL state persists regardless of how many proposals enter Epistemic Hold. However, DITL does not prevent the adversary from flooding the Inference Lane with proposals that consume computational resources or exhaust the Smart Contract Treasury's resource allocation budget through the Governance Lane Reserve.</w:t>
      </w:r>
    </w:p>
    <w:p w:rsidR="00000000" w:rsidDel="00000000" w:rsidP="00000000" w:rsidRDefault="00000000" w:rsidRPr="00000000" w14:paraId="00000436">
      <w:pPr>
        <w:spacing w:after="240" w:before="240" w:lineRule="auto"/>
        <w:rPr>
          <w:color w:val="1155cc"/>
          <w:u w:val="single"/>
        </w:rPr>
      </w:pPr>
      <w:r w:rsidDel="00000000" w:rsidR="00000000" w:rsidRPr="00000000">
        <w:rPr>
          <w:b w:val="1"/>
          <w:bCs w:val="1"/>
          <w:rtl w:val="0"/>
        </w:rPr>
        <w:t xml:space="preserve">Negative One Suppression.</w:t>
      </w:r>
      <w:r w:rsidDel="00000000" w:rsidR="00000000" w:rsidRPr="00000000">
        <w:rPr>
          <w:rtl w:val="0"/>
        </w:rPr>
        <w:t xml:space="preserve"> The adversary prevents Refuse from being issued when harm is clear by exploiting institutional and economic incentives against refusal. A Refuse determination blocks revenue and prevents market entry. Over time, Stewardship Custodians learn to interpret "refuse when harm is clear" as "refuse when harm is proven beyond reasonable doubt," raising the evidentiary threshold for Refuse until proposals that would have been blocked under the original schema now receive Epistemic Hold or Proceed.</w:t>
      </w:r>
      <w:hyperlink r:id="rId926">
        <w:r w:rsidDel="00000000" w:rsidR="00000000" w:rsidRPr="00000000">
          <w:rPr>
            <w:rtl w:val="0"/>
          </w:rPr>
          <w:t xml:space="preserve"> </w:t>
        </w:r>
      </w:hyperlink>
      <w:hyperlink r:id="rId927">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37">
      <w:pPr>
        <w:spacing w:after="240" w:before="240" w:lineRule="auto"/>
        <w:rPr/>
      </w:pPr>
      <w:r w:rsidDel="00000000" w:rsidR="00000000" w:rsidRPr="00000000">
        <w:rPr>
          <w:rtl w:val="0"/>
        </w:rPr>
        <w:t xml:space="preserve">The Smart Contract Treasury's anomalous Proceed rate detection and the timelock on schema modifications committed via </w:t>
      </w:r>
      <w:r w:rsidDel="00000000" w:rsidR="00000000" w:rsidRPr="00000000">
        <w:rPr>
          <w:rFonts w:ascii="Roboto Mono" w:cs="Roboto Mono" w:eastAsia="Roboto Mono" w:hAnsi="Roboto Mono"/>
          <w:color w:val="188038"/>
          <w:rtl w:val="0"/>
        </w:rPr>
        <w:t xml:space="preserve">PUT /thresholds/{domain}</w:t>
      </w:r>
      <w:r w:rsidDel="00000000" w:rsidR="00000000" w:rsidRPr="00000000">
        <w:rPr>
          <w:rtl w:val="0"/>
        </w:rPr>
        <w:t xml:space="preserve"> are the primary countermeasures. Neither can detect subtle recalibration that falls within the statistical noise of normal model variation surfaced through </w:t>
      </w:r>
      <w:r w:rsidDel="00000000" w:rsidR="00000000" w:rsidRPr="00000000">
        <w:rPr>
          <w:rFonts w:ascii="Roboto Mono" w:cs="Roboto Mono" w:eastAsia="Roboto Mono" w:hAnsi="Roboto Mono"/>
          <w:color w:val="188038"/>
          <w:rtl w:val="0"/>
        </w:rPr>
        <w:t xml:space="preserve">GET /metrics/summary</w:t>
      </w:r>
      <w:r w:rsidDel="00000000" w:rsidR="00000000" w:rsidRPr="00000000">
        <w:rPr>
          <w:rtl w:val="0"/>
        </w:rPr>
        <w:t xml:space="preserve">.</w:t>
      </w:r>
    </w:p>
    <w:p w:rsidR="00000000" w:rsidDel="00000000" w:rsidP="00000000" w:rsidRDefault="00000000" w:rsidRPr="00000000" w14:paraId="00000438">
      <w:pPr>
        <w:pStyle w:val="Heading2"/>
        <w:keepNext w:val="0"/>
        <w:keepLines w:val="0"/>
        <w:spacing w:after="80" w:lineRule="auto"/>
        <w:rPr>
          <w:b w:val="1"/>
          <w:bCs w:val="1"/>
          <w:sz w:val="34"/>
          <w:szCs w:val="34"/>
        </w:rPr>
      </w:pPr>
      <w:bookmarkStart w:colFirst="0" w:colLast="0" w:name="_c70ruq7ck6mo" w:id="141"/>
      <w:bookmarkEnd w:id="141"/>
      <w:r w:rsidDel="00000000" w:rsidR="00000000" w:rsidRPr="00000000">
        <w:rPr>
          <w:b w:val="1"/>
          <w:bCs w:val="1"/>
          <w:sz w:val="34"/>
          <w:szCs w:val="34"/>
          <w:rtl w:val="0"/>
        </w:rPr>
        <w:t xml:space="preserve">10.5 Ten Root Override and Low-Level Attack Vectors</w:t>
      </w:r>
    </w:p>
    <w:p w:rsidR="00000000" w:rsidDel="00000000" w:rsidP="00000000" w:rsidRDefault="00000000" w:rsidRPr="00000000" w14:paraId="00000439">
      <w:pPr>
        <w:spacing w:after="240" w:before="240" w:lineRule="auto"/>
        <w:rPr>
          <w:color w:val="1155cc"/>
          <w:u w:val="single"/>
        </w:rPr>
      </w:pPr>
      <w:r w:rsidDel="00000000" w:rsidR="00000000" w:rsidRPr="00000000">
        <w:rPr>
          <w:rtl w:val="0"/>
        </w:rPr>
        <w:t xml:space="preserve">Ten distinct low-level attack vectors target the execution environment, cryptographic material, and physical boundary of the coprocessor. Each is catalogued with its cost, detection probability, and non-maskable interrupt generation potential.</w:t>
      </w:r>
      <w:hyperlink r:id="rId928">
        <w:r w:rsidDel="00000000" w:rsidR="00000000" w:rsidRPr="00000000">
          <w:rPr>
            <w:rtl w:val="0"/>
          </w:rPr>
          <w:t xml:space="preserve"> </w:t>
        </w:r>
      </w:hyperlink>
      <w:hyperlink r:id="rId929">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3A">
      <w:pPr>
        <w:spacing w:after="240" w:before="240" w:lineRule="auto"/>
        <w:rPr/>
      </w:pPr>
      <w:r w:rsidDel="00000000" w:rsidR="00000000" w:rsidRPr="00000000">
        <w:rPr>
          <w:b w:val="1"/>
          <w:bCs w:val="1"/>
          <w:rtl w:val="0"/>
        </w:rPr>
        <w:t xml:space="preserve">Vector 1: Superuser or Kernel-Level Compromise.</w:t>
      </w:r>
      <w:r w:rsidDel="00000000" w:rsidR="00000000" w:rsidRPr="00000000">
        <w:rPr>
          <w:rtl w:val="0"/>
        </w:rPr>
        <w:t xml:space="preserve"> In software emulation mode, root access is trivial and total: it can suppress log generation, fabricate </w:t>
      </w:r>
      <w:r w:rsidDel="00000000" w:rsidR="00000000" w:rsidRPr="00000000">
        <w:rPr>
          <w:rFonts w:ascii="Roboto Mono" w:cs="Roboto Mono" w:eastAsia="Roboto Mono" w:hAnsi="Roboto Mono"/>
          <w:color w:val="188038"/>
          <w:rtl w:val="0"/>
        </w:rPr>
        <w:t xml:space="preserve">PermissionToken_v1_0_0</w:t>
      </w:r>
      <w:r w:rsidDel="00000000" w:rsidR="00000000" w:rsidRPr="00000000">
        <w:rPr>
          <w:rtl w:val="0"/>
        </w:rPr>
        <w:t xml:space="preserve"> objects, override Merkle accumulators, and disable the </w:t>
      </w:r>
      <w:r w:rsidDel="00000000" w:rsidR="00000000" w:rsidRPr="00000000">
        <w:rPr>
          <w:rFonts w:ascii="Roboto Mono" w:cs="Roboto Mono" w:eastAsia="Roboto Mono" w:hAnsi="Roboto Mono"/>
          <w:color w:val="188038"/>
          <w:rtl w:val="0"/>
        </w:rPr>
        <w:t xml:space="preserve">GhostGovernanceDetectedError</w:t>
      </w:r>
      <w:r w:rsidDel="00000000" w:rsidR="00000000" w:rsidRPr="00000000">
        <w:rPr>
          <w:rtl w:val="0"/>
        </w:rPr>
        <w:t xml:space="preserve"> detection entirely. In DITL hardware mode, root access on the host cannot reach the coprocessor's registers - the DITL coprocessor operates in a physically isolated power domain. Cost: negligible for software mode. Detection probability: low in software, high in DITL. NMI generation: high in DITL because unauthorized access attempts trigger the tamper mesh.</w:t>
      </w:r>
    </w:p>
    <w:p w:rsidR="00000000" w:rsidDel="00000000" w:rsidP="00000000" w:rsidRDefault="00000000" w:rsidRPr="00000000" w14:paraId="0000043B">
      <w:pPr>
        <w:spacing w:after="240" w:before="240" w:lineRule="auto"/>
        <w:rPr/>
      </w:pPr>
      <w:r w:rsidDel="00000000" w:rsidR="00000000" w:rsidRPr="00000000">
        <w:rPr>
          <w:b w:val="1"/>
          <w:bCs w:val="1"/>
          <w:rtl w:val="0"/>
        </w:rPr>
        <w:t xml:space="preserve">Vector 2: Hypervisor Escape.</w:t>
      </w:r>
      <w:r w:rsidDel="00000000" w:rsidR="00000000" w:rsidRPr="00000000">
        <w:rPr>
          <w:rtl w:val="0"/>
        </w:rPr>
        <w:t xml:space="preserve"> In virtualized environments, a compromised hypervisor can remap the Governance Lane's memory pages or intercept device I/O, potentially intercepting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 calls before they reach the hardware. DITL mitigates through physical isolation: the coprocessor communicates through a dedicated bus that does not traverse the hypervisor's I/O virtualization layer. Cost: moderate for software mode, high for DITL. Detection probability: moderate in software, high in DITL through bus anomaly detection.</w:t>
      </w:r>
    </w:p>
    <w:p w:rsidR="00000000" w:rsidDel="00000000" w:rsidP="00000000" w:rsidRDefault="00000000" w:rsidRPr="00000000" w14:paraId="0000043C">
      <w:pPr>
        <w:spacing w:after="240" w:before="240" w:lineRule="auto"/>
        <w:rPr/>
      </w:pPr>
      <w:r w:rsidDel="00000000" w:rsidR="00000000" w:rsidRPr="00000000">
        <w:rPr>
          <w:b w:val="1"/>
          <w:bCs w:val="1"/>
          <w:rtl w:val="0"/>
        </w:rPr>
        <w:t xml:space="preserve">Vector 3: Microcode Manipulation.</w:t>
      </w:r>
      <w:r w:rsidDel="00000000" w:rsidR="00000000" w:rsidRPr="00000000">
        <w:rPr>
          <w:rtl w:val="0"/>
        </w:rPr>
        <w:t xml:space="preserve"> Modern CPUs execute through microcode updateable by the vendor or a state actor with infrastructure influence. Injected microcode can alter cryptographic instruction behavior or bypass memory protection, breaking </w:t>
      </w:r>
      <w:r w:rsidDel="00000000" w:rsidR="00000000" w:rsidRPr="00000000">
        <w:rPr>
          <w:rFonts w:ascii="Roboto Mono" w:cs="Roboto Mono" w:eastAsia="Roboto Mono" w:hAnsi="Roboto Mono"/>
          <w:color w:val="188038"/>
          <w:rtl w:val="0"/>
        </w:rPr>
        <w:t xml:space="preserve">HSMSignedJWT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NLNAAuditToken</w:t>
      </w:r>
      <w:r w:rsidDel="00000000" w:rsidR="00000000" w:rsidRPr="00000000">
        <w:rPr>
          <w:rtl w:val="0"/>
        </w:rPr>
        <w:t xml:space="preserve"> signature verification. DITL mitigates because the coprocessor does not execute the host CPU's microcode. Cost: high for both modes. Detection probability: low because microcode is encrypted. NMI generation: low.</w:t>
      </w:r>
    </w:p>
    <w:p w:rsidR="00000000" w:rsidDel="00000000" w:rsidP="00000000" w:rsidRDefault="00000000" w:rsidRPr="00000000" w14:paraId="0000043D">
      <w:pPr>
        <w:spacing w:after="240" w:before="240" w:lineRule="auto"/>
        <w:rPr/>
      </w:pPr>
      <w:r w:rsidDel="00000000" w:rsidR="00000000" w:rsidRPr="00000000">
        <w:rPr>
          <w:b w:val="1"/>
          <w:bCs w:val="1"/>
          <w:rtl w:val="0"/>
        </w:rPr>
        <w:t xml:space="preserve">Vector 4: Enclave Debug Port Exploitation.</w:t>
      </w:r>
      <w:r w:rsidDel="00000000" w:rsidR="00000000" w:rsidRPr="00000000">
        <w:rPr>
          <w:rtl w:val="0"/>
        </w:rPr>
        <w:t xml:space="preserve"> The Triadic Coprocessor fuses its JTAG port at the mask level during production. Any future debugging requires physical presence of multiple Stewardship Custodian hardware tokens verified via </w:t>
      </w:r>
      <w:r w:rsidDel="00000000" w:rsidR="00000000" w:rsidRPr="00000000">
        <w:rPr>
          <w:rFonts w:ascii="Roboto Mono" w:cs="Roboto Mono" w:eastAsia="Roboto Mono" w:hAnsi="Roboto Mono"/>
          <w:color w:val="188038"/>
          <w:rtl w:val="0"/>
        </w:rPr>
        <w:t xml:space="preserve">GET /audit/custodians/{custodianId}/heartbeat</w:t>
      </w:r>
      <w:r w:rsidDel="00000000" w:rsidR="00000000" w:rsidRPr="00000000">
        <w:rPr>
          <w:rtl w:val="0"/>
        </w:rPr>
        <w:t xml:space="preserve">. Cost: moderate without proper fusing, exceeding $100,000 per chip with focused ion beam milling if fused. Detection probability: moderate. NMI generation: high if the tamper mesh triggers.</w:t>
      </w:r>
    </w:p>
    <w:p w:rsidR="00000000" w:rsidDel="00000000" w:rsidP="00000000" w:rsidRDefault="00000000" w:rsidRPr="00000000" w14:paraId="0000043E">
      <w:pPr>
        <w:spacing w:after="240" w:before="240" w:lineRule="auto"/>
        <w:rPr/>
      </w:pPr>
      <w:r w:rsidDel="00000000" w:rsidR="00000000" w:rsidRPr="00000000">
        <w:rPr>
          <w:b w:val="1"/>
          <w:bCs w:val="1"/>
          <w:rtl w:val="0"/>
        </w:rPr>
        <w:t xml:space="preserve">Vector 5: JTAG Boundary Scan Exploitation.</w:t>
      </w:r>
      <w:r w:rsidDel="00000000" w:rsidR="00000000" w:rsidRPr="00000000">
        <w:rPr>
          <w:rtl w:val="0"/>
        </w:rPr>
        <w:t xml:space="preserve"> The faulTPM attack demonstrated that TPM security can be compromised with fifty-dollar equipment. For the Triadic Coprocessor, JTAG must be permanently fused at the mask level. Attempting to re-enable a fused JTAG port through voltage glitching activates the on-die voltage monitors, triggering the six-step cascaded safe harbor response specified in Section 8.5. Cost: very low if not fused, &gt;$100,000 if fused. NMI generation: high with proper fusing.</w:t>
      </w:r>
    </w:p>
    <w:p w:rsidR="00000000" w:rsidDel="00000000" w:rsidP="00000000" w:rsidRDefault="00000000" w:rsidRPr="00000000" w14:paraId="0000043F">
      <w:pPr>
        <w:spacing w:after="240" w:before="240" w:lineRule="auto"/>
        <w:rPr/>
      </w:pPr>
      <w:r w:rsidDel="00000000" w:rsidR="00000000" w:rsidRPr="00000000">
        <w:rPr>
          <w:b w:val="1"/>
          <w:bCs w:val="1"/>
          <w:rtl w:val="0"/>
        </w:rPr>
        <w:t xml:space="preserve">Vector 6: DMA Attack.</w:t>
      </w:r>
      <w:r w:rsidDel="00000000" w:rsidR="00000000" w:rsidRPr="00000000">
        <w:rPr>
          <w:rtl w:val="0"/>
        </w:rPr>
        <w:t xml:space="preserve"> A compromised DMA-capable device can read and write system memory without CPU involvement, potentially accessing the Governance Lane's memory regions or modifying the Merkle accumulator state. DITL mitigates through memory isolation: the coprocessor's nvSRAM accumulator and token registers are not mapped into the host system's DMA address space. Cost: moderate for software mode, high for DITL. NMI generation: high in DITL because DMA access to isolated registers triggers tamper detection.</w:t>
      </w:r>
    </w:p>
    <w:p w:rsidR="00000000" w:rsidDel="00000000" w:rsidP="00000000" w:rsidRDefault="00000000" w:rsidRPr="00000000" w14:paraId="00000440">
      <w:pPr>
        <w:spacing w:after="240" w:before="240" w:lineRule="auto"/>
        <w:rPr/>
      </w:pPr>
      <w:r w:rsidDel="00000000" w:rsidR="00000000" w:rsidRPr="00000000">
        <w:rPr>
          <w:b w:val="1"/>
          <w:bCs w:val="1"/>
          <w:rtl w:val="0"/>
        </w:rPr>
        <w:t xml:space="preserve">Vector 7: Emergency Key Abuse.</w:t>
      </w:r>
      <w:r w:rsidDel="00000000" w:rsidR="00000000" w:rsidRPr="00000000">
        <w:rPr>
          <w:rtl w:val="0"/>
        </w:rPr>
        <w:t xml:space="preserve"> Emergency override keys designed for disaster recovery are the most dangerous cryptographic material in the system. The </w:t>
      </w:r>
      <w:r w:rsidDel="00000000" w:rsidR="00000000" w:rsidRPr="00000000">
        <w:rPr>
          <w:rFonts w:ascii="Roboto Mono" w:cs="Roboto Mono" w:eastAsia="Roboto Mono" w:hAnsi="Roboto Mono"/>
          <w:color w:val="188038"/>
          <w:rtl w:val="0"/>
        </w:rPr>
        <w:t xml:space="preserve">EmergencyOverrideRequest_v1_0_0</w:t>
      </w:r>
      <w:r w:rsidDel="00000000" w:rsidR="00000000" w:rsidRPr="00000000">
        <w:rPr>
          <w:rtl w:val="0"/>
        </w:rPr>
        <w:t xml:space="preserve"> schema and </w:t>
      </w:r>
      <w:r w:rsidDel="00000000" w:rsidR="00000000" w:rsidRPr="00000000">
        <w:rPr>
          <w:rFonts w:ascii="Roboto Mono" w:cs="Roboto Mono" w:eastAsia="Roboto Mono" w:hAnsi="Roboto Mono"/>
          <w:color w:val="188038"/>
          <w:rtl w:val="0"/>
        </w:rPr>
        <w:t xml:space="preserve">POST /emergency/override</w:t>
      </w:r>
      <w:r w:rsidDel="00000000" w:rsidR="00000000" w:rsidRPr="00000000">
        <w:rPr>
          <w:rtl w:val="0"/>
        </w:rPr>
        <w:t xml:space="preserve"> endpoint enforce the five mandatory safeguards of Section 9.5, but a state actor with sufficient coercive power over Stewardship Custodians can compel key ceremony participation. All emergency key usage is logged via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 and visible through </w:t>
      </w:r>
      <w:r w:rsidDel="00000000" w:rsidR="00000000" w:rsidRPr="00000000">
        <w:rPr>
          <w:rFonts w:ascii="Roboto Mono" w:cs="Roboto Mono" w:eastAsia="Roboto Mono" w:hAnsi="Roboto Mono"/>
          <w:color w:val="188038"/>
          <w:rtl w:val="0"/>
        </w:rPr>
        <w:t xml:space="preserve">GET /emergency/status</w:t>
      </w:r>
      <w:r w:rsidDel="00000000" w:rsidR="00000000" w:rsidRPr="00000000">
        <w:rPr>
          <w:rtl w:val="0"/>
        </w:rPr>
        <w:t xml:space="preserve">. Cost: moderate. Detection probability: moderate. NMI generation: low because emergency key usage is a legitimate operational mode.</w:t>
      </w:r>
    </w:p>
    <w:p w:rsidR="00000000" w:rsidDel="00000000" w:rsidP="00000000" w:rsidRDefault="00000000" w:rsidRPr="00000000" w14:paraId="00000441">
      <w:pPr>
        <w:spacing w:after="240" w:before="240" w:lineRule="auto"/>
        <w:rPr>
          <w:color w:val="1155cc"/>
          <w:u w:val="single"/>
        </w:rPr>
      </w:pPr>
      <w:r w:rsidDel="00000000" w:rsidR="00000000" w:rsidRPr="00000000">
        <w:rPr>
          <w:b w:val="1"/>
          <w:bCs w:val="1"/>
          <w:rtl w:val="0"/>
        </w:rPr>
        <w:t xml:space="preserve">Vector 8: Voltage Glitching.</w:t>
      </w:r>
      <w:r w:rsidDel="00000000" w:rsidR="00000000" w:rsidRPr="00000000">
        <w:rPr>
          <w:rtl w:val="0"/>
        </w:rPr>
        <w:t xml:space="preserve"> Equipment costs as little as fifty dollars. Glitch widths of 100-400ns with voltage drops near ground level induce setup and hold time violations in CMOS logic. The specification mandates 1-of-3 rail encoding to preserve full noise margins, and on-die voltage monitors trigger safe harbor transition when voltage anomalies are detected. Cost: very low. Detection probability: moderate with on-die monitors. NMI generation: high if monitors trigger.</w:t>
      </w:r>
      <w:hyperlink r:id="rId930">
        <w:r w:rsidDel="00000000" w:rsidR="00000000" w:rsidRPr="00000000">
          <w:rPr>
            <w:rtl w:val="0"/>
          </w:rPr>
          <w:t xml:space="preserve"> </w:t>
        </w:r>
      </w:hyperlink>
      <w:hyperlink r:id="rId931">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42">
      <w:pPr>
        <w:spacing w:after="240" w:before="240" w:lineRule="auto"/>
        <w:rPr/>
      </w:pPr>
      <w:r w:rsidDel="00000000" w:rsidR="00000000" w:rsidRPr="00000000">
        <w:rPr>
          <w:b w:val="1"/>
          <w:bCs w:val="1"/>
          <w:rtl w:val="0"/>
        </w:rPr>
        <w:t xml:space="preserve">Vector 9: Cold Boot Attack.</w:t>
      </w:r>
      <w:r w:rsidDel="00000000" w:rsidR="00000000" w:rsidRPr="00000000">
        <w:rPr>
          <w:rtl w:val="0"/>
        </w:rPr>
        <w:t xml:space="preserve"> DRAM data remanence enables cryptographic key extraction after power loss. DITL mitigates because the coprocessor's key material is stored in non-volatile memristive cells, not DRAM. The resistance state persists without power, immune to remanence extraction. The </w:t>
      </w:r>
      <w:r w:rsidDel="00000000" w:rsidR="00000000" w:rsidRPr="00000000">
        <w:rPr>
          <w:rFonts w:ascii="Roboto Mono" w:cs="Roboto Mono" w:eastAsia="Roboto Mono" w:hAnsi="Roboto Mono"/>
          <w:color w:val="188038"/>
          <w:rtl w:val="0"/>
        </w:rPr>
        <w:t xml:space="preserve">TLCapabilityFlags.pufAttestationMode</w:t>
      </w:r>
      <w:r w:rsidDel="00000000" w:rsidR="00000000" w:rsidRPr="00000000">
        <w:rPr>
          <w:rtl w:val="0"/>
        </w:rPr>
        <w:t xml:space="preserve"> field confirms whether hardware-isolated key storage is active. Cost: low. Detection probability: low because the attack leaves no trace. NMI generation: low.</w:t>
      </w:r>
    </w:p>
    <w:p w:rsidR="00000000" w:rsidDel="00000000" w:rsidP="00000000" w:rsidRDefault="00000000" w:rsidRPr="00000000" w14:paraId="00000443">
      <w:pPr>
        <w:spacing w:after="240" w:before="240" w:lineRule="auto"/>
        <w:rPr>
          <w:color w:val="1155cc"/>
          <w:u w:val="single"/>
        </w:rPr>
      </w:pPr>
      <w:r w:rsidDel="00000000" w:rsidR="00000000" w:rsidRPr="00000000">
        <w:rPr>
          <w:b w:val="1"/>
          <w:bCs w:val="1"/>
          <w:rtl w:val="0"/>
        </w:rPr>
        <w:t xml:space="preserve">Vector 10: Electromagnetic Fault Injection.</w:t>
      </w:r>
      <w:r w:rsidDel="00000000" w:rsidR="00000000" w:rsidRPr="00000000">
        <w:rPr>
          <w:rtl w:val="0"/>
        </w:rPr>
        <w:t xml:space="preserve"> Contactless attack using electromagnetic pulses to induce fault currents. Equipment costs as low as $100 with twenty-two percent success rates demonstrated against AMD Secure Processor boot sequences. DITL's asynchronous circuits are more resistant than synchronous circuits because there is no global clock to disrupt, but individual C-elements and completion detectors can still be corrupted by induced currents. On-die EM anomaly detectors trigger safe harbor when field strength exceeds operational thresholds, initiating the six-step cascaded response including immediate anchoring via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 Cost: low. Detection probability: high with on-die sensors. NMI generation: high.</w:t>
      </w:r>
      <w:hyperlink r:id="rId932">
        <w:r w:rsidDel="00000000" w:rsidR="00000000" w:rsidRPr="00000000">
          <w:rPr>
            <w:rtl w:val="0"/>
          </w:rPr>
          <w:t xml:space="preserve"> </w:t>
        </w:r>
      </w:hyperlink>
      <w:hyperlink r:id="rId933">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44">
      <w:pPr>
        <w:spacing w:after="240" w:before="240" w:lineRule="auto"/>
        <w:rPr>
          <w:color w:val="1155cc"/>
          <w:u w:val="single"/>
        </w:rPr>
      </w:pPr>
      <w:r w:rsidDel="00000000" w:rsidR="00000000" w:rsidRPr="00000000">
        <w:rPr>
          <w:b w:val="1"/>
          <w:bCs w:val="1"/>
          <w:rtl w:val="0"/>
        </w:rPr>
        <w:t xml:space="preserve">Aggregate Risk Pattern:</w:t>
      </w:r>
      <w:r w:rsidDel="00000000" w:rsidR="00000000" w:rsidRPr="00000000">
        <w:rPr>
          <w:rtl w:val="0"/>
        </w:rPr>
        <w:t xml:space="preserve"> Software-only emulation mode is vulnerable to Vectors 1, 2, 5, 7, and 9 at negligible to low cost. DITL hardware mode is vulnerable primarily to Vectors 8 and 10 at low cost, but with high detection probability and high NMI generation that triggers automatic safe harbor. The shift from software to hardware transforms attacks from stealthy high-probability successes into noisy high-risk attempts that generate immediate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 events.</w:t>
      </w:r>
      <w:hyperlink r:id="rId934">
        <w:r w:rsidDel="00000000" w:rsidR="00000000" w:rsidRPr="00000000">
          <w:rPr>
            <w:rtl w:val="0"/>
          </w:rPr>
          <w:t xml:space="preserve"> </w:t>
        </w:r>
      </w:hyperlink>
      <w:hyperlink r:id="rId935">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45">
      <w:pPr>
        <w:pStyle w:val="Heading2"/>
        <w:keepNext w:val="0"/>
        <w:keepLines w:val="0"/>
        <w:spacing w:after="80" w:lineRule="auto"/>
        <w:rPr>
          <w:b w:val="1"/>
          <w:bCs w:val="1"/>
          <w:sz w:val="34"/>
          <w:szCs w:val="34"/>
        </w:rPr>
      </w:pPr>
      <w:bookmarkStart w:colFirst="0" w:colLast="0" w:name="_fo526ogs66qw" w:id="142"/>
      <w:bookmarkEnd w:id="142"/>
      <w:r w:rsidDel="00000000" w:rsidR="00000000" w:rsidRPr="00000000">
        <w:rPr>
          <w:b w:val="1"/>
          <w:bCs w:val="1"/>
          <w:sz w:val="34"/>
          <w:szCs w:val="34"/>
          <w:rtl w:val="0"/>
        </w:rPr>
        <w:t xml:space="preserve">10.6 Governance Capture: Four Institutional Attack Vectors</w:t>
      </w:r>
    </w:p>
    <w:p w:rsidR="00000000" w:rsidDel="00000000" w:rsidP="00000000" w:rsidRDefault="00000000" w:rsidRPr="00000000" w14:paraId="00000446">
      <w:pPr>
        <w:spacing w:after="240" w:before="240" w:lineRule="auto"/>
        <w:rPr>
          <w:color w:val="1155cc"/>
          <w:u w:val="single"/>
        </w:rPr>
      </w:pPr>
      <w:r w:rsidDel="00000000" w:rsidR="00000000" w:rsidRPr="00000000">
        <w:rPr>
          <w:rtl w:val="0"/>
        </w:rPr>
        <w:t xml:space="preserve">When technical bypass fails, adversaries target the human and organizational mechanisms that maintain the governance schema. These vectors were introduced in Section 9.7. This subsection provides the quantified assessment.</w:t>
      </w:r>
      <w:hyperlink r:id="rId936">
        <w:r w:rsidDel="00000000" w:rsidR="00000000" w:rsidRPr="00000000">
          <w:rPr>
            <w:rtl w:val="0"/>
          </w:rPr>
          <w:t xml:space="preserve"> </w:t>
        </w:r>
      </w:hyperlink>
      <w:hyperlink r:id="rId937">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47">
      <w:pPr>
        <w:spacing w:after="240" w:before="240" w:lineRule="auto"/>
        <w:rPr/>
      </w:pPr>
      <w:r w:rsidDel="00000000" w:rsidR="00000000" w:rsidRPr="00000000">
        <w:rPr>
          <w:b w:val="1"/>
          <w:bCs w:val="1"/>
          <w:rtl w:val="0"/>
        </w:rPr>
        <w:t xml:space="preserve">The Fifty-One Percent Custodian Attack.</w:t>
      </w:r>
      <w:r w:rsidDel="00000000" w:rsidR="00000000" w:rsidRPr="00000000">
        <w:rPr>
          <w:rtl w:val="0"/>
        </w:rPr>
        <w:t xml:space="preserve"> The governance analogue of a blockchain majority attack. Estimated time to effective capture through standard appointment channels: three to seven years for a patient adversary with sufficient institutional influence. Every schema modification committed via </w:t>
      </w:r>
      <w:r w:rsidDel="00000000" w:rsidR="00000000" w:rsidRPr="00000000">
        <w:rPr>
          <w:rFonts w:ascii="Roboto Mono" w:cs="Roboto Mono" w:eastAsia="Roboto Mono" w:hAnsi="Roboto Mono"/>
          <w:color w:val="188038"/>
          <w:rtl w:val="0"/>
        </w:rPr>
        <w:t xml:space="preserve">PUT /thresholds/{domain}</w:t>
      </w:r>
      <w:r w:rsidDel="00000000" w:rsidR="00000000" w:rsidRPr="00000000">
        <w:rPr>
          <w:rtl w:val="0"/>
        </w:rPr>
        <w:t xml:space="preserve"> is visible through </w:t>
      </w:r>
      <w:r w:rsidDel="00000000" w:rsidR="00000000" w:rsidRPr="00000000">
        <w:rPr>
          <w:rFonts w:ascii="Roboto Mono" w:cs="Roboto Mono" w:eastAsia="Roboto Mono" w:hAnsi="Roboto Mono"/>
          <w:color w:val="188038"/>
          <w:rtl w:val="0"/>
        </w:rPr>
        <w:t xml:space="preserve">GET /audit/verifications/inclusion/{logId}</w:t>
      </w:r>
      <w:r w:rsidDel="00000000" w:rsidR="00000000" w:rsidRPr="00000000">
        <w:rPr>
          <w:rtl w:val="0"/>
        </w:rPr>
        <w:t xml:space="preserve">, but the pattern of individually defensible modifications may only become recognizable after significant drift has occurred.</w:t>
      </w:r>
    </w:p>
    <w:p w:rsidR="00000000" w:rsidDel="00000000" w:rsidP="00000000" w:rsidRDefault="00000000" w:rsidRPr="00000000" w14:paraId="00000448">
      <w:pPr>
        <w:spacing w:after="240" w:before="240" w:lineRule="auto"/>
        <w:rPr>
          <w:color w:val="1155cc"/>
          <w:u w:val="single"/>
        </w:rPr>
      </w:pPr>
      <w:r w:rsidDel="00000000" w:rsidR="00000000" w:rsidRPr="00000000">
        <w:rPr>
          <w:b w:val="1"/>
          <w:bCs w:val="1"/>
          <w:rtl w:val="0"/>
        </w:rPr>
        <w:t xml:space="preserve">The Technical Council Backdoor.</w:t>
      </w:r>
      <w:r w:rsidDel="00000000" w:rsidR="00000000" w:rsidRPr="00000000">
        <w:rPr>
          <w:rtl w:val="0"/>
        </w:rPr>
        <w:t xml:space="preserve"> Non-technical Stewardship Custodians lack the mathematical literacy to independently verify Council certifications through </w:t>
      </w:r>
      <w:r w:rsidDel="00000000" w:rsidR="00000000" w:rsidRPr="00000000">
        <w:rPr>
          <w:rFonts w:ascii="Roboto Mono" w:cs="Roboto Mono" w:eastAsia="Roboto Mono" w:hAnsi="Roboto Mono"/>
          <w:color w:val="188038"/>
          <w:rtl w:val="0"/>
        </w:rPr>
        <w:t xml:space="preserve">LanternStatus.pillarStatuses</w:t>
      </w:r>
      <w:r w:rsidDel="00000000" w:rsidR="00000000" w:rsidRPr="00000000">
        <w:rPr>
          <w:rtl w:val="0"/>
        </w:rPr>
        <w:t xml:space="preserve">, creating a hierarchical dependency that contradicts the Tri-Cameral model's distribution principle. Multi-party validation across independent technical committees and open algorithmic audit are the primary countermeasures. Both depend on the existence of genuinely independent experts outside the adversary's influence network.</w:t>
      </w:r>
      <w:hyperlink r:id="rId938">
        <w:r w:rsidDel="00000000" w:rsidR="00000000" w:rsidRPr="00000000">
          <w:rPr>
            <w:rtl w:val="0"/>
          </w:rPr>
          <w:t xml:space="preserve"> </w:t>
        </w:r>
      </w:hyperlink>
      <w:hyperlink r:id="rId939">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49">
      <w:pPr>
        <w:spacing w:after="240" w:before="240" w:lineRule="auto"/>
        <w:rPr>
          <w:color w:val="1155cc"/>
          <w:u w:val="single"/>
        </w:rPr>
      </w:pPr>
      <w:r w:rsidDel="00000000" w:rsidR="00000000" w:rsidRPr="00000000">
        <w:rPr>
          <w:b w:val="1"/>
          <w:bCs w:val="1"/>
          <w:rtl w:val="0"/>
        </w:rPr>
        <w:t xml:space="preserve">Treasury Deadlock.</w:t>
      </w:r>
      <w:r w:rsidDel="00000000" w:rsidR="00000000" w:rsidRPr="00000000">
        <w:rPr>
          <w:rtl w:val="0"/>
        </w:rPr>
        <w:t xml:space="preserve"> The adversary paralyzes the Smart Contract Treasury through institutional conflict, preventing resource allocation to the Governance Lane. The four constitutionally protected reserves and algorithmic agents' autonomous allocation authority are the primary countermeasures. If deadlock extends to the algorithmic agents' signing keys, the buffer is measured in weeks. The </w:t>
      </w:r>
      <w:r w:rsidDel="00000000" w:rsidR="00000000" w:rsidRPr="00000000">
        <w:rPr>
          <w:rFonts w:ascii="Roboto Mono" w:cs="Roboto Mono" w:eastAsia="Roboto Mono" w:hAnsi="Roboto Mono"/>
          <w:color w:val="188038"/>
          <w:rtl w:val="0"/>
        </w:rPr>
        <w:t xml:space="preserve">GET /regulator/custodian-quorum</w:t>
      </w:r>
      <w:r w:rsidDel="00000000" w:rsidR="00000000" w:rsidRPr="00000000">
        <w:rPr>
          <w:rtl w:val="0"/>
        </w:rPr>
        <w:t xml:space="preserve"> endpoint provides real-time Treasury quorum status to external monitors.</w:t>
      </w:r>
      <w:hyperlink r:id="rId940">
        <w:r w:rsidDel="00000000" w:rsidR="00000000" w:rsidRPr="00000000">
          <w:rPr>
            <w:rtl w:val="0"/>
          </w:rPr>
          <w:t xml:space="preserve"> </w:t>
        </w:r>
      </w:hyperlink>
      <w:hyperlink r:id="rId941">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4A">
      <w:pPr>
        <w:spacing w:after="240" w:before="240" w:lineRule="auto"/>
        <w:rPr>
          <w:color w:val="1155cc"/>
          <w:u w:val="single"/>
        </w:rPr>
      </w:pPr>
      <w:r w:rsidDel="00000000" w:rsidR="00000000" w:rsidRPr="00000000">
        <w:rPr>
          <w:b w:val="1"/>
          <w:bCs w:val="1"/>
          <w:rtl w:val="0"/>
        </w:rPr>
        <w:t xml:space="preserve">Emergency Override Abuse.</w:t>
      </w:r>
      <w:r w:rsidDel="00000000" w:rsidR="00000000" w:rsidRPr="00000000">
        <w:rPr>
          <w:rtl w:val="0"/>
        </w:rPr>
        <w:t xml:space="preserve"> Historical analysis of governance frameworks with emergency provisions shows that twenty to thirty-five percent of emergency overrides are later determined to have been unnecessary, improperly justified, or deliberately fabricated to bypass normal constraints. The </w:t>
      </w:r>
      <w:r w:rsidDel="00000000" w:rsidR="00000000" w:rsidRPr="00000000">
        <w:rPr>
          <w:rFonts w:ascii="Roboto Mono" w:cs="Roboto Mono" w:eastAsia="Roboto Mono" w:hAnsi="Roboto Mono"/>
          <w:color w:val="188038"/>
          <w:rtl w:val="0"/>
        </w:rPr>
        <w:t xml:space="preserve">GET /emergency/status</w:t>
      </w:r>
      <w:r w:rsidDel="00000000" w:rsidR="00000000" w:rsidRPr="00000000">
        <w:rPr>
          <w:rtl w:val="0"/>
        </w:rPr>
        <w:t xml:space="preserve"> endpoint exposes all active and historical emergency overrides. The five mandatory safeguards of Section 9.5 raise the institutional cost of abuse but do not eliminate this historical baseline.</w:t>
      </w:r>
      <w:hyperlink r:id="rId942">
        <w:r w:rsidDel="00000000" w:rsidR="00000000" w:rsidRPr="00000000">
          <w:rPr>
            <w:rtl w:val="0"/>
          </w:rPr>
          <w:t xml:space="preserve"> </w:t>
        </w:r>
      </w:hyperlink>
      <w:hyperlink r:id="rId943">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4B">
      <w:pPr>
        <w:pStyle w:val="Heading2"/>
        <w:keepNext w:val="0"/>
        <w:keepLines w:val="0"/>
        <w:spacing w:after="80" w:lineRule="auto"/>
        <w:rPr>
          <w:b w:val="1"/>
          <w:bCs w:val="1"/>
          <w:sz w:val="34"/>
          <w:szCs w:val="34"/>
        </w:rPr>
      </w:pPr>
      <w:bookmarkStart w:colFirst="0" w:colLast="0" w:name="_8hemo37io0nk" w:id="143"/>
      <w:bookmarkEnd w:id="143"/>
      <w:r w:rsidDel="00000000" w:rsidR="00000000" w:rsidRPr="00000000">
        <w:rPr>
          <w:b w:val="1"/>
          <w:bCs w:val="1"/>
          <w:sz w:val="34"/>
          <w:szCs w:val="34"/>
          <w:rtl w:val="0"/>
        </w:rPr>
        <w:t xml:space="preserve">10.7 Semantic Drift: The Multi-Decade Governance Threat</w:t>
      </w:r>
    </w:p>
    <w:p w:rsidR="00000000" w:rsidDel="00000000" w:rsidP="00000000" w:rsidRDefault="00000000" w:rsidRPr="00000000" w14:paraId="0000044C">
      <w:pPr>
        <w:spacing w:after="240" w:before="240" w:lineRule="auto"/>
        <w:rPr>
          <w:color w:val="1155cc"/>
          <w:u w:val="single"/>
        </w:rPr>
      </w:pPr>
      <w:r w:rsidDel="00000000" w:rsidR="00000000" w:rsidRPr="00000000">
        <w:rPr>
          <w:rtl w:val="0"/>
        </w:rPr>
        <w:t xml:space="preserve">Semantic drift is the slow erosion of governance meaning through successive schema updates, legal reinterpretation, and institutional forgetting. It is not adversarial in origin. It is institutional entropy. No individual actor plans it. Every individual actor contributes to it through individually defensible decisions that collectively undermine the framework.</w:t>
      </w:r>
      <w:hyperlink r:id="rId944">
        <w:r w:rsidDel="00000000" w:rsidR="00000000" w:rsidRPr="00000000">
          <w:rPr>
            <w:rtl w:val="0"/>
          </w:rPr>
          <w:t xml:space="preserve"> </w:t>
        </w:r>
      </w:hyperlink>
      <w:hyperlink r:id="rId945">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4D">
      <w:pPr>
        <w:spacing w:after="240" w:before="240" w:lineRule="auto"/>
        <w:rPr/>
      </w:pPr>
      <w:r w:rsidDel="00000000" w:rsidR="00000000" w:rsidRPr="00000000">
        <w:rPr>
          <w:b w:val="1"/>
          <w:bCs w:val="1"/>
          <w:rtl w:val="0"/>
        </w:rPr>
        <w:t xml:space="preserve">The Five-Year Horizon.</w:t>
      </w:r>
      <w:r w:rsidDel="00000000" w:rsidR="00000000" w:rsidRPr="00000000">
        <w:rPr>
          <w:rtl w:val="0"/>
        </w:rPr>
        <w:t xml:space="preserve"> Drift is typically institutional convenience. New administrators reinterpret schema terms to accommodate operational needs. A prohibition on executing without verified cross-border regulatory alignment becomes a prohibition on executing without reasonable efforts to verify, where "reasonable" is defined by the institution's own compliance department. The reinterpretation does not generate a Decision Log via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 It generates a policy memo that is not anchored to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w:t>
      </w:r>
    </w:p>
    <w:p w:rsidR="00000000" w:rsidDel="00000000" w:rsidP="00000000" w:rsidRDefault="00000000" w:rsidRPr="00000000" w14:paraId="0000044E">
      <w:pPr>
        <w:spacing w:after="240" w:before="240" w:lineRule="auto"/>
        <w:rPr>
          <w:color w:val="1155cc"/>
          <w:u w:val="single"/>
        </w:rPr>
      </w:pPr>
      <w:r w:rsidDel="00000000" w:rsidR="00000000" w:rsidRPr="00000000">
        <w:rPr>
          <w:b w:val="1"/>
          <w:bCs w:val="1"/>
          <w:rtl w:val="0"/>
        </w:rPr>
        <w:t xml:space="preserve">The Ten-Year Horizon.</w:t>
      </w:r>
      <w:r w:rsidDel="00000000" w:rsidR="00000000" w:rsidRPr="00000000">
        <w:rPr>
          <w:rtl w:val="0"/>
        </w:rPr>
        <w:t xml:space="preserve"> Drift becomes structural. The organization that originally adopted TL has been acquired, merged, or reorganized. Legal counsel find ambiguities that permit previously prohibited actions. Schema modifications via </w:t>
      </w:r>
      <w:r w:rsidDel="00000000" w:rsidR="00000000" w:rsidRPr="00000000">
        <w:rPr>
          <w:rFonts w:ascii="Roboto Mono" w:cs="Roboto Mono" w:eastAsia="Roboto Mono" w:hAnsi="Roboto Mono"/>
          <w:color w:val="188038"/>
          <w:rtl w:val="0"/>
        </w:rPr>
        <w:t xml:space="preserve">PUT /thresholds/{domain}</w:t>
      </w:r>
      <w:r w:rsidDel="00000000" w:rsidR="00000000" w:rsidRPr="00000000">
        <w:rPr>
          <w:rtl w:val="0"/>
        </w:rPr>
        <w:t xml:space="preserve"> accumulate individually small relaxations that collectively represent significant boundary erosion.</w:t>
      </w:r>
      <w:hyperlink r:id="rId946">
        <w:r w:rsidDel="00000000" w:rsidR="00000000" w:rsidRPr="00000000">
          <w:rPr>
            <w:rtl w:val="0"/>
          </w:rPr>
          <w:t xml:space="preserve"> </w:t>
        </w:r>
      </w:hyperlink>
      <w:hyperlink r:id="rId947">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4F">
      <w:pPr>
        <w:spacing w:after="240" w:before="240" w:lineRule="auto"/>
        <w:rPr>
          <w:color w:val="1155cc"/>
          <w:u w:val="single"/>
        </w:rPr>
      </w:pPr>
      <w:r w:rsidDel="00000000" w:rsidR="00000000" w:rsidRPr="00000000">
        <w:rPr>
          <w:b w:val="1"/>
          <w:bCs w:val="1"/>
          <w:rtl w:val="0"/>
        </w:rPr>
        <w:t xml:space="preserve">The Twenty-Year Horizon.</w:t>
      </w:r>
      <w:r w:rsidDel="00000000" w:rsidR="00000000" w:rsidRPr="00000000">
        <w:rPr>
          <w:rtl w:val="0"/>
        </w:rPr>
        <w:t xml:space="preserve"> Drift becomes existential. The original schema has been updated so many times through </w:t>
      </w:r>
      <w:r w:rsidDel="00000000" w:rsidR="00000000" w:rsidRPr="00000000">
        <w:rPr>
          <w:rFonts w:ascii="Roboto Mono" w:cs="Roboto Mono" w:eastAsia="Roboto Mono" w:hAnsi="Roboto Mono"/>
          <w:color w:val="188038"/>
          <w:rtl w:val="0"/>
        </w:rPr>
        <w:t xml:space="preserve">PUT /thresholds/{domain}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POST /pillars/{pillarId}/configure</w:t>
      </w:r>
      <w:r w:rsidDel="00000000" w:rsidR="00000000" w:rsidRPr="00000000">
        <w:rPr>
          <w:rtl w:val="0"/>
        </w:rPr>
        <w:t xml:space="preserve"> that its core constraints no longer map to current operational reality. The Goukassian Vow's text remains immutable in </w:t>
      </w:r>
      <w:r w:rsidDel="00000000" w:rsidR="00000000" w:rsidRPr="00000000">
        <w:rPr>
          <w:rFonts w:ascii="Roboto Mono" w:cs="Roboto Mono" w:eastAsia="Roboto Mono" w:hAnsi="Roboto Mono"/>
          <w:color w:val="188038"/>
          <w:rtl w:val="0"/>
        </w:rPr>
        <w:t xml:space="preserve">tl_openapi.yaml</w:t>
      </w:r>
      <w:r w:rsidDel="00000000" w:rsidR="00000000" w:rsidRPr="00000000">
        <w:rPr>
          <w:rtl w:val="0"/>
        </w:rPr>
        <w:t xml:space="preserve"> under </w:t>
      </w:r>
      <w:r w:rsidDel="00000000" w:rsidR="00000000" w:rsidRPr="00000000">
        <w:rPr>
          <w:rFonts w:ascii="Roboto Mono" w:cs="Roboto Mono" w:eastAsia="Roboto Mono" w:hAnsi="Roboto Mono"/>
          <w:color w:val="188038"/>
          <w:rtl w:val="0"/>
        </w:rPr>
        <w:t xml:space="preserve">x-tl-constitutional-preamble</w:t>
      </w:r>
      <w:r w:rsidDel="00000000" w:rsidR="00000000" w:rsidRPr="00000000">
        <w:rPr>
          <w:rtl w:val="0"/>
        </w:rPr>
        <w:t xml:space="preserve">. Its operational implementation has been reinterpreted into functional irrelevance.</w:t>
      </w:r>
      <w:hyperlink r:id="rId948">
        <w:r w:rsidDel="00000000" w:rsidR="00000000" w:rsidRPr="00000000">
          <w:rPr>
            <w:rtl w:val="0"/>
          </w:rPr>
          <w:t xml:space="preserve"> </w:t>
        </w:r>
      </w:hyperlink>
      <w:hyperlink r:id="rId949">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50">
      <w:pPr>
        <w:spacing w:after="240" w:before="240" w:lineRule="auto"/>
        <w:rPr>
          <w:color w:val="1155cc"/>
          <w:u w:val="single"/>
        </w:rPr>
      </w:pPr>
      <w:r w:rsidDel="00000000" w:rsidR="00000000" w:rsidRPr="00000000">
        <w:rPr>
          <w:rtl w:val="0"/>
        </w:rPr>
        <w:t xml:space="preserve">The primary countermeasures are the Constitutional Uncertainty Register's mandatory review protocol (Section 9.7),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's complete historical record of every schema modification making the drift trajectory visible through </w:t>
      </w:r>
      <w:r w:rsidDel="00000000" w:rsidR="00000000" w:rsidRPr="00000000">
        <w:rPr>
          <w:rFonts w:ascii="Roboto Mono" w:cs="Roboto Mono" w:eastAsia="Roboto Mono" w:hAnsi="Roboto Mono"/>
          <w:color w:val="188038"/>
          <w:rtl w:val="0"/>
        </w:rPr>
        <w:t xml:space="preserve">GET /audit-logs/{logId}</w:t>
      </w:r>
      <w:r w:rsidDel="00000000" w:rsidR="00000000" w:rsidRPr="00000000">
        <w:rPr>
          <w:rtl w:val="0"/>
        </w:rPr>
        <w:t xml:space="preserve">, the Smart Contract Treasury's pattern-of-drift penalty, and the Succession Declaration's conservative schema fallback protocol which rolls back to the most conservative available schema version if succession is triggered, resetting the accumulated drift. None of these countermeasures is sufficient alone. Together, they create an environment in which drift is visible, costly, and partially reversible.</w:t>
      </w:r>
      <w:hyperlink r:id="rId950">
        <w:r w:rsidDel="00000000" w:rsidR="00000000" w:rsidRPr="00000000">
          <w:rPr>
            <w:rtl w:val="0"/>
          </w:rPr>
          <w:t xml:space="preserve"> </w:t>
        </w:r>
      </w:hyperlink>
      <w:hyperlink r:id="rId951">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51">
      <w:pPr>
        <w:pStyle w:val="Heading2"/>
        <w:keepNext w:val="0"/>
        <w:keepLines w:val="0"/>
        <w:spacing w:after="80" w:lineRule="auto"/>
        <w:rPr>
          <w:b w:val="1"/>
          <w:bCs w:val="1"/>
          <w:sz w:val="34"/>
          <w:szCs w:val="34"/>
        </w:rPr>
      </w:pPr>
      <w:bookmarkStart w:colFirst="0" w:colLast="0" w:name="_4sn2ankqtxub" w:id="144"/>
      <w:bookmarkEnd w:id="144"/>
      <w:r w:rsidDel="00000000" w:rsidR="00000000" w:rsidRPr="00000000">
        <w:rPr>
          <w:b w:val="1"/>
          <w:bCs w:val="1"/>
          <w:sz w:val="34"/>
          <w:szCs w:val="34"/>
          <w:rtl w:val="0"/>
        </w:rPr>
        <w:t xml:space="preserve">10.8 Sovereign Coercion: Four Geopolitical Pressure Scenarios</w:t>
      </w:r>
    </w:p>
    <w:p w:rsidR="00000000" w:rsidDel="00000000" w:rsidP="00000000" w:rsidRDefault="00000000" w:rsidRPr="00000000" w14:paraId="00000452">
      <w:pPr>
        <w:spacing w:after="240" w:before="240" w:lineRule="auto"/>
        <w:rPr>
          <w:color w:val="1155cc"/>
          <w:u w:val="single"/>
        </w:rPr>
      </w:pPr>
      <w:r w:rsidDel="00000000" w:rsidR="00000000" w:rsidRPr="00000000">
        <w:rPr>
          <w:b w:val="1"/>
          <w:bCs w:val="1"/>
          <w:rtl w:val="0"/>
        </w:rPr>
        <w:t xml:space="preserve">Scenario 1: Export Control Weaponization.</w:t>
      </w:r>
      <w:r w:rsidDel="00000000" w:rsidR="00000000" w:rsidRPr="00000000">
        <w:rPr>
          <w:rtl w:val="0"/>
        </w:rPr>
        <w:t xml:space="preserve"> A state actor places a TL-governed institution on the Entity List, blocking access to the EDA tools and semiconductor manufacturing required for DITL coprocessor fabrication. The institution cannot transition from emulation mode to hardware enforcement. The </w:t>
      </w:r>
      <w:r w:rsidDel="00000000" w:rsidR="00000000" w:rsidRPr="00000000">
        <w:rPr>
          <w:rFonts w:ascii="Roboto Mono" w:cs="Roboto Mono" w:eastAsia="Roboto Mono" w:hAnsi="Roboto Mono"/>
          <w:color w:val="188038"/>
          <w:rtl w:val="0"/>
        </w:rPr>
        <w:t xml:space="preserve">NULL_PUF_DEPLOYMENT</w:t>
      </w:r>
      <w:r w:rsidDel="00000000" w:rsidR="00000000" w:rsidRPr="00000000">
        <w:rPr>
          <w:rtl w:val="0"/>
        </w:rPr>
        <w:t xml:space="preserve"> sentinel in </w:t>
      </w:r>
      <w:r w:rsidDel="00000000" w:rsidR="00000000" w:rsidRPr="00000000">
        <w:rPr>
          <w:rFonts w:ascii="Roboto Mono" w:cs="Roboto Mono" w:eastAsia="Roboto Mono" w:hAnsi="Roboto Mono"/>
          <w:color w:val="188038"/>
          <w:rtl w:val="0"/>
        </w:rPr>
        <w:t xml:space="preserve">NLNAAuditToken.pufAttestation</w:t>
      </w:r>
      <w:r w:rsidDel="00000000" w:rsidR="00000000" w:rsidRPr="00000000">
        <w:rPr>
          <w:rtl w:val="0"/>
        </w:rPr>
        <w:t xml:space="preserve"> permanently flags the degraded posture. The countermeasure is pre-built hardware inventory: the Succession Reserve in the Smart Contract Treasury includes a hardware stockpile allocation parameter that institutions configure via </w:t>
      </w:r>
      <w:r w:rsidDel="00000000" w:rsidR="00000000" w:rsidRPr="00000000">
        <w:rPr>
          <w:rFonts w:ascii="Roboto Mono" w:cs="Roboto Mono" w:eastAsia="Roboto Mono" w:hAnsi="Roboto Mono"/>
          <w:color w:val="188038"/>
          <w:rtl w:val="0"/>
        </w:rPr>
        <w:t xml:space="preserve">POST /pillars/{pillarId}/configure</w:t>
      </w:r>
      <w:r w:rsidDel="00000000" w:rsidR="00000000" w:rsidRPr="00000000">
        <w:rPr>
          <w:rtl w:val="0"/>
        </w:rPr>
        <w:t xml:space="preserve">.</w:t>
      </w:r>
      <w:hyperlink r:id="rId952">
        <w:r w:rsidDel="00000000" w:rsidR="00000000" w:rsidRPr="00000000">
          <w:rPr>
            <w:rtl w:val="0"/>
          </w:rPr>
          <w:t xml:space="preserve"> </w:t>
        </w:r>
      </w:hyperlink>
      <w:hyperlink r:id="rId953">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53">
      <w:pPr>
        <w:spacing w:after="240" w:before="240" w:lineRule="auto"/>
        <w:rPr>
          <w:color w:val="1155cc"/>
          <w:u w:val="single"/>
        </w:rPr>
      </w:pPr>
      <w:r w:rsidDel="00000000" w:rsidR="00000000" w:rsidRPr="00000000">
        <w:rPr>
          <w:b w:val="1"/>
          <w:bCs w:val="1"/>
          <w:rtl w:val="0"/>
        </w:rPr>
        <w:t xml:space="preserve">Scenario 2: Compelled Backdoor.</w:t>
      </w:r>
      <w:r w:rsidDel="00000000" w:rsidR="00000000" w:rsidRPr="00000000">
        <w:rPr>
          <w:rtl w:val="0"/>
        </w:rPr>
        <w:t xml:space="preserve"> A state actor compels the institution through national security law to install a state-accessible override mechanism in the Governance Lane. The DITL hardware makes compelled backdoor insertion physically detectable because any modification to the memristive state transition logic alters the chip's timing characteristics and PUF fingerprint, reported through </w:t>
      </w:r>
      <w:r w:rsidDel="00000000" w:rsidR="00000000" w:rsidRPr="00000000">
        <w:rPr>
          <w:rFonts w:ascii="Roboto Mono" w:cs="Roboto Mono" w:eastAsia="Roboto Mono" w:hAnsi="Roboto Mono"/>
          <w:color w:val="188038"/>
          <w:rtl w:val="0"/>
        </w:rPr>
        <w:t xml:space="preserve">TLCapabilityFlags.pufAttestationMode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windowComparatorReading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EscrowRecord_v1_0_0</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records the compulsion event through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lantern</w:t>
      </w:r>
      <w:r w:rsidDel="00000000" w:rsidR="00000000" w:rsidRPr="00000000">
        <w:rPr>
          <w:rtl w:val="0"/>
        </w:rPr>
        <w:t xml:space="preserve"> beacon via </w:t>
      </w:r>
      <w:r w:rsidDel="00000000" w:rsidR="00000000" w:rsidRPr="00000000">
        <w:rPr>
          <w:rFonts w:ascii="Roboto Mono" w:cs="Roboto Mono" w:eastAsia="Roboto Mono" w:hAnsi="Roboto Mono"/>
          <w:color w:val="188038"/>
          <w:rtl w:val="0"/>
        </w:rPr>
        <w:t xml:space="preserve">GET /epistemic-hold/lantern</w:t>
      </w:r>
      <w:r w:rsidDel="00000000" w:rsidR="00000000" w:rsidRPr="00000000">
        <w:rPr>
          <w:rtl w:val="0"/>
        </w:rPr>
        <w:t xml:space="preserve"> signals the integrity compromise to external monitors.</w:t>
      </w:r>
      <w:hyperlink r:id="rId954">
        <w:r w:rsidDel="00000000" w:rsidR="00000000" w:rsidRPr="00000000">
          <w:rPr>
            <w:rtl w:val="0"/>
          </w:rPr>
          <w:t xml:space="preserve"> </w:t>
        </w:r>
      </w:hyperlink>
      <w:hyperlink r:id="rId955">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54">
      <w:pPr>
        <w:spacing w:after="240" w:before="240" w:lineRule="auto"/>
        <w:rPr>
          <w:color w:val="1155cc"/>
          <w:u w:val="single"/>
        </w:rPr>
      </w:pPr>
      <w:r w:rsidDel="00000000" w:rsidR="00000000" w:rsidRPr="00000000">
        <w:rPr>
          <w:b w:val="1"/>
          <w:bCs w:val="1"/>
          <w:rtl w:val="0"/>
        </w:rPr>
        <w:t xml:space="preserve">Scenario 3: Institutional Seizure.</w:t>
      </w:r>
      <w:r w:rsidDel="00000000" w:rsidR="00000000" w:rsidRPr="00000000">
        <w:rPr>
          <w:rtl w:val="0"/>
        </w:rPr>
        <w:t xml:space="preserve"> A state actor physically seizes the hardware of one or more Tri-Cameral chambers, confiscating the Shamir key shares. The distributed key material - split across three chambers with independent physical locations - ensures that seizure of one chamber yields key shares that are insufficient to generate valid </w:t>
      </w:r>
      <w:r w:rsidDel="00000000" w:rsidR="00000000" w:rsidRPr="00000000">
        <w:rPr>
          <w:rFonts w:ascii="Roboto Mono" w:cs="Roboto Mono" w:eastAsia="Roboto Mono" w:hAnsi="Roboto Mono"/>
          <w:color w:val="188038"/>
          <w:rtl w:val="0"/>
        </w:rPr>
        <w:t xml:space="preserve">PermissionToken_v1_0_0</w:t>
      </w:r>
      <w:r w:rsidDel="00000000" w:rsidR="00000000" w:rsidRPr="00000000">
        <w:rPr>
          <w:rtl w:val="0"/>
        </w:rPr>
        <w:t xml:space="preserve"> objects unilaterally. The remaining chambers retain full authority. The seized chamber's keys are cryptographically retired through the replacement protocol and new key shares are generated. The </w:t>
      </w:r>
      <w:r w:rsidDel="00000000" w:rsidR="00000000" w:rsidRPr="00000000">
        <w:rPr>
          <w:rFonts w:ascii="Roboto Mono" w:cs="Roboto Mono" w:eastAsia="Roboto Mono" w:hAnsi="Roboto Mono"/>
          <w:color w:val="188038"/>
          <w:rtl w:val="0"/>
        </w:rPr>
        <w:t xml:space="preserve">GET /regulator/custodian-quorum</w:t>
      </w:r>
      <w:r w:rsidDel="00000000" w:rsidR="00000000" w:rsidRPr="00000000">
        <w:rPr>
          <w:rtl w:val="0"/>
        </w:rPr>
        <w:t xml:space="preserve"> endpoint shows the reduced quorum capacity to external monitors during the transition.</w:t>
      </w:r>
      <w:hyperlink r:id="rId956">
        <w:r w:rsidDel="00000000" w:rsidR="00000000" w:rsidRPr="00000000">
          <w:rPr>
            <w:rtl w:val="0"/>
          </w:rPr>
          <w:t xml:space="preserve"> </w:t>
        </w:r>
      </w:hyperlink>
      <w:hyperlink r:id="rId957">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455">
      <w:pPr>
        <w:spacing w:after="240" w:before="240" w:lineRule="auto"/>
        <w:rPr>
          <w:color w:val="1155cc"/>
          <w:u w:val="single"/>
        </w:rPr>
      </w:pPr>
      <w:r w:rsidDel="00000000" w:rsidR="00000000" w:rsidRPr="00000000">
        <w:rPr>
          <w:b w:val="1"/>
          <w:bCs w:val="1"/>
          <w:rtl w:val="0"/>
        </w:rPr>
        <w:t xml:space="preserve">Scenario 4: Legal Framework Attack.</w:t>
      </w:r>
      <w:r w:rsidDel="00000000" w:rsidR="00000000" w:rsidRPr="00000000">
        <w:rPr>
          <w:rtl w:val="0"/>
        </w:rPr>
        <w:t xml:space="preserve"> A state actor enacts legislation designating TL governance mechanisms as unlawful - for example, classifying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anchoring as an unregistered financial instrument. The countermeasure is the open-source license's intellectual commons protection and jurisdictional diversification of chamber membership: if any single jurisdiction makes TL operation unlawful for domestically registered entities, chamber members registered in other jurisdictions continue to operate legally. The ledger history remains available via </w:t>
      </w:r>
      <w:r w:rsidDel="00000000" w:rsidR="00000000" w:rsidRPr="00000000">
        <w:rPr>
          <w:rFonts w:ascii="Roboto Mono" w:cs="Roboto Mono" w:eastAsia="Roboto Mono" w:hAnsi="Roboto Mono"/>
          <w:color w:val="188038"/>
          <w:rtl w:val="0"/>
        </w:rPr>
        <w:t xml:space="preserve">GET /audit/verifications/merkle/{merkleRoot}</w:t>
      </w:r>
      <w:r w:rsidDel="00000000" w:rsidR="00000000" w:rsidRPr="00000000">
        <w:rPr>
          <w:rtl w:val="0"/>
        </w:rPr>
        <w:t xml:space="preserve"> regardless of any domestic legal prohibition on accessing it.</w:t>
      </w:r>
      <w:hyperlink r:id="rId958">
        <w:r w:rsidDel="00000000" w:rsidR="00000000" w:rsidRPr="00000000">
          <w:rPr>
            <w:rtl w:val="0"/>
          </w:rPr>
          <w:t xml:space="preserve"> </w:t>
        </w:r>
      </w:hyperlink>
      <w:hyperlink r:id="rId959">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56">
      <w:pPr>
        <w:pStyle w:val="Heading2"/>
        <w:keepNext w:val="0"/>
        <w:keepLines w:val="0"/>
        <w:spacing w:after="80" w:lineRule="auto"/>
        <w:rPr>
          <w:b w:val="1"/>
          <w:bCs w:val="1"/>
          <w:sz w:val="34"/>
          <w:szCs w:val="34"/>
        </w:rPr>
      </w:pPr>
      <w:bookmarkStart w:colFirst="0" w:colLast="0" w:name="_39t7u1k8uika" w:id="145"/>
      <w:bookmarkEnd w:id="145"/>
      <w:r w:rsidDel="00000000" w:rsidR="00000000" w:rsidRPr="00000000">
        <w:rPr>
          <w:b w:val="1"/>
          <w:bCs w:val="1"/>
          <w:sz w:val="34"/>
          <w:szCs w:val="34"/>
          <w:rtl w:val="0"/>
        </w:rPr>
        <w:t xml:space="preserve">10.9 Post-Compromise Recovery</w:t>
      </w:r>
    </w:p>
    <w:p w:rsidR="00000000" w:rsidDel="00000000" w:rsidP="00000000" w:rsidRDefault="00000000" w:rsidRPr="00000000" w14:paraId="00000457">
      <w:pPr>
        <w:spacing w:after="240" w:before="240" w:lineRule="auto"/>
        <w:rPr>
          <w:color w:val="1155cc"/>
          <w:u w:val="single"/>
        </w:rPr>
      </w:pPr>
      <w:r w:rsidDel="00000000" w:rsidR="00000000" w:rsidRPr="00000000">
        <w:rPr>
          <w:b w:val="1"/>
          <w:bCs w:val="1"/>
          <w:rtl w:val="0"/>
        </w:rPr>
        <w:t xml:space="preserve">Recovery Time Objective.</w:t>
      </w:r>
      <w:r w:rsidDel="00000000" w:rsidR="00000000" w:rsidRPr="00000000">
        <w:rPr>
          <w:rtl w:val="0"/>
        </w:rPr>
        <w:t xml:space="preserve"> The maximum acceptable duration between compromise detection and restored operational capacity is fifteen minutes for software-only deployments and four hours for DITL hardware deployments. The longer RTO for hardware reflects the physical replacement time for compromised coprocessors, including secure transport, physical installation, PUF re-enrollment via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 and schema re-anchoring.</w:t>
      </w:r>
      <w:hyperlink r:id="rId960">
        <w:r w:rsidDel="00000000" w:rsidR="00000000" w:rsidRPr="00000000">
          <w:rPr>
            <w:rtl w:val="0"/>
          </w:rPr>
          <w:t xml:space="preserve"> </w:t>
        </w:r>
      </w:hyperlink>
      <w:hyperlink r:id="rId961">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58">
      <w:pPr>
        <w:spacing w:after="240" w:before="240" w:lineRule="auto"/>
        <w:rPr>
          <w:color w:val="1155cc"/>
          <w:u w:val="single"/>
        </w:rPr>
      </w:pPr>
      <w:r w:rsidDel="00000000" w:rsidR="00000000" w:rsidRPr="00000000">
        <w:rPr>
          <w:b w:val="1"/>
          <w:bCs w:val="1"/>
          <w:rtl w:val="0"/>
        </w:rPr>
        <w:t xml:space="preserve">Recovery Point Objective.</w:t>
      </w:r>
      <w:r w:rsidDel="00000000" w:rsidR="00000000" w:rsidRPr="00000000">
        <w:rPr>
          <w:rtl w:val="0"/>
        </w:rPr>
        <w:t xml:space="preserve"> The RPO approaches zero because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and blockchain anchors provide a complete, cryptographically verifiable record of every determination that occurred before the compromise event, accessible via </w:t>
      </w:r>
      <w:r w:rsidDel="00000000" w:rsidR="00000000" w:rsidRPr="00000000">
        <w:rPr>
          <w:rFonts w:ascii="Roboto Mono" w:cs="Roboto Mono" w:eastAsia="Roboto Mono" w:hAnsi="Roboto Mono"/>
          <w:color w:val="188038"/>
          <w:rtl w:val="0"/>
        </w:rPr>
        <w:t xml:space="preserve">GET /audit/verifications/inclusion/{logId}</w:t>
      </w:r>
      <w:r w:rsidDel="00000000" w:rsidR="00000000" w:rsidRPr="00000000">
        <w:rPr>
          <w:rtl w:val="0"/>
        </w:rPr>
        <w:t xml:space="preserve">. The replacement infrastructure reconstructs its state from the ledger without losing any governance history. The exception is the three-hundred-second pre-anchoring window: logs in this window may be lost if the compromise destroys the local nvSRAM accumulator before Governance Lane anchoring completes.</w:t>
      </w:r>
      <w:hyperlink r:id="rId962">
        <w:r w:rsidDel="00000000" w:rsidR="00000000" w:rsidRPr="00000000">
          <w:rPr>
            <w:rtl w:val="0"/>
          </w:rPr>
          <w:t xml:space="preserve"> </w:t>
        </w:r>
      </w:hyperlink>
      <w:hyperlink r:id="rId963">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59">
      <w:pPr>
        <w:spacing w:after="240" w:before="240" w:lineRule="auto"/>
        <w:rPr>
          <w:color w:val="1155cc"/>
          <w:u w:val="single"/>
        </w:rPr>
      </w:pPr>
      <w:r w:rsidDel="00000000" w:rsidR="00000000" w:rsidRPr="00000000">
        <w:rPr>
          <w:b w:val="1"/>
          <w:bCs w:val="1"/>
          <w:rtl w:val="0"/>
        </w:rPr>
        <w:t xml:space="preserve">Anchor Continuity Verification.</w:t>
      </w:r>
      <w:r w:rsidDel="00000000" w:rsidR="00000000" w:rsidRPr="00000000">
        <w:rPr>
          <w:rtl w:val="0"/>
        </w:rPr>
        <w:t xml:space="preserve"> Before the replacement infrastructure begins issuing new determinations, it must verify that its reconstructed ledger state produces Merkle roots consistent with the most recent pre-compromise blockchain anchors via </w:t>
      </w:r>
      <w:r w:rsidDel="00000000" w:rsidR="00000000" w:rsidRPr="00000000">
        <w:rPr>
          <w:rFonts w:ascii="Roboto Mono" w:cs="Roboto Mono" w:eastAsia="Roboto Mono" w:hAnsi="Roboto Mono"/>
          <w:color w:val="188038"/>
          <w:rtl w:val="0"/>
        </w:rPr>
        <w:t xml:space="preserve">GET /audit/verifications/merkle/{merkleRoot}</w:t>
      </w:r>
      <w:r w:rsidDel="00000000" w:rsidR="00000000" w:rsidRPr="00000000">
        <w:rPr>
          <w:rtl w:val="0"/>
        </w:rPr>
        <w:t xml:space="preserve">. If inconsistency is detected, the infrastructure enters audit mode: evaluating proposals and generating Decision Logs via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 but withholding </w:t>
      </w:r>
      <w:r w:rsidDel="00000000" w:rsidR="00000000" w:rsidRPr="00000000">
        <w:rPr>
          <w:rFonts w:ascii="Roboto Mono" w:cs="Roboto Mono" w:eastAsia="Roboto Mono" w:hAnsi="Roboto Mono"/>
          <w:color w:val="188038"/>
          <w:rtl w:val="0"/>
        </w:rPr>
        <w:t xml:space="preserve">PermissionToken_v1_0_0</w:t>
      </w:r>
      <w:r w:rsidDel="00000000" w:rsidR="00000000" w:rsidRPr="00000000">
        <w:rPr>
          <w:rtl w:val="0"/>
        </w:rPr>
        <w:t xml:space="preserve"> objects until the discrepancy is reconciled.</w:t>
      </w:r>
      <w:hyperlink r:id="rId964">
        <w:r w:rsidDel="00000000" w:rsidR="00000000" w:rsidRPr="00000000">
          <w:rPr>
            <w:rtl w:val="0"/>
          </w:rPr>
          <w:t xml:space="preserve"> </w:t>
        </w:r>
      </w:hyperlink>
      <w:hyperlink r:id="rId965">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5A">
      <w:pPr>
        <w:spacing w:after="240" w:before="240" w:lineRule="auto"/>
        <w:rPr>
          <w:color w:val="1155cc"/>
          <w:u w:val="single"/>
        </w:rPr>
      </w:pPr>
      <w:r w:rsidDel="00000000" w:rsidR="00000000" w:rsidRPr="00000000">
        <w:rPr>
          <w:b w:val="1"/>
          <w:bCs w:val="1"/>
          <w:rtl w:val="0"/>
        </w:rPr>
        <w:t xml:space="preserve">DITL Chip Quarantine.</w:t>
      </w:r>
      <w:r w:rsidDel="00000000" w:rsidR="00000000" w:rsidRPr="00000000">
        <w:rPr>
          <w:rtl w:val="0"/>
        </w:rPr>
        <w:t xml:space="preserve"> Newly fabricated DITL coprocessors replacing compromised hardware must undergo a minimum thirty-day behavioral monitoring period before they are authorized to issue Permission Tokens. During quarantine, </w:t>
      </w:r>
      <w:r w:rsidDel="00000000" w:rsidR="00000000" w:rsidRPr="00000000">
        <w:rPr>
          <w:rFonts w:ascii="Roboto Mono" w:cs="Roboto Mono" w:eastAsia="Roboto Mono" w:hAnsi="Roboto Mono"/>
          <w:color w:val="188038"/>
          <w:rtl w:val="0"/>
        </w:rPr>
        <w:t xml:space="preserve">TLCapabilityFlags.pufAttestationMode</w:t>
      </w:r>
      <w:r w:rsidDel="00000000" w:rsidR="00000000" w:rsidRPr="00000000">
        <w:rPr>
          <w:rtl w:val="0"/>
        </w:rPr>
        <w:t xml:space="preserve"> reports </w:t>
      </w:r>
      <w:r w:rsidDel="00000000" w:rsidR="00000000" w:rsidRPr="00000000">
        <w:rPr>
          <w:rFonts w:ascii="Roboto Mono" w:cs="Roboto Mono" w:eastAsia="Roboto Mono" w:hAnsi="Roboto Mono"/>
          <w:color w:val="188038"/>
          <w:rtl w:val="0"/>
        </w:rPr>
        <w:t xml:space="preserve">"QUARANTINE"</w:t>
      </w:r>
      <w:r w:rsidDel="00000000" w:rsidR="00000000" w:rsidRPr="00000000">
        <w:rPr>
          <w:rtl w:val="0"/>
        </w:rPr>
        <w:t xml:space="preserve"> rather than </w:t>
      </w:r>
      <w:r w:rsidDel="00000000" w:rsidR="00000000" w:rsidRPr="00000000">
        <w:rPr>
          <w:rFonts w:ascii="Roboto Mono" w:cs="Roboto Mono" w:eastAsia="Roboto Mono" w:hAnsi="Roboto Mono"/>
          <w:color w:val="188038"/>
          <w:rtl w:val="0"/>
        </w:rPr>
        <w:t xml:space="preserve">"ARCHITECTURE_B"</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"ARCHITECTURE_A"</w:t>
      </w:r>
      <w:r w:rsidDel="00000000" w:rsidR="00000000" w:rsidRPr="00000000">
        <w:rPr>
          <w:rtl w:val="0"/>
        </w:rPr>
        <w:t xml:space="preserve">. The coprocessor evaluates proposals and generates Decision Logs but withholding </w:t>
      </w:r>
      <w:r w:rsidDel="00000000" w:rsidR="00000000" w:rsidRPr="00000000">
        <w:rPr>
          <w:rFonts w:ascii="Roboto Mono" w:cs="Roboto Mono" w:eastAsia="Roboto Mono" w:hAnsi="Roboto Mono"/>
          <w:color w:val="188038"/>
          <w:rtl w:val="0"/>
        </w:rPr>
        <w:t xml:space="preserve">PermissionToken_v1_0_0</w:t>
      </w:r>
      <w:r w:rsidDel="00000000" w:rsidR="00000000" w:rsidRPr="00000000">
        <w:rPr>
          <w:rtl w:val="0"/>
        </w:rPr>
        <w:t xml:space="preserve"> objects.</w:t>
      </w:r>
      <w:hyperlink r:id="rId966">
        <w:r w:rsidDel="00000000" w:rsidR="00000000" w:rsidRPr="00000000">
          <w:rPr>
            <w:rtl w:val="0"/>
          </w:rPr>
          <w:t xml:space="preserve"> </w:t>
        </w:r>
      </w:hyperlink>
      <w:hyperlink r:id="rId967">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5B">
      <w:pPr>
        <w:spacing w:after="240" w:before="240" w:lineRule="auto"/>
        <w:rPr>
          <w:color w:val="1155cc"/>
          <w:u w:val="single"/>
        </w:rPr>
      </w:pPr>
      <w:r w:rsidDel="00000000" w:rsidR="00000000" w:rsidRPr="00000000">
        <w:rPr>
          <w:b w:val="1"/>
          <w:bCs w:val="1"/>
          <w:rtl w:val="0"/>
        </w:rPr>
        <w:t xml:space="preserve">Rollback Schema Validation.</w:t>
      </w:r>
      <w:r w:rsidDel="00000000" w:rsidR="00000000" w:rsidRPr="00000000">
        <w:rPr>
          <w:rtl w:val="0"/>
        </w:rPr>
        <w:t xml:space="preserve"> When recovering from schema manipulation, the rollback target must be validated against a canonical schema version anchored to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before the compromise window via </w:t>
      </w:r>
      <w:r w:rsidDel="00000000" w:rsidR="00000000" w:rsidRPr="00000000">
        <w:rPr>
          <w:rFonts w:ascii="Roboto Mono" w:cs="Roboto Mono" w:eastAsia="Roboto Mono" w:hAnsi="Roboto Mono"/>
          <w:color w:val="188038"/>
          <w:rtl w:val="0"/>
        </w:rPr>
        <w:t xml:space="preserve">GET /audit-logs/{logId}</w:t>
      </w:r>
      <w:r w:rsidDel="00000000" w:rsidR="00000000" w:rsidRPr="00000000">
        <w:rPr>
          <w:rtl w:val="0"/>
        </w:rPr>
        <w:t xml:space="preserve">. If no pre-compromise canonical version exists, the institution must adopt the most conservative available schema and re-approve all subsequent modifications through the full Tri-Cameral quorum process via </w:t>
      </w:r>
      <w:r w:rsidDel="00000000" w:rsidR="00000000" w:rsidRPr="00000000">
        <w:rPr>
          <w:rFonts w:ascii="Roboto Mono" w:cs="Roboto Mono" w:eastAsia="Roboto Mono" w:hAnsi="Roboto Mono"/>
          <w:color w:val="188038"/>
          <w:rtl w:val="0"/>
        </w:rPr>
        <w:t xml:space="preserve">POST /pillars/{pillarId}/configure</w:t>
      </w:r>
      <w:r w:rsidDel="00000000" w:rsidR="00000000" w:rsidRPr="00000000">
        <w:rPr>
          <w:rtl w:val="0"/>
        </w:rPr>
        <w:t xml:space="preserve">. This may be operationally disruptive, but recovering onto a compromised schema is architecturally unacceptable.</w:t>
      </w:r>
      <w:hyperlink r:id="rId968">
        <w:r w:rsidDel="00000000" w:rsidR="00000000" w:rsidRPr="00000000">
          <w:rPr>
            <w:rtl w:val="0"/>
          </w:rPr>
          <w:t xml:space="preserve"> </w:t>
        </w:r>
      </w:hyperlink>
      <w:hyperlink r:id="rId969">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5C">
      <w:pPr>
        <w:pStyle w:val="Heading2"/>
        <w:keepNext w:val="0"/>
        <w:keepLines w:val="0"/>
        <w:spacing w:after="80" w:lineRule="auto"/>
        <w:rPr>
          <w:b w:val="1"/>
          <w:bCs w:val="1"/>
          <w:sz w:val="34"/>
          <w:szCs w:val="34"/>
        </w:rPr>
      </w:pPr>
      <w:bookmarkStart w:colFirst="0" w:colLast="0" w:name="_f3dexj951pa7" w:id="146"/>
      <w:bookmarkEnd w:id="146"/>
      <w:r w:rsidDel="00000000" w:rsidR="00000000" w:rsidRPr="00000000">
        <w:rPr>
          <w:b w:val="1"/>
          <w:bCs w:val="1"/>
          <w:sz w:val="34"/>
          <w:szCs w:val="34"/>
          <w:rtl w:val="0"/>
        </w:rPr>
        <w:t xml:space="preserve">10.10 The Closing Thesis: Hardware Resists Last. Institutions Fail First.</w:t>
      </w:r>
    </w:p>
    <w:p w:rsidR="00000000" w:rsidDel="00000000" w:rsidP="00000000" w:rsidRDefault="00000000" w:rsidRPr="00000000" w14:paraId="0000045D">
      <w:pPr>
        <w:spacing w:after="240" w:before="240" w:lineRule="auto"/>
        <w:rPr>
          <w:color w:val="1155cc"/>
          <w:u w:val="single"/>
        </w:rPr>
      </w:pPr>
      <w:r w:rsidDel="00000000" w:rsidR="00000000" w:rsidRPr="00000000">
        <w:rPr>
          <w:rtl w:val="0"/>
        </w:rPr>
        <w:t xml:space="preserve">The adversarial survivability assessment produces a verdict that is simultaneously encouraging and sobering.</w:t>
      </w:r>
      <w:hyperlink r:id="rId970">
        <w:r w:rsidDel="00000000" w:rsidR="00000000" w:rsidRPr="00000000">
          <w:rPr>
            <w:rtl w:val="0"/>
          </w:rPr>
          <w:t xml:space="preserve"> </w:t>
        </w:r>
      </w:hyperlink>
      <w:hyperlink r:id="rId971">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5E">
      <w:pPr>
        <w:spacing w:after="240" w:before="240" w:lineRule="auto"/>
        <w:rPr/>
      </w:pPr>
      <w:r w:rsidDel="00000000" w:rsidR="00000000" w:rsidRPr="00000000">
        <w:rPr>
          <w:rtl w:val="0"/>
        </w:rPr>
        <w:t xml:space="preserve">The encouraging finding: in full DITL hardware deployment, the framework achieves something that no prior governance architecture has achieved - physical non-bypassability of governance constraints. The electron does not negotiate. The C-element does not accept bribes. The memristive cell does not respond to political authority. For the first time in the history of economic governance, it is possible to construct a system whose core constraint - the requirement that execution be preceded by evidence - is enforced not by law, not by policy, not by institutional trust, but by physics. The </w:t>
      </w:r>
      <w:r w:rsidDel="00000000" w:rsidR="00000000" w:rsidRPr="00000000">
        <w:rPr>
          <w:rFonts w:ascii="Roboto Mono" w:cs="Roboto Mono" w:eastAsia="Roboto Mono" w:hAnsi="Roboto Mono"/>
          <w:color w:val="188038"/>
          <w:rtl w:val="0"/>
        </w:rPr>
        <w:t xml:space="preserve">CONFIRM_OK</w:t>
      </w:r>
      <w:r w:rsidDel="00000000" w:rsidR="00000000" w:rsidRPr="00000000">
        <w:rPr>
          <w:rtl w:val="0"/>
        </w:rPr>
        <w:t xml:space="preserve"> pulse either arrives or it does not. The MT gate either transitions or it does not.</w:t>
      </w:r>
    </w:p>
    <w:p w:rsidR="00000000" w:rsidDel="00000000" w:rsidP="00000000" w:rsidRDefault="00000000" w:rsidRPr="00000000" w14:paraId="0000045F">
      <w:pPr>
        <w:spacing w:after="240" w:before="240" w:lineRule="auto"/>
        <w:rPr/>
      </w:pPr>
      <w:r w:rsidDel="00000000" w:rsidR="00000000" w:rsidRPr="00000000">
        <w:rPr>
          <w:rtl w:val="0"/>
        </w:rPr>
        <w:t xml:space="preserve">The sobering finding: the path to full DITL hardware deployment is long, expensive, and subject to geopolitical disruption. No fabricated DITL chip meeting all six mandatory conditions currently exists. During the Transitional Emulation Mode that precedes hardware deployment, the framework's two most critical Pillars degrade to policy-only enforcement. The governance record remains intact through Pillars II and VIII. The execution gate does not have physics-level enforcement. And the adversary who understands the framework will not wait for the hardware to be deployed. The adversary will attack the institutions that configure it, the appointment processes that populate its chambers, and the schema parameters that define its governance boundaries - using the ordinary tools of institutional capture that have defeated every prior governance framework.</w:t>
      </w:r>
    </w:p>
    <w:p w:rsidR="00000000" w:rsidDel="00000000" w:rsidP="00000000" w:rsidRDefault="00000000" w:rsidRPr="00000000" w14:paraId="00000460">
      <w:pPr>
        <w:spacing w:after="240" w:before="240" w:lineRule="auto"/>
        <w:rPr>
          <w:color w:val="1155cc"/>
          <w:u w:val="single"/>
        </w:rPr>
      </w:pPr>
      <w:r w:rsidDel="00000000" w:rsidR="00000000" w:rsidRPr="00000000">
        <w:rPr>
          <w:rtl w:val="0"/>
        </w:rPr>
        <w:t xml:space="preserve">Hardware resists last. Institutions fail first.</w:t>
      </w:r>
      <w:hyperlink r:id="rId972">
        <w:r w:rsidDel="00000000" w:rsidR="00000000" w:rsidRPr="00000000">
          <w:rPr>
            <w:rtl w:val="0"/>
          </w:rPr>
          <w:t xml:space="preserve"> </w:t>
        </w:r>
      </w:hyperlink>
      <w:hyperlink r:id="rId973">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61">
      <w:pPr>
        <w:spacing w:after="240" w:before="240" w:lineRule="auto"/>
        <w:rPr/>
      </w:pPr>
      <w:r w:rsidDel="00000000" w:rsidR="00000000" w:rsidRPr="00000000">
        <w:rPr>
          <w:rtl w:val="0"/>
        </w:rPr>
        <w:t xml:space="preserve">This is not a concession of defeat. It is a specification of the adversarial priority order that institutions deploying TL must understand. The Tri-Cameral model's diversity requirements, supermajority thresholds, timelock mechanisms on </w:t>
      </w:r>
      <w:r w:rsidDel="00000000" w:rsidR="00000000" w:rsidRPr="00000000">
        <w:rPr>
          <w:rFonts w:ascii="Roboto Mono" w:cs="Roboto Mono" w:eastAsia="Roboto Mono" w:hAnsi="Roboto Mono"/>
          <w:color w:val="188038"/>
          <w:rtl w:val="0"/>
        </w:rPr>
        <w:t xml:space="preserve">PUT /thresholds/{domain}</w:t>
      </w:r>
      <w:r w:rsidDel="00000000" w:rsidR="00000000" w:rsidRPr="00000000">
        <w:rPr>
          <w:rtl w:val="0"/>
        </w:rPr>
        <w:t xml:space="preserve">, pattern-of-drift penalties in the Smart Contract Treasury, and mandatory review protocols are not decorative. They are the institutional equivalent of the DITL hardware: the minimum specification for governance integrity in the domain where physics cannot reach. The adversary who captures an institution finds the hardware waiting. The adversary who captures the hardware finds the institution already compromised. The framework's resilience depends on neither failing before the other.</w:t>
      </w:r>
    </w:p>
    <w:p w:rsidR="00000000" w:rsidDel="00000000" w:rsidP="00000000" w:rsidRDefault="00000000" w:rsidRPr="00000000" w14:paraId="00000462">
      <w:pPr>
        <w:pStyle w:val="Heading1"/>
        <w:keepNext w:val="0"/>
        <w:keepLines w:val="0"/>
        <w:spacing w:before="480" w:lineRule="auto"/>
        <w:rPr>
          <w:b w:val="1"/>
          <w:bCs w:val="1"/>
          <w:sz w:val="46"/>
          <w:szCs w:val="46"/>
        </w:rPr>
      </w:pPr>
      <w:bookmarkStart w:colFirst="0" w:colLast="0" w:name="_bmsb6pu9dq48" w:id="147"/>
      <w:bookmarkEnd w:id="147"/>
      <w:r w:rsidDel="00000000" w:rsidR="00000000" w:rsidRPr="00000000">
        <w:rPr>
          <w:b w:val="1"/>
          <w:bCs w:val="1"/>
          <w:sz w:val="46"/>
          <w:szCs w:val="46"/>
          <w:rtl w:val="0"/>
        </w:rPr>
        <w:t xml:space="preserve">SECTION 11: POST-QUANTUM CRYPTOGRAPHIC MIGRATION</w:t>
      </w:r>
    </w:p>
    <w:p w:rsidR="00000000" w:rsidDel="00000000" w:rsidP="00000000" w:rsidRDefault="00000000" w:rsidRPr="00000000" w14:paraId="00000463">
      <w:pPr>
        <w:pStyle w:val="Heading2"/>
        <w:keepNext w:val="0"/>
        <w:keepLines w:val="0"/>
        <w:spacing w:after="80" w:lineRule="auto"/>
        <w:rPr>
          <w:b w:val="1"/>
          <w:bCs w:val="1"/>
          <w:sz w:val="34"/>
          <w:szCs w:val="34"/>
        </w:rPr>
      </w:pPr>
      <w:bookmarkStart w:colFirst="0" w:colLast="0" w:name="_zti59w4s0ob" w:id="148"/>
      <w:bookmarkEnd w:id="148"/>
      <w:r w:rsidDel="00000000" w:rsidR="00000000" w:rsidRPr="00000000">
        <w:rPr>
          <w:b w:val="1"/>
          <w:bCs w:val="1"/>
          <w:sz w:val="34"/>
          <w:szCs w:val="34"/>
          <w:rtl w:val="0"/>
        </w:rPr>
        <w:t xml:space="preserve">11.0 Overview</w:t>
      </w:r>
    </w:p>
    <w:p w:rsidR="00000000" w:rsidDel="00000000" w:rsidP="00000000" w:rsidRDefault="00000000" w:rsidRPr="00000000" w14:paraId="00000464">
      <w:pPr>
        <w:spacing w:after="240" w:before="240" w:lineRule="auto"/>
        <w:rPr>
          <w:color w:val="1155cc"/>
          <w:u w:val="single"/>
        </w:rPr>
      </w:pPr>
      <w:r w:rsidDel="00000000" w:rsidR="00000000" w:rsidRPr="00000000">
        <w:rPr>
          <w:rtl w:val="0"/>
        </w:rPr>
        <w:t xml:space="preserve">The cryptographic infrastructure of Ternary Logic was designed to satisfy the security requirements of the present. The post-quantum migration protocol specified in this Section ensures that it continues to satisfy those requirements through the 2032 to 2040 vulnerability window and beyond.</w:t>
      </w:r>
      <w:hyperlink r:id="rId974">
        <w:r w:rsidDel="00000000" w:rsidR="00000000" w:rsidRPr="00000000">
          <w:rPr>
            <w:rtl w:val="0"/>
          </w:rPr>
          <w:t xml:space="preserve"> </w:t>
        </w:r>
      </w:hyperlink>
      <w:hyperlink r:id="rId975">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65">
      <w:pPr>
        <w:spacing w:after="240" w:before="240" w:lineRule="auto"/>
        <w:rPr>
          <w:color w:val="1155cc"/>
          <w:u w:val="single"/>
        </w:rPr>
      </w:pPr>
      <w:r w:rsidDel="00000000" w:rsidR="00000000" w:rsidRPr="00000000">
        <w:rPr>
          <w:rtl w:val="0"/>
        </w:rPr>
        <w:t xml:space="preserve">The migration challenge is not merely technical. It is governance-critical.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contains a complete historical record of every Decision Log, every </w:t>
      </w:r>
      <w:r w:rsidDel="00000000" w:rsidR="00000000" w:rsidRPr="00000000">
        <w:rPr>
          <w:rFonts w:ascii="Roboto Mono" w:cs="Roboto Mono" w:eastAsia="Roboto Mono" w:hAnsi="Roboto Mono"/>
          <w:color w:val="188038"/>
          <w:rtl w:val="0"/>
        </w:rPr>
        <w:t xml:space="preserve">PermissionToken_v1_0_0</w:t>
      </w:r>
      <w:r w:rsidDel="00000000" w:rsidR="00000000" w:rsidRPr="00000000">
        <w:rPr>
          <w:rtl w:val="0"/>
        </w:rPr>
        <w:t xml:space="preserve">, and every governance determination since framework deployment. That record is anchored to public blockchains through ECDSA signatures. If quantum computers achieve sufficient capability to break ECDSA through Shor's algorithm, those historical anchors become forgeable. A regulator examining a ten-year-old governance record via </w:t>
      </w:r>
      <w:r w:rsidDel="00000000" w:rsidR="00000000" w:rsidRPr="00000000">
        <w:rPr>
          <w:rFonts w:ascii="Roboto Mono" w:cs="Roboto Mono" w:eastAsia="Roboto Mono" w:hAnsi="Roboto Mono"/>
          <w:color w:val="188038"/>
          <w:rtl w:val="0"/>
        </w:rPr>
        <w:t xml:space="preserve">GET /audit/verifications/inclusion/{logId}</w:t>
      </w:r>
      <w:r w:rsidDel="00000000" w:rsidR="00000000" w:rsidRPr="00000000">
        <w:rPr>
          <w:rtl w:val="0"/>
        </w:rPr>
        <w:t xml:space="preserve"> cannot verify that the record is authentic if the cryptographic signatures that authenticated it can be retroactively forged. The entire evidentiary foundation of the framework becomes unreliable.</w:t>
      </w:r>
      <w:hyperlink r:id="rId976">
        <w:r w:rsidDel="00000000" w:rsidR="00000000" w:rsidRPr="00000000">
          <w:rPr>
            <w:rtl w:val="0"/>
          </w:rPr>
          <w:t xml:space="preserve"> </w:t>
        </w:r>
      </w:hyperlink>
      <w:hyperlink r:id="rId977">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66">
      <w:pPr>
        <w:spacing w:after="240" w:before="240" w:lineRule="auto"/>
        <w:rPr/>
      </w:pPr>
      <w:r w:rsidDel="00000000" w:rsidR="00000000" w:rsidRPr="00000000">
        <w:rPr>
          <w:rtl w:val="0"/>
        </w:rPr>
        <w:t xml:space="preserve">This is not a future threat to future records. Harvest-now-decrypt-later attacks are already underway. Nation-state intelligence services are systematically collecting encrypted communications and blockchain signatures today, with the expectation that quantum computers will eventually enable retroactive forgery of any ECDSA-signed record collected before the migration. Every day that TL operates without the hybrid signature protocol is a day that its historical governance record accumulates quantum-vulnerable anchors.</w:t>
      </w:r>
    </w:p>
    <w:p w:rsidR="00000000" w:rsidDel="00000000" w:rsidP="00000000" w:rsidRDefault="00000000" w:rsidRPr="00000000" w14:paraId="00000467">
      <w:pPr>
        <w:spacing w:after="240" w:before="240" w:lineRule="auto"/>
        <w:rPr>
          <w:color w:val="1155cc"/>
          <w:u w:val="single"/>
        </w:rPr>
      </w:pPr>
      <w:r w:rsidDel="00000000" w:rsidR="00000000" w:rsidRPr="00000000">
        <w:rPr>
          <w:rtl w:val="0"/>
        </w:rPr>
        <w:t xml:space="preserve">Section 11 specifies the complete migration architecture: the algorithm selection rationale, the hybrid signature protocol that preserves Merkle chain continuity during the transition, the automatic trigger system that prevents institutional delay, the multi-chain anchoring redundancy during quantum transition, and the constitutional agility protocol that embeds post-quantum readiness into the framework's operational schema from initial deployment.</w:t>
      </w:r>
      <w:hyperlink r:id="rId978">
        <w:r w:rsidDel="00000000" w:rsidR="00000000" w:rsidRPr="00000000">
          <w:rPr>
            <w:rtl w:val="0"/>
          </w:rPr>
          <w:t xml:space="preserve"> </w:t>
        </w:r>
      </w:hyperlink>
      <w:hyperlink r:id="rId979">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68">
      <w:pPr>
        <w:pStyle w:val="Heading2"/>
        <w:keepNext w:val="0"/>
        <w:keepLines w:val="0"/>
        <w:spacing w:after="80" w:lineRule="auto"/>
        <w:rPr>
          <w:b w:val="1"/>
          <w:bCs w:val="1"/>
          <w:sz w:val="34"/>
          <w:szCs w:val="34"/>
        </w:rPr>
      </w:pPr>
      <w:bookmarkStart w:colFirst="0" w:colLast="0" w:name="_jurat78zcznt" w:id="149"/>
      <w:bookmarkEnd w:id="149"/>
      <w:r w:rsidDel="00000000" w:rsidR="00000000" w:rsidRPr="00000000">
        <w:rPr>
          <w:b w:val="1"/>
          <w:bCs w:val="1"/>
          <w:sz w:val="34"/>
          <w:szCs w:val="34"/>
          <w:rtl w:val="0"/>
        </w:rPr>
        <w:t xml:space="preserve">11.1 The Quantum Threat Landscape</w:t>
      </w:r>
    </w:p>
    <w:p w:rsidR="00000000" w:rsidDel="00000000" w:rsidP="00000000" w:rsidRDefault="00000000" w:rsidRPr="00000000" w14:paraId="00000469">
      <w:pPr>
        <w:pStyle w:val="Heading3"/>
        <w:keepNext w:val="0"/>
        <w:keepLines w:val="0"/>
        <w:spacing w:before="280" w:lineRule="auto"/>
        <w:rPr>
          <w:b w:val="1"/>
          <w:bCs w:val="1"/>
          <w:color w:val="000000"/>
          <w:sz w:val="26"/>
          <w:szCs w:val="26"/>
        </w:rPr>
      </w:pPr>
      <w:bookmarkStart w:colFirst="0" w:colLast="0" w:name="_jxorn69gb7ie" w:id="150"/>
      <w:bookmarkEnd w:id="150"/>
      <w:r w:rsidDel="00000000" w:rsidR="00000000" w:rsidRPr="00000000">
        <w:rPr>
          <w:b w:val="1"/>
          <w:bCs w:val="1"/>
          <w:color w:val="000000"/>
          <w:sz w:val="26"/>
          <w:szCs w:val="26"/>
          <w:rtl w:val="0"/>
        </w:rPr>
        <w:t xml:space="preserve">11.1.1 Hash Function Resilience</w:t>
      </w:r>
    </w:p>
    <w:p w:rsidR="00000000" w:rsidDel="00000000" w:rsidP="00000000" w:rsidRDefault="00000000" w:rsidRPr="00000000" w14:paraId="0000046A">
      <w:pPr>
        <w:spacing w:after="240" w:before="240" w:lineRule="auto"/>
        <w:rPr>
          <w:color w:val="1155cc"/>
          <w:u w:val="single"/>
        </w:rPr>
      </w:pPr>
      <w:r w:rsidDel="00000000" w:rsidR="00000000" w:rsidRPr="00000000">
        <w:rPr>
          <w:rtl w:val="0"/>
        </w:rPr>
        <w:t xml:space="preserve">SHA-256 and BLAKE3-256, the hash algorithms used for Merkle tree construction and Decision Log anchoring, retain post-quantum security against Grover's algorithm. A quantum computer running Grover's algorithm reduces the effective security of a 256-bit hash from 256 bits to 128 bits.</w:t>
      </w:r>
      <w:hyperlink r:id="rId980">
        <w:r w:rsidDel="00000000" w:rsidR="00000000" w:rsidRPr="00000000">
          <w:rPr>
            <w:rtl w:val="0"/>
          </w:rPr>
          <w:t xml:space="preserve"> </w:t>
        </w:r>
      </w:hyperlink>
      <w:hyperlink r:id="rId981">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6B">
      <w:pPr>
        <w:spacing w:after="240" w:before="240" w:lineRule="auto"/>
        <w:rPr>
          <w:color w:val="1155cc"/>
          <w:u w:val="single"/>
        </w:rPr>
      </w:pPr>
      <w:r w:rsidDel="00000000" w:rsidR="00000000" w:rsidRPr="00000000">
        <w:rPr>
          <w:rtl w:val="0"/>
        </w:rPr>
        <w:t xml:space="preserve">The 128-bit quantum security margin is computationally infeasible under any optimistic estimate of near-term quantum computing progress. The hash algorithms used in </w:t>
      </w:r>
      <w:r w:rsidDel="00000000" w:rsidR="00000000" w:rsidRPr="00000000">
        <w:rPr>
          <w:rFonts w:ascii="Roboto Mono" w:cs="Roboto Mono" w:eastAsia="Roboto Mono" w:hAnsi="Roboto Mono"/>
          <w:color w:val="188038"/>
          <w:rtl w:val="0"/>
        </w:rPr>
        <w:t xml:space="preserve">AuditProof_v1_0_0.logHash</w:t>
      </w:r>
      <w:r w:rsidDel="00000000" w:rsidR="00000000" w:rsidRPr="00000000">
        <w:rPr>
          <w:rtl w:val="0"/>
        </w:rPr>
        <w:t xml:space="preserve"> and the Merkle root computations do not require immediate replacement.</w:t>
      </w:r>
      <w:hyperlink r:id="rId982">
        <w:r w:rsidDel="00000000" w:rsidR="00000000" w:rsidRPr="00000000">
          <w:rPr>
            <w:rtl w:val="0"/>
          </w:rPr>
          <w:t xml:space="preserve"> </w:t>
        </w:r>
      </w:hyperlink>
      <w:hyperlink r:id="rId983">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6C">
      <w:pPr>
        <w:pStyle w:val="Heading3"/>
        <w:keepNext w:val="0"/>
        <w:keepLines w:val="0"/>
        <w:spacing w:before="280" w:lineRule="auto"/>
        <w:rPr>
          <w:b w:val="1"/>
          <w:bCs w:val="1"/>
          <w:color w:val="000000"/>
          <w:sz w:val="26"/>
          <w:szCs w:val="26"/>
        </w:rPr>
      </w:pPr>
      <w:bookmarkStart w:colFirst="0" w:colLast="0" w:name="_gx3a4yco37ev" w:id="151"/>
      <w:bookmarkEnd w:id="151"/>
      <w:r w:rsidDel="00000000" w:rsidR="00000000" w:rsidRPr="00000000">
        <w:rPr>
          <w:b w:val="1"/>
          <w:bCs w:val="1"/>
          <w:color w:val="000000"/>
          <w:sz w:val="26"/>
          <w:szCs w:val="26"/>
          <w:rtl w:val="0"/>
        </w:rPr>
        <w:t xml:space="preserve">11.1.2 ECDSA Vulnerability</w:t>
      </w:r>
    </w:p>
    <w:p w:rsidR="00000000" w:rsidDel="00000000" w:rsidP="00000000" w:rsidRDefault="00000000" w:rsidRPr="00000000" w14:paraId="0000046D">
      <w:pPr>
        <w:spacing w:after="240" w:before="240" w:lineRule="auto"/>
        <w:rPr>
          <w:color w:val="1155cc"/>
          <w:u w:val="single"/>
        </w:rPr>
      </w:pPr>
      <w:r w:rsidDel="00000000" w:rsidR="00000000" w:rsidRPr="00000000">
        <w:rPr>
          <w:rtl w:val="0"/>
        </w:rPr>
        <w:t xml:space="preserve">ECDSA - the elliptic curve digital signature algorithm used for </w:t>
      </w:r>
      <w:r w:rsidDel="00000000" w:rsidR="00000000" w:rsidRPr="00000000">
        <w:rPr>
          <w:rFonts w:ascii="Roboto Mono" w:cs="Roboto Mono" w:eastAsia="Roboto Mono" w:hAnsi="Roboto Mono"/>
          <w:color w:val="188038"/>
          <w:rtl w:val="0"/>
        </w:rPr>
        <w:t xml:space="preserve">PermissionToken_v1_0_0</w:t>
      </w:r>
      <w:r w:rsidDel="00000000" w:rsidR="00000000" w:rsidRPr="00000000">
        <w:rPr>
          <w:rtl w:val="0"/>
        </w:rPr>
        <w:t xml:space="preserve"> signatures, </w:t>
      </w:r>
      <w:r w:rsidDel="00000000" w:rsidR="00000000" w:rsidRPr="00000000">
        <w:rPr>
          <w:rFonts w:ascii="Roboto Mono" w:cs="Roboto Mono" w:eastAsia="Roboto Mono" w:hAnsi="Roboto Mono"/>
          <w:color w:val="188038"/>
          <w:rtl w:val="0"/>
        </w:rPr>
        <w:t xml:space="preserve">TriCameralApproval_v1_0_0</w:t>
      </w:r>
      <w:r w:rsidDel="00000000" w:rsidR="00000000" w:rsidRPr="00000000">
        <w:rPr>
          <w:rtl w:val="0"/>
        </w:rPr>
        <w:t xml:space="preserve"> chamber authentication, and blockchain anchor transactions - does not share this resilience. Shor's algorithm solves the discrete logarithm problem in polynomial time on a sufficiently large fault-tolerant quantum computer.</w:t>
      </w:r>
      <w:hyperlink r:id="rId984">
        <w:r w:rsidDel="00000000" w:rsidR="00000000" w:rsidRPr="00000000">
          <w:rPr>
            <w:rtl w:val="0"/>
          </w:rPr>
          <w:t xml:space="preserve"> </w:t>
        </w:r>
      </w:hyperlink>
      <w:hyperlink r:id="rId985">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6E">
      <w:pPr>
        <w:spacing w:after="240" w:before="240" w:lineRule="auto"/>
        <w:rPr>
          <w:color w:val="1155cc"/>
          <w:u w:val="single"/>
        </w:rPr>
      </w:pPr>
      <w:r w:rsidDel="00000000" w:rsidR="00000000" w:rsidRPr="00000000">
        <w:rPr>
          <w:rtl w:val="0"/>
        </w:rPr>
        <w:t xml:space="preserve">The security reduction is total, not partial. Whereas Grover's algorithm reduces hash security by a square root factor, Shor's algorithm reduces ECDSA security to zero once sufficient quantum hardware exists. An attacker with a cryptographically relevant quantum computer can derive the private signing key from any observed public key, forge arbitrary signatures on any message, and retroactively authenticate any historical record as if signed by the legitimate private key holder. For TL's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this means that ECDSA-signed anchors on Bitcoin, Ethereum, and Polygon become forgeable - verifiable via </w:t>
      </w:r>
      <w:r w:rsidDel="00000000" w:rsidR="00000000" w:rsidRPr="00000000">
        <w:rPr>
          <w:rFonts w:ascii="Roboto Mono" w:cs="Roboto Mono" w:eastAsia="Roboto Mono" w:hAnsi="Roboto Mono"/>
          <w:color w:val="188038"/>
          <w:rtl w:val="0"/>
        </w:rPr>
        <w:t xml:space="preserve">GET /audit/verifications/merkle/{merkleRoot}</w:t>
      </w:r>
      <w:r w:rsidDel="00000000" w:rsidR="00000000" w:rsidRPr="00000000">
        <w:rPr>
          <w:rtl w:val="0"/>
        </w:rPr>
        <w:t xml:space="preserve"> in a way that cannot distinguish authentic from forged.</w:t>
      </w:r>
      <w:hyperlink r:id="rId986">
        <w:r w:rsidDel="00000000" w:rsidR="00000000" w:rsidRPr="00000000">
          <w:rPr>
            <w:rtl w:val="0"/>
          </w:rPr>
          <w:t xml:space="preserve"> </w:t>
        </w:r>
      </w:hyperlink>
      <w:hyperlink r:id="rId987">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6F">
      <w:pPr>
        <w:pStyle w:val="Heading3"/>
        <w:keepNext w:val="0"/>
        <w:keepLines w:val="0"/>
        <w:spacing w:before="280" w:lineRule="auto"/>
        <w:rPr>
          <w:b w:val="1"/>
          <w:bCs w:val="1"/>
          <w:color w:val="000000"/>
          <w:sz w:val="26"/>
          <w:szCs w:val="26"/>
        </w:rPr>
      </w:pPr>
      <w:bookmarkStart w:colFirst="0" w:colLast="0" w:name="_bvgdyna2ikp" w:id="152"/>
      <w:bookmarkEnd w:id="152"/>
      <w:r w:rsidDel="00000000" w:rsidR="00000000" w:rsidRPr="00000000">
        <w:rPr>
          <w:b w:val="1"/>
          <w:bCs w:val="1"/>
          <w:color w:val="000000"/>
          <w:sz w:val="26"/>
          <w:szCs w:val="26"/>
          <w:rtl w:val="0"/>
        </w:rPr>
        <w:t xml:space="preserve">11.1.3 The Harvest-Now-Decrypt-Later Threat</w:t>
      </w:r>
    </w:p>
    <w:p w:rsidR="00000000" w:rsidDel="00000000" w:rsidP="00000000" w:rsidRDefault="00000000" w:rsidRPr="00000000" w14:paraId="00000470">
      <w:pPr>
        <w:spacing w:after="240" w:before="240" w:lineRule="auto"/>
        <w:rPr>
          <w:color w:val="1155cc"/>
          <w:u w:val="single"/>
        </w:rPr>
      </w:pPr>
      <w:r w:rsidDel="00000000" w:rsidR="00000000" w:rsidRPr="00000000">
        <w:rPr>
          <w:rtl w:val="0"/>
        </w:rPr>
        <w:t xml:space="preserve">The harvest-now-decrypt-later attack is already operationally active. Nation-state intelligence services are collecting all publicly accessible ECDSA-signed data today - including all blockchain transactions visible through </w:t>
      </w:r>
      <w:r w:rsidDel="00000000" w:rsidR="00000000" w:rsidRPr="00000000">
        <w:rPr>
          <w:rFonts w:ascii="Roboto Mono" w:cs="Roboto Mono" w:eastAsia="Roboto Mono" w:hAnsi="Roboto Mono"/>
          <w:color w:val="188038"/>
          <w:rtl w:val="0"/>
        </w:rPr>
        <w:t xml:space="preserve">GET /audit/verifications/merkle/{merkleRoot}</w:t>
      </w:r>
      <w:r w:rsidDel="00000000" w:rsidR="00000000" w:rsidRPr="00000000">
        <w:rPr>
          <w:rtl w:val="0"/>
        </w:rPr>
        <w:t xml:space="preserve"> - with the expectation that sufficiently capable quantum hardware will become available within the decade. Every ECDSA anchor generated before hybrid activation is permanently quantum-vulnerable regardless of when quantum hardware actually arrives.</w:t>
      </w:r>
      <w:hyperlink r:id="rId988">
        <w:r w:rsidDel="00000000" w:rsidR="00000000" w:rsidRPr="00000000">
          <w:rPr>
            <w:rtl w:val="0"/>
          </w:rPr>
          <w:t xml:space="preserve"> </w:t>
        </w:r>
      </w:hyperlink>
      <w:hyperlink r:id="rId989">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71">
      <w:pPr>
        <w:spacing w:after="240" w:before="240" w:lineRule="auto"/>
        <w:rPr/>
      </w:pPr>
      <w:r w:rsidDel="00000000" w:rsidR="00000000" w:rsidRPr="00000000">
        <w:rPr>
          <w:rtl w:val="0"/>
        </w:rPr>
        <w:t xml:space="preserve">An institution that delays hybrid activation by one year generates approximately 31,536,000 additional seconds of quantum-vulnerable anchor accumulation. The automatic trigger system specified in Section 11.4 removes institutional discretion from the activation decision, preventing the economic and operational pressures that would otherwise cause deferral.</w:t>
      </w:r>
    </w:p>
    <w:p w:rsidR="00000000" w:rsidDel="00000000" w:rsidP="00000000" w:rsidRDefault="00000000" w:rsidRPr="00000000" w14:paraId="00000472">
      <w:pPr>
        <w:pStyle w:val="Heading3"/>
        <w:keepNext w:val="0"/>
        <w:keepLines w:val="0"/>
        <w:spacing w:before="280" w:lineRule="auto"/>
        <w:rPr>
          <w:b w:val="1"/>
          <w:bCs w:val="1"/>
          <w:color w:val="000000"/>
          <w:sz w:val="26"/>
          <w:szCs w:val="26"/>
        </w:rPr>
      </w:pPr>
      <w:bookmarkStart w:colFirst="0" w:colLast="0" w:name="_lt2hb0wwlo36" w:id="153"/>
      <w:bookmarkEnd w:id="153"/>
      <w:r w:rsidDel="00000000" w:rsidR="00000000" w:rsidRPr="00000000">
        <w:rPr>
          <w:b w:val="1"/>
          <w:bCs w:val="1"/>
          <w:color w:val="000000"/>
          <w:sz w:val="26"/>
          <w:szCs w:val="26"/>
          <w:rtl w:val="0"/>
        </w:rPr>
        <w:t xml:space="preserve">11.1.4 The Vulnerability Window: 2032 to 2040</w:t>
      </w:r>
    </w:p>
    <w:p w:rsidR="00000000" w:rsidDel="00000000" w:rsidP="00000000" w:rsidRDefault="00000000" w:rsidRPr="00000000" w14:paraId="00000473">
      <w:pPr>
        <w:spacing w:after="240" w:before="240" w:lineRule="auto"/>
        <w:rPr>
          <w:color w:val="1155cc"/>
          <w:u w:val="single"/>
        </w:rPr>
      </w:pPr>
      <w:r w:rsidDel="00000000" w:rsidR="00000000" w:rsidRPr="00000000">
        <w:rPr>
          <w:rtl w:val="0"/>
        </w:rPr>
        <w:t xml:space="preserve">The vulnerability window for ECDSA is estimated at 2032 to 2040. NSA CNSA 2.0 sets 2030 as the mandatory migration deadline for National Security Systems. The UK National Cyber Security Centre has characterized post-quantum cryptography migration as a global-scale change to IT and operational technology systems, noting that hardware roots of trust implementing the NIST post-quantum standards were expected to become available during 2025.</w:t>
      </w:r>
      <w:hyperlink r:id="rId990">
        <w:r w:rsidDel="00000000" w:rsidR="00000000" w:rsidRPr="00000000">
          <w:rPr>
            <w:rtl w:val="0"/>
          </w:rPr>
          <w:t xml:space="preserve"> </w:t>
        </w:r>
      </w:hyperlink>
      <w:hyperlink r:id="rId991">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74">
      <w:pPr>
        <w:spacing w:after="240" w:before="240" w:lineRule="auto"/>
        <w:rPr/>
      </w:pPr>
      <w:r w:rsidDel="00000000" w:rsidR="00000000" w:rsidRPr="00000000">
        <w:rPr>
          <w:rtl w:val="0"/>
        </w:rPr>
        <w:t xml:space="preserve">The 2030 NSA deadline implies that TL deployments should initiate hybrid signature mode no later than 2028, providing a two-year buffer for full migration before projected exposure onset.</w:t>
      </w:r>
    </w:p>
    <w:p w:rsidR="00000000" w:rsidDel="00000000" w:rsidP="00000000" w:rsidRDefault="00000000" w:rsidRPr="00000000" w14:paraId="00000475">
      <w:pPr>
        <w:pStyle w:val="Heading2"/>
        <w:keepNext w:val="0"/>
        <w:keepLines w:val="0"/>
        <w:spacing w:after="80" w:lineRule="auto"/>
        <w:rPr>
          <w:b w:val="1"/>
          <w:bCs w:val="1"/>
          <w:sz w:val="34"/>
          <w:szCs w:val="34"/>
        </w:rPr>
      </w:pPr>
      <w:bookmarkStart w:colFirst="0" w:colLast="0" w:name="_32be1he2md1i" w:id="154"/>
      <w:bookmarkEnd w:id="154"/>
      <w:r w:rsidDel="00000000" w:rsidR="00000000" w:rsidRPr="00000000">
        <w:rPr>
          <w:b w:val="1"/>
          <w:bCs w:val="1"/>
          <w:sz w:val="34"/>
          <w:szCs w:val="34"/>
          <w:rtl w:val="0"/>
        </w:rPr>
        <w:t xml:space="preserve">11.2 NIST Post-Quantum Algorithm Standards</w:t>
      </w:r>
    </w:p>
    <w:p w:rsidR="00000000" w:rsidDel="00000000" w:rsidP="00000000" w:rsidRDefault="00000000" w:rsidRPr="00000000" w14:paraId="00000476">
      <w:pPr>
        <w:spacing w:after="240" w:before="240" w:lineRule="auto"/>
        <w:rPr>
          <w:color w:val="1155cc"/>
          <w:u w:val="single"/>
        </w:rPr>
      </w:pPr>
      <w:r w:rsidDel="00000000" w:rsidR="00000000" w:rsidRPr="00000000">
        <w:rPr>
          <w:rtl w:val="0"/>
        </w:rPr>
        <w:t xml:space="preserve">NIST finalized three post-quantum cryptographic standards in August 2024. These standards represent the outcome of an eight-year international evaluation process assessing over sixty candidate algorithms across three submission rounds.</w:t>
      </w:r>
      <w:hyperlink r:id="rId992">
        <w:r w:rsidDel="00000000" w:rsidR="00000000" w:rsidRPr="00000000">
          <w:rPr>
            <w:rtl w:val="0"/>
          </w:rPr>
          <w:t xml:space="preserve"> </w:t>
        </w:r>
      </w:hyperlink>
      <w:hyperlink r:id="rId993">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77">
      <w:pPr>
        <w:pStyle w:val="Heading3"/>
        <w:keepNext w:val="0"/>
        <w:keepLines w:val="0"/>
        <w:spacing w:before="280" w:lineRule="auto"/>
        <w:rPr>
          <w:b w:val="1"/>
          <w:bCs w:val="1"/>
          <w:color w:val="000000"/>
          <w:sz w:val="26"/>
          <w:szCs w:val="26"/>
        </w:rPr>
      </w:pPr>
      <w:bookmarkStart w:colFirst="0" w:colLast="0" w:name="_xvxnb7qnkctl" w:id="155"/>
      <w:bookmarkEnd w:id="155"/>
      <w:r w:rsidDel="00000000" w:rsidR="00000000" w:rsidRPr="00000000">
        <w:rPr>
          <w:b w:val="1"/>
          <w:bCs w:val="1"/>
          <w:color w:val="000000"/>
          <w:sz w:val="26"/>
          <w:szCs w:val="26"/>
          <w:rtl w:val="0"/>
        </w:rPr>
        <w:t xml:space="preserve">11.2.1 FIPS 203: ML-KEM-1024</w:t>
      </w:r>
    </w:p>
    <w:p w:rsidR="00000000" w:rsidDel="00000000" w:rsidP="00000000" w:rsidRDefault="00000000" w:rsidRPr="00000000" w14:paraId="00000478">
      <w:pPr>
        <w:spacing w:after="240" w:before="240" w:lineRule="auto"/>
        <w:rPr>
          <w:color w:val="1155cc"/>
          <w:u w:val="single"/>
        </w:rPr>
      </w:pPr>
      <w:r w:rsidDel="00000000" w:rsidR="00000000" w:rsidRPr="00000000">
        <w:rPr>
          <w:rtl w:val="0"/>
        </w:rPr>
        <w:t xml:space="preserve">FIPS 203 specifies Module-Lattice-Based Key-Encapsulation Mechanism, derived from CRYSTALS-Kyber. ML-KEM-1024 is the highest security parameter set, providing security equivalent to AES-256 against both classical and quantum attacks.</w:t>
      </w:r>
      <w:hyperlink r:id="rId994">
        <w:r w:rsidDel="00000000" w:rsidR="00000000" w:rsidRPr="00000000">
          <w:rPr>
            <w:rtl w:val="0"/>
          </w:rPr>
          <w:t xml:space="preserve"> </w:t>
        </w:r>
      </w:hyperlink>
      <w:hyperlink r:id="rId995">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79">
      <w:pPr>
        <w:spacing w:after="240" w:before="240" w:lineRule="auto"/>
        <w:rPr>
          <w:color w:val="1155cc"/>
          <w:u w:val="single"/>
        </w:rPr>
      </w:pPr>
      <w:r w:rsidDel="00000000" w:rsidR="00000000" w:rsidRPr="00000000">
        <w:rPr>
          <w:rtl w:val="0"/>
        </w:rPr>
        <w:t xml:space="preserve">ML-KEM-1024 is used in TL for key encapsulation operations during the EKR ceremony documented in </w:t>
      </w:r>
      <w:r w:rsidDel="00000000" w:rsidR="00000000" w:rsidRPr="00000000">
        <w:rPr>
          <w:rFonts w:ascii="Roboto Mono" w:cs="Roboto Mono" w:eastAsia="Roboto Mono" w:hAnsi="Roboto Mono"/>
          <w:color w:val="188038"/>
          <w:rtl w:val="0"/>
        </w:rPr>
        <w:t xml:space="preserve">EKRRecord_v1_0_0</w:t>
      </w:r>
      <w:r w:rsidDel="00000000" w:rsidR="00000000" w:rsidRPr="00000000">
        <w:rPr>
          <w:rtl w:val="0"/>
        </w:rPr>
        <w:t xml:space="preserve">: establishing the shared secret from which the ephemeral session key is derived. The algorithm produces public keys of approximately 1568 bytes and ciphertexts of approximately 1568 bytes. The </w:t>
      </w:r>
      <w:r w:rsidDel="00000000" w:rsidR="00000000" w:rsidRPr="00000000">
        <w:rPr>
          <w:rFonts w:ascii="Roboto Mono" w:cs="Roboto Mono" w:eastAsia="Roboto Mono" w:hAnsi="Roboto Mono"/>
          <w:color w:val="188038"/>
          <w:rtl w:val="0"/>
        </w:rPr>
        <w:t xml:space="preserve">signatureBlock.pqcMigrationSlots</w:t>
      </w:r>
      <w:r w:rsidDel="00000000" w:rsidR="00000000" w:rsidRPr="00000000">
        <w:rPr>
          <w:rtl w:val="0"/>
        </w:rPr>
        <w:t xml:space="preserve"> array in </w:t>
      </w:r>
      <w:r w:rsidDel="00000000" w:rsidR="00000000" w:rsidRPr="00000000">
        <w:rPr>
          <w:rFonts w:ascii="Roboto Mono" w:cs="Roboto Mono" w:eastAsia="Roboto Mono" w:hAnsi="Roboto Mono"/>
          <w:color w:val="188038"/>
          <w:rtl w:val="0"/>
        </w:rPr>
        <w:t xml:space="preserve">GoukassianPrincipleBlock_v1_0_0</w:t>
      </w:r>
      <w:r w:rsidDel="00000000" w:rsidR="00000000" w:rsidRPr="00000000">
        <w:rPr>
          <w:rtl w:val="0"/>
        </w:rPr>
        <w:t xml:space="preserve"> reserves slot 7 specifically for </w:t>
      </w:r>
      <w:r w:rsidDel="00000000" w:rsidR="00000000" w:rsidRPr="00000000">
        <w:rPr>
          <w:rFonts w:ascii="Roboto Mono" w:cs="Roboto Mono" w:eastAsia="Roboto Mono" w:hAnsi="Roboto Mono"/>
          <w:color w:val="188038"/>
          <w:rtl w:val="0"/>
        </w:rPr>
        <w:t xml:space="preserve">ML-KEM-1024</w:t>
      </w:r>
      <w:r w:rsidDel="00000000" w:rsidR="00000000" w:rsidRPr="00000000">
        <w:rPr>
          <w:rtl w:val="0"/>
        </w:rPr>
        <w:t xml:space="preserve">.</w:t>
      </w:r>
      <w:hyperlink r:id="rId996">
        <w:r w:rsidDel="00000000" w:rsidR="00000000" w:rsidRPr="00000000">
          <w:rPr>
            <w:rtl w:val="0"/>
          </w:rPr>
          <w:t xml:space="preserve"> </w:t>
        </w:r>
      </w:hyperlink>
      <w:hyperlink r:id="rId997">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47A">
      <w:pPr>
        <w:pStyle w:val="Heading3"/>
        <w:keepNext w:val="0"/>
        <w:keepLines w:val="0"/>
        <w:spacing w:before="280" w:lineRule="auto"/>
        <w:rPr>
          <w:b w:val="1"/>
          <w:bCs w:val="1"/>
          <w:color w:val="000000"/>
          <w:sz w:val="26"/>
          <w:szCs w:val="26"/>
        </w:rPr>
      </w:pPr>
      <w:bookmarkStart w:colFirst="0" w:colLast="0" w:name="_47eiuteridfl" w:id="156"/>
      <w:bookmarkEnd w:id="156"/>
      <w:r w:rsidDel="00000000" w:rsidR="00000000" w:rsidRPr="00000000">
        <w:rPr>
          <w:b w:val="1"/>
          <w:bCs w:val="1"/>
          <w:color w:val="000000"/>
          <w:sz w:val="26"/>
          <w:szCs w:val="26"/>
          <w:rtl w:val="0"/>
        </w:rPr>
        <w:t xml:space="preserve">11.2.2 FIPS 204: ML-DSA (Dilithium)</w:t>
      </w:r>
    </w:p>
    <w:p w:rsidR="00000000" w:rsidDel="00000000" w:rsidP="00000000" w:rsidRDefault="00000000" w:rsidRPr="00000000" w14:paraId="0000047B">
      <w:pPr>
        <w:spacing w:after="240" w:before="240" w:lineRule="auto"/>
        <w:rPr>
          <w:color w:val="1155cc"/>
          <w:u w:val="single"/>
        </w:rPr>
      </w:pPr>
      <w:r w:rsidDel="00000000" w:rsidR="00000000" w:rsidRPr="00000000">
        <w:rPr>
          <w:rtl w:val="0"/>
        </w:rPr>
        <w:t xml:space="preserve">FIPS 204 specifies Module-Lattice-Based Digital Signature Standard, derived from CRYSTALS-Dilithium. ML-DSA is the primary post-quantum digital signature standard and the direct replacement for ECDSA in TL's </w:t>
      </w:r>
      <w:r w:rsidDel="00000000" w:rsidR="00000000" w:rsidRPr="00000000">
        <w:rPr>
          <w:rFonts w:ascii="Roboto Mono" w:cs="Roboto Mono" w:eastAsia="Roboto Mono" w:hAnsi="Roboto Mono"/>
          <w:color w:val="188038"/>
          <w:rtl w:val="0"/>
        </w:rPr>
        <w:t xml:space="preserve">PermissionToken_v1_0_0</w:t>
      </w:r>
      <w:r w:rsidDel="00000000" w:rsidR="00000000" w:rsidRPr="00000000">
        <w:rPr>
          <w:rtl w:val="0"/>
        </w:rPr>
        <w:t xml:space="preserve"> signing, </w:t>
      </w:r>
      <w:r w:rsidDel="00000000" w:rsidR="00000000" w:rsidRPr="00000000">
        <w:rPr>
          <w:rFonts w:ascii="Roboto Mono" w:cs="Roboto Mono" w:eastAsia="Roboto Mono" w:hAnsi="Roboto Mono"/>
          <w:color w:val="188038"/>
          <w:rtl w:val="0"/>
        </w:rPr>
        <w:t xml:space="preserve">TriCameralApproval_v1_0_0</w:t>
      </w:r>
      <w:r w:rsidDel="00000000" w:rsidR="00000000" w:rsidRPr="00000000">
        <w:rPr>
          <w:rtl w:val="0"/>
        </w:rPr>
        <w:t xml:space="preserve"> chamber authentication, and blockchain anchor transactions.</w:t>
      </w:r>
      <w:hyperlink r:id="rId998">
        <w:r w:rsidDel="00000000" w:rsidR="00000000" w:rsidRPr="00000000">
          <w:rPr>
            <w:rtl w:val="0"/>
          </w:rPr>
          <w:t xml:space="preserve"> </w:t>
        </w:r>
      </w:hyperlink>
      <w:hyperlink r:id="rId999">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7C">
      <w:pPr>
        <w:spacing w:after="240" w:before="240" w:lineRule="auto"/>
        <w:rPr>
          <w:color w:val="1155cc"/>
          <w:u w:val="single"/>
        </w:rPr>
      </w:pPr>
      <w:r w:rsidDel="00000000" w:rsidR="00000000" w:rsidRPr="00000000">
        <w:rPr>
          <w:rtl w:val="0"/>
        </w:rPr>
        <w:t xml:space="preserve">ML-DSA at the highest security parameter set produces signatures of approximately 4627 bytes - significantly larger than the 64-byte ECDSA signature. The Merkle tree structure accommodates the larger signature sizes because each leaf hash is computed over the complete Decision Log including the full Dilithium signature, so the ledger's proof efficiency is independent of the signature size within the leaf. Blockchain anchor transactions carrying Dilithium signatures incur higher fees, but the anchor frequency - one transaction per three-hundred-second Governance Lane cycle rather than per individual proposal - limits the fee impact to an operationally manageable level.</w:t>
      </w:r>
      <w:hyperlink r:id="rId1000">
        <w:r w:rsidDel="00000000" w:rsidR="00000000" w:rsidRPr="00000000">
          <w:rPr>
            <w:rtl w:val="0"/>
          </w:rPr>
          <w:t xml:space="preserve"> </w:t>
        </w:r>
      </w:hyperlink>
      <w:hyperlink r:id="rId1001">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7D">
      <w:pPr>
        <w:pStyle w:val="Heading3"/>
        <w:keepNext w:val="0"/>
        <w:keepLines w:val="0"/>
        <w:spacing w:before="280" w:lineRule="auto"/>
        <w:rPr>
          <w:b w:val="1"/>
          <w:bCs w:val="1"/>
          <w:color w:val="000000"/>
          <w:sz w:val="26"/>
          <w:szCs w:val="26"/>
        </w:rPr>
      </w:pPr>
      <w:bookmarkStart w:colFirst="0" w:colLast="0" w:name="_jlkmqjybbc3i" w:id="157"/>
      <w:bookmarkEnd w:id="157"/>
      <w:r w:rsidDel="00000000" w:rsidR="00000000" w:rsidRPr="00000000">
        <w:rPr>
          <w:b w:val="1"/>
          <w:bCs w:val="1"/>
          <w:color w:val="000000"/>
          <w:sz w:val="26"/>
          <w:szCs w:val="26"/>
          <w:rtl w:val="0"/>
        </w:rPr>
        <w:t xml:space="preserve">11.2.3 FIPS 205: SLH-DSA-SHAKE-128s</w:t>
      </w:r>
    </w:p>
    <w:p w:rsidR="00000000" w:rsidDel="00000000" w:rsidP="00000000" w:rsidRDefault="00000000" w:rsidRPr="00000000" w14:paraId="0000047E">
      <w:pPr>
        <w:spacing w:after="240" w:before="240" w:lineRule="auto"/>
        <w:rPr>
          <w:color w:val="1155cc"/>
          <w:u w:val="single"/>
        </w:rPr>
      </w:pPr>
      <w:r w:rsidDel="00000000" w:rsidR="00000000" w:rsidRPr="00000000">
        <w:rPr>
          <w:rtl w:val="0"/>
        </w:rPr>
        <w:t xml:space="preserve">FIPS 205 specifies Stateless Hash-Based Digital Signature Standard, derived from SPHINCS+. SLH-DSA provides a hash-based fallback signature for deployments requiring long-term security without state management requirements.</w:t>
      </w:r>
      <w:hyperlink r:id="rId1002">
        <w:r w:rsidDel="00000000" w:rsidR="00000000" w:rsidRPr="00000000">
          <w:rPr>
            <w:rtl w:val="0"/>
          </w:rPr>
          <w:t xml:space="preserve"> </w:t>
        </w:r>
      </w:hyperlink>
      <w:hyperlink r:id="rId1003">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7F">
      <w:pPr>
        <w:spacing w:after="240" w:before="240" w:lineRule="auto"/>
        <w:rPr>
          <w:color w:val="1155cc"/>
          <w:u w:val="single"/>
        </w:rPr>
      </w:pPr>
      <w:r w:rsidDel="00000000" w:rsidR="00000000" w:rsidRPr="00000000">
        <w:rPr>
          <w:rtl w:val="0"/>
        </w:rPr>
        <w:t xml:space="preserve">Hash-based signatures derive their security from the collision resistance of the underlying hash function rather than from algebraic hardness assumptions. Their security is reducible to SHA-256 or SHAKE-128 security, which retains the 128-bit quantum security margin. SLH-DSA-SHAKE-128s is designated as the fallback for Stewardship Custodian chamber signatures in the highest-value governance operations where the conservative security proof justifies the storage overhead of approximately 7856 bytes per signature. It is not the default replacement for ECDSA in routine </w:t>
      </w:r>
      <w:r w:rsidDel="00000000" w:rsidR="00000000" w:rsidRPr="00000000">
        <w:rPr>
          <w:rFonts w:ascii="Roboto Mono" w:cs="Roboto Mono" w:eastAsia="Roboto Mono" w:hAnsi="Roboto Mono"/>
          <w:color w:val="188038"/>
          <w:rtl w:val="0"/>
        </w:rPr>
        <w:t xml:space="preserve">PermissionToken_v1_0_0</w:t>
      </w:r>
      <w:r w:rsidDel="00000000" w:rsidR="00000000" w:rsidRPr="00000000">
        <w:rPr>
          <w:rtl w:val="0"/>
        </w:rPr>
        <w:t xml:space="preserve"> operations.</w:t>
      </w:r>
      <w:hyperlink r:id="rId1004">
        <w:r w:rsidDel="00000000" w:rsidR="00000000" w:rsidRPr="00000000">
          <w:rPr>
            <w:rtl w:val="0"/>
          </w:rPr>
          <w:t xml:space="preserve"> </w:t>
        </w:r>
      </w:hyperlink>
      <w:hyperlink r:id="rId1005">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80">
      <w:pPr>
        <w:spacing w:after="240" w:before="240" w:lineRule="auto"/>
        <w:rPr>
          <w:color w:val="1155cc"/>
          <w:u w:val="single"/>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signatureBlock.pqcMigrationSlots</w:t>
      </w:r>
      <w:r w:rsidDel="00000000" w:rsidR="00000000" w:rsidRPr="00000000">
        <w:rPr>
          <w:rtl w:val="0"/>
        </w:rPr>
        <w:t xml:space="preserve"> array in </w:t>
      </w:r>
      <w:r w:rsidDel="00000000" w:rsidR="00000000" w:rsidRPr="00000000">
        <w:rPr>
          <w:rFonts w:ascii="Roboto Mono" w:cs="Roboto Mono" w:eastAsia="Roboto Mono" w:hAnsi="Roboto Mono"/>
          <w:color w:val="188038"/>
          <w:rtl w:val="0"/>
        </w:rPr>
        <w:t xml:space="preserve">GoukassianPrincipleBlock_v1_0_0</w:t>
      </w:r>
      <w:r w:rsidDel="00000000" w:rsidR="00000000" w:rsidRPr="00000000">
        <w:rPr>
          <w:rtl w:val="0"/>
        </w:rPr>
        <w:t xml:space="preserve"> reserves slot 6 for </w:t>
      </w:r>
      <w:r w:rsidDel="00000000" w:rsidR="00000000" w:rsidRPr="00000000">
        <w:rPr>
          <w:rFonts w:ascii="Roboto Mono" w:cs="Roboto Mono" w:eastAsia="Roboto Mono" w:hAnsi="Roboto Mono"/>
          <w:color w:val="188038"/>
          <w:rtl w:val="0"/>
        </w:rPr>
        <w:t xml:space="preserve">SLH-DSA-SHAKE-128s</w:t>
      </w:r>
      <w:r w:rsidDel="00000000" w:rsidR="00000000" w:rsidRPr="00000000">
        <w:rPr>
          <w:rtl w:val="0"/>
        </w:rPr>
        <w:t xml:space="preserve"> and slot 7 for </w:t>
      </w:r>
      <w:r w:rsidDel="00000000" w:rsidR="00000000" w:rsidRPr="00000000">
        <w:rPr>
          <w:rFonts w:ascii="Roboto Mono" w:cs="Roboto Mono" w:eastAsia="Roboto Mono" w:hAnsi="Roboto Mono"/>
          <w:color w:val="188038"/>
          <w:rtl w:val="0"/>
        </w:rPr>
        <w:t xml:space="preserve">ML-KEM-1024</w:t>
      </w:r>
      <w:r w:rsidDel="00000000" w:rsidR="00000000" w:rsidRPr="00000000">
        <w:rPr>
          <w:rtl w:val="0"/>
        </w:rPr>
        <w:t xml:space="preserve">, aligned with the NIST standards finalized in August 2024. These slots are present in every current TL API interaction, ensuring forward compatibility without requiring a schema update at migration time.</w:t>
      </w:r>
      <w:hyperlink r:id="rId1006">
        <w:r w:rsidDel="00000000" w:rsidR="00000000" w:rsidRPr="00000000">
          <w:rPr>
            <w:rtl w:val="0"/>
          </w:rPr>
          <w:t xml:space="preserve"> </w:t>
        </w:r>
      </w:hyperlink>
      <w:hyperlink r:id="rId1007">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481">
      <w:pPr>
        <w:pStyle w:val="Heading2"/>
        <w:keepNext w:val="0"/>
        <w:keepLines w:val="0"/>
        <w:spacing w:after="80" w:lineRule="auto"/>
        <w:rPr>
          <w:b w:val="1"/>
          <w:bCs w:val="1"/>
          <w:sz w:val="34"/>
          <w:szCs w:val="34"/>
        </w:rPr>
      </w:pPr>
      <w:bookmarkStart w:colFirst="0" w:colLast="0" w:name="_8ewxkesfxfju" w:id="158"/>
      <w:bookmarkEnd w:id="158"/>
      <w:r w:rsidDel="00000000" w:rsidR="00000000" w:rsidRPr="00000000">
        <w:rPr>
          <w:b w:val="1"/>
          <w:bCs w:val="1"/>
          <w:sz w:val="34"/>
          <w:szCs w:val="34"/>
          <w:rtl w:val="0"/>
        </w:rPr>
        <w:t xml:space="preserve">11.3 The Hybrid Signature Protocol</w:t>
      </w:r>
    </w:p>
    <w:p w:rsidR="00000000" w:rsidDel="00000000" w:rsidP="00000000" w:rsidRDefault="00000000" w:rsidRPr="00000000" w14:paraId="00000482">
      <w:pPr>
        <w:spacing w:after="240" w:before="240" w:lineRule="auto"/>
        <w:rPr>
          <w:color w:val="1155cc"/>
          <w:u w:val="single"/>
        </w:rPr>
      </w:pPr>
      <w:r w:rsidDel="00000000" w:rsidR="00000000" w:rsidRPr="00000000">
        <w:rPr>
          <w:rtl w:val="0"/>
        </w:rPr>
        <w:t xml:space="preserve">The central technical challenge of post-quantum migration is preserving the Merkle chain continuity of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across the algorithm transition. A naive migration - replacing ECDSA signatures with Dilithium signatures on a specific cutover date - creates a ledger fork where pre-migration records are verifiable only with ECDSA and post-migration records are verifiable only with Dilithium. The chain of custody becomes ambiguous at the transition point, potentially undermining the evidentiary weight of historical governance records in litigation and regulatory proceedings.</w:t>
      </w:r>
      <w:hyperlink r:id="rId1008">
        <w:r w:rsidDel="00000000" w:rsidR="00000000" w:rsidRPr="00000000">
          <w:rPr>
            <w:rtl w:val="0"/>
          </w:rPr>
          <w:t xml:space="preserve"> </w:t>
        </w:r>
      </w:hyperlink>
      <w:hyperlink r:id="rId1009">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83">
      <w:pPr>
        <w:spacing w:after="240" w:before="240" w:lineRule="auto"/>
        <w:rPr/>
      </w:pPr>
      <w:r w:rsidDel="00000000" w:rsidR="00000000" w:rsidRPr="00000000">
        <w:rPr>
          <w:rtl w:val="0"/>
        </w:rPr>
        <w:t xml:space="preserve">The hybrid signature protocol resolves this by requiring that every </w:t>
      </w:r>
      <w:r w:rsidDel="00000000" w:rsidR="00000000" w:rsidRPr="00000000">
        <w:rPr>
          <w:rFonts w:ascii="Roboto Mono" w:cs="Roboto Mono" w:eastAsia="Roboto Mono" w:hAnsi="Roboto Mono"/>
          <w:color w:val="188038"/>
          <w:rtl w:val="0"/>
        </w:rPr>
        <w:t xml:space="preserve">PermissionToken_v1_0_0</w:t>
      </w:r>
      <w:r w:rsidDel="00000000" w:rsidR="00000000" w:rsidRPr="00000000">
        <w:rPr>
          <w:rtl w:val="0"/>
        </w:rPr>
        <w:t xml:space="preserve"> and every </w:t>
      </w:r>
      <w:r w:rsidDel="00000000" w:rsidR="00000000" w:rsidRPr="00000000">
        <w:rPr>
          <w:rFonts w:ascii="Roboto Mono" w:cs="Roboto Mono" w:eastAsia="Roboto Mono" w:hAnsi="Roboto Mono"/>
          <w:color w:val="188038"/>
          <w:rtl w:val="0"/>
        </w:rPr>
        <w:t xml:space="preserve">TriCameralApproval_v1_0_0</w:t>
      </w:r>
      <w:r w:rsidDel="00000000" w:rsidR="00000000" w:rsidRPr="00000000">
        <w:rPr>
          <w:rtl w:val="0"/>
        </w:rPr>
        <w:t xml:space="preserve"> carry both an ECDSA signature and a Dilithium signature throughout the defined transition window. The </w:t>
      </w:r>
      <w:r w:rsidDel="00000000" w:rsidR="00000000" w:rsidRPr="00000000">
        <w:rPr>
          <w:rFonts w:ascii="Roboto Mono" w:cs="Roboto Mono" w:eastAsia="Roboto Mono" w:hAnsi="Roboto Mono"/>
          <w:color w:val="188038"/>
          <w:rtl w:val="0"/>
        </w:rPr>
        <w:t xml:space="preserve">SignatureBlock_v1_0_0.hybridSignatureMode</w:t>
      </w:r>
      <w:r w:rsidDel="00000000" w:rsidR="00000000" w:rsidRPr="00000000">
        <w:rPr>
          <w:rtl w:val="0"/>
        </w:rPr>
        <w:t xml:space="preserve"> flag activates this dual-signature requirement when Threshold 1 of the quantum readiness parameter is crossed.</w:t>
      </w:r>
    </w:p>
    <w:p w:rsidR="00000000" w:rsidDel="00000000" w:rsidP="00000000" w:rsidRDefault="00000000" w:rsidRPr="00000000" w14:paraId="00000484">
      <w:pPr>
        <w:pStyle w:val="Heading3"/>
        <w:keepNext w:val="0"/>
        <w:keepLines w:val="0"/>
        <w:spacing w:before="280" w:lineRule="auto"/>
        <w:rPr>
          <w:b w:val="1"/>
          <w:bCs w:val="1"/>
          <w:color w:val="000000"/>
          <w:sz w:val="26"/>
          <w:szCs w:val="26"/>
        </w:rPr>
      </w:pPr>
      <w:bookmarkStart w:colFirst="0" w:colLast="0" w:name="_v2usfvbb3r0k" w:id="159"/>
      <w:bookmarkEnd w:id="159"/>
      <w:r w:rsidDel="00000000" w:rsidR="00000000" w:rsidRPr="00000000">
        <w:rPr>
          <w:b w:val="1"/>
          <w:bCs w:val="1"/>
          <w:color w:val="000000"/>
          <w:sz w:val="26"/>
          <w:szCs w:val="26"/>
          <w:rtl w:val="0"/>
        </w:rPr>
        <w:t xml:space="preserve">11.3.1 Hybrid Leaf Structure</w:t>
      </w:r>
    </w:p>
    <w:p w:rsidR="00000000" w:rsidDel="00000000" w:rsidP="00000000" w:rsidRDefault="00000000" w:rsidRPr="00000000" w14:paraId="00000485">
      <w:pPr>
        <w:spacing w:after="240" w:before="240" w:lineRule="auto"/>
        <w:rPr>
          <w:color w:val="1155cc"/>
          <w:u w:val="single"/>
        </w:rPr>
      </w:pPr>
      <w:r w:rsidDel="00000000" w:rsidR="00000000" w:rsidRPr="00000000">
        <w:rPr>
          <w:rtl w:val="0"/>
        </w:rPr>
        <w:t xml:space="preserve">During the transition window, every Decision Log leaf in the Merkle tree carries a dual signature payload. The leaf hash is computed over the complete leaf content including both the ECDSA signature bytes and the Dilithium signature bytes, recorded in the </w:t>
      </w:r>
      <w:r w:rsidDel="00000000" w:rsidR="00000000" w:rsidRPr="00000000">
        <w:rPr>
          <w:rFonts w:ascii="Roboto Mono" w:cs="Roboto Mono" w:eastAsia="Roboto Mono" w:hAnsi="Roboto Mono"/>
          <w:color w:val="188038"/>
          <w:rtl w:val="0"/>
        </w:rPr>
        <w:t xml:space="preserve">activeAxiomSetHash</w:t>
      </w:r>
      <w:r w:rsidDel="00000000" w:rsidR="00000000" w:rsidRPr="00000000">
        <w:rPr>
          <w:rtl w:val="0"/>
        </w:rPr>
        <w:t xml:space="preserve"> field of </w:t>
      </w:r>
      <w:r w:rsidDel="00000000" w:rsidR="00000000" w:rsidRPr="00000000">
        <w:rPr>
          <w:rFonts w:ascii="Roboto Mono" w:cs="Roboto Mono" w:eastAsia="Roboto Mono" w:hAnsi="Roboto Mono"/>
          <w:color w:val="188038"/>
          <w:rtl w:val="0"/>
        </w:rPr>
        <w:t xml:space="preserve">TGLF_StateP1_v1_0_0</w:t>
      </w:r>
      <w:r w:rsidDel="00000000" w:rsidR="00000000" w:rsidRPr="00000000">
        <w:rPr>
          <w:rtl w:val="0"/>
        </w:rPr>
        <w:t xml:space="preserve">. This creates a cryptographic link that is valid under either algorithm independently.</w:t>
      </w:r>
      <w:hyperlink r:id="rId1010">
        <w:r w:rsidDel="00000000" w:rsidR="00000000" w:rsidRPr="00000000">
          <w:rPr>
            <w:rtl w:val="0"/>
          </w:rPr>
          <w:t xml:space="preserve"> </w:t>
        </w:r>
      </w:hyperlink>
      <w:hyperlink r:id="rId1011">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86">
      <w:pPr>
        <w:spacing w:after="240" w:before="240" w:lineRule="auto"/>
        <w:rPr>
          <w:color w:val="1155cc"/>
          <w:u w:val="single"/>
        </w:rPr>
      </w:pPr>
      <w:r w:rsidDel="00000000" w:rsidR="00000000" w:rsidRPr="00000000">
        <w:rPr>
          <w:rtl w:val="0"/>
        </w:rPr>
        <w:t xml:space="preserve">The Governance Lane verifies both signatures before issuing Proceed during the transition window. A Decision Proposal that carries a valid ECDSA signature but lacks a valid Dilithium signature receives Epistemic Hold via </w:t>
      </w:r>
      <w:r w:rsidDel="00000000" w:rsidR="00000000" w:rsidRPr="00000000">
        <w:rPr>
          <w:rFonts w:ascii="Roboto Mono" w:cs="Roboto Mono" w:eastAsia="Roboto Mono" w:hAnsi="Roboto Mono"/>
          <w:color w:val="188038"/>
          <w:rtl w:val="0"/>
        </w:rPr>
        <w:t xml:space="preserve">EscrowRecord_v1_0_0</w:t>
      </w:r>
      <w:r w:rsidDel="00000000" w:rsidR="00000000" w:rsidRPr="00000000">
        <w:rPr>
          <w:rtl w:val="0"/>
        </w:rPr>
        <w:t xml:space="preserve">: the evidentiary documentation is incomplete because the </w:t>
      </w:r>
      <w:r w:rsidDel="00000000" w:rsidR="00000000" w:rsidRPr="00000000">
        <w:rPr>
          <w:rFonts w:ascii="Roboto Mono" w:cs="Roboto Mono" w:eastAsia="Roboto Mono" w:hAnsi="Roboto Mono"/>
          <w:color w:val="188038"/>
          <w:rtl w:val="0"/>
        </w:rPr>
        <w:t xml:space="preserve">pillarsCertified</w:t>
      </w:r>
      <w:r w:rsidDel="00000000" w:rsidR="00000000" w:rsidRPr="00000000">
        <w:rPr>
          <w:rtl w:val="0"/>
        </w:rPr>
        <w:t xml:space="preserve"> array in </w:t>
      </w:r>
      <w:r w:rsidDel="00000000" w:rsidR="00000000" w:rsidRPr="00000000">
        <w:rPr>
          <w:rFonts w:ascii="Roboto Mono" w:cs="Roboto Mono" w:eastAsia="Roboto Mono" w:hAnsi="Roboto Mono"/>
          <w:color w:val="188038"/>
          <w:rtl w:val="0"/>
        </w:rPr>
        <w:t xml:space="preserve">TGLF_StateP1_v1_0_0</w:t>
      </w:r>
      <w:r w:rsidDel="00000000" w:rsidR="00000000" w:rsidRPr="00000000">
        <w:rPr>
          <w:rtl w:val="0"/>
        </w:rPr>
        <w:t xml:space="preserve"> requires both signature schemes to be certified during the hybrid period, enforced through </w:t>
      </w:r>
      <w:r w:rsidDel="00000000" w:rsidR="00000000" w:rsidRPr="00000000">
        <w:rPr>
          <w:rFonts w:ascii="Roboto Mono" w:cs="Roboto Mono" w:eastAsia="Roboto Mono" w:hAnsi="Roboto Mono"/>
          <w:color w:val="188038"/>
          <w:rtl w:val="0"/>
        </w:rPr>
        <w:t xml:space="preserve">minItems: 8, maxItems: 8</w:t>
      </w:r>
      <w:r w:rsidDel="00000000" w:rsidR="00000000" w:rsidRPr="00000000">
        <w:rPr>
          <w:rtl w:val="0"/>
        </w:rPr>
        <w:t xml:space="preserve">.</w:t>
      </w:r>
      <w:hyperlink r:id="rId1012">
        <w:r w:rsidDel="00000000" w:rsidR="00000000" w:rsidRPr="00000000">
          <w:rPr>
            <w:rtl w:val="0"/>
          </w:rPr>
          <w:t xml:space="preserve"> </w:t>
        </w:r>
      </w:hyperlink>
      <w:hyperlink r:id="rId1013">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487">
      <w:pPr>
        <w:spacing w:after="240" w:before="240" w:lineRule="auto"/>
        <w:rPr/>
      </w:pPr>
      <w:r w:rsidDel="00000000" w:rsidR="00000000" w:rsidRPr="00000000">
        <w:rPr>
          <w:rtl w:val="0"/>
        </w:rPr>
        <w:t xml:space="preserve">ECDSA and Dilithium verification proceed in parallel within the Governance Lane's evaluation pipeline. The total verification latency is bounded by the slower of the two operations, not their sum.</w:t>
      </w:r>
    </w:p>
    <w:p w:rsidR="00000000" w:rsidDel="00000000" w:rsidP="00000000" w:rsidRDefault="00000000" w:rsidRPr="00000000" w14:paraId="00000488">
      <w:pPr>
        <w:pStyle w:val="Heading3"/>
        <w:keepNext w:val="0"/>
        <w:keepLines w:val="0"/>
        <w:spacing w:before="280" w:lineRule="auto"/>
        <w:rPr>
          <w:b w:val="1"/>
          <w:bCs w:val="1"/>
          <w:color w:val="000000"/>
          <w:sz w:val="26"/>
          <w:szCs w:val="26"/>
        </w:rPr>
      </w:pPr>
      <w:bookmarkStart w:colFirst="0" w:colLast="0" w:name="_h8uilnk55hy" w:id="160"/>
      <w:bookmarkEnd w:id="160"/>
      <w:r w:rsidDel="00000000" w:rsidR="00000000" w:rsidRPr="00000000">
        <w:rPr>
          <w:b w:val="1"/>
          <w:bCs w:val="1"/>
          <w:color w:val="000000"/>
          <w:sz w:val="26"/>
          <w:szCs w:val="26"/>
          <w:rtl w:val="0"/>
        </w:rPr>
        <w:t xml:space="preserve">11.3.2 Merkle Chain Continuity</w:t>
      </w:r>
    </w:p>
    <w:p w:rsidR="00000000" w:rsidDel="00000000" w:rsidP="00000000" w:rsidRDefault="00000000" w:rsidRPr="00000000" w14:paraId="00000489">
      <w:pPr>
        <w:spacing w:after="240" w:before="240" w:lineRule="auto"/>
        <w:rPr>
          <w:color w:val="1155cc"/>
          <w:u w:val="single"/>
        </w:rPr>
      </w:pPr>
      <w:r w:rsidDel="00000000" w:rsidR="00000000" w:rsidRPr="00000000">
        <w:rPr>
          <w:rtl w:val="0"/>
        </w:rPr>
        <w:t xml:space="preserve">After the transition completes and the Stewardship Custodians vote through the supermajority process via </w:t>
      </w:r>
      <w:r w:rsidDel="00000000" w:rsidR="00000000" w:rsidRPr="00000000">
        <w:rPr>
          <w:rFonts w:ascii="Roboto Mono" w:cs="Roboto Mono" w:eastAsia="Roboto Mono" w:hAnsi="Roboto Mono"/>
          <w:color w:val="188038"/>
          <w:rtl w:val="0"/>
        </w:rPr>
        <w:t xml:space="preserve">POST /pillars/{pillarId}/configure</w:t>
      </w:r>
      <w:r w:rsidDel="00000000" w:rsidR="00000000" w:rsidRPr="00000000">
        <w:rPr>
          <w:rtl w:val="0"/>
        </w:rPr>
        <w:t xml:space="preserve"> to retire ECDSA, the Merkle tree continues to incorporate the hybrid leaves from the transition period. External auditors can verify historical records using whichever algorithm they trust.</w:t>
      </w:r>
      <w:hyperlink r:id="rId1014">
        <w:r w:rsidDel="00000000" w:rsidR="00000000" w:rsidRPr="00000000">
          <w:rPr>
            <w:rtl w:val="0"/>
          </w:rPr>
          <w:t xml:space="preserve"> </w:t>
        </w:r>
      </w:hyperlink>
      <w:hyperlink r:id="rId1015">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8A">
      <w:pPr>
        <w:spacing w:after="240" w:before="240" w:lineRule="auto"/>
        <w:rPr>
          <w:color w:val="1155cc"/>
          <w:u w:val="single"/>
        </w:rPr>
      </w:pPr>
      <w:r w:rsidDel="00000000" w:rsidR="00000000" w:rsidRPr="00000000">
        <w:rPr>
          <w:rtl w:val="0"/>
        </w:rPr>
        <w:t xml:space="preserve">The dual-signature leaf structure means that neither algorithm can be retroactively removed without breaking the hash chain. A quantum attacker who derives the ECDSA private key from a historical public key and forges an alternate ECDSA signature cannot substitute this forged signature for the authentic one, because the Merkle leaf hash was computed over both signatures simultaneously. The forged ECDSA signature produces a different leaf hash. The Merkle chain breaks. The forgery is detected via </w:t>
      </w:r>
      <w:r w:rsidDel="00000000" w:rsidR="00000000" w:rsidRPr="00000000">
        <w:rPr>
          <w:rFonts w:ascii="Roboto Mono" w:cs="Roboto Mono" w:eastAsia="Roboto Mono" w:hAnsi="Roboto Mono"/>
          <w:color w:val="188038"/>
          <w:rtl w:val="0"/>
        </w:rPr>
        <w:t xml:space="preserve">GET /audit/verifications/inclusion/{logId}</w:t>
      </w:r>
      <w:r w:rsidDel="00000000" w:rsidR="00000000" w:rsidRPr="00000000">
        <w:rPr>
          <w:rtl w:val="0"/>
        </w:rPr>
        <w:t xml:space="preserve">.</w:t>
      </w:r>
      <w:hyperlink r:id="rId1016">
        <w:r w:rsidDel="00000000" w:rsidR="00000000" w:rsidRPr="00000000">
          <w:rPr>
            <w:rtl w:val="0"/>
          </w:rPr>
          <w:t xml:space="preserve"> </w:t>
        </w:r>
      </w:hyperlink>
      <w:hyperlink r:id="rId1017">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8B">
      <w:pPr>
        <w:pStyle w:val="Heading3"/>
        <w:keepNext w:val="0"/>
        <w:keepLines w:val="0"/>
        <w:spacing w:before="280" w:lineRule="auto"/>
        <w:rPr>
          <w:b w:val="1"/>
          <w:bCs w:val="1"/>
          <w:color w:val="000000"/>
          <w:sz w:val="26"/>
          <w:szCs w:val="26"/>
        </w:rPr>
      </w:pPr>
      <w:bookmarkStart w:colFirst="0" w:colLast="0" w:name="_etq1m8w254q" w:id="161"/>
      <w:bookmarkEnd w:id="161"/>
      <w:r w:rsidDel="00000000" w:rsidR="00000000" w:rsidRPr="00000000">
        <w:rPr>
          <w:b w:val="1"/>
          <w:bCs w:val="1"/>
          <w:color w:val="000000"/>
          <w:sz w:val="26"/>
          <w:szCs w:val="26"/>
          <w:rtl w:val="0"/>
        </w:rPr>
        <w:t xml:space="preserve">11.3.3 Chamber Key Migration</w:t>
      </w:r>
    </w:p>
    <w:p w:rsidR="00000000" w:rsidDel="00000000" w:rsidP="00000000" w:rsidRDefault="00000000" w:rsidRPr="00000000" w14:paraId="0000048C">
      <w:pPr>
        <w:spacing w:after="240" w:before="240" w:lineRule="auto"/>
        <w:rPr>
          <w:color w:val="1155cc"/>
          <w:u w:val="single"/>
        </w:rPr>
      </w:pPr>
      <w:r w:rsidDel="00000000" w:rsidR="00000000" w:rsidRPr="00000000">
        <w:rPr>
          <w:rtl w:val="0"/>
        </w:rPr>
        <w:t xml:space="preserve">During the hybrid protocol, each chamber maintains both its existing ECDSA key pair and its new Dilithium key pair simultaneously. The Dilithium key pairs are generated in hardware security modules under multi-party ceremony protocols. The enrollment of the new Dilithium public keys is anchored to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 before the hybrid protocol is activated, so the chain of custody for the post-quantum keys is itself verifiable from the moment of their introduction.</w:t>
      </w:r>
      <w:hyperlink r:id="rId1018">
        <w:r w:rsidDel="00000000" w:rsidR="00000000" w:rsidRPr="00000000">
          <w:rPr>
            <w:rtl w:val="0"/>
          </w:rPr>
          <w:t xml:space="preserve"> </w:t>
        </w:r>
      </w:hyperlink>
      <w:hyperlink r:id="rId1019">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8D">
      <w:pPr>
        <w:spacing w:after="240" w:before="240" w:lineRule="auto"/>
        <w:rPr>
          <w:color w:val="1155cc"/>
          <w:u w:val="single"/>
        </w:rPr>
      </w:pPr>
      <w:r w:rsidDel="00000000" w:rsidR="00000000" w:rsidRPr="00000000">
        <w:rPr>
          <w:rtl w:val="0"/>
        </w:rPr>
        <w:t xml:space="preserve">ECDSA key retirement occurs through a Stewardship Custodian supermajority vote via </w:t>
      </w:r>
      <w:r w:rsidDel="00000000" w:rsidR="00000000" w:rsidRPr="00000000">
        <w:rPr>
          <w:rFonts w:ascii="Roboto Mono" w:cs="Roboto Mono" w:eastAsia="Roboto Mono" w:hAnsi="Roboto Mono"/>
          <w:color w:val="188038"/>
          <w:rtl w:val="0"/>
        </w:rPr>
        <w:t xml:space="preserve">POST /pillars/{pillarId}/configure</w:t>
      </w:r>
      <w:r w:rsidDel="00000000" w:rsidR="00000000" w:rsidRPr="00000000">
        <w:rPr>
          <w:rtl w:val="0"/>
        </w:rPr>
        <w:t xml:space="preserve"> after the Technical Council certifies that the Dilithium implementation has been validated against the NIST CAVP test vectors and that no operational dependency on ECDSA verification remains in any deployed system component. Retired ECDSA keys are cryptographically shredded through the standard </w:t>
      </w:r>
      <w:r w:rsidDel="00000000" w:rsidR="00000000" w:rsidRPr="00000000">
        <w:rPr>
          <w:rFonts w:ascii="Roboto Mono" w:cs="Roboto Mono" w:eastAsia="Roboto Mono" w:hAnsi="Roboto Mono"/>
          <w:color w:val="188038"/>
          <w:rtl w:val="0"/>
        </w:rPr>
        <w:t xml:space="preserve">HKDF-SHA3-256</w:t>
      </w:r>
      <w:r w:rsidDel="00000000" w:rsidR="00000000" w:rsidRPr="00000000">
        <w:rPr>
          <w:rtl w:val="0"/>
        </w:rPr>
        <w:t xml:space="preserve"> destruction protocol, confirmed through </w:t>
      </w:r>
      <w:r w:rsidDel="00000000" w:rsidR="00000000" w:rsidRPr="00000000">
        <w:rPr>
          <w:rFonts w:ascii="Roboto Mono" w:cs="Roboto Mono" w:eastAsia="Roboto Mono" w:hAnsi="Roboto Mono"/>
          <w:color w:val="188038"/>
          <w:rtl w:val="0"/>
        </w:rPr>
        <w:t xml:space="preserve">hkdfSha3256Confirmed: true</w:t>
      </w:r>
      <w:r w:rsidDel="00000000" w:rsidR="00000000" w:rsidRPr="00000000">
        <w:rPr>
          <w:rtl w:val="0"/>
        </w:rPr>
        <w:t xml:space="preserve"> in the retirement </w:t>
      </w:r>
      <w:r w:rsidDel="00000000" w:rsidR="00000000" w:rsidRPr="00000000">
        <w:rPr>
          <w:rFonts w:ascii="Roboto Mono" w:cs="Roboto Mono" w:eastAsia="Roboto Mono" w:hAnsi="Roboto Mono"/>
          <w:color w:val="188038"/>
          <w:rtl w:val="0"/>
        </w:rPr>
        <w:t xml:space="preserve">EKRRecord_v1_0_0</w:t>
      </w:r>
      <w:r w:rsidDel="00000000" w:rsidR="00000000" w:rsidRPr="00000000">
        <w:rPr>
          <w:rtl w:val="0"/>
        </w:rPr>
        <w:t xml:space="preserve"> entry.</w:t>
      </w:r>
      <w:hyperlink r:id="rId1020">
        <w:r w:rsidDel="00000000" w:rsidR="00000000" w:rsidRPr="00000000">
          <w:rPr>
            <w:rtl w:val="0"/>
          </w:rPr>
          <w:t xml:space="preserve"> </w:t>
        </w:r>
      </w:hyperlink>
      <w:hyperlink r:id="rId1021">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48E">
      <w:pPr>
        <w:pStyle w:val="Heading2"/>
        <w:keepNext w:val="0"/>
        <w:keepLines w:val="0"/>
        <w:spacing w:after="80" w:lineRule="auto"/>
        <w:rPr>
          <w:b w:val="1"/>
          <w:bCs w:val="1"/>
          <w:sz w:val="34"/>
          <w:szCs w:val="34"/>
        </w:rPr>
      </w:pPr>
      <w:bookmarkStart w:colFirst="0" w:colLast="0" w:name="_zcvj8qja42x5" w:id="162"/>
      <w:bookmarkEnd w:id="162"/>
      <w:r w:rsidDel="00000000" w:rsidR="00000000" w:rsidRPr="00000000">
        <w:rPr>
          <w:b w:val="1"/>
          <w:bCs w:val="1"/>
          <w:sz w:val="34"/>
          <w:szCs w:val="34"/>
          <w:rtl w:val="0"/>
        </w:rPr>
        <w:t xml:space="preserve">11.4 Automatic Migration Triggers</w:t>
      </w:r>
    </w:p>
    <w:p w:rsidR="00000000" w:rsidDel="00000000" w:rsidP="00000000" w:rsidRDefault="00000000" w:rsidRPr="00000000" w14:paraId="0000048F">
      <w:pPr>
        <w:spacing w:after="240" w:before="240" w:lineRule="auto"/>
        <w:rPr>
          <w:color w:val="1155cc"/>
          <w:u w:val="single"/>
        </w:rPr>
      </w:pPr>
      <w:r w:rsidDel="00000000" w:rsidR="00000000" w:rsidRPr="00000000">
        <w:rPr>
          <w:rtl w:val="0"/>
        </w:rPr>
        <w:t xml:space="preserve">The automatic trigger system prevents institutional delay from extending the quantum-vulnerable ECDSA-only exposure window. Unlike discretionary governance decisions requiring Stewardship Custodian deliberation, the migration trigger system activates automatically when quantitative threshold parameters embedded in the governance schema are crossed.</w:t>
      </w:r>
      <w:hyperlink r:id="rId1022">
        <w:r w:rsidDel="00000000" w:rsidR="00000000" w:rsidRPr="00000000">
          <w:rPr>
            <w:rtl w:val="0"/>
          </w:rPr>
          <w:t xml:space="preserve"> </w:t>
        </w:r>
      </w:hyperlink>
      <w:hyperlink r:id="rId1023">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90">
      <w:pPr>
        <w:pStyle w:val="Heading3"/>
        <w:keepNext w:val="0"/>
        <w:keepLines w:val="0"/>
        <w:spacing w:before="280" w:lineRule="auto"/>
        <w:rPr>
          <w:b w:val="1"/>
          <w:bCs w:val="1"/>
          <w:color w:val="000000"/>
          <w:sz w:val="26"/>
          <w:szCs w:val="26"/>
        </w:rPr>
      </w:pPr>
      <w:bookmarkStart w:colFirst="0" w:colLast="0" w:name="_88sutqmf34o" w:id="163"/>
      <w:bookmarkEnd w:id="163"/>
      <w:r w:rsidDel="00000000" w:rsidR="00000000" w:rsidRPr="00000000">
        <w:rPr>
          <w:b w:val="1"/>
          <w:bCs w:val="1"/>
          <w:color w:val="000000"/>
          <w:sz w:val="26"/>
          <w:szCs w:val="26"/>
          <w:rtl w:val="0"/>
        </w:rPr>
        <w:t xml:space="preserve">11.4.1 Quantum Readiness Parameter</w:t>
      </w:r>
    </w:p>
    <w:p w:rsidR="00000000" w:rsidDel="00000000" w:rsidP="00000000" w:rsidRDefault="00000000" w:rsidRPr="00000000" w14:paraId="00000491">
      <w:pPr>
        <w:spacing w:after="240" w:before="240" w:lineRule="auto"/>
        <w:rPr/>
      </w:pPr>
      <w:r w:rsidDel="00000000" w:rsidR="00000000" w:rsidRPr="00000000">
        <w:rPr>
          <w:rtl w:val="0"/>
        </w:rPr>
        <w:t xml:space="preserve">The Stewardship Custodians configure and maintain the Quantum Readiness Parameter - a composite score computed from four input streams.</w:t>
      </w:r>
    </w:p>
    <w:p w:rsidR="00000000" w:rsidDel="00000000" w:rsidP="00000000" w:rsidRDefault="00000000" w:rsidRPr="00000000" w14:paraId="00000492">
      <w:pPr>
        <w:spacing w:after="240" w:before="240" w:lineRule="auto"/>
        <w:rPr/>
      </w:pPr>
      <w:r w:rsidDel="00000000" w:rsidR="00000000" w:rsidRPr="00000000">
        <w:rPr>
          <w:b w:val="1"/>
          <w:bCs w:val="1"/>
          <w:rtl w:val="0"/>
        </w:rPr>
        <w:t xml:space="preserve">NIST Certification Stream.</w:t>
      </w:r>
      <w:r w:rsidDel="00000000" w:rsidR="00000000" w:rsidRPr="00000000">
        <w:rPr>
          <w:rtl w:val="0"/>
        </w:rPr>
        <w:t xml:space="preserve"> Tracks the status of NIST post-quantum algorithm standardization. NIST finalized FIPS 203, 204, and 205 in August 2024, advancing this stream to its maximum contribution.</w:t>
      </w:r>
    </w:p>
    <w:p w:rsidR="00000000" w:rsidDel="00000000" w:rsidP="00000000" w:rsidRDefault="00000000" w:rsidRPr="00000000" w14:paraId="00000493">
      <w:pPr>
        <w:spacing w:after="240" w:before="240" w:lineRule="auto"/>
        <w:rPr/>
      </w:pPr>
      <w:r w:rsidDel="00000000" w:rsidR="00000000" w:rsidRPr="00000000">
        <w:rPr>
          <w:b w:val="1"/>
          <w:bCs w:val="1"/>
          <w:rtl w:val="0"/>
        </w:rPr>
        <w:t xml:space="preserve">Academic Cryptanalysis Stream.</w:t>
      </w:r>
      <w:r w:rsidDel="00000000" w:rsidR="00000000" w:rsidRPr="00000000">
        <w:rPr>
          <w:rtl w:val="0"/>
        </w:rPr>
        <w:t xml:space="preserve"> Tracks peer-reviewed cryptanalysis of both the current ECDSA implementation and the candidate post-quantum algorithms. New attacks on ECDSA that reduce its effective security below defined thresholds advance the parameter score toward trigger activation.</w:t>
      </w:r>
    </w:p>
    <w:p w:rsidR="00000000" w:rsidDel="00000000" w:rsidP="00000000" w:rsidRDefault="00000000" w:rsidRPr="00000000" w14:paraId="00000494">
      <w:pPr>
        <w:spacing w:after="240" w:before="240" w:lineRule="auto"/>
        <w:rPr>
          <w:color w:val="1155cc"/>
          <w:u w:val="single"/>
        </w:rPr>
      </w:pPr>
      <w:r w:rsidDel="00000000" w:rsidR="00000000" w:rsidRPr="00000000">
        <w:rPr>
          <w:b w:val="1"/>
          <w:bCs w:val="1"/>
          <w:rtl w:val="0"/>
        </w:rPr>
        <w:t xml:space="preserve">Industry Deployment Stream.</w:t>
      </w:r>
      <w:r w:rsidDel="00000000" w:rsidR="00000000" w:rsidRPr="00000000">
        <w:rPr>
          <w:rtl w:val="0"/>
        </w:rPr>
        <w:t xml:space="preserve"> Tracks the commercial availability of hardware security modules implementing the selected post-quantum algorithms with FIPS 140-3 Level 3 certification. The UK NCSC noted that hardware roots of trust implementing the NIST standards were expected to become available during 2025.</w:t>
      </w:r>
      <w:hyperlink r:id="rId1024">
        <w:r w:rsidDel="00000000" w:rsidR="00000000" w:rsidRPr="00000000">
          <w:rPr>
            <w:rtl w:val="0"/>
          </w:rPr>
          <w:t xml:space="preserve"> </w:t>
        </w:r>
      </w:hyperlink>
      <w:hyperlink r:id="rId1025">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95">
      <w:pPr>
        <w:spacing w:after="240" w:before="240" w:lineRule="auto"/>
        <w:rPr/>
      </w:pPr>
      <w:r w:rsidDel="00000000" w:rsidR="00000000" w:rsidRPr="00000000">
        <w:rPr>
          <w:b w:val="1"/>
          <w:bCs w:val="1"/>
          <w:rtl w:val="0"/>
        </w:rPr>
        <w:t xml:space="preserve">Intelligence Community Assessment Stream.</w:t>
      </w:r>
      <w:r w:rsidDel="00000000" w:rsidR="00000000" w:rsidRPr="00000000">
        <w:rPr>
          <w:rtl w:val="0"/>
        </w:rPr>
        <w:t xml:space="preserve"> Incorporates publicly available assessments from national cybersecurity agencies - CISA, NCSC, BSI, and equivalent bodies - regarding quantum computing progress and recommended migration timelines.</w:t>
      </w:r>
    </w:p>
    <w:p w:rsidR="00000000" w:rsidDel="00000000" w:rsidP="00000000" w:rsidRDefault="00000000" w:rsidRPr="00000000" w14:paraId="00000496">
      <w:pPr>
        <w:spacing w:after="240" w:before="240" w:lineRule="auto"/>
        <w:rPr>
          <w:color w:val="1155cc"/>
          <w:u w:val="single"/>
        </w:rPr>
      </w:pPr>
      <w:r w:rsidDel="00000000" w:rsidR="00000000" w:rsidRPr="00000000">
        <w:rPr>
          <w:rtl w:val="0"/>
        </w:rPr>
        <w:t xml:space="preserve">The parameter value is stored in </w:t>
      </w:r>
      <w:r w:rsidDel="00000000" w:rsidR="00000000" w:rsidRPr="00000000">
        <w:rPr>
          <w:rFonts w:ascii="Roboto Mono" w:cs="Roboto Mono" w:eastAsia="Roboto Mono" w:hAnsi="Roboto Mono"/>
          <w:color w:val="188038"/>
          <w:rtl w:val="0"/>
        </w:rPr>
        <w:t xml:space="preserve">ThresholdProfile_v1_0_0</w:t>
      </w:r>
      <w:r w:rsidDel="00000000" w:rsidR="00000000" w:rsidRPr="00000000">
        <w:rPr>
          <w:rtl w:val="0"/>
        </w:rPr>
        <w:t xml:space="preserve"> under the </w:t>
      </w:r>
      <w:r w:rsidDel="00000000" w:rsidR="00000000" w:rsidRPr="00000000">
        <w:rPr>
          <w:rFonts w:ascii="Roboto Mono" w:cs="Roboto Mono" w:eastAsia="Roboto Mono" w:hAnsi="Roboto Mono"/>
          <w:color w:val="188038"/>
          <w:rtl w:val="0"/>
        </w:rPr>
        <w:t xml:space="preserve">pqcReadiness</w:t>
      </w:r>
      <w:r w:rsidDel="00000000" w:rsidR="00000000" w:rsidRPr="00000000">
        <w:rPr>
          <w:rtl w:val="0"/>
        </w:rPr>
        <w:t xml:space="preserve"> domain, configurable via </w:t>
      </w:r>
      <w:r w:rsidDel="00000000" w:rsidR="00000000" w:rsidRPr="00000000">
        <w:rPr>
          <w:rFonts w:ascii="Roboto Mono" w:cs="Roboto Mono" w:eastAsia="Roboto Mono" w:hAnsi="Roboto Mono"/>
          <w:color w:val="188038"/>
          <w:rtl w:val="0"/>
        </w:rPr>
        <w:t xml:space="preserve">PUT /thresholds/pqcReadiness</w:t>
      </w:r>
      <w:r w:rsidDel="00000000" w:rsidR="00000000" w:rsidRPr="00000000">
        <w:rPr>
          <w:rtl w:val="0"/>
        </w:rPr>
        <w:t xml:space="preserve"> by the Stewardship Custodians within constitutionally defined bounds. Every update generates a version hash anchored to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w:t>
      </w:r>
      <w:hyperlink r:id="rId1026">
        <w:r w:rsidDel="00000000" w:rsidR="00000000" w:rsidRPr="00000000">
          <w:rPr>
            <w:rtl w:val="0"/>
          </w:rPr>
          <w:t xml:space="preserve"> </w:t>
        </w:r>
      </w:hyperlink>
      <w:hyperlink r:id="rId1027">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497">
      <w:pPr>
        <w:pStyle w:val="Heading3"/>
        <w:keepNext w:val="0"/>
        <w:keepLines w:val="0"/>
        <w:spacing w:before="280" w:lineRule="auto"/>
        <w:rPr>
          <w:b w:val="1"/>
          <w:bCs w:val="1"/>
          <w:color w:val="000000"/>
          <w:sz w:val="26"/>
          <w:szCs w:val="26"/>
        </w:rPr>
      </w:pPr>
      <w:bookmarkStart w:colFirst="0" w:colLast="0" w:name="_i3g1rocu9squ" w:id="164"/>
      <w:bookmarkEnd w:id="164"/>
      <w:r w:rsidDel="00000000" w:rsidR="00000000" w:rsidRPr="00000000">
        <w:rPr>
          <w:b w:val="1"/>
          <w:bCs w:val="1"/>
          <w:color w:val="000000"/>
          <w:sz w:val="26"/>
          <w:szCs w:val="26"/>
          <w:rtl w:val="0"/>
        </w:rPr>
        <w:t xml:space="preserve">11.4.2 Trigger Thresholds and Automatic Actions</w:t>
      </w:r>
    </w:p>
    <w:p w:rsidR="00000000" w:rsidDel="00000000" w:rsidP="00000000" w:rsidRDefault="00000000" w:rsidRPr="00000000" w14:paraId="00000498">
      <w:pPr>
        <w:spacing w:after="240" w:before="240" w:lineRule="auto"/>
        <w:rPr>
          <w:color w:val="1155cc"/>
          <w:u w:val="single"/>
        </w:rPr>
      </w:pPr>
      <w:r w:rsidDel="00000000" w:rsidR="00000000" w:rsidRPr="00000000">
        <w:rPr>
          <w:b w:val="1"/>
          <w:bCs w:val="1"/>
          <w:rtl w:val="0"/>
        </w:rPr>
        <w:t xml:space="preserve">Threshold 1: Hybrid Protocol Activation.</w:t>
      </w:r>
      <w:r w:rsidDel="00000000" w:rsidR="00000000" w:rsidRPr="00000000">
        <w:rPr>
          <w:rtl w:val="0"/>
        </w:rPr>
        <w:t xml:space="preserve"> When the Quantum Readiness Parameter crosses the first defined threshold, the Governance Lane automatically initiates the hybrid signature protocol. </w:t>
      </w:r>
      <w:r w:rsidDel="00000000" w:rsidR="00000000" w:rsidRPr="00000000">
        <w:rPr>
          <w:rFonts w:ascii="Roboto Mono" w:cs="Roboto Mono" w:eastAsia="Roboto Mono" w:hAnsi="Roboto Mono"/>
          <w:color w:val="188038"/>
          <w:rtl w:val="0"/>
        </w:rPr>
        <w:t xml:space="preserve">SignatureBlock_v1_0_0.hybridSignatureMode</w:t>
      </w:r>
      <w:r w:rsidDel="00000000" w:rsidR="00000000" w:rsidRPr="00000000">
        <w:rPr>
          <w:rtl w:val="0"/>
        </w:rPr>
        <w:t xml:space="preserve"> activates. From this point forward, every </w:t>
      </w:r>
      <w:r w:rsidDel="00000000" w:rsidR="00000000" w:rsidRPr="00000000">
        <w:rPr>
          <w:rFonts w:ascii="Roboto Mono" w:cs="Roboto Mono" w:eastAsia="Roboto Mono" w:hAnsi="Roboto Mono"/>
          <w:color w:val="188038"/>
          <w:rtl w:val="0"/>
        </w:rPr>
        <w:t xml:space="preserve">PermissionToken_v1_0_0</w:t>
      </w:r>
      <w:r w:rsidDel="00000000" w:rsidR="00000000" w:rsidRPr="00000000">
        <w:rPr>
          <w:rtl w:val="0"/>
        </w:rPr>
        <w:t xml:space="preserve"> must carry both ECDSA and Dilithium signatures for Governance Lane acceptance. Institutions that have not prepared their technical infrastructure for Dilithium signature generation begin receiving Epistemic Hold on all proposals via </w:t>
      </w:r>
      <w:r w:rsidDel="00000000" w:rsidR="00000000" w:rsidRPr="00000000">
        <w:rPr>
          <w:rFonts w:ascii="Roboto Mono" w:cs="Roboto Mono" w:eastAsia="Roboto Mono" w:hAnsi="Roboto Mono"/>
          <w:color w:val="188038"/>
          <w:rtl w:val="0"/>
        </w:rPr>
        <w:t xml:space="preserve">EscrowRecord_v1_0_0</w:t>
      </w:r>
      <w:r w:rsidDel="00000000" w:rsidR="00000000" w:rsidRPr="00000000">
        <w:rPr>
          <w:rtl w:val="0"/>
        </w:rPr>
        <w:t xml:space="preserve"> until their systems are updated. The Smart Contract Treasury's fee schedule reduces governance fees for institutions that complete Dilithium readiness certification before Threshold 1 is crossed.</w:t>
      </w:r>
      <w:hyperlink r:id="rId1028">
        <w:r w:rsidDel="00000000" w:rsidR="00000000" w:rsidRPr="00000000">
          <w:rPr>
            <w:rtl w:val="0"/>
          </w:rPr>
          <w:t xml:space="preserve"> </w:t>
        </w:r>
      </w:hyperlink>
      <w:hyperlink r:id="rId1029">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99">
      <w:pPr>
        <w:spacing w:after="240" w:before="240" w:lineRule="auto"/>
        <w:rPr>
          <w:color w:val="1155cc"/>
          <w:u w:val="single"/>
        </w:rPr>
      </w:pPr>
      <w:r w:rsidDel="00000000" w:rsidR="00000000" w:rsidRPr="00000000">
        <w:rPr>
          <w:b w:val="1"/>
          <w:bCs w:val="1"/>
          <w:rtl w:val="0"/>
        </w:rPr>
        <w:t xml:space="preserve">Threshold 2: ECDSA Retirement Preparation.</w:t>
      </w:r>
      <w:r w:rsidDel="00000000" w:rsidR="00000000" w:rsidRPr="00000000">
        <w:rPr>
          <w:rtl w:val="0"/>
        </w:rPr>
        <w:t xml:space="preserve"> When the parameter crosses the second defined threshold - corresponding to conditions where independent security analysis indicates ECDSA may be broken within a five-year horizon - the Governance Lane automatically initiates the ECDSA retirement preparation sequence. The Technical Council receives mandatory notification to begin validation of all system components' post-quantum-only operation capability. The Stewardship Custodians receive mandatory scheduling of ECDSA retirement vote via </w:t>
      </w:r>
      <w:r w:rsidDel="00000000" w:rsidR="00000000" w:rsidRPr="00000000">
        <w:rPr>
          <w:rFonts w:ascii="Roboto Mono" w:cs="Roboto Mono" w:eastAsia="Roboto Mono" w:hAnsi="Roboto Mono"/>
          <w:color w:val="188038"/>
          <w:rtl w:val="0"/>
        </w:rPr>
        <w:t xml:space="preserve">POST /pillars/{pillarId}/configure</w:t>
      </w:r>
      <w:r w:rsidDel="00000000" w:rsidR="00000000" w:rsidRPr="00000000">
        <w:rPr>
          <w:rtl w:val="0"/>
        </w:rPr>
        <w:t xml:space="preserve">. Blockchain anchor transactions begin generating single-use post-quantum accounts for the Ethereum and Polygon anchor channels.</w:t>
      </w:r>
      <w:hyperlink r:id="rId1030">
        <w:r w:rsidDel="00000000" w:rsidR="00000000" w:rsidRPr="00000000">
          <w:rPr>
            <w:rtl w:val="0"/>
          </w:rPr>
          <w:t xml:space="preserve"> </w:t>
        </w:r>
      </w:hyperlink>
      <w:hyperlink r:id="rId1031">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9A">
      <w:pPr>
        <w:spacing w:after="240" w:before="240" w:lineRule="auto"/>
        <w:rPr>
          <w:color w:val="1155cc"/>
          <w:u w:val="single"/>
        </w:rPr>
      </w:pPr>
      <w:r w:rsidDel="00000000" w:rsidR="00000000" w:rsidRPr="00000000">
        <w:rPr>
          <w:b w:val="1"/>
          <w:bCs w:val="1"/>
          <w:rtl w:val="0"/>
        </w:rPr>
        <w:t xml:space="preserve">Threshold 3: Full Post-Quantum Mode.</w:t>
      </w:r>
      <w:r w:rsidDel="00000000" w:rsidR="00000000" w:rsidRPr="00000000">
        <w:rPr>
          <w:rtl w:val="0"/>
        </w:rPr>
        <w:t xml:space="preserve"> When the Stewardship Custodians complete the supermajority ECDSA retirement vote, the Governance Lane transitions to full Dilithium-only operation. ECDSA signature verification is removed from the five-layer NL=NA enforcement architecture. ECDSA signing capability is retired from all chamber HSMs through the standard key destruction protocol confirmed through </w:t>
      </w:r>
      <w:r w:rsidDel="00000000" w:rsidR="00000000" w:rsidRPr="00000000">
        <w:rPr>
          <w:rFonts w:ascii="Roboto Mono" w:cs="Roboto Mono" w:eastAsia="Roboto Mono" w:hAnsi="Roboto Mono"/>
          <w:color w:val="188038"/>
          <w:rtl w:val="0"/>
        </w:rPr>
        <w:t xml:space="preserve">hkdfSha3256Confirmed: true</w:t>
      </w:r>
      <w:r w:rsidDel="00000000" w:rsidR="00000000" w:rsidRPr="00000000">
        <w:rPr>
          <w:rtl w:val="0"/>
        </w:rPr>
        <w:t xml:space="preserve">. Anchor transactions on all three blockchains transition to Dilithium-only signing.</w:t>
      </w:r>
      <w:hyperlink r:id="rId1032">
        <w:r w:rsidDel="00000000" w:rsidR="00000000" w:rsidRPr="00000000">
          <w:rPr>
            <w:rtl w:val="0"/>
          </w:rPr>
          <w:t xml:space="preserve"> </w:t>
        </w:r>
      </w:hyperlink>
      <w:hyperlink r:id="rId1033">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9B">
      <w:pPr>
        <w:spacing w:after="240" w:before="240" w:lineRule="auto"/>
        <w:rPr/>
      </w:pPr>
      <w:r w:rsidDel="00000000" w:rsidR="00000000" w:rsidRPr="00000000">
        <w:rPr>
          <w:rtl w:val="0"/>
        </w:rPr>
        <w:t xml:space="preserve">Thresholds 1 and 2 trigger automatically without requiring human authorization. Only Threshold 3 requires explicit Stewardship Custodian deliberation and supermajority vote. This design ensures that even if the Custodians face institutional pressure to delay migration, the hybrid protocol activates automatically and the transition preparation sequence begins regardless of institutional preferences.</w:t>
      </w:r>
    </w:p>
    <w:p w:rsidR="00000000" w:rsidDel="00000000" w:rsidP="00000000" w:rsidRDefault="00000000" w:rsidRPr="00000000" w14:paraId="0000049C">
      <w:pPr>
        <w:pStyle w:val="Heading3"/>
        <w:keepNext w:val="0"/>
        <w:keepLines w:val="0"/>
        <w:spacing w:before="280" w:lineRule="auto"/>
        <w:rPr>
          <w:b w:val="1"/>
          <w:bCs w:val="1"/>
          <w:color w:val="000000"/>
          <w:sz w:val="26"/>
          <w:szCs w:val="26"/>
        </w:rPr>
      </w:pPr>
      <w:bookmarkStart w:colFirst="0" w:colLast="0" w:name="_9ffgjxnlv4zv" w:id="165"/>
      <w:bookmarkEnd w:id="165"/>
      <w:r w:rsidDel="00000000" w:rsidR="00000000" w:rsidRPr="00000000">
        <w:rPr>
          <w:b w:val="1"/>
          <w:bCs w:val="1"/>
          <w:color w:val="000000"/>
          <w:sz w:val="26"/>
          <w:szCs w:val="26"/>
          <w:rtl w:val="0"/>
        </w:rPr>
        <w:t xml:space="preserve">11.4.3 Transition Window Management</w:t>
      </w:r>
    </w:p>
    <w:p w:rsidR="00000000" w:rsidDel="00000000" w:rsidP="00000000" w:rsidRDefault="00000000" w:rsidRPr="00000000" w14:paraId="0000049D">
      <w:pPr>
        <w:spacing w:after="240" w:before="240" w:lineRule="auto"/>
        <w:rPr>
          <w:color w:val="1155cc"/>
          <w:u w:val="single"/>
        </w:rPr>
      </w:pPr>
      <w:r w:rsidDel="00000000" w:rsidR="00000000" w:rsidRPr="00000000">
        <w:rPr>
          <w:rtl w:val="0"/>
        </w:rPr>
        <w:t xml:space="preserve">The transition window - the period during which both ECDSA and Dilithium signatures are required simultaneously - should be long enough to ensure that all system components and counterparties have migrated to Dilithium capability, but short enough to minimize dual-signature storage overhead.</w:t>
      </w:r>
      <w:hyperlink r:id="rId1034">
        <w:r w:rsidDel="00000000" w:rsidR="00000000" w:rsidRPr="00000000">
          <w:rPr>
            <w:rtl w:val="0"/>
          </w:rPr>
          <w:t xml:space="preserve"> </w:t>
        </w:r>
      </w:hyperlink>
      <w:hyperlink r:id="rId1035">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9E">
      <w:pPr>
        <w:spacing w:after="240" w:before="240" w:lineRule="auto"/>
        <w:rPr>
          <w:color w:val="1155cc"/>
          <w:u w:val="single"/>
        </w:rPr>
      </w:pPr>
      <w:r w:rsidDel="00000000" w:rsidR="00000000" w:rsidRPr="00000000">
        <w:rPr>
          <w:rtl w:val="0"/>
        </w:rPr>
        <w:t xml:space="preserve">The minimum transition window is twelve months. The maximum is thirty-six months. The exact duration is configured by the Stewardship Custodians via </w:t>
      </w:r>
      <w:r w:rsidDel="00000000" w:rsidR="00000000" w:rsidRPr="00000000">
        <w:rPr>
          <w:rFonts w:ascii="Roboto Mono" w:cs="Roboto Mono" w:eastAsia="Roboto Mono" w:hAnsi="Roboto Mono"/>
          <w:color w:val="188038"/>
          <w:rtl w:val="0"/>
        </w:rPr>
        <w:t xml:space="preserve">PUT /thresholds/pqcReadiness</w:t>
      </w:r>
      <w:r w:rsidDel="00000000" w:rsidR="00000000" w:rsidRPr="00000000">
        <w:rPr>
          <w:rtl w:val="0"/>
        </w:rPr>
        <w:t xml:space="preserve"> following Threshold 1 activation, subject to the twelve-to-thirty-six-month bounds. The chosen duration is anchored to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 with the full </w:t>
      </w:r>
      <w:r w:rsidDel="00000000" w:rsidR="00000000" w:rsidRPr="00000000">
        <w:rPr>
          <w:rFonts w:ascii="Roboto Mono" w:cs="Roboto Mono" w:eastAsia="Roboto Mono" w:hAnsi="Roboto Mono"/>
          <w:color w:val="188038"/>
          <w:rtl w:val="0"/>
        </w:rPr>
        <w:t xml:space="preserve">TriCameralApproval_v1_0_0</w:t>
      </w:r>
      <w:r w:rsidDel="00000000" w:rsidR="00000000" w:rsidRPr="00000000">
        <w:rPr>
          <w:rtl w:val="0"/>
        </w:rPr>
        <w:t xml:space="preserve"> signatures and becomes binding on all participants in the governance network.</w:t>
      </w:r>
      <w:hyperlink r:id="rId1036">
        <w:r w:rsidDel="00000000" w:rsidR="00000000" w:rsidRPr="00000000">
          <w:rPr>
            <w:rtl w:val="0"/>
          </w:rPr>
          <w:t xml:space="preserve"> </w:t>
        </w:r>
      </w:hyperlink>
      <w:hyperlink r:id="rId1037">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49F">
      <w:pPr>
        <w:pStyle w:val="Heading2"/>
        <w:keepNext w:val="0"/>
        <w:keepLines w:val="0"/>
        <w:spacing w:after="80" w:lineRule="auto"/>
        <w:rPr>
          <w:b w:val="1"/>
          <w:bCs w:val="1"/>
          <w:sz w:val="34"/>
          <w:szCs w:val="34"/>
        </w:rPr>
      </w:pPr>
      <w:bookmarkStart w:colFirst="0" w:colLast="0" w:name="_qrnyr8m1lkhx" w:id="166"/>
      <w:bookmarkEnd w:id="166"/>
      <w:r w:rsidDel="00000000" w:rsidR="00000000" w:rsidRPr="00000000">
        <w:rPr>
          <w:b w:val="1"/>
          <w:bCs w:val="1"/>
          <w:sz w:val="34"/>
          <w:szCs w:val="34"/>
          <w:rtl w:val="0"/>
        </w:rPr>
        <w:t xml:space="preserve">11.5 Multi-Chain Anchoring During Quantum Transition</w:t>
      </w:r>
    </w:p>
    <w:p w:rsidR="00000000" w:rsidDel="00000000" w:rsidP="00000000" w:rsidRDefault="00000000" w:rsidRPr="00000000" w14:paraId="000004A0">
      <w:pPr>
        <w:spacing w:after="240" w:before="240" w:lineRule="auto"/>
        <w:rPr>
          <w:color w:val="1155cc"/>
          <w:u w:val="single"/>
        </w:rPr>
      </w:pPr>
      <w:r w:rsidDel="00000000" w:rsidR="00000000" w:rsidRPr="00000000">
        <w:rPr>
          <w:rtl w:val="0"/>
        </w:rPr>
        <w:t xml:space="preserve">TL anchors Merkle roots to Bitcoin, Ethereum, and Polygon simultaneously. Each chain has different quantum vulnerability characteristics that affect the transition strategy for its anchor transactions.</w:t>
      </w:r>
      <w:hyperlink r:id="rId1038">
        <w:r w:rsidDel="00000000" w:rsidR="00000000" w:rsidRPr="00000000">
          <w:rPr>
            <w:rtl w:val="0"/>
          </w:rPr>
          <w:t xml:space="preserve"> </w:t>
        </w:r>
      </w:hyperlink>
      <w:hyperlink r:id="rId1039">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A1">
      <w:pPr>
        <w:pStyle w:val="Heading3"/>
        <w:keepNext w:val="0"/>
        <w:keepLines w:val="0"/>
        <w:spacing w:before="280" w:lineRule="auto"/>
        <w:rPr>
          <w:b w:val="1"/>
          <w:bCs w:val="1"/>
          <w:color w:val="000000"/>
          <w:sz w:val="26"/>
          <w:szCs w:val="26"/>
        </w:rPr>
      </w:pPr>
      <w:bookmarkStart w:colFirst="0" w:colLast="0" w:name="_56qlvdg1fhwo" w:id="167"/>
      <w:bookmarkEnd w:id="167"/>
      <w:r w:rsidDel="00000000" w:rsidR="00000000" w:rsidRPr="00000000">
        <w:rPr>
          <w:b w:val="1"/>
          <w:bCs w:val="1"/>
          <w:color w:val="000000"/>
          <w:sz w:val="26"/>
          <w:szCs w:val="26"/>
          <w:rtl w:val="0"/>
        </w:rPr>
        <w:t xml:space="preserve">11.5.1 Bitcoin Anchor Considerations</w:t>
      </w:r>
    </w:p>
    <w:p w:rsidR="00000000" w:rsidDel="00000000" w:rsidP="00000000" w:rsidRDefault="00000000" w:rsidRPr="00000000" w14:paraId="000004A2">
      <w:pPr>
        <w:spacing w:after="240" w:before="240" w:lineRule="auto"/>
        <w:rPr/>
      </w:pPr>
      <w:r w:rsidDel="00000000" w:rsidR="00000000" w:rsidRPr="00000000">
        <w:rPr>
          <w:rtl w:val="0"/>
        </w:rPr>
        <w:t xml:space="preserve">Bitcoin's UTXO model provides some natural quantum protection for unspent outputs: the public key is not revealed on the blockchain until an output is spent. However, TL's anchor mechanism requires periodic transactions that expose the signing public key with every anchor publication, making each anchor permanently quantum-vulnerable to harvest-now-decrypt-later collection.</w:t>
      </w:r>
    </w:p>
    <w:p w:rsidR="00000000" w:rsidDel="00000000" w:rsidP="00000000" w:rsidRDefault="00000000" w:rsidRPr="00000000" w14:paraId="000004A3">
      <w:pPr>
        <w:spacing w:after="240" w:before="240" w:lineRule="auto"/>
        <w:rPr>
          <w:color w:val="1155cc"/>
          <w:u w:val="single"/>
        </w:rPr>
      </w:pPr>
      <w:r w:rsidDel="00000000" w:rsidR="00000000" w:rsidRPr="00000000">
        <w:rPr>
          <w:rtl w:val="0"/>
        </w:rPr>
        <w:t xml:space="preserve">Bitcoin does not yet support Dilithium signatures at the base protocol layer. The hybrid protocol handles Bitcoin anchors by maintaining dual-signature content in the </w:t>
      </w:r>
      <w:r w:rsidDel="00000000" w:rsidR="00000000" w:rsidRPr="00000000">
        <w:rPr>
          <w:rFonts w:ascii="Roboto Mono" w:cs="Roboto Mono" w:eastAsia="Roboto Mono" w:hAnsi="Roboto Mono"/>
          <w:color w:val="188038"/>
          <w:rtl w:val="0"/>
        </w:rPr>
        <w:t xml:space="preserve">OP_RETURN</w:t>
      </w:r>
      <w:r w:rsidDel="00000000" w:rsidR="00000000" w:rsidRPr="00000000">
        <w:rPr>
          <w:rtl w:val="0"/>
        </w:rPr>
        <w:t xml:space="preserve"> data payload of the anchor transaction, with the transaction itself signed under the existing ECDSA protocol. The Dilithium signature is embedded in the payload rather than the transaction signature field. This preserves the Merkle chain's hybrid leaf structure for verifiability via </w:t>
      </w:r>
      <w:r w:rsidDel="00000000" w:rsidR="00000000" w:rsidRPr="00000000">
        <w:rPr>
          <w:rFonts w:ascii="Roboto Mono" w:cs="Roboto Mono" w:eastAsia="Roboto Mono" w:hAnsi="Roboto Mono"/>
          <w:color w:val="188038"/>
          <w:rtl w:val="0"/>
        </w:rPr>
        <w:t xml:space="preserve">GET /audit/verifications/merkle/{merkleRoot}</w:t>
      </w:r>
      <w:r w:rsidDel="00000000" w:rsidR="00000000" w:rsidRPr="00000000">
        <w:rPr>
          <w:rtl w:val="0"/>
        </w:rPr>
        <w:t xml:space="preserve"> while accommodating Bitcoin's current signature protocol constraints.</w:t>
      </w:r>
      <w:hyperlink r:id="rId1040">
        <w:r w:rsidDel="00000000" w:rsidR="00000000" w:rsidRPr="00000000">
          <w:rPr>
            <w:rtl w:val="0"/>
          </w:rPr>
          <w:t xml:space="preserve"> </w:t>
        </w:r>
      </w:hyperlink>
      <w:hyperlink r:id="rId1041">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A4">
      <w:pPr>
        <w:pStyle w:val="Heading3"/>
        <w:keepNext w:val="0"/>
        <w:keepLines w:val="0"/>
        <w:spacing w:before="280" w:lineRule="auto"/>
        <w:rPr>
          <w:b w:val="1"/>
          <w:bCs w:val="1"/>
          <w:color w:val="000000"/>
          <w:sz w:val="26"/>
          <w:szCs w:val="26"/>
        </w:rPr>
      </w:pPr>
      <w:bookmarkStart w:colFirst="0" w:colLast="0" w:name="_ai9nml3s4qmp" w:id="168"/>
      <w:bookmarkEnd w:id="168"/>
      <w:r w:rsidDel="00000000" w:rsidR="00000000" w:rsidRPr="00000000">
        <w:rPr>
          <w:b w:val="1"/>
          <w:bCs w:val="1"/>
          <w:color w:val="000000"/>
          <w:sz w:val="26"/>
          <w:szCs w:val="26"/>
          <w:rtl w:val="0"/>
        </w:rPr>
        <w:t xml:space="preserve">11.5.2 Ethereum and Polygon Anchor Considerations</w:t>
      </w:r>
    </w:p>
    <w:p w:rsidR="00000000" w:rsidDel="00000000" w:rsidP="00000000" w:rsidRDefault="00000000" w:rsidRPr="00000000" w14:paraId="000004A5">
      <w:pPr>
        <w:spacing w:after="240" w:before="240" w:lineRule="auto"/>
        <w:rPr>
          <w:color w:val="1155cc"/>
          <w:u w:val="single"/>
        </w:rPr>
      </w:pPr>
      <w:r w:rsidDel="00000000" w:rsidR="00000000" w:rsidRPr="00000000">
        <w:rPr>
          <w:rtl w:val="0"/>
        </w:rPr>
        <w:t xml:space="preserve">Ethereum and Polygon anchor transactions use single-use accounts: the signing private key is generated inside the DITL coprocessor's secure enclave and cryptographically shredded immediately after the transaction confirms. The public key is revealed by the transaction and is therefore permanently quantum-vulnerable to collection, but the destroyed private key means that an adversary who later derives the private key from the public key gains only the ability to spend the now-empty account. The anchor data and the Merkle root it records cannot be retroactively modified by possession of the private key.</w:t>
      </w:r>
      <w:hyperlink r:id="rId1042">
        <w:r w:rsidDel="00000000" w:rsidR="00000000" w:rsidRPr="00000000">
          <w:rPr>
            <w:rtl w:val="0"/>
          </w:rPr>
          <w:t xml:space="preserve"> </w:t>
        </w:r>
      </w:hyperlink>
      <w:hyperlink r:id="rId1043">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A6">
      <w:pPr>
        <w:spacing w:after="240" w:before="240" w:lineRule="auto"/>
        <w:rPr/>
      </w:pPr>
      <w:r w:rsidDel="00000000" w:rsidR="00000000" w:rsidRPr="00000000">
        <w:rPr>
          <w:rtl w:val="0"/>
        </w:rPr>
        <w:t xml:space="preserve">Both Ethereum and Polygon support account abstraction mechanisms that enable Dilithium signature verification through smart contracts even before native protocol-level post-quantum support is added. TL's anchor contract is deployed at Threshold 1 activation to begin accepting Dilithium-signed anchor submissions alongside ECDSA-signed ones, enabling the hybrid anchor structure during the transition window.</w:t>
      </w:r>
    </w:p>
    <w:p w:rsidR="00000000" w:rsidDel="00000000" w:rsidP="00000000" w:rsidRDefault="00000000" w:rsidRPr="00000000" w14:paraId="000004A7">
      <w:pPr>
        <w:pStyle w:val="Heading3"/>
        <w:keepNext w:val="0"/>
        <w:keepLines w:val="0"/>
        <w:spacing w:before="280" w:lineRule="auto"/>
        <w:rPr>
          <w:b w:val="1"/>
          <w:bCs w:val="1"/>
          <w:color w:val="000000"/>
          <w:sz w:val="26"/>
          <w:szCs w:val="26"/>
        </w:rPr>
      </w:pPr>
      <w:bookmarkStart w:colFirst="0" w:colLast="0" w:name="_7s9m7darlnt0" w:id="169"/>
      <w:bookmarkEnd w:id="169"/>
      <w:r w:rsidDel="00000000" w:rsidR="00000000" w:rsidRPr="00000000">
        <w:rPr>
          <w:b w:val="1"/>
          <w:bCs w:val="1"/>
          <w:color w:val="000000"/>
          <w:sz w:val="26"/>
          <w:szCs w:val="26"/>
          <w:rtl w:val="0"/>
        </w:rPr>
        <w:t xml:space="preserve">11.5.3 Multi-Chain Redundancy During Transition</w:t>
      </w:r>
    </w:p>
    <w:p w:rsidR="00000000" w:rsidDel="00000000" w:rsidP="00000000" w:rsidRDefault="00000000" w:rsidRPr="00000000" w14:paraId="000004A8">
      <w:pPr>
        <w:spacing w:after="240" w:before="240" w:lineRule="auto"/>
        <w:rPr>
          <w:color w:val="1155cc"/>
          <w:u w:val="single"/>
        </w:rPr>
      </w:pPr>
      <w:r w:rsidDel="00000000" w:rsidR="00000000" w:rsidRPr="00000000">
        <w:rPr>
          <w:rtl w:val="0"/>
        </w:rPr>
        <w:t xml:space="preserve">The specification mandates that a valid external anchor requires confirmation on at least three of five active anchor chains under the </w:t>
      </w:r>
      <w:r w:rsidDel="00000000" w:rsidR="00000000" w:rsidRPr="00000000">
        <w:rPr>
          <w:rFonts w:ascii="Roboto Mono" w:cs="Roboto Mono" w:eastAsia="Roboto Mono" w:hAnsi="Roboto Mono"/>
          <w:color w:val="188038"/>
          <w:rtl w:val="0"/>
        </w:rPr>
        <w:t xml:space="preserve">3-of-5</w:t>
      </w:r>
      <w:r w:rsidDel="00000000" w:rsidR="00000000" w:rsidRPr="00000000">
        <w:rPr>
          <w:rtl w:val="0"/>
        </w:rPr>
        <w:t xml:space="preserve"> quorum requirement. If one chain experiences a quantum-related security incident enabling reorganization of historical blocks, the other chains maintain the Merkle root record independently verifiable through </w:t>
      </w:r>
      <w:r w:rsidDel="00000000" w:rsidR="00000000" w:rsidRPr="00000000">
        <w:rPr>
          <w:rFonts w:ascii="Roboto Mono" w:cs="Roboto Mono" w:eastAsia="Roboto Mono" w:hAnsi="Roboto Mono"/>
          <w:color w:val="188038"/>
          <w:rtl w:val="0"/>
        </w:rPr>
        <w:t xml:space="preserve">GET /audit/verifications/merkle/{merkleRoot}</w:t>
      </w:r>
      <w:r w:rsidDel="00000000" w:rsidR="00000000" w:rsidRPr="00000000">
        <w:rPr>
          <w:rtl w:val="0"/>
        </w:rPr>
        <w:t xml:space="preserve">.</w:t>
      </w:r>
      <w:hyperlink r:id="rId1044">
        <w:r w:rsidDel="00000000" w:rsidR="00000000" w:rsidRPr="00000000">
          <w:rPr>
            <w:rtl w:val="0"/>
          </w:rPr>
          <w:t xml:space="preserve"> </w:t>
        </w:r>
      </w:hyperlink>
      <w:hyperlink r:id="rId1045">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A9">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hashAlgorithmVersion</w:t>
      </w:r>
      <w:r w:rsidDel="00000000" w:rsidR="00000000" w:rsidRPr="00000000">
        <w:rPr>
          <w:rtl w:val="0"/>
        </w:rPr>
        <w:t xml:space="preserve"> field on every Merkle Root commitment to the public blockchain identifies the hash function used for that batch. Historical records are not rehashed: they retain their original commitments. New records use the updated hash function from the migration date forward. This versioning creates a clean boundary in the evidentiary record during post-quantum hash algorithm migration.</w:t>
      </w:r>
    </w:p>
    <w:p w:rsidR="00000000" w:rsidDel="00000000" w:rsidP="00000000" w:rsidRDefault="00000000" w:rsidRPr="00000000" w14:paraId="000004AA">
      <w:pPr>
        <w:pStyle w:val="Heading2"/>
        <w:keepNext w:val="0"/>
        <w:keepLines w:val="0"/>
        <w:spacing w:after="80" w:lineRule="auto"/>
        <w:rPr>
          <w:b w:val="1"/>
          <w:bCs w:val="1"/>
          <w:sz w:val="34"/>
          <w:szCs w:val="34"/>
        </w:rPr>
      </w:pPr>
      <w:bookmarkStart w:colFirst="0" w:colLast="0" w:name="_73jnged5erpt" w:id="170"/>
      <w:bookmarkEnd w:id="170"/>
      <w:r w:rsidDel="00000000" w:rsidR="00000000" w:rsidRPr="00000000">
        <w:rPr>
          <w:b w:val="1"/>
          <w:bCs w:val="1"/>
          <w:sz w:val="34"/>
          <w:szCs w:val="34"/>
          <w:rtl w:val="0"/>
        </w:rPr>
        <w:t xml:space="preserve">11.6 The Constitutional Agility Protocol</w:t>
      </w:r>
    </w:p>
    <w:p w:rsidR="00000000" w:rsidDel="00000000" w:rsidP="00000000" w:rsidRDefault="00000000" w:rsidRPr="00000000" w14:paraId="000004AB">
      <w:pPr>
        <w:spacing w:after="240" w:before="240" w:lineRule="auto"/>
        <w:rPr>
          <w:color w:val="1155cc"/>
          <w:u w:val="single"/>
        </w:rPr>
      </w:pPr>
      <w:r w:rsidDel="00000000" w:rsidR="00000000" w:rsidRPr="00000000">
        <w:rPr>
          <w:rtl w:val="0"/>
        </w:rPr>
        <w:t xml:space="preserve">Post-quantum migration is the most predictable major cryptographic transition TL will face. Future cryptographic developments may require additional migrations: advances in lattice cryptography that weaken ML-DSA, new algebraic attacks on hash functions that reduce effective security margins, or development of new quantum algorithms threatening primitives currently considered quantum-resistant. The constitutional agility protocol ensures the framework can accommodate any required cryptographic transition without architectural disruption.</w:t>
      </w:r>
      <w:hyperlink r:id="rId1046">
        <w:r w:rsidDel="00000000" w:rsidR="00000000" w:rsidRPr="00000000">
          <w:rPr>
            <w:rtl w:val="0"/>
          </w:rPr>
          <w:t xml:space="preserve"> </w:t>
        </w:r>
      </w:hyperlink>
      <w:hyperlink r:id="rId1047">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AC">
      <w:pPr>
        <w:pStyle w:val="Heading3"/>
        <w:keepNext w:val="0"/>
        <w:keepLines w:val="0"/>
        <w:spacing w:before="280" w:lineRule="auto"/>
        <w:rPr>
          <w:b w:val="1"/>
          <w:bCs w:val="1"/>
          <w:color w:val="000000"/>
          <w:sz w:val="26"/>
          <w:szCs w:val="26"/>
        </w:rPr>
      </w:pPr>
      <w:bookmarkStart w:colFirst="0" w:colLast="0" w:name="_yp1gpbkwm4wc" w:id="171"/>
      <w:bookmarkEnd w:id="171"/>
      <w:r w:rsidDel="00000000" w:rsidR="00000000" w:rsidRPr="00000000">
        <w:rPr>
          <w:b w:val="1"/>
          <w:bCs w:val="1"/>
          <w:color w:val="000000"/>
          <w:sz w:val="26"/>
          <w:szCs w:val="26"/>
          <w:rtl w:val="0"/>
        </w:rPr>
        <w:t xml:space="preserve">11.6.1 Algorithm Slot Architecture</w:t>
      </w:r>
    </w:p>
    <w:p w:rsidR="00000000" w:rsidDel="00000000" w:rsidP="00000000" w:rsidRDefault="00000000" w:rsidRPr="00000000" w14:paraId="000004AD">
      <w:pPr>
        <w:spacing w:after="240" w:before="240" w:lineRule="auto"/>
        <w:rPr>
          <w:color w:val="1155cc"/>
          <w:u w:val="single"/>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signatureBlock.pqcMigrationSlots</w:t>
      </w:r>
      <w:r w:rsidDel="00000000" w:rsidR="00000000" w:rsidRPr="00000000">
        <w:rPr>
          <w:rtl w:val="0"/>
        </w:rPr>
        <w:t xml:space="preserve"> array in </w:t>
      </w:r>
      <w:r w:rsidDel="00000000" w:rsidR="00000000" w:rsidRPr="00000000">
        <w:rPr>
          <w:rFonts w:ascii="Roboto Mono" w:cs="Roboto Mono" w:eastAsia="Roboto Mono" w:hAnsi="Roboto Mono"/>
          <w:color w:val="188038"/>
          <w:rtl w:val="0"/>
        </w:rPr>
        <w:t xml:space="preserve">GoukassianPrincipleBlock_v1_0_0</w:t>
      </w:r>
      <w:r w:rsidDel="00000000" w:rsidR="00000000" w:rsidRPr="00000000">
        <w:rPr>
          <w:rtl w:val="0"/>
        </w:rPr>
        <w:t xml:space="preserve"> is structured as a fixed-width header containing algorithm type identifiers alongside variable-width signature fields. Algorithm type identifiers are four-byte values drawn from a registry maintained by the Technical Council and anchored to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 The current registry includes slots for ECDSA-P256, ECDSA-P384, ML-DSA-87, </w:t>
      </w:r>
      <w:r w:rsidDel="00000000" w:rsidR="00000000" w:rsidRPr="00000000">
        <w:rPr>
          <w:rFonts w:ascii="Roboto Mono" w:cs="Roboto Mono" w:eastAsia="Roboto Mono" w:hAnsi="Roboto Mono"/>
          <w:color w:val="188038"/>
          <w:rtl w:val="0"/>
        </w:rPr>
        <w:t xml:space="preserve">SLH-DSA-SHAKE-128s</w:t>
      </w:r>
      <w:r w:rsidDel="00000000" w:rsidR="00000000" w:rsidRPr="00000000">
        <w:rPr>
          <w:rtl w:val="0"/>
        </w:rPr>
        <w:t xml:space="preserve"> (slot 6), and </w:t>
      </w:r>
      <w:r w:rsidDel="00000000" w:rsidR="00000000" w:rsidRPr="00000000">
        <w:rPr>
          <w:rFonts w:ascii="Roboto Mono" w:cs="Roboto Mono" w:eastAsia="Roboto Mono" w:hAnsi="Roboto Mono"/>
          <w:color w:val="188038"/>
          <w:rtl w:val="0"/>
        </w:rPr>
        <w:t xml:space="preserve">ML-KEM-1024</w:t>
      </w:r>
      <w:r w:rsidDel="00000000" w:rsidR="00000000" w:rsidRPr="00000000">
        <w:rPr>
          <w:rtl w:val="0"/>
        </w:rPr>
        <w:t xml:space="preserve"> (slot 7), as well as reserved slots for future algorithm additions.</w:t>
      </w:r>
      <w:hyperlink r:id="rId1048">
        <w:r w:rsidDel="00000000" w:rsidR="00000000" w:rsidRPr="00000000">
          <w:rPr>
            <w:rtl w:val="0"/>
          </w:rPr>
          <w:t xml:space="preserve"> </w:t>
        </w:r>
      </w:hyperlink>
      <w:hyperlink r:id="rId1049">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4AE">
      <w:pPr>
        <w:spacing w:after="240" w:before="240" w:lineRule="auto"/>
        <w:rPr/>
      </w:pPr>
      <w:r w:rsidDel="00000000" w:rsidR="00000000" w:rsidRPr="00000000">
        <w:rPr>
          <w:rtl w:val="0"/>
        </w:rPr>
        <w:t xml:space="preserve">Adding a new algorithm to the registry requires Technical Council certification of the algorithm's security properties, Stewardship Custodian approval through </w:t>
      </w:r>
      <w:r w:rsidDel="00000000" w:rsidR="00000000" w:rsidRPr="00000000">
        <w:rPr>
          <w:rFonts w:ascii="Roboto Mono" w:cs="Roboto Mono" w:eastAsia="Roboto Mono" w:hAnsi="Roboto Mono"/>
          <w:color w:val="188038"/>
          <w:rtl w:val="0"/>
        </w:rPr>
        <w:t xml:space="preserve">POST /pillars/{pillarId}/configure</w:t>
      </w:r>
      <w:r w:rsidDel="00000000" w:rsidR="00000000" w:rsidRPr="00000000">
        <w:rPr>
          <w:rtl w:val="0"/>
        </w:rPr>
        <w:t xml:space="preserve">, and anchoring of the new registry entry to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Once the registry entry is anchored, the algorithm is available for use without any changes to the API schema's structural definition.</w:t>
      </w:r>
    </w:p>
    <w:p w:rsidR="00000000" w:rsidDel="00000000" w:rsidP="00000000" w:rsidRDefault="00000000" w:rsidRPr="00000000" w14:paraId="000004AF">
      <w:pPr>
        <w:pStyle w:val="Heading3"/>
        <w:keepNext w:val="0"/>
        <w:keepLines w:val="0"/>
        <w:spacing w:before="280" w:lineRule="auto"/>
        <w:rPr>
          <w:b w:val="1"/>
          <w:bCs w:val="1"/>
          <w:color w:val="000000"/>
          <w:sz w:val="26"/>
          <w:szCs w:val="26"/>
        </w:rPr>
      </w:pPr>
      <w:bookmarkStart w:colFirst="0" w:colLast="0" w:name="_kb332kla25tj" w:id="172"/>
      <w:bookmarkEnd w:id="172"/>
      <w:r w:rsidDel="00000000" w:rsidR="00000000" w:rsidRPr="00000000">
        <w:rPr>
          <w:b w:val="1"/>
          <w:bCs w:val="1"/>
          <w:color w:val="000000"/>
          <w:sz w:val="26"/>
          <w:szCs w:val="26"/>
          <w:rtl w:val="0"/>
        </w:rPr>
        <w:t xml:space="preserve">11.6.2 Retroactive Re-Anchoring</w:t>
      </w:r>
    </w:p>
    <w:p w:rsidR="00000000" w:rsidDel="00000000" w:rsidP="00000000" w:rsidRDefault="00000000" w:rsidRPr="00000000" w14:paraId="000004B0">
      <w:pPr>
        <w:spacing w:after="240" w:before="240" w:lineRule="auto"/>
        <w:rPr>
          <w:color w:val="1155cc"/>
          <w:u w:val="single"/>
        </w:rPr>
      </w:pPr>
      <w:r w:rsidDel="00000000" w:rsidR="00000000" w:rsidRPr="00000000">
        <w:rPr>
          <w:rtl w:val="0"/>
        </w:rPr>
        <w:t xml:space="preserve">For historical records anchored using an algorithm later found to be broken, the agility protocol specifies a retroactive re-anchoring procedure. The Governance Lane generates a re-anchoring record: a new Merkle leaf containing the original leaf hash, the original signatures, and a new Dilithium signature computed over the concatenation of the original content and the re-anchoring timestamp. The </w:t>
      </w:r>
      <w:r w:rsidDel="00000000" w:rsidR="00000000" w:rsidRPr="00000000">
        <w:rPr>
          <w:rFonts w:ascii="Roboto Mono" w:cs="Roboto Mono" w:eastAsia="Roboto Mono" w:hAnsi="Roboto Mono"/>
          <w:color w:val="188038"/>
          <w:rtl w:val="0"/>
        </w:rPr>
        <w:t xml:space="preserve">pqcMigrationStatus</w:t>
      </w:r>
      <w:r w:rsidDel="00000000" w:rsidR="00000000" w:rsidRPr="00000000">
        <w:rPr>
          <w:rtl w:val="0"/>
        </w:rPr>
        <w:t xml:space="preserve"> field in </w:t>
      </w:r>
      <w:r w:rsidDel="00000000" w:rsidR="00000000" w:rsidRPr="00000000">
        <w:rPr>
          <w:rFonts w:ascii="Roboto Mono" w:cs="Roboto Mono" w:eastAsia="Roboto Mono" w:hAnsi="Roboto Mono"/>
          <w:color w:val="188038"/>
          <w:rtl w:val="0"/>
        </w:rPr>
        <w:t xml:space="preserve">SuccessionDeclaration_v1_0_0</w:t>
      </w:r>
      <w:r w:rsidDel="00000000" w:rsidR="00000000" w:rsidRPr="00000000">
        <w:rPr>
          <w:rtl w:val="0"/>
        </w:rPr>
        <w:t xml:space="preserve"> tracks the percentage of historical Decision Logs that have received dual-signed retroactive attestation under the post-quantum scheme.</w:t>
      </w:r>
      <w:hyperlink r:id="rId1050">
        <w:r w:rsidDel="00000000" w:rsidR="00000000" w:rsidRPr="00000000">
          <w:rPr>
            <w:rtl w:val="0"/>
          </w:rPr>
          <w:t xml:space="preserve"> </w:t>
        </w:r>
      </w:hyperlink>
      <w:hyperlink r:id="rId1051">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4B1">
      <w:pPr>
        <w:spacing w:after="240" w:before="240" w:lineRule="auto"/>
        <w:rPr>
          <w:color w:val="1155cc"/>
          <w:u w:val="single"/>
        </w:rPr>
      </w:pPr>
      <w:r w:rsidDel="00000000" w:rsidR="00000000" w:rsidRPr="00000000">
        <w:rPr>
          <w:rtl w:val="0"/>
        </w:rPr>
        <w:t xml:space="preserve">The re-anchoring record is appended to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 as a new leaf, not as a replacement for the original. The original record remains intact. The re-anchoring leaf creates a forward cryptographic link from the original content to the new post-quantum signature without modifying any historical record. External auditors verify both the original record and the re-anchoring leaf independently via </w:t>
      </w:r>
      <w:r w:rsidDel="00000000" w:rsidR="00000000" w:rsidRPr="00000000">
        <w:rPr>
          <w:rFonts w:ascii="Roboto Mono" w:cs="Roboto Mono" w:eastAsia="Roboto Mono" w:hAnsi="Roboto Mono"/>
          <w:color w:val="188038"/>
          <w:rtl w:val="0"/>
        </w:rPr>
        <w:t xml:space="preserve">GET /audit/verifications/inclusion/{logId}</w:t>
      </w:r>
      <w:r w:rsidDel="00000000" w:rsidR="00000000" w:rsidRPr="00000000">
        <w:rPr>
          <w:rtl w:val="0"/>
        </w:rPr>
        <w:t xml:space="preserve">.</w:t>
      </w:r>
      <w:hyperlink r:id="rId1052">
        <w:r w:rsidDel="00000000" w:rsidR="00000000" w:rsidRPr="00000000">
          <w:rPr>
            <w:rtl w:val="0"/>
          </w:rPr>
          <w:t xml:space="preserve"> </w:t>
        </w:r>
      </w:hyperlink>
      <w:hyperlink r:id="rId1053">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B2">
      <w:pPr>
        <w:pStyle w:val="Heading2"/>
        <w:keepNext w:val="0"/>
        <w:keepLines w:val="0"/>
        <w:spacing w:after="80" w:lineRule="auto"/>
        <w:rPr>
          <w:b w:val="1"/>
          <w:bCs w:val="1"/>
          <w:sz w:val="34"/>
          <w:szCs w:val="34"/>
        </w:rPr>
      </w:pPr>
      <w:bookmarkStart w:colFirst="0" w:colLast="0" w:name="_kue014z77ps2" w:id="173"/>
      <w:bookmarkEnd w:id="173"/>
      <w:r w:rsidDel="00000000" w:rsidR="00000000" w:rsidRPr="00000000">
        <w:rPr>
          <w:b w:val="1"/>
          <w:bCs w:val="1"/>
          <w:sz w:val="34"/>
          <w:szCs w:val="34"/>
          <w:rtl w:val="0"/>
        </w:rPr>
        <w:t xml:space="preserve">11.7 Institutional Preparation Requirements</w:t>
      </w:r>
    </w:p>
    <w:p w:rsidR="00000000" w:rsidDel="00000000" w:rsidP="00000000" w:rsidRDefault="00000000" w:rsidRPr="00000000" w14:paraId="000004B3">
      <w:pPr>
        <w:spacing w:after="240" w:before="240" w:lineRule="auto"/>
        <w:rPr>
          <w:color w:val="1155cc"/>
          <w:u w:val="single"/>
        </w:rPr>
      </w:pPr>
      <w:r w:rsidDel="00000000" w:rsidR="00000000" w:rsidRPr="00000000">
        <w:rPr>
          <w:rtl w:val="0"/>
        </w:rPr>
        <w:t xml:space="preserve">The post-quantum migration places operational demands on institutions deploying TL. These demands are enforced through the automatic trigger system and the Smart Contract Treasury's penalty structure.</w:t>
      </w:r>
      <w:hyperlink r:id="rId1054">
        <w:r w:rsidDel="00000000" w:rsidR="00000000" w:rsidRPr="00000000">
          <w:rPr>
            <w:rtl w:val="0"/>
          </w:rPr>
          <w:t xml:space="preserve"> </w:t>
        </w:r>
      </w:hyperlink>
      <w:hyperlink r:id="rId1055">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B4">
      <w:pPr>
        <w:spacing w:after="240" w:before="240" w:lineRule="auto"/>
        <w:rPr/>
      </w:pPr>
      <w:r w:rsidDel="00000000" w:rsidR="00000000" w:rsidRPr="00000000">
        <w:rPr>
          <w:b w:val="1"/>
          <w:bCs w:val="1"/>
          <w:rtl w:val="0"/>
        </w:rPr>
        <w:t xml:space="preserve">Hardware Security Module Upgrades.</w:t>
      </w:r>
      <w:r w:rsidDel="00000000" w:rsidR="00000000" w:rsidRPr="00000000">
        <w:rPr>
          <w:rtl w:val="0"/>
        </w:rPr>
        <w:t xml:space="preserve"> Institutions must upgrade or replace HSMs that do not support ML-DSA and ML-KEM-1024 operations. The Technical Council maintains a certified HSM compatibility registry. Institutions operating on non-certified HSMs receive automatic Epistemic Hold on all proposals via </w:t>
      </w:r>
      <w:r w:rsidDel="00000000" w:rsidR="00000000" w:rsidRPr="00000000">
        <w:rPr>
          <w:rFonts w:ascii="Roboto Mono" w:cs="Roboto Mono" w:eastAsia="Roboto Mono" w:hAnsi="Roboto Mono"/>
          <w:color w:val="188038"/>
          <w:rtl w:val="0"/>
        </w:rPr>
        <w:t xml:space="preserve">EscrowRecord_v1_0_0</w:t>
      </w:r>
      <w:r w:rsidDel="00000000" w:rsidR="00000000" w:rsidRPr="00000000">
        <w:rPr>
          <w:rtl w:val="0"/>
        </w:rPr>
        <w:t xml:space="preserve"> at Threshold 1 activation, with </w:t>
      </w:r>
      <w:r w:rsidDel="00000000" w:rsidR="00000000" w:rsidRPr="00000000">
        <w:rPr>
          <w:rFonts w:ascii="Roboto Mono" w:cs="Roboto Mono" w:eastAsia="Roboto Mono" w:hAnsi="Roboto Mono"/>
          <w:color w:val="188038"/>
          <w:rtl w:val="0"/>
        </w:rPr>
        <w:t xml:space="preserve">holdRationale.pillarImplicated</w:t>
      </w:r>
      <w:r w:rsidDel="00000000" w:rsidR="00000000" w:rsidRPr="00000000">
        <w:rPr>
          <w:rtl w:val="0"/>
        </w:rPr>
        <w:t xml:space="preserve"> set to </w:t>
      </w:r>
      <w:r w:rsidDel="00000000" w:rsidR="00000000" w:rsidRPr="00000000">
        <w:rPr>
          <w:rFonts w:ascii="Roboto Mono" w:cs="Roboto Mono" w:eastAsia="Roboto Mono" w:hAnsi="Roboto Mono"/>
          <w:color w:val="188038"/>
          <w:rtl w:val="0"/>
        </w:rPr>
        <w:t xml:space="preserve">"GoukassianPrinciple"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requiredConditions</w:t>
      </w:r>
      <w:r w:rsidDel="00000000" w:rsidR="00000000" w:rsidRPr="00000000">
        <w:rPr>
          <w:rtl w:val="0"/>
        </w:rPr>
        <w:t xml:space="preserve"> populated with the HSM upgrade specification.</w:t>
      </w:r>
    </w:p>
    <w:p w:rsidR="00000000" w:rsidDel="00000000" w:rsidP="00000000" w:rsidRDefault="00000000" w:rsidRPr="00000000" w14:paraId="000004B5">
      <w:pPr>
        <w:spacing w:after="240" w:before="240" w:lineRule="auto"/>
        <w:rPr>
          <w:color w:val="1155cc"/>
          <w:u w:val="single"/>
        </w:rPr>
      </w:pPr>
      <w:r w:rsidDel="00000000" w:rsidR="00000000" w:rsidRPr="00000000">
        <w:rPr>
          <w:b w:val="1"/>
          <w:bCs w:val="1"/>
          <w:rtl w:val="0"/>
        </w:rPr>
        <w:t xml:space="preserve">Capital Budgeting.</w:t>
      </w:r>
      <w:r w:rsidDel="00000000" w:rsidR="00000000" w:rsidRPr="00000000">
        <w:rPr>
          <w:rtl w:val="0"/>
        </w:rPr>
        <w:t xml:space="preserve"> The ten-to-fifteen-year cryptographic horizon defines the planning window for institutional capital allocation. The Smart Contract Treasury is required to allocate reserves for the post-quantum migration through the Recovery Reserve as obligations, not discretionary IT projects. An institution that fails to budget for post-quantum migration will be unable to afford the transition when Threshold 1 activates, forcing it into emergency borrowing that compromises its governance independence.</w:t>
      </w:r>
      <w:hyperlink r:id="rId1056">
        <w:r w:rsidDel="00000000" w:rsidR="00000000" w:rsidRPr="00000000">
          <w:rPr>
            <w:rtl w:val="0"/>
          </w:rPr>
          <w:t xml:space="preserve"> </w:t>
        </w:r>
      </w:hyperlink>
      <w:hyperlink r:id="rId1057">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B6">
      <w:pPr>
        <w:spacing w:after="240" w:before="240" w:lineRule="auto"/>
        <w:rPr/>
      </w:pPr>
      <w:r w:rsidDel="00000000" w:rsidR="00000000" w:rsidRPr="00000000">
        <w:rPr>
          <w:b w:val="1"/>
          <w:bCs w:val="1"/>
          <w:rtl w:val="0"/>
        </w:rPr>
        <w:t xml:space="preserve">Counterparty Coordination.</w:t>
      </w:r>
      <w:r w:rsidDel="00000000" w:rsidR="00000000" w:rsidRPr="00000000">
        <w:rPr>
          <w:rtl w:val="0"/>
        </w:rPr>
        <w:t xml:space="preserve"> Cross-border regulatory cooperation through the EKR mechanism requires that both the accessing party and the institution holding the records support compatible post-quantum signature verification. The Stewardship Custodians maintain a counterparty readiness registry in the Regulatory Nexus that institutions query to determine which counterparties have completed Dilithium readiness certification. Transactions with counterparties who have not completed certification at Threshold 2 activation receive Epistemic Hold pending counterparty migration confirmation.</w:t>
      </w:r>
    </w:p>
    <w:p w:rsidR="00000000" w:rsidDel="00000000" w:rsidP="00000000" w:rsidRDefault="00000000" w:rsidRPr="00000000" w14:paraId="000004B7">
      <w:pPr>
        <w:spacing w:after="240" w:before="240" w:lineRule="auto"/>
        <w:rPr>
          <w:color w:val="1155cc"/>
          <w:u w:val="single"/>
        </w:rPr>
      </w:pPr>
      <w:r w:rsidDel="00000000" w:rsidR="00000000" w:rsidRPr="00000000">
        <w:rPr>
          <w:b w:val="1"/>
          <w:bCs w:val="1"/>
          <w:rtl w:val="0"/>
        </w:rPr>
        <w:t xml:space="preserve">Regulatory Notification.</w:t>
      </w:r>
      <w:r w:rsidDel="00000000" w:rsidR="00000000" w:rsidRPr="00000000">
        <w:rPr>
          <w:rtl w:val="0"/>
        </w:rPr>
        <w:t xml:space="preserve"> The schema modification that activates the hybrid protocol via </w:t>
      </w:r>
      <w:r w:rsidDel="00000000" w:rsidR="00000000" w:rsidRPr="00000000">
        <w:rPr>
          <w:rFonts w:ascii="Roboto Mono" w:cs="Roboto Mono" w:eastAsia="Roboto Mono" w:hAnsi="Roboto Mono"/>
          <w:color w:val="188038"/>
          <w:rtl w:val="0"/>
        </w:rPr>
        <w:t xml:space="preserve">POST /pillars/{pillarId}/configure</w:t>
      </w:r>
      <w:r w:rsidDel="00000000" w:rsidR="00000000" w:rsidRPr="00000000">
        <w:rPr>
          <w:rtl w:val="0"/>
        </w:rPr>
        <w:t xml:space="preserve"> must be disclosed to all applicable financial supervisors as a material change to the institution's automated governance infrastructure. The Decision Log for the notification is anchored to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 creating a permanent record of regulatory disclosure compliance.</w:t>
      </w:r>
      <w:hyperlink r:id="rId1058">
        <w:r w:rsidDel="00000000" w:rsidR="00000000" w:rsidRPr="00000000">
          <w:rPr>
            <w:rtl w:val="0"/>
          </w:rPr>
          <w:t xml:space="preserve"> </w:t>
        </w:r>
      </w:hyperlink>
      <w:hyperlink r:id="rId1059">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4B8">
      <w:pPr>
        <w:pStyle w:val="Heading2"/>
        <w:keepNext w:val="0"/>
        <w:keepLines w:val="0"/>
        <w:spacing w:after="80" w:lineRule="auto"/>
        <w:rPr>
          <w:b w:val="1"/>
          <w:bCs w:val="1"/>
          <w:sz w:val="34"/>
          <w:szCs w:val="34"/>
        </w:rPr>
      </w:pPr>
      <w:bookmarkStart w:colFirst="0" w:colLast="0" w:name="_syitdhrfms4q" w:id="174"/>
      <w:bookmarkEnd w:id="174"/>
      <w:r w:rsidDel="00000000" w:rsidR="00000000" w:rsidRPr="00000000">
        <w:rPr>
          <w:b w:val="1"/>
          <w:bCs w:val="1"/>
          <w:sz w:val="34"/>
          <w:szCs w:val="34"/>
          <w:rtl w:val="0"/>
        </w:rPr>
        <w:t xml:space="preserve">11.8 Tri-Cameral Oversight of Migration</w:t>
      </w:r>
    </w:p>
    <w:p w:rsidR="00000000" w:rsidDel="00000000" w:rsidP="00000000" w:rsidRDefault="00000000" w:rsidRPr="00000000" w14:paraId="000004B9">
      <w:pPr>
        <w:spacing w:after="240" w:before="240" w:lineRule="auto"/>
        <w:rPr>
          <w:color w:val="1155cc"/>
          <w:u w:val="single"/>
        </w:rPr>
      </w:pPr>
      <w:r w:rsidDel="00000000" w:rsidR="00000000" w:rsidRPr="00000000">
        <w:rPr>
          <w:b w:val="1"/>
          <w:bCs w:val="1"/>
          <w:rtl w:val="0"/>
        </w:rPr>
        <w:t xml:space="preserve">The Technical Council</w:t>
      </w:r>
      <w:r w:rsidDel="00000000" w:rsidR="00000000" w:rsidRPr="00000000">
        <w:rPr>
          <w:rtl w:val="0"/>
        </w:rPr>
        <w:t xml:space="preserve"> monitors the Quantum Readiness Parameter inputs, evaluates post-quantum algorithm candidates against TL's specific use cases, validates HSM implementations against NIST CAVP test vectors, certifies the hybrid Merkle leaf structure for correctness and chain continuity, and manages the algorithm slot registry via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 The Council's certification is required before any migration threshold action takes effect. Its technical assessments are surfaced through </w:t>
      </w:r>
      <w:r w:rsidDel="00000000" w:rsidR="00000000" w:rsidRPr="00000000">
        <w:rPr>
          <w:rFonts w:ascii="Roboto Mono" w:cs="Roboto Mono" w:eastAsia="Roboto Mono" w:hAnsi="Roboto Mono"/>
          <w:color w:val="188038"/>
          <w:rtl w:val="0"/>
        </w:rPr>
        <w:t xml:space="preserve">GET /epistemic-hold/lantern</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pillarStatuses</w:t>
      </w:r>
      <w:r w:rsidDel="00000000" w:rsidR="00000000" w:rsidRPr="00000000">
        <w:rPr>
          <w:rtl w:val="0"/>
        </w:rPr>
        <w:t xml:space="preserve"> updated for </w:t>
      </w:r>
      <w:r w:rsidDel="00000000" w:rsidR="00000000" w:rsidRPr="00000000">
        <w:rPr>
          <w:rFonts w:ascii="Roboto Mono" w:cs="Roboto Mono" w:eastAsia="Roboto Mono" w:hAnsi="Roboto Mono"/>
          <w:color w:val="188038"/>
          <w:rtl w:val="0"/>
        </w:rPr>
        <w:t xml:space="preserve">GoukassianPrinciple</w:t>
      </w:r>
      <w:r w:rsidDel="00000000" w:rsidR="00000000" w:rsidRPr="00000000">
        <w:rPr>
          <w:rtl w:val="0"/>
        </w:rPr>
        <w:t xml:space="preserve">.</w:t>
      </w:r>
      <w:hyperlink r:id="rId1060">
        <w:r w:rsidDel="00000000" w:rsidR="00000000" w:rsidRPr="00000000">
          <w:rPr>
            <w:rtl w:val="0"/>
          </w:rPr>
          <w:t xml:space="preserve"> </w:t>
        </w:r>
      </w:hyperlink>
      <w:hyperlink r:id="rId1061">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4BA">
      <w:pPr>
        <w:spacing w:after="240" w:before="240" w:lineRule="auto"/>
        <w:rPr>
          <w:color w:val="1155cc"/>
          <w:u w:val="single"/>
        </w:rPr>
      </w:pPr>
      <w:r w:rsidDel="00000000" w:rsidR="00000000" w:rsidRPr="00000000">
        <w:rPr>
          <w:b w:val="1"/>
          <w:bCs w:val="1"/>
          <w:rtl w:val="0"/>
        </w:rPr>
        <w:t xml:space="preserve">The Stewardship Custodians</w:t>
      </w:r>
      <w:r w:rsidDel="00000000" w:rsidR="00000000" w:rsidRPr="00000000">
        <w:rPr>
          <w:rtl w:val="0"/>
        </w:rPr>
        <w:t xml:space="preserve"> approve the Quantum Readiness Parameter threshold values via </w:t>
      </w:r>
      <w:r w:rsidDel="00000000" w:rsidR="00000000" w:rsidRPr="00000000">
        <w:rPr>
          <w:rFonts w:ascii="Roboto Mono" w:cs="Roboto Mono" w:eastAsia="Roboto Mono" w:hAnsi="Roboto Mono"/>
          <w:color w:val="188038"/>
          <w:rtl w:val="0"/>
        </w:rPr>
        <w:t xml:space="preserve">PUT /thresholds/pqcReadiness</w:t>
      </w:r>
      <w:r w:rsidDel="00000000" w:rsidR="00000000" w:rsidRPr="00000000">
        <w:rPr>
          <w:rtl w:val="0"/>
        </w:rPr>
        <w:t xml:space="preserve">, manage the physical chamber key migration ceremonies for Dilithium key pair generation, hold the Shamir shares required for ECDSA key destruction at retirement, maintain the counterparty readiness registry, and execute the supermajority ECDSA retirement vote via </w:t>
      </w:r>
      <w:r w:rsidDel="00000000" w:rsidR="00000000" w:rsidRPr="00000000">
        <w:rPr>
          <w:rFonts w:ascii="Roboto Mono" w:cs="Roboto Mono" w:eastAsia="Roboto Mono" w:hAnsi="Roboto Mono"/>
          <w:color w:val="188038"/>
          <w:rtl w:val="0"/>
        </w:rPr>
        <w:t xml:space="preserve">POST /pillars/{pillarId}/configure</w:t>
      </w:r>
      <w:r w:rsidDel="00000000" w:rsidR="00000000" w:rsidRPr="00000000">
        <w:rPr>
          <w:rtl w:val="0"/>
        </w:rPr>
        <w:t xml:space="preserve">. Custodian availability for key ceremonies is verified via </w:t>
      </w:r>
      <w:r w:rsidDel="00000000" w:rsidR="00000000" w:rsidRPr="00000000">
        <w:rPr>
          <w:rFonts w:ascii="Roboto Mono" w:cs="Roboto Mono" w:eastAsia="Roboto Mono" w:hAnsi="Roboto Mono"/>
          <w:color w:val="188038"/>
          <w:rtl w:val="0"/>
        </w:rPr>
        <w:t xml:space="preserve">GET /audit/custodians/{custodianId}/heartbeat</w:t>
      </w:r>
      <w:r w:rsidDel="00000000" w:rsidR="00000000" w:rsidRPr="00000000">
        <w:rPr>
          <w:rtl w:val="0"/>
        </w:rPr>
        <w:t xml:space="preserve"> and quorum status via </w:t>
      </w:r>
      <w:r w:rsidDel="00000000" w:rsidR="00000000" w:rsidRPr="00000000">
        <w:rPr>
          <w:rFonts w:ascii="Roboto Mono" w:cs="Roboto Mono" w:eastAsia="Roboto Mono" w:hAnsi="Roboto Mono"/>
          <w:color w:val="188038"/>
          <w:rtl w:val="0"/>
        </w:rPr>
        <w:t xml:space="preserve">GET /regulator/custodian-quorum</w:t>
      </w:r>
      <w:r w:rsidDel="00000000" w:rsidR="00000000" w:rsidRPr="00000000">
        <w:rPr>
          <w:rtl w:val="0"/>
        </w:rPr>
        <w:t xml:space="preserve">.</w:t>
      </w:r>
      <w:hyperlink r:id="rId1062">
        <w:r w:rsidDel="00000000" w:rsidR="00000000" w:rsidRPr="00000000">
          <w:rPr>
            <w:rtl w:val="0"/>
          </w:rPr>
          <w:t xml:space="preserve"> </w:t>
        </w:r>
      </w:hyperlink>
      <w:hyperlink r:id="rId1063">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4BB">
      <w:pPr>
        <w:spacing w:after="240" w:before="240" w:lineRule="auto"/>
        <w:rPr>
          <w:color w:val="1155cc"/>
          <w:u w:val="single"/>
        </w:rPr>
      </w:pPr>
      <w:r w:rsidDel="00000000" w:rsidR="00000000" w:rsidRPr="00000000">
        <w:rPr>
          <w:b w:val="1"/>
          <w:bCs w:val="1"/>
          <w:rtl w:val="0"/>
        </w:rPr>
        <w:t xml:space="preserve">The Smart Contract Treasury</w:t>
      </w:r>
      <w:r w:rsidDel="00000000" w:rsidR="00000000" w:rsidRPr="00000000">
        <w:rPr>
          <w:rtl w:val="0"/>
        </w:rPr>
        <w:t xml:space="preserve"> manages the capital reserves for HSM upgrades and chamber key migration ceremonies, administers the transition preparation incentive fee structure, imposes operational penalties through its automated enforcement architecture on institutions that are not Dilithium-ready at Threshold 1 activation, and maintains the automatic destruction timers for retired ECDSA key material confirmed through </w:t>
      </w:r>
      <w:r w:rsidDel="00000000" w:rsidR="00000000" w:rsidRPr="00000000">
        <w:rPr>
          <w:rFonts w:ascii="Roboto Mono" w:cs="Roboto Mono" w:eastAsia="Roboto Mono" w:hAnsi="Roboto Mono"/>
          <w:color w:val="188038"/>
          <w:rtl w:val="0"/>
        </w:rPr>
        <w:t xml:space="preserve">hkdfSha3256Confirmed: true</w:t>
      </w:r>
      <w:r w:rsidDel="00000000" w:rsidR="00000000" w:rsidRPr="00000000">
        <w:rPr>
          <w:rtl w:val="0"/>
        </w:rPr>
        <w:t xml:space="preserve">.</w:t>
      </w:r>
      <w:hyperlink r:id="rId1064">
        <w:r w:rsidDel="00000000" w:rsidR="00000000" w:rsidRPr="00000000">
          <w:rPr>
            <w:rtl w:val="0"/>
          </w:rPr>
          <w:t xml:space="preserve"> </w:t>
        </w:r>
      </w:hyperlink>
      <w:hyperlink r:id="rId1065">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4BC">
      <w:pPr>
        <w:spacing w:after="240" w:before="240" w:lineRule="auto"/>
        <w:rPr>
          <w:color w:val="1155cc"/>
          <w:u w:val="single"/>
        </w:rPr>
      </w:pPr>
      <w:r w:rsidDel="00000000" w:rsidR="00000000" w:rsidRPr="00000000">
        <w:rPr>
          <w:rtl w:val="0"/>
        </w:rPr>
        <w:t xml:space="preserve">The migration's success depends on all three chambers fulfilling their mandates on the timeline defined by the automatic trigger system.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records every chamber action and every deadline via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 making any chamber's failure to meet its migration obligations permanently visible to external auditors, counterparties, and regulatory authorities who subscribe to the migration status feed through the Regulatory Nexus API.</w:t>
      </w:r>
      <w:hyperlink r:id="rId1066">
        <w:r w:rsidDel="00000000" w:rsidR="00000000" w:rsidRPr="00000000">
          <w:rPr>
            <w:rtl w:val="0"/>
          </w:rPr>
          <w:t xml:space="preserve"> </w:t>
        </w:r>
      </w:hyperlink>
      <w:hyperlink r:id="rId1067">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4BD">
      <w:pPr>
        <w:pStyle w:val="Heading2"/>
        <w:keepNext w:val="0"/>
        <w:keepLines w:val="0"/>
        <w:spacing w:after="80" w:lineRule="auto"/>
        <w:rPr>
          <w:b w:val="1"/>
          <w:bCs w:val="1"/>
          <w:sz w:val="34"/>
          <w:szCs w:val="34"/>
        </w:rPr>
      </w:pPr>
      <w:bookmarkStart w:colFirst="0" w:colLast="0" w:name="_e0qcvypqlhlm" w:id="175"/>
      <w:bookmarkEnd w:id="175"/>
      <w:r w:rsidDel="00000000" w:rsidR="00000000" w:rsidRPr="00000000">
        <w:rPr>
          <w:b w:val="1"/>
          <w:bCs w:val="1"/>
          <w:sz w:val="34"/>
          <w:szCs w:val="34"/>
          <w:rtl w:val="0"/>
        </w:rPr>
        <w:t xml:space="preserve">11.9 Migration Residual Risks</w:t>
      </w:r>
    </w:p>
    <w:p w:rsidR="00000000" w:rsidDel="00000000" w:rsidP="00000000" w:rsidRDefault="00000000" w:rsidRPr="00000000" w14:paraId="000004BE">
      <w:pPr>
        <w:spacing w:after="240" w:before="240" w:lineRule="auto"/>
        <w:rPr>
          <w:color w:val="1155cc"/>
          <w:u w:val="single"/>
        </w:rPr>
      </w:pPr>
      <w:r w:rsidDel="00000000" w:rsidR="00000000" w:rsidRPr="00000000">
        <w:rPr>
          <w:rtl w:val="0"/>
        </w:rPr>
        <w:t xml:space="preserve">Three residual risks remain after full hybrid protocol activation and eventual ECDSA retirement. Each is tracked in the Constitutional Uncertainty Register in Appendix C.</w:t>
      </w:r>
      <w:hyperlink r:id="rId1068">
        <w:r w:rsidDel="00000000" w:rsidR="00000000" w:rsidRPr="00000000">
          <w:rPr>
            <w:rtl w:val="0"/>
          </w:rPr>
          <w:t xml:space="preserve"> </w:t>
        </w:r>
      </w:hyperlink>
      <w:hyperlink r:id="rId1069">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BF">
      <w:pPr>
        <w:spacing w:after="240" w:before="240" w:lineRule="auto"/>
        <w:rPr>
          <w:color w:val="1155cc"/>
          <w:u w:val="single"/>
        </w:rPr>
      </w:pPr>
      <w:r w:rsidDel="00000000" w:rsidR="00000000" w:rsidRPr="00000000">
        <w:rPr>
          <w:b w:val="1"/>
          <w:bCs w:val="1"/>
          <w:rtl w:val="0"/>
        </w:rPr>
        <w:t xml:space="preserve">Pre-Hybrid Anchor Exposure.</w:t>
      </w:r>
      <w:r w:rsidDel="00000000" w:rsidR="00000000" w:rsidRPr="00000000">
        <w:rPr>
          <w:rtl w:val="0"/>
        </w:rPr>
        <w:t xml:space="preserve"> Every ECDSA-only anchor generated before Threshold 1 activation is permanently quantum-vulnerable. The hybrid protocol protects future anchors but cannot retroactively protect historical ones. The re-anchoring procedure of Section 11.6.2 provides partial mitigation by creating forward cryptographic links from historical content to post-quantum signatures, but the original ECDSA anchors remain in the blockchain record. The fundamental exposure is irreducible: it is a function of how long the institution operated before Threshold 1 activation. Early activation minimizes this exposure. The </w:t>
      </w:r>
      <w:r w:rsidDel="00000000" w:rsidR="00000000" w:rsidRPr="00000000">
        <w:rPr>
          <w:rFonts w:ascii="Roboto Mono" w:cs="Roboto Mono" w:eastAsia="Roboto Mono" w:hAnsi="Roboto Mono"/>
          <w:color w:val="188038"/>
          <w:rtl w:val="0"/>
        </w:rPr>
        <w:t xml:space="preserve">pqcMigrationStatus</w:t>
      </w:r>
      <w:r w:rsidDel="00000000" w:rsidR="00000000" w:rsidRPr="00000000">
        <w:rPr>
          <w:rtl w:val="0"/>
        </w:rPr>
        <w:t xml:space="preserve"> field in </w:t>
      </w:r>
      <w:r w:rsidDel="00000000" w:rsidR="00000000" w:rsidRPr="00000000">
        <w:rPr>
          <w:rFonts w:ascii="Roboto Mono" w:cs="Roboto Mono" w:eastAsia="Roboto Mono" w:hAnsi="Roboto Mono"/>
          <w:color w:val="188038"/>
          <w:rtl w:val="0"/>
        </w:rPr>
        <w:t xml:space="preserve">SuccessionDeclaration_v1_0_0</w:t>
      </w:r>
      <w:r w:rsidDel="00000000" w:rsidR="00000000" w:rsidRPr="00000000">
        <w:rPr>
          <w:rtl w:val="0"/>
        </w:rPr>
        <w:t xml:space="preserve"> tracks the percentage of historical records that have been re-anchored.</w:t>
      </w:r>
      <w:hyperlink r:id="rId1070">
        <w:r w:rsidDel="00000000" w:rsidR="00000000" w:rsidRPr="00000000">
          <w:rPr>
            <w:rtl w:val="0"/>
          </w:rPr>
          <w:t xml:space="preserve"> </w:t>
        </w:r>
      </w:hyperlink>
      <w:hyperlink r:id="rId1071">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4C0">
      <w:pPr>
        <w:spacing w:after="240" w:before="240" w:lineRule="auto"/>
        <w:rPr>
          <w:color w:val="1155cc"/>
          <w:u w:val="single"/>
        </w:rPr>
      </w:pPr>
      <w:r w:rsidDel="00000000" w:rsidR="00000000" w:rsidRPr="00000000">
        <w:rPr>
          <w:b w:val="1"/>
          <w:bCs w:val="1"/>
          <w:rtl w:val="0"/>
        </w:rPr>
        <w:t xml:space="preserve">Cryptanalytic Risk to ML-DSA.</w:t>
      </w:r>
      <w:r w:rsidDel="00000000" w:rsidR="00000000" w:rsidRPr="00000000">
        <w:rPr>
          <w:rtl w:val="0"/>
        </w:rPr>
        <w:t xml:space="preserve"> The lattice hardness assumption underlying ML-DSA has been validated by the NIST evaluation process and eight years of international cryptanalytic scrutiny. However, lattice cryptography is a younger field than elliptic curve cryptography, and the community of researchers examining its security is still growing. A breakthrough in lattice cryptanalysis could reduce ML-DSA's effective security below acceptable levels before the next migration cycle is complete. The </w:t>
      </w:r>
      <w:r w:rsidDel="00000000" w:rsidR="00000000" w:rsidRPr="00000000">
        <w:rPr>
          <w:rFonts w:ascii="Roboto Mono" w:cs="Roboto Mono" w:eastAsia="Roboto Mono" w:hAnsi="Roboto Mono"/>
          <w:color w:val="188038"/>
          <w:rtl w:val="0"/>
        </w:rPr>
        <w:t xml:space="preserve">SLH-DSA-SHAKE-128s</w:t>
      </w:r>
      <w:r w:rsidDel="00000000" w:rsidR="00000000" w:rsidRPr="00000000">
        <w:rPr>
          <w:rtl w:val="0"/>
        </w:rPr>
        <w:t xml:space="preserve"> fallback in slot 6 of </w:t>
      </w:r>
      <w:r w:rsidDel="00000000" w:rsidR="00000000" w:rsidRPr="00000000">
        <w:rPr>
          <w:rFonts w:ascii="Roboto Mono" w:cs="Roboto Mono" w:eastAsia="Roboto Mono" w:hAnsi="Roboto Mono"/>
          <w:color w:val="188038"/>
          <w:rtl w:val="0"/>
        </w:rPr>
        <w:t xml:space="preserve">signatureBlock.pqcMigrationSlots</w:t>
      </w:r>
      <w:r w:rsidDel="00000000" w:rsidR="00000000" w:rsidRPr="00000000">
        <w:rPr>
          <w:rtl w:val="0"/>
        </w:rPr>
        <w:t xml:space="preserve"> provides a hedge against this risk for the highest-value governance operations. The algorithm slot architecture of Section 11.6.1 ensures that a new signature standard can be incorporated without architectural disruption if ML-DSA requires replacement.</w:t>
      </w:r>
      <w:hyperlink r:id="rId1072">
        <w:r w:rsidDel="00000000" w:rsidR="00000000" w:rsidRPr="00000000">
          <w:rPr>
            <w:rtl w:val="0"/>
          </w:rPr>
          <w:t xml:space="preserve"> </w:t>
        </w:r>
      </w:hyperlink>
      <w:hyperlink r:id="rId1073">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4C1">
      <w:pPr>
        <w:spacing w:after="240" w:before="240" w:lineRule="auto"/>
        <w:rPr/>
      </w:pPr>
      <w:r w:rsidDel="00000000" w:rsidR="00000000" w:rsidRPr="00000000">
        <w:rPr>
          <w:b w:val="1"/>
          <w:bCs w:val="1"/>
          <w:rtl w:val="0"/>
        </w:rPr>
        <w:t xml:space="preserve">Correlated Migration Failure.</w:t>
      </w:r>
      <w:r w:rsidDel="00000000" w:rsidR="00000000" w:rsidRPr="00000000">
        <w:rPr>
          <w:rtl w:val="0"/>
        </w:rPr>
        <w:t xml:space="preserve"> If all three Tri-Cameral chambers simultaneously fail to meet their migration responsibilities - because all three have been captured, because a geopolitical event disrupts the institutions hosting chamber members, or because the required HSMs are unavailable due to supply chain disruption - the migration cannot proceed and the framework enters an extended ECDSA-only vulnerability window. The distributed chamber membership across multiple jurisdictions reduces the probability of correlated failure, but cannot reduce it to zero. This represents a genuine residual risk tracked as a long-term entry in the Constitutional Uncertainty Register.</w:t>
      </w:r>
    </w:p>
    <w:p w:rsidR="00000000" w:rsidDel="00000000" w:rsidP="00000000" w:rsidRDefault="00000000" w:rsidRPr="00000000" w14:paraId="000004C2">
      <w:pPr>
        <w:pStyle w:val="Heading1"/>
        <w:keepNext w:val="0"/>
        <w:keepLines w:val="0"/>
        <w:spacing w:before="480" w:lineRule="auto"/>
        <w:rPr>
          <w:b w:val="1"/>
          <w:bCs w:val="1"/>
          <w:sz w:val="46"/>
          <w:szCs w:val="46"/>
        </w:rPr>
      </w:pPr>
      <w:bookmarkStart w:colFirst="0" w:colLast="0" w:name="_8vlbadempr27" w:id="176"/>
      <w:bookmarkEnd w:id="176"/>
      <w:r w:rsidDel="00000000" w:rsidR="00000000" w:rsidRPr="00000000">
        <w:rPr>
          <w:b w:val="1"/>
          <w:bCs w:val="1"/>
          <w:sz w:val="46"/>
          <w:szCs w:val="46"/>
          <w:rtl w:val="0"/>
        </w:rPr>
        <w:t xml:space="preserve">SECTION 12: IMPLEMENTATION ECONOMICS</w:t>
      </w:r>
    </w:p>
    <w:p w:rsidR="00000000" w:rsidDel="00000000" w:rsidP="00000000" w:rsidRDefault="00000000" w:rsidRPr="00000000" w14:paraId="000004C3">
      <w:pPr>
        <w:pStyle w:val="Heading2"/>
        <w:keepNext w:val="0"/>
        <w:keepLines w:val="0"/>
        <w:spacing w:after="80" w:lineRule="auto"/>
        <w:rPr>
          <w:b w:val="1"/>
          <w:bCs w:val="1"/>
          <w:sz w:val="34"/>
          <w:szCs w:val="34"/>
        </w:rPr>
      </w:pPr>
      <w:bookmarkStart w:colFirst="0" w:colLast="0" w:name="_9ie4xokek05b" w:id="177"/>
      <w:bookmarkEnd w:id="177"/>
      <w:r w:rsidDel="00000000" w:rsidR="00000000" w:rsidRPr="00000000">
        <w:rPr>
          <w:b w:val="1"/>
          <w:bCs w:val="1"/>
          <w:sz w:val="34"/>
          <w:szCs w:val="34"/>
          <w:rtl w:val="0"/>
        </w:rPr>
        <w:t xml:space="preserve">12.0 Overview</w:t>
      </w:r>
    </w:p>
    <w:p w:rsidR="00000000" w:rsidDel="00000000" w:rsidP="00000000" w:rsidRDefault="00000000" w:rsidRPr="00000000" w14:paraId="000004C4">
      <w:pPr>
        <w:spacing w:after="240" w:before="240" w:lineRule="auto"/>
        <w:rPr>
          <w:color w:val="1155cc"/>
          <w:u w:val="single"/>
        </w:rPr>
      </w:pPr>
      <w:r w:rsidDel="00000000" w:rsidR="00000000" w:rsidRPr="00000000">
        <w:rPr>
          <w:rtl w:val="0"/>
        </w:rPr>
        <w:t xml:space="preserve">A governance framework whose implementation economics are undefined is a framework that will not be implemented. Technical specifications that ignore deployment costs, revenue models, competitive dynamics, and institutional incentive structures produce architecturally sound blueprints that remain permanently theoretical. Section 12 specifies the economic architecture of TL deployment with the same rigor applied to its technical and governance architecture.</w:t>
      </w:r>
      <w:hyperlink r:id="rId1074">
        <w:r w:rsidDel="00000000" w:rsidR="00000000" w:rsidRPr="00000000">
          <w:rPr>
            <w:rtl w:val="0"/>
          </w:rPr>
          <w:t xml:space="preserve"> </w:t>
        </w:r>
      </w:hyperlink>
      <w:hyperlink r:id="rId1075">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4C5">
      <w:pPr>
        <w:spacing w:after="240" w:before="240" w:lineRule="auto"/>
        <w:rPr>
          <w:color w:val="1155cc"/>
          <w:u w:val="single"/>
        </w:rPr>
      </w:pPr>
      <w:r w:rsidDel="00000000" w:rsidR="00000000" w:rsidRPr="00000000">
        <w:rPr>
          <w:rtl w:val="0"/>
        </w:rPr>
        <w:t xml:space="preserve">The economic case for TL rests on a fundamental reframing of compliance cost. Under conventional governance, compliance is a pure cost center: institutions spend capital on regulatory adherence that produces no direct revenue and reduces operational flexibility. The rational institutional incentive is to minimize compliance expenditure, which produces systematic underinvestment in governance quality.</w:t>
      </w:r>
      <w:hyperlink r:id="rId1076">
        <w:r w:rsidDel="00000000" w:rsidR="00000000" w:rsidRPr="00000000">
          <w:rPr>
            <w:rtl w:val="0"/>
          </w:rPr>
          <w:t xml:space="preserve"> </w:t>
        </w:r>
      </w:hyperlink>
      <w:hyperlink r:id="rId1077">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4C6">
      <w:pPr>
        <w:spacing w:after="240" w:before="240" w:lineRule="auto"/>
        <w:rPr>
          <w:color w:val="1155cc"/>
          <w:u w:val="single"/>
        </w:rPr>
      </w:pPr>
      <w:r w:rsidDel="00000000" w:rsidR="00000000" w:rsidRPr="00000000">
        <w:rPr>
          <w:rtl w:val="0"/>
        </w:rPr>
        <w:t xml:space="preserve">TL reframes compliance as infrastructure. A TL-governed institution does not spend on compliance. It builds on compliance. The Decision Log accessible through </w:t>
      </w:r>
      <w:r w:rsidDel="00000000" w:rsidR="00000000" w:rsidRPr="00000000">
        <w:rPr>
          <w:rFonts w:ascii="Roboto Mono" w:cs="Roboto Mono" w:eastAsia="Roboto Mono" w:hAnsi="Roboto Mono"/>
          <w:color w:val="188038"/>
          <w:rtl w:val="0"/>
        </w:rPr>
        <w:t xml:space="preserve">GET /decisions/{decisionId}</w:t>
      </w:r>
      <w:r w:rsidDel="00000000" w:rsidR="00000000" w:rsidRPr="00000000">
        <w:rPr>
          <w:rtl w:val="0"/>
        </w:rPr>
        <w:t xml:space="preserve"> is not a regulatory cost. It is an evidentiary asset that reduces counterparty risk, lowers insurance premiums, compresses regulatory examination cycles, and creates a publicly verifiable reputation signal that commands a market premium.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is not an audit burden. It is a trust infrastructure that replaces redundant verification chains across correspondent banking, trade finance, and cross-border settlement with cryptographic singularity verifiable via </w:t>
      </w:r>
      <w:r w:rsidDel="00000000" w:rsidR="00000000" w:rsidRPr="00000000">
        <w:rPr>
          <w:rFonts w:ascii="Roboto Mono" w:cs="Roboto Mono" w:eastAsia="Roboto Mono" w:hAnsi="Roboto Mono"/>
          <w:color w:val="188038"/>
          <w:rtl w:val="0"/>
        </w:rPr>
        <w:t xml:space="preserve">GET /audit/verifications/merkle/{merkleRoot}</w:t>
      </w:r>
      <w:r w:rsidDel="00000000" w:rsidR="00000000" w:rsidRPr="00000000">
        <w:rPr>
          <w:rtl w:val="0"/>
        </w:rPr>
        <w:t xml:space="preserve">.</w:t>
      </w:r>
      <w:hyperlink r:id="rId1078">
        <w:r w:rsidDel="00000000" w:rsidR="00000000" w:rsidRPr="00000000">
          <w:rPr>
            <w:rtl w:val="0"/>
          </w:rPr>
          <w:t xml:space="preserve"> </w:t>
        </w:r>
      </w:hyperlink>
      <w:hyperlink r:id="rId1079">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4C7">
      <w:pPr>
        <w:pStyle w:val="Heading2"/>
        <w:keepNext w:val="0"/>
        <w:keepLines w:val="0"/>
        <w:spacing w:after="80" w:lineRule="auto"/>
        <w:rPr>
          <w:b w:val="1"/>
          <w:bCs w:val="1"/>
          <w:sz w:val="34"/>
          <w:szCs w:val="34"/>
        </w:rPr>
      </w:pPr>
      <w:bookmarkStart w:colFirst="0" w:colLast="0" w:name="_vehurqqi5mk5" w:id="178"/>
      <w:bookmarkEnd w:id="178"/>
      <w:r w:rsidDel="00000000" w:rsidR="00000000" w:rsidRPr="00000000">
        <w:rPr>
          <w:b w:val="1"/>
          <w:bCs w:val="1"/>
          <w:sz w:val="34"/>
          <w:szCs w:val="34"/>
          <w:rtl w:val="0"/>
        </w:rPr>
        <w:t xml:space="preserve">12.1 Market Sizing and Addressable Opportunity</w:t>
      </w:r>
    </w:p>
    <w:p w:rsidR="00000000" w:rsidDel="00000000" w:rsidP="00000000" w:rsidRDefault="00000000" w:rsidRPr="00000000" w14:paraId="000004C8">
      <w:pPr>
        <w:pStyle w:val="Heading3"/>
        <w:keepNext w:val="0"/>
        <w:keepLines w:val="0"/>
        <w:spacing w:before="280" w:lineRule="auto"/>
        <w:rPr>
          <w:b w:val="1"/>
          <w:bCs w:val="1"/>
          <w:color w:val="000000"/>
          <w:sz w:val="26"/>
          <w:szCs w:val="26"/>
        </w:rPr>
      </w:pPr>
      <w:bookmarkStart w:colFirst="0" w:colLast="0" w:name="_9f5xnsogifgx" w:id="179"/>
      <w:bookmarkEnd w:id="179"/>
      <w:r w:rsidDel="00000000" w:rsidR="00000000" w:rsidRPr="00000000">
        <w:rPr>
          <w:b w:val="1"/>
          <w:bCs w:val="1"/>
          <w:color w:val="000000"/>
          <w:sz w:val="26"/>
          <w:szCs w:val="26"/>
          <w:rtl w:val="0"/>
        </w:rPr>
        <w:t xml:space="preserve">12.1.1 Financial Services: Primary Market</w:t>
      </w:r>
    </w:p>
    <w:p w:rsidR="00000000" w:rsidDel="00000000" w:rsidP="00000000" w:rsidRDefault="00000000" w:rsidRPr="00000000" w14:paraId="000004C9">
      <w:pPr>
        <w:spacing w:after="240" w:before="240" w:lineRule="auto"/>
        <w:rPr/>
      </w:pPr>
      <w:r w:rsidDel="00000000" w:rsidR="00000000" w:rsidRPr="00000000">
        <w:rPr>
          <w:rtl w:val="0"/>
        </w:rPr>
        <w:t xml:space="preserve">Global AML compliance costs financial institutions an estimated $274 billion annually, with ninety to ninety-five percent of monitoring alerts generating false positives.</w:t>
      </w:r>
      <w:hyperlink r:id="rId1080">
        <w:r w:rsidDel="00000000" w:rsidR="00000000" w:rsidRPr="00000000">
          <w:rPr>
            <w:rtl w:val="0"/>
          </w:rPr>
          <w:t xml:space="preserve"> </w:t>
        </w:r>
      </w:hyperlink>
      <w:hyperlink r:id="rId1081">
        <w:r w:rsidDel="00000000" w:rsidR="00000000" w:rsidRPr="00000000">
          <w:rPr>
            <w:color w:val="1155cc"/>
            <w:u w:val="single"/>
            <w:rtl w:val="0"/>
          </w:rPr>
          <w:t xml:space="preserve">[2]</w:t>
        </w:r>
      </w:hyperlink>
      <w:r w:rsidDel="00000000" w:rsidR="00000000" w:rsidRPr="00000000">
        <w:rPr>
          <w:rtl w:val="0"/>
        </w:rPr>
        <w:t xml:space="preserve"> In 2024 alone, AML-related enforcement penalties totalled $3.2 billion globally, with TD Bank's $3 billion penalty marking the largest single enforcement action ever levied under the Bank Secrecy Act.</w:t>
      </w:r>
      <w:hyperlink r:id="rId1082">
        <w:r w:rsidDel="00000000" w:rsidR="00000000" w:rsidRPr="00000000">
          <w:rPr>
            <w:rtl w:val="0"/>
          </w:rPr>
          <w:t xml:space="preserve"> </w:t>
        </w:r>
      </w:hyperlink>
      <w:hyperlink r:id="rId1083">
        <w:r w:rsidDel="00000000" w:rsidR="00000000" w:rsidRPr="00000000">
          <w:rPr>
            <w:color w:val="1155cc"/>
            <w:u w:val="single"/>
            <w:rtl w:val="0"/>
          </w:rPr>
          <w:t xml:space="preserve">[3]</w:t>
        </w:r>
      </w:hyperlink>
      <w:r w:rsidDel="00000000" w:rsidR="00000000" w:rsidRPr="00000000">
        <w:rPr>
          <w:rtl w:val="0"/>
        </w:rPr>
        <w:t xml:space="preserve"> These figures represent the cost of governance architecture that generates massive false positive volumes while permitting genuine financial crime to continue at scale.</w:t>
      </w:r>
    </w:p>
    <w:p w:rsidR="00000000" w:rsidDel="00000000" w:rsidP="00000000" w:rsidRDefault="00000000" w:rsidRPr="00000000" w14:paraId="000004CA">
      <w:pPr>
        <w:spacing w:after="240" w:before="240" w:lineRule="auto"/>
        <w:rPr/>
      </w:pPr>
      <w:r w:rsidDel="00000000" w:rsidR="00000000" w:rsidRPr="00000000">
        <w:rPr>
          <w:rtl w:val="0"/>
        </w:rPr>
        <w:t xml:space="preserve">FRTB implementation is expected to raise market risk capital requirements for the largest banking institutions by approximately seventy percent.</w:t>
      </w:r>
      <w:hyperlink r:id="rId1084">
        <w:r w:rsidDel="00000000" w:rsidR="00000000" w:rsidRPr="00000000">
          <w:rPr>
            <w:rtl w:val="0"/>
          </w:rPr>
          <w:t xml:space="preserve"> </w:t>
        </w:r>
      </w:hyperlink>
      <w:hyperlink r:id="rId1085">
        <w:r w:rsidDel="00000000" w:rsidR="00000000" w:rsidRPr="00000000">
          <w:rPr>
            <w:color w:val="1155cc"/>
            <w:u w:val="single"/>
            <w:rtl w:val="0"/>
          </w:rPr>
          <w:t xml:space="preserve">[13]</w:t>
        </w:r>
      </w:hyperlink>
      <w:r w:rsidDel="00000000" w:rsidR="00000000" w:rsidRPr="00000000">
        <w:rPr>
          <w:rtl w:val="0"/>
        </w:rPr>
        <w:t xml:space="preserve"> This capital surcharge is a tacit regulatory admission that existing governance tools cannot prevent operational failures, so the financial system must absorb their cost through additional capital buffers. TL's architectural compliance - enforced through </w:t>
      </w:r>
      <w:r w:rsidDel="00000000" w:rsidR="00000000" w:rsidRPr="00000000">
        <w:rPr>
          <w:rFonts w:ascii="Roboto Mono" w:cs="Roboto Mono" w:eastAsia="Roboto Mono" w:hAnsi="Roboto Mono"/>
          <w:color w:val="188038"/>
          <w:rtl w:val="0"/>
        </w:rPr>
        <w:t xml:space="preserve">baselIiiVector.lcr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baselIiiVector.nsfr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baselIiiVector.capitalRatio</w:t>
      </w:r>
      <w:r w:rsidDel="00000000" w:rsidR="00000000" w:rsidRPr="00000000">
        <w:rPr>
          <w:rtl w:val="0"/>
        </w:rPr>
        <w:t xml:space="preserve"> as mandatory evaluation fields in the Governance Lane - reduces this capital requirement by making governance failures physically impossible rather than financially absorbed.</w:t>
      </w:r>
    </w:p>
    <w:p w:rsidR="00000000" w:rsidDel="00000000" w:rsidP="00000000" w:rsidRDefault="00000000" w:rsidRPr="00000000" w14:paraId="000004CB">
      <w:pPr>
        <w:spacing w:after="240" w:before="240" w:lineRule="auto"/>
        <w:rPr>
          <w:color w:val="1155cc"/>
          <w:u w:val="single"/>
        </w:rPr>
      </w:pPr>
      <w:r w:rsidDel="00000000" w:rsidR="00000000" w:rsidRPr="00000000">
        <w:rPr>
          <w:rtl w:val="0"/>
        </w:rPr>
        <w:t xml:space="preserve">The primary addressable market in financial services includes: global systematically important banks subject to the full Basel III regime; broker-dealers subject to SEC Regulation SCI, CAT reporting, and Rule 17a-4; CFTC-regulated derivatives dealers subject to Regulation AT; central counterparties and payment system operators subject to IOSCO PFMI; and AML-obligated financial institutions implementing FATF recommendations. The aggregate regulatory compliance expenditure of these institutions exceeds $300 billion annually, representing the cost base against which TL's infrastructure investment must be benchmarked.</w:t>
      </w:r>
      <w:hyperlink r:id="rId1086">
        <w:r w:rsidDel="00000000" w:rsidR="00000000" w:rsidRPr="00000000">
          <w:rPr>
            <w:rtl w:val="0"/>
          </w:rPr>
          <w:t xml:space="preserve"> </w:t>
        </w:r>
      </w:hyperlink>
      <w:hyperlink r:id="rId1087">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4CC">
      <w:pPr>
        <w:pStyle w:val="Heading3"/>
        <w:keepNext w:val="0"/>
        <w:keepLines w:val="0"/>
        <w:spacing w:before="280" w:lineRule="auto"/>
        <w:rPr>
          <w:b w:val="1"/>
          <w:bCs w:val="1"/>
          <w:color w:val="000000"/>
          <w:sz w:val="26"/>
          <w:szCs w:val="26"/>
        </w:rPr>
      </w:pPr>
      <w:bookmarkStart w:colFirst="0" w:colLast="0" w:name="_rbamrp71dbip" w:id="180"/>
      <w:bookmarkEnd w:id="180"/>
      <w:r w:rsidDel="00000000" w:rsidR="00000000" w:rsidRPr="00000000">
        <w:rPr>
          <w:b w:val="1"/>
          <w:bCs w:val="1"/>
          <w:color w:val="000000"/>
          <w:sz w:val="26"/>
          <w:szCs w:val="26"/>
          <w:rtl w:val="0"/>
        </w:rPr>
        <w:t xml:space="preserve">12.1.2 Central Banking and Monetary Infrastructure</w:t>
      </w:r>
    </w:p>
    <w:p w:rsidR="00000000" w:rsidDel="00000000" w:rsidP="00000000" w:rsidRDefault="00000000" w:rsidRPr="00000000" w14:paraId="000004CD">
      <w:pPr>
        <w:spacing w:after="240" w:before="240" w:lineRule="auto"/>
        <w:rPr/>
      </w:pPr>
      <w:r w:rsidDel="00000000" w:rsidR="00000000" w:rsidRPr="00000000">
        <w:rPr>
          <w:rtl w:val="0"/>
        </w:rPr>
        <w:t xml:space="preserve">Central banks represent a strategically critical secondary market. More than one hundred central banks are actively researching or piloting CBDC as of the date of this specification, and the IMF's most recent survey data indicates that up to fifteen CBDCs are likely to have been issued by 2030.</w:t>
      </w:r>
      <w:hyperlink r:id="rId1088">
        <w:r w:rsidDel="00000000" w:rsidR="00000000" w:rsidRPr="00000000">
          <w:rPr>
            <w:rtl w:val="0"/>
          </w:rPr>
          <w:t xml:space="preserve"> </w:t>
        </w:r>
      </w:hyperlink>
      <w:hyperlink r:id="rId1089">
        <w:r w:rsidDel="00000000" w:rsidR="00000000" w:rsidRPr="00000000">
          <w:rPr>
            <w:color w:val="1155cc"/>
            <w:u w:val="single"/>
            <w:rtl w:val="0"/>
          </w:rPr>
          <w:t xml:space="preserve">[121]</w:t>
        </w:r>
      </w:hyperlink>
      <w:r w:rsidDel="00000000" w:rsidR="00000000" w:rsidRPr="00000000">
        <w:rPr>
          <w:rtl w:val="0"/>
        </w:rPr>
        <w:t xml:space="preserve"> The governance infrastructure required for sound CBDC deployment - combining retail payment speed with sanctions screening via </w:t>
      </w:r>
      <w:r w:rsidDel="00000000" w:rsidR="00000000" w:rsidRPr="00000000">
        <w:rPr>
          <w:rFonts w:ascii="Roboto Mono" w:cs="Roboto Mono" w:eastAsia="Roboto Mono" w:hAnsi="Roboto Mono"/>
          <w:color w:val="188038"/>
          <w:rtl w:val="0"/>
        </w:rPr>
        <w:t xml:space="preserve">RegulatoryContext.fatf.sanctionsScreened</w:t>
      </w:r>
      <w:r w:rsidDel="00000000" w:rsidR="00000000" w:rsidRPr="00000000">
        <w:rPr>
          <w:rtl w:val="0"/>
        </w:rPr>
        <w:t xml:space="preserve">, privacy protection through </w:t>
      </w:r>
      <w:r w:rsidDel="00000000" w:rsidR="00000000" w:rsidRPr="00000000">
        <w:rPr>
          <w:rFonts w:ascii="Roboto Mono" w:cs="Roboto Mono" w:eastAsia="Roboto Mono" w:hAnsi="Roboto Mono"/>
          <w:color w:val="188038"/>
          <w:rtl w:val="0"/>
        </w:rPr>
        <w:t xml:space="preserve">HybridShield</w:t>
      </w:r>
      <w:r w:rsidDel="00000000" w:rsidR="00000000" w:rsidRPr="00000000">
        <w:rPr>
          <w:rtl w:val="0"/>
        </w:rPr>
        <w:t xml:space="preserve">, and democratic accountability through anchored Decision Logs - is precisely the problem TL is designed to solve.</w:t>
      </w:r>
    </w:p>
    <w:p w:rsidR="00000000" w:rsidDel="00000000" w:rsidP="00000000" w:rsidRDefault="00000000" w:rsidRPr="00000000" w14:paraId="000004CE">
      <w:pPr>
        <w:spacing w:after="240" w:before="240" w:lineRule="auto"/>
        <w:rPr/>
      </w:pPr>
      <w:r w:rsidDel="00000000" w:rsidR="00000000" w:rsidRPr="00000000">
        <w:rPr>
          <w:rtl w:val="0"/>
        </w:rPr>
        <w:t xml:space="preserve">Central bank adoption also creates network effects that accelerate commercial bank adoption. A commercial bank that interacts with a TL-governed central bank's payment infrastructure must satisfy the central bank's Governance Lane evidentiary requirements to receive </w:t>
      </w:r>
      <w:r w:rsidDel="00000000" w:rsidR="00000000" w:rsidRPr="00000000">
        <w:rPr>
          <w:rFonts w:ascii="Roboto Mono" w:cs="Roboto Mono" w:eastAsia="Roboto Mono" w:hAnsi="Roboto Mono"/>
          <w:color w:val="188038"/>
          <w:rtl w:val="0"/>
        </w:rPr>
        <w:t xml:space="preserve">PermissionToken_v1_0_0</w:t>
      </w:r>
      <w:r w:rsidDel="00000000" w:rsidR="00000000" w:rsidRPr="00000000">
        <w:rPr>
          <w:rtl w:val="0"/>
        </w:rPr>
        <w:t xml:space="preserve"> objects for cross-system settlements. The central bank's adoption effectively mandates TL-compatible governance for all institutions in its payment network.</w:t>
      </w:r>
    </w:p>
    <w:p w:rsidR="00000000" w:rsidDel="00000000" w:rsidP="00000000" w:rsidRDefault="00000000" w:rsidRPr="00000000" w14:paraId="000004CF">
      <w:pPr>
        <w:pStyle w:val="Heading3"/>
        <w:keepNext w:val="0"/>
        <w:keepLines w:val="0"/>
        <w:spacing w:before="280" w:lineRule="auto"/>
        <w:rPr>
          <w:b w:val="1"/>
          <w:bCs w:val="1"/>
          <w:color w:val="000000"/>
          <w:sz w:val="26"/>
          <w:szCs w:val="26"/>
        </w:rPr>
      </w:pPr>
      <w:bookmarkStart w:colFirst="0" w:colLast="0" w:name="_8agxp7pghdso" w:id="181"/>
      <w:bookmarkEnd w:id="181"/>
      <w:r w:rsidDel="00000000" w:rsidR="00000000" w:rsidRPr="00000000">
        <w:rPr>
          <w:b w:val="1"/>
          <w:bCs w:val="1"/>
          <w:color w:val="000000"/>
          <w:sz w:val="26"/>
          <w:szCs w:val="26"/>
          <w:rtl w:val="0"/>
        </w:rPr>
        <w:t xml:space="preserve">12.1.3 Supply Chain and Trade Finance</w:t>
      </w:r>
    </w:p>
    <w:p w:rsidR="00000000" w:rsidDel="00000000" w:rsidP="00000000" w:rsidRDefault="00000000" w:rsidRPr="00000000" w14:paraId="000004D0">
      <w:pPr>
        <w:spacing w:after="240" w:before="240" w:lineRule="auto"/>
        <w:rPr/>
      </w:pPr>
      <w:r w:rsidDel="00000000" w:rsidR="00000000" w:rsidRPr="00000000">
        <w:rPr>
          <w:rtl w:val="0"/>
        </w:rPr>
        <w:t xml:space="preserve">Global trade finance processes approximately $10 trillion in annual transactions through correspondent banking networks whose governance failures produce systematic fraud, sanctions evasion, and money laundering.</w:t>
      </w:r>
      <w:hyperlink r:id="rId1090">
        <w:r w:rsidDel="00000000" w:rsidR="00000000" w:rsidRPr="00000000">
          <w:rPr>
            <w:rtl w:val="0"/>
          </w:rPr>
          <w:t xml:space="preserve"> </w:t>
        </w:r>
      </w:hyperlink>
      <w:hyperlink r:id="rId1091">
        <w:r w:rsidDel="00000000" w:rsidR="00000000" w:rsidRPr="00000000">
          <w:rPr>
            <w:color w:val="1155cc"/>
            <w:u w:val="single"/>
            <w:rtl w:val="0"/>
          </w:rPr>
          <w:t xml:space="preserve">[13]</w:t>
        </w:r>
      </w:hyperlink>
      <w:r w:rsidDel="00000000" w:rsidR="00000000" w:rsidRPr="00000000">
        <w:rPr>
          <w:rtl w:val="0"/>
        </w:rPr>
        <w:t xml:space="preserve"> The current documentary compliance infrastructure generates redundant verification across multiple institutions, each independently checking the same documents without the shared evidentiary record that would allow verification by one institution to satisfy the requirements of all others.</w:t>
      </w:r>
    </w:p>
    <w:p w:rsidR="00000000" w:rsidDel="00000000" w:rsidP="00000000" w:rsidRDefault="00000000" w:rsidRPr="00000000" w14:paraId="000004D1">
      <w:pPr>
        <w:spacing w:after="240" w:before="240" w:lineRule="auto"/>
        <w:rPr/>
      </w:pPr>
      <w:r w:rsidDel="00000000" w:rsidR="00000000" w:rsidRPr="00000000">
        <w:rPr>
          <w:rtl w:val="0"/>
        </w:rPr>
        <w:t xml:space="preserve">TL's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provides this shared evidentiary infrastructure. A Governance Lane determination on a trade finance proposal - including beneficial ownership verification, sanctions screening via </w:t>
      </w:r>
      <w:r w:rsidDel="00000000" w:rsidR="00000000" w:rsidRPr="00000000">
        <w:rPr>
          <w:rFonts w:ascii="Roboto Mono" w:cs="Roboto Mono" w:eastAsia="Roboto Mono" w:hAnsi="Roboto Mono"/>
          <w:color w:val="188038"/>
          <w:rtl w:val="0"/>
        </w:rPr>
        <w:t xml:space="preserve">RegulatoryContext.fatf.sanctionsScreened</w:t>
      </w:r>
      <w:r w:rsidDel="00000000" w:rsidR="00000000" w:rsidRPr="00000000">
        <w:rPr>
          <w:rtl w:val="0"/>
        </w:rPr>
        <w:t xml:space="preserve">, and customs classification evaluation via the </w:t>
      </w:r>
      <w:r w:rsidDel="00000000" w:rsidR="00000000" w:rsidRPr="00000000">
        <w:rPr>
          <w:rFonts w:ascii="Roboto Mono" w:cs="Roboto Mono" w:eastAsia="Roboto Mono" w:hAnsi="Roboto Mono"/>
          <w:color w:val="188038"/>
          <w:rtl w:val="0"/>
        </w:rPr>
        <w:t xml:space="preserve">trade_domain</w:t>
      </w:r>
      <w:r w:rsidDel="00000000" w:rsidR="00000000" w:rsidRPr="00000000">
        <w:rPr>
          <w:rtl w:val="0"/>
        </w:rPr>
        <w:t xml:space="preserve"> Regulatory Nexus endpoint - is visible to all permissioned participants in the transaction via </w:t>
      </w:r>
      <w:r w:rsidDel="00000000" w:rsidR="00000000" w:rsidRPr="00000000">
        <w:rPr>
          <w:rFonts w:ascii="Roboto Mono" w:cs="Roboto Mono" w:eastAsia="Roboto Mono" w:hAnsi="Roboto Mono"/>
          <w:color w:val="188038"/>
          <w:rtl w:val="0"/>
        </w:rPr>
        <w:t xml:space="preserve">GET /audit/verifications/inclusion/{logId}</w:t>
      </w:r>
      <w:r w:rsidDel="00000000" w:rsidR="00000000" w:rsidRPr="00000000">
        <w:rPr>
          <w:rtl w:val="0"/>
        </w:rPr>
        <w:t xml:space="preserve">. The Singapore customs authority's Governance Lane Proceed determination on a bill of lading is immediately available to the confirming bank in Rotterdam without requiring re-verification.</w:t>
      </w:r>
    </w:p>
    <w:p w:rsidR="00000000" w:rsidDel="00000000" w:rsidP="00000000" w:rsidRDefault="00000000" w:rsidRPr="00000000" w14:paraId="000004D2">
      <w:pPr>
        <w:pStyle w:val="Heading3"/>
        <w:keepNext w:val="0"/>
        <w:keepLines w:val="0"/>
        <w:spacing w:before="280" w:lineRule="auto"/>
        <w:rPr>
          <w:b w:val="1"/>
          <w:bCs w:val="1"/>
          <w:color w:val="000000"/>
          <w:sz w:val="26"/>
          <w:szCs w:val="26"/>
        </w:rPr>
      </w:pPr>
      <w:bookmarkStart w:colFirst="0" w:colLast="0" w:name="_s10mved70lx2" w:id="182"/>
      <w:bookmarkEnd w:id="182"/>
      <w:r w:rsidDel="00000000" w:rsidR="00000000" w:rsidRPr="00000000">
        <w:rPr>
          <w:b w:val="1"/>
          <w:bCs w:val="1"/>
          <w:color w:val="000000"/>
          <w:sz w:val="26"/>
          <w:szCs w:val="26"/>
          <w:rtl w:val="0"/>
        </w:rPr>
        <w:t xml:space="preserve">12.1.4 Insurance and Actuarial Systems</w:t>
      </w:r>
    </w:p>
    <w:p w:rsidR="00000000" w:rsidDel="00000000" w:rsidP="00000000" w:rsidRDefault="00000000" w:rsidRPr="00000000" w14:paraId="000004D3">
      <w:pPr>
        <w:spacing w:after="240" w:before="240" w:lineRule="auto"/>
        <w:rPr/>
      </w:pPr>
      <w:r w:rsidDel="00000000" w:rsidR="00000000" w:rsidRPr="00000000">
        <w:rPr>
          <w:rtl w:val="0"/>
        </w:rPr>
        <w:t xml:space="preserve">The insurance sector's exposure to TL's addressable opportunity is concentrated in three areas: actuarial model governance under Solvency II and equivalent regimes; claims processing automation subject to fair claims handling requirements; and catastrophe risk modeling requiring independent model validation.</w:t>
      </w:r>
      <w:hyperlink r:id="rId1092">
        <w:r w:rsidDel="00000000" w:rsidR="00000000" w:rsidRPr="00000000">
          <w:rPr>
            <w:rtl w:val="0"/>
          </w:rPr>
          <w:t xml:space="preserve"> </w:t>
        </w:r>
      </w:hyperlink>
      <w:hyperlink r:id="rId1093">
        <w:r w:rsidDel="00000000" w:rsidR="00000000" w:rsidRPr="00000000">
          <w:rPr>
            <w:color w:val="1155cc"/>
            <w:u w:val="single"/>
            <w:rtl w:val="0"/>
          </w:rPr>
          <w:t xml:space="preserve">[13]</w:t>
        </w:r>
      </w:hyperlink>
      <w:r w:rsidDel="00000000" w:rsidR="00000000" w:rsidRPr="00000000">
        <w:rPr>
          <w:rtl w:val="0"/>
        </w:rPr>
        <w:t xml:space="preserve"> The aggregate compliance cost of Solvency II across EU insurance undertakings exceeds $20 billion annually, with a substantial portion attributable to model governance, regulatory reporting, and audit trail maintenance - all of which TL's Decision Log architecture satisfies as a pre-execution prerequisite through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 rather than as a supplementary activity.</w:t>
      </w:r>
    </w:p>
    <w:p w:rsidR="00000000" w:rsidDel="00000000" w:rsidP="00000000" w:rsidRDefault="00000000" w:rsidRPr="00000000" w14:paraId="000004D4">
      <w:pPr>
        <w:pStyle w:val="Heading2"/>
        <w:keepNext w:val="0"/>
        <w:keepLines w:val="0"/>
        <w:spacing w:after="80" w:lineRule="auto"/>
        <w:rPr>
          <w:b w:val="1"/>
          <w:bCs w:val="1"/>
          <w:sz w:val="34"/>
          <w:szCs w:val="34"/>
        </w:rPr>
      </w:pPr>
      <w:bookmarkStart w:colFirst="0" w:colLast="0" w:name="_cwfnjl2i1dnx" w:id="183"/>
      <w:bookmarkEnd w:id="183"/>
      <w:r w:rsidDel="00000000" w:rsidR="00000000" w:rsidRPr="00000000">
        <w:rPr>
          <w:b w:val="1"/>
          <w:bCs w:val="1"/>
          <w:sz w:val="34"/>
          <w:szCs w:val="34"/>
          <w:rtl w:val="0"/>
        </w:rPr>
        <w:t xml:space="preserve">12.2 Non-Recurring Engineering Costs</w:t>
      </w:r>
    </w:p>
    <w:p w:rsidR="00000000" w:rsidDel="00000000" w:rsidP="00000000" w:rsidRDefault="00000000" w:rsidRPr="00000000" w14:paraId="000004D5">
      <w:pPr>
        <w:spacing w:after="240" w:before="240" w:lineRule="auto"/>
        <w:rPr>
          <w:color w:val="1155cc"/>
          <w:u w:val="single"/>
        </w:rPr>
      </w:pPr>
      <w:r w:rsidDel="00000000" w:rsidR="00000000" w:rsidRPr="00000000">
        <w:rPr>
          <w:rtl w:val="0"/>
        </w:rPr>
        <w:t xml:space="preserve">NRE costs represent the one-time investment required to bring TL governance infrastructure from specification to production deployment. These costs are borne by the consortium that develops the framework - the entity that fabricates the DITL coprocessor, develops the API implementation, builds the Regulatory Nexus database, and establishes the initial Tri-Cameral governance infrastructure. Individual institutions pay per-deployment costs that amortize the NRE over the deployment base.</w:t>
      </w:r>
      <w:hyperlink r:id="rId1094">
        <w:r w:rsidDel="00000000" w:rsidR="00000000" w:rsidRPr="00000000">
          <w:rPr>
            <w:rtl w:val="0"/>
          </w:rPr>
          <w:t xml:space="preserve"> </w:t>
        </w:r>
      </w:hyperlink>
      <w:hyperlink r:id="rId1095">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4D6">
      <w:pPr>
        <w:pStyle w:val="Heading3"/>
        <w:keepNext w:val="0"/>
        <w:keepLines w:val="0"/>
        <w:spacing w:before="280" w:lineRule="auto"/>
        <w:rPr>
          <w:b w:val="1"/>
          <w:bCs w:val="1"/>
          <w:color w:val="000000"/>
          <w:sz w:val="26"/>
          <w:szCs w:val="26"/>
        </w:rPr>
      </w:pPr>
      <w:bookmarkStart w:colFirst="0" w:colLast="0" w:name="_gkrxc3h6ti95" w:id="184"/>
      <w:bookmarkEnd w:id="184"/>
      <w:r w:rsidDel="00000000" w:rsidR="00000000" w:rsidRPr="00000000">
        <w:rPr>
          <w:b w:val="1"/>
          <w:bCs w:val="1"/>
          <w:color w:val="000000"/>
          <w:sz w:val="26"/>
          <w:szCs w:val="26"/>
          <w:rtl w:val="0"/>
        </w:rPr>
        <w:t xml:space="preserve">12.2.1 DITL Coprocessor Development</w:t>
      </w:r>
    </w:p>
    <w:p w:rsidR="00000000" w:rsidDel="00000000" w:rsidP="00000000" w:rsidRDefault="00000000" w:rsidRPr="00000000" w14:paraId="000004D7">
      <w:pPr>
        <w:spacing w:after="240" w:before="240" w:lineRule="auto"/>
        <w:rPr/>
      </w:pPr>
      <w:r w:rsidDel="00000000" w:rsidR="00000000" w:rsidRPr="00000000">
        <w:rPr>
          <w:rtl w:val="0"/>
        </w:rPr>
        <w:t xml:space="preserve">The DITL coprocessor development program represents the largest single NRE component. The development path from current transistor-simulation status to fabricated Architecture B silicon involves four stages.</w:t>
      </w:r>
    </w:p>
    <w:p w:rsidR="00000000" w:rsidDel="00000000" w:rsidP="00000000" w:rsidRDefault="00000000" w:rsidRPr="00000000" w14:paraId="000004D8">
      <w:pPr>
        <w:spacing w:after="240" w:before="240" w:lineRule="auto"/>
        <w:rPr/>
      </w:pPr>
      <w:r w:rsidDel="00000000" w:rsidR="00000000" w:rsidRPr="00000000">
        <w:rPr>
          <w:b w:val="1"/>
          <w:bCs w:val="1"/>
          <w:rtl w:val="0"/>
        </w:rPr>
        <w:t xml:space="preserve">Stage 1: Circuit Library Completion.</w:t>
      </w:r>
      <w:r w:rsidDel="00000000" w:rsidR="00000000" w:rsidRPr="00000000">
        <w:rPr>
          <w:rtl w:val="0"/>
        </w:rPr>
        <w:t xml:space="preserve"> The DITL circuit library currently includes NAND2, half adder, full adder, MUX, XOR, and C-elements at the simulation level using IBM PDK 1.2V 130nm CMOS process. Extension to the full cell library required for Architecture B requires approximately twelve to eighteen months of circuit design engineering and simulation validation.</w:t>
      </w:r>
    </w:p>
    <w:p w:rsidR="00000000" w:rsidDel="00000000" w:rsidP="00000000" w:rsidRDefault="00000000" w:rsidRPr="00000000" w14:paraId="000004D9">
      <w:pPr>
        <w:spacing w:after="240" w:before="240" w:lineRule="auto"/>
        <w:rPr>
          <w:color w:val="1155cc"/>
          <w:u w:val="single"/>
        </w:rPr>
      </w:pPr>
      <w:r w:rsidDel="00000000" w:rsidR="00000000" w:rsidRPr="00000000">
        <w:rPr>
          <w:b w:val="1"/>
          <w:bCs w:val="1"/>
          <w:rtl w:val="0"/>
        </w:rPr>
        <w:t xml:space="preserve">Stage 2: Physical Design and Tape-Out.</w:t>
      </w:r>
      <w:r w:rsidDel="00000000" w:rsidR="00000000" w:rsidRPr="00000000">
        <w:rPr>
          <w:rtl w:val="0"/>
        </w:rPr>
        <w:t xml:space="preserve"> Migration from simulation to physical design for the TSMC N2 CoWoS ReRAM 1T1R 2025 PDK baseline requires full custom layout of the MT cell array, standard cell placement and routing for the CMOS logic, back-end-of-line integration of the memristive layer, and sign-off against the kill criteria specified in Section 8.6.1. Tape-out cost at TSMC N2 advanced node is estimated in the range of $10 million to $30 million for a first mask set.</w:t>
      </w:r>
      <w:hyperlink r:id="rId1096">
        <w:r w:rsidDel="00000000" w:rsidR="00000000" w:rsidRPr="00000000">
          <w:rPr>
            <w:rtl w:val="0"/>
          </w:rPr>
          <w:t xml:space="preserve"> </w:t>
        </w:r>
      </w:hyperlink>
      <w:hyperlink r:id="rId1097">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4DA">
      <w:pPr>
        <w:spacing w:after="240" w:before="240" w:lineRule="auto"/>
        <w:rPr>
          <w:color w:val="1155cc"/>
          <w:u w:val="single"/>
        </w:rPr>
      </w:pPr>
      <w:r w:rsidDel="00000000" w:rsidR="00000000" w:rsidRPr="00000000">
        <w:rPr>
          <w:b w:val="1"/>
          <w:bCs w:val="1"/>
          <w:rtl w:val="0"/>
        </w:rPr>
        <w:t xml:space="preserve">Stage 3: Characterization and Qualification.</w:t>
      </w:r>
      <w:r w:rsidDel="00000000" w:rsidR="00000000" w:rsidRPr="00000000">
        <w:rPr>
          <w:rtl w:val="0"/>
        </w:rPr>
        <w:t xml:space="preserve"> Post-fabrication characterization of the MT cell array against the Arrhenius retention specification, the cycling endurance requirement, and the resistance distribution uniformity standard requires a minimum qualification program of six to twelve months. IEC 61508 SIL 3 certification targeting Q4 2027 requires additional functional safety documentation, fault tree analysis, and independent safety assessor review.</w:t>
      </w:r>
      <w:hyperlink r:id="rId1098">
        <w:r w:rsidDel="00000000" w:rsidR="00000000" w:rsidRPr="00000000">
          <w:rPr>
            <w:rtl w:val="0"/>
          </w:rPr>
          <w:t xml:space="preserve"> </w:t>
        </w:r>
      </w:hyperlink>
      <w:hyperlink r:id="rId1099">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4DB">
      <w:pPr>
        <w:spacing w:after="240" w:before="240" w:lineRule="auto"/>
        <w:rPr/>
      </w:pPr>
      <w:r w:rsidDel="00000000" w:rsidR="00000000" w:rsidRPr="00000000">
        <w:rPr>
          <w:b w:val="1"/>
          <w:bCs w:val="1"/>
          <w:rtl w:val="0"/>
        </w:rPr>
        <w:t xml:space="preserve">Stage 4: Production Ramp.</w:t>
      </w:r>
      <w:r w:rsidDel="00000000" w:rsidR="00000000" w:rsidRPr="00000000">
        <w:rPr>
          <w:rtl w:val="0"/>
        </w:rPr>
        <w:t xml:space="preserve"> Initial production volumes for the governance infrastructure market are estimated at hundreds to low thousands of units annually, concentrated in systemically important financial institutions and central banks. This is below the minimum efficient scale for most semiconductor fabrication processes, requiring either wafer sharing arrangements or a cost premium relative to high-volume consumer applications.</w:t>
      </w:r>
    </w:p>
    <w:p w:rsidR="00000000" w:rsidDel="00000000" w:rsidP="00000000" w:rsidRDefault="00000000" w:rsidRPr="00000000" w14:paraId="000004DC">
      <w:pPr>
        <w:spacing w:after="240" w:before="240" w:lineRule="auto"/>
        <w:rPr>
          <w:color w:val="1155cc"/>
          <w:u w:val="single"/>
        </w:rPr>
      </w:pPr>
      <w:r w:rsidDel="00000000" w:rsidR="00000000" w:rsidRPr="00000000">
        <w:rPr>
          <w:rtl w:val="0"/>
        </w:rPr>
        <w:t xml:space="preserve">Total DITL coprocessor NRE from current status to production-qualified Architecture B: estimated at </w:t>
      </w:r>
      <w:r w:rsidDel="00000000" w:rsidR="00000000" w:rsidRPr="00000000">
        <w:rPr>
          <w:b w:val="1"/>
          <w:bCs w:val="1"/>
          <w:rtl w:val="0"/>
        </w:rPr>
        <w:t xml:space="preserve">$50 million to $150 million</w:t>
      </w:r>
      <w:r w:rsidDel="00000000" w:rsidR="00000000" w:rsidRPr="00000000">
        <w:rPr>
          <w:rtl w:val="0"/>
        </w:rPr>
        <w:t xml:space="preserve">, spanning a development timeline of three to five years from initiation.</w:t>
      </w:r>
      <w:hyperlink r:id="rId1100">
        <w:r w:rsidDel="00000000" w:rsidR="00000000" w:rsidRPr="00000000">
          <w:rPr>
            <w:rtl w:val="0"/>
          </w:rPr>
          <w:t xml:space="preserve"> </w:t>
        </w:r>
      </w:hyperlink>
      <w:hyperlink r:id="rId1101">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4DD">
      <w:pPr>
        <w:pStyle w:val="Heading3"/>
        <w:keepNext w:val="0"/>
        <w:keepLines w:val="0"/>
        <w:spacing w:before="280" w:lineRule="auto"/>
        <w:rPr>
          <w:b w:val="1"/>
          <w:bCs w:val="1"/>
          <w:color w:val="000000"/>
          <w:sz w:val="26"/>
          <w:szCs w:val="26"/>
        </w:rPr>
      </w:pPr>
      <w:bookmarkStart w:colFirst="0" w:colLast="0" w:name="_4u9q274blgxo" w:id="185"/>
      <w:bookmarkEnd w:id="185"/>
      <w:r w:rsidDel="00000000" w:rsidR="00000000" w:rsidRPr="00000000">
        <w:rPr>
          <w:b w:val="1"/>
          <w:bCs w:val="1"/>
          <w:color w:val="000000"/>
          <w:sz w:val="26"/>
          <w:szCs w:val="26"/>
          <w:rtl w:val="0"/>
        </w:rPr>
        <w:t xml:space="preserve">12.2.2 Software Infrastructure Development</w:t>
      </w:r>
    </w:p>
    <w:p w:rsidR="00000000" w:rsidDel="00000000" w:rsidP="00000000" w:rsidRDefault="00000000" w:rsidRPr="00000000" w14:paraId="000004DE">
      <w:pPr>
        <w:spacing w:after="240" w:before="240" w:lineRule="auto"/>
        <w:rPr/>
      </w:pPr>
      <w:r w:rsidDel="00000000" w:rsidR="00000000" w:rsidRPr="00000000">
        <w:rPr>
          <w:rtl w:val="0"/>
        </w:rPr>
        <w:t xml:space="preserve">The TL software infrastructure NRE encompasses five components.</w:t>
      </w:r>
    </w:p>
    <w:p w:rsidR="00000000" w:rsidDel="00000000" w:rsidP="00000000" w:rsidRDefault="00000000" w:rsidRPr="00000000" w14:paraId="000004DF">
      <w:pPr>
        <w:spacing w:after="240" w:before="240" w:lineRule="auto"/>
        <w:rPr/>
      </w:pPr>
      <w:r w:rsidDel="00000000" w:rsidR="00000000" w:rsidRPr="00000000">
        <w:rPr>
          <w:b w:val="1"/>
          <w:bCs w:val="1"/>
          <w:rtl w:val="0"/>
        </w:rPr>
        <w:t xml:space="preserve">API Implementation.</w:t>
      </w:r>
      <w:r w:rsidDel="00000000" w:rsidR="00000000" w:rsidRPr="00000000">
        <w:rPr>
          <w:rtl w:val="0"/>
        </w:rPr>
        <w:t xml:space="preserve"> The Governance Lane API requires production-grade implementation in at least three programming languages to serve the primary development ecosystems of institutional technology teams. Reference implementations in Python, Java, and Go covering the full endpoint surface - </w:t>
      </w:r>
      <w:r w:rsidDel="00000000" w:rsidR="00000000" w:rsidRPr="00000000">
        <w:rPr>
          <w:rFonts w:ascii="Roboto Mono" w:cs="Roboto Mono" w:eastAsia="Roboto Mono" w:hAnsi="Roboto Mono"/>
          <w:color w:val="188038"/>
          <w:rtl w:val="0"/>
        </w:rPr>
        <w:t xml:space="preserve">POST /decisions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/epistemic-hold/lantern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/goukassian/license/validate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/goukassian/signature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/emergency/override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/regulator/*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/audit/verifications/*</w:t>
      </w:r>
      <w:r w:rsidDel="00000000" w:rsidR="00000000" w:rsidRPr="00000000">
        <w:rPr>
          <w:rtl w:val="0"/>
        </w:rPr>
        <w:t xml:space="preserve"> and all others - are estimated at twelve to eighteen months of senior engineering time per language, with additional time for security hardening and penetration testing.</w:t>
      </w:r>
    </w:p>
    <w:p w:rsidR="00000000" w:rsidDel="00000000" w:rsidP="00000000" w:rsidRDefault="00000000" w:rsidRPr="00000000" w14:paraId="000004E0">
      <w:pPr>
        <w:spacing w:after="240" w:before="240" w:lineRule="auto"/>
        <w:rPr/>
      </w:pPr>
      <w:r w:rsidDel="00000000" w:rsidR="00000000" w:rsidRPr="00000000">
        <w:rPr>
          <w:b w:val="1"/>
          <w:bCs w:val="1"/>
          <w:rtl w:val="0"/>
        </w:rPr>
        <w:t xml:space="preserve">Regulatory Nexus Database.</w:t>
      </w:r>
      <w:r w:rsidDel="00000000" w:rsidR="00000000" w:rsidRPr="00000000">
        <w:rPr>
          <w:rtl w:val="0"/>
        </w:rPr>
        <w:t xml:space="preserve"> Machine-readable regulatory database covering five primary domains - </w:t>
      </w:r>
      <w:r w:rsidDel="00000000" w:rsidR="00000000" w:rsidRPr="00000000">
        <w:rPr>
          <w:rFonts w:ascii="Roboto Mono" w:cs="Roboto Mono" w:eastAsia="Roboto Mono" w:hAnsi="Roboto Mono"/>
          <w:color w:val="188038"/>
          <w:rtl w:val="0"/>
        </w:rPr>
        <w:t xml:space="preserve">finance_domain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trade_domain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data_protection_domain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monetary_policy_domain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market_integrity_domain</w:t>
      </w:r>
      <w:r w:rsidDel="00000000" w:rsidR="00000000" w:rsidRPr="00000000">
        <w:rPr>
          <w:rtl w:val="0"/>
        </w:rPr>
        <w:t xml:space="preserve"> - across the major global financial jurisdictions requires legal and regulatory expertise to encode. Initial population to production quality for ten highest-priority jurisdictions: estimated at eighteen to twenty-four months.</w:t>
      </w:r>
    </w:p>
    <w:p w:rsidR="00000000" w:rsidDel="00000000" w:rsidP="00000000" w:rsidRDefault="00000000" w:rsidRPr="00000000" w14:paraId="000004E1">
      <w:pPr>
        <w:spacing w:after="240" w:before="240" w:lineRule="auto"/>
        <w:rPr/>
      </w:pPr>
      <w:r w:rsidDel="00000000" w:rsidR="00000000" w:rsidRPr="00000000">
        <w:rPr>
          <w:b w:val="1"/>
          <w:bCs w:val="1"/>
          <w:rtl w:val="0"/>
        </w:rPr>
        <w:t xml:space="preserve">Governance Lane Emulation Stack.</w:t>
      </w:r>
      <w:r w:rsidDel="00000000" w:rsidR="00000000" w:rsidRPr="00000000">
        <w:rPr>
          <w:rtl w:val="0"/>
        </w:rPr>
        <w:t xml:space="preserve"> The Transitional Emulation Mode software stack that replicates Governance Lane behavior on conventional binary hardware is a critical path dependency for institutional adoption. Development, security audit, and regulatory certification: estimated at twelve to eighteen months.</w:t>
      </w:r>
    </w:p>
    <w:p w:rsidR="00000000" w:rsidDel="00000000" w:rsidP="00000000" w:rsidRDefault="00000000" w:rsidRPr="00000000" w14:paraId="000004E2">
      <w:pPr>
        <w:spacing w:after="240" w:before="240" w:lineRule="auto"/>
        <w:rPr/>
      </w:pPr>
      <w:r w:rsidDel="00000000" w:rsidR="00000000" w:rsidRPr="00000000">
        <w:rPr>
          <w:b w:val="1"/>
          <w:bCs w:val="1"/>
          <w:rtl w:val="0"/>
        </w:rPr>
        <w:t xml:space="preserve">Smart Contract Infrastructure.</w:t>
      </w:r>
      <w:r w:rsidDel="00000000" w:rsidR="00000000" w:rsidRPr="00000000">
        <w:rPr>
          <w:rtl w:val="0"/>
        </w:rPr>
        <w:t xml:space="preserve"> The on-chain smart contracts governing </w:t>
      </w:r>
      <w:r w:rsidDel="00000000" w:rsidR="00000000" w:rsidRPr="00000000">
        <w:rPr>
          <w:rFonts w:ascii="Roboto Mono" w:cs="Roboto Mono" w:eastAsia="Roboto Mono" w:hAnsi="Roboto Mono"/>
          <w:color w:val="188038"/>
          <w:rtl w:val="0"/>
        </w:rPr>
        <w:t xml:space="preserve">TL_Ledger_Core.registerPermissionToken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TL_Ledger_Core.resolveEpistemicHoldSystemWide</w:t>
      </w:r>
      <w:r w:rsidDel="00000000" w:rsidR="00000000" w:rsidRPr="00000000">
        <w:rPr>
          <w:rtl w:val="0"/>
        </w:rPr>
        <w:t xml:space="preserve">, and the </w:t>
      </w:r>
      <w:r w:rsidDel="00000000" w:rsidR="00000000" w:rsidRPr="00000000">
        <w:rPr>
          <w:rFonts w:ascii="Roboto Mono" w:cs="Roboto Mono" w:eastAsia="Roboto Mono" w:hAnsi="Roboto Mono"/>
          <w:color w:val="188038"/>
          <w:rtl w:val="0"/>
        </w:rPr>
        <w:t xml:space="preserve">canonicalArtifactNameHashes</w:t>
      </w:r>
      <w:r w:rsidDel="00000000" w:rsidR="00000000" w:rsidRPr="00000000">
        <w:rPr>
          <w:rtl w:val="0"/>
        </w:rPr>
        <w:t xml:space="preserve"> registry in </w:t>
      </w:r>
      <w:r w:rsidDel="00000000" w:rsidR="00000000" w:rsidRPr="00000000">
        <w:rPr>
          <w:rFonts w:ascii="Roboto Mono" w:cs="Roboto Mono" w:eastAsia="Roboto Mono" w:hAnsi="Roboto Mono"/>
          <w:color w:val="188038"/>
          <w:rtl w:val="0"/>
        </w:rPr>
        <w:t xml:space="preserve">eip712_typed_data.json</w:t>
      </w:r>
      <w:r w:rsidDel="00000000" w:rsidR="00000000" w:rsidRPr="00000000">
        <w:rPr>
          <w:rtl w:val="0"/>
        </w:rPr>
        <w:t xml:space="preserve"> must be developed, audited, and deployed across the three anchor blockchain networks. Smart contract development and comprehensive security audit for contracts managing institutional-grade financial operations: estimated at six to twelve months.</w:t>
      </w:r>
    </w:p>
    <w:p w:rsidR="00000000" w:rsidDel="00000000" w:rsidP="00000000" w:rsidRDefault="00000000" w:rsidRPr="00000000" w14:paraId="000004E3">
      <w:pPr>
        <w:spacing w:after="240" w:before="240" w:lineRule="auto"/>
        <w:rPr/>
      </w:pPr>
      <w:r w:rsidDel="00000000" w:rsidR="00000000" w:rsidRPr="00000000">
        <w:rPr>
          <w:b w:val="1"/>
          <w:bCs w:val="1"/>
          <w:rtl w:val="0"/>
        </w:rPr>
        <w:t xml:space="preserve">Tri-Cameral Governance Tooling.</w:t>
      </w:r>
      <w:r w:rsidDel="00000000" w:rsidR="00000000" w:rsidRPr="00000000">
        <w:rPr>
          <w:rtl w:val="0"/>
        </w:rPr>
        <w:t xml:space="preserve"> Institutional tooling for Technical Council model certification workflows, Stewardship Custodian schema modification processes via </w:t>
      </w:r>
      <w:r w:rsidDel="00000000" w:rsidR="00000000" w:rsidRPr="00000000">
        <w:rPr>
          <w:rFonts w:ascii="Roboto Mono" w:cs="Roboto Mono" w:eastAsia="Roboto Mono" w:hAnsi="Roboto Mono"/>
          <w:color w:val="188038"/>
          <w:rtl w:val="0"/>
        </w:rPr>
        <w:t xml:space="preserve">PUT /thresholds/{domain}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POST /pillars/{pillarId}/configure</w:t>
      </w:r>
      <w:r w:rsidDel="00000000" w:rsidR="00000000" w:rsidRPr="00000000">
        <w:rPr>
          <w:rtl w:val="0"/>
        </w:rPr>
        <w:t xml:space="preserve">, key ceremony management via </w:t>
      </w:r>
      <w:r w:rsidDel="00000000" w:rsidR="00000000" w:rsidRPr="00000000">
        <w:rPr>
          <w:rFonts w:ascii="Roboto Mono" w:cs="Roboto Mono" w:eastAsia="Roboto Mono" w:hAnsi="Roboto Mono"/>
          <w:color w:val="188038"/>
          <w:rtl w:val="0"/>
        </w:rPr>
        <w:t xml:space="preserve">GET /audit/custodians/{custodianId}/heartbeat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 /regulator/custodian-quorum</w:t>
      </w:r>
      <w:r w:rsidDel="00000000" w:rsidR="00000000" w:rsidRPr="00000000">
        <w:rPr>
          <w:rtl w:val="0"/>
        </w:rPr>
        <w:t xml:space="preserve">, and Smart Contract Treasury oversight: approximately twelve months of product development.</w:t>
      </w:r>
    </w:p>
    <w:p w:rsidR="00000000" w:rsidDel="00000000" w:rsidP="00000000" w:rsidRDefault="00000000" w:rsidRPr="00000000" w14:paraId="000004E4">
      <w:pPr>
        <w:spacing w:after="240" w:before="240" w:lineRule="auto"/>
        <w:rPr>
          <w:color w:val="1155cc"/>
          <w:u w:val="single"/>
        </w:rPr>
      </w:pPr>
      <w:r w:rsidDel="00000000" w:rsidR="00000000" w:rsidRPr="00000000">
        <w:rPr>
          <w:rtl w:val="0"/>
        </w:rPr>
        <w:t xml:space="preserve">Total software infrastructure NRE: estimated at </w:t>
      </w:r>
      <w:r w:rsidDel="00000000" w:rsidR="00000000" w:rsidRPr="00000000">
        <w:rPr>
          <w:b w:val="1"/>
          <w:bCs w:val="1"/>
          <w:rtl w:val="0"/>
        </w:rPr>
        <w:t xml:space="preserve">$20 million to $50 million</w:t>
      </w:r>
      <w:r w:rsidDel="00000000" w:rsidR="00000000" w:rsidRPr="00000000">
        <w:rPr>
          <w:rtl w:val="0"/>
        </w:rPr>
        <w:t xml:space="preserve"> across the full development program.</w:t>
      </w:r>
      <w:hyperlink r:id="rId1102">
        <w:r w:rsidDel="00000000" w:rsidR="00000000" w:rsidRPr="00000000">
          <w:rPr>
            <w:rtl w:val="0"/>
          </w:rPr>
          <w:t xml:space="preserve"> </w:t>
        </w:r>
      </w:hyperlink>
      <w:hyperlink r:id="rId1103">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4E5">
      <w:pPr>
        <w:pStyle w:val="Heading2"/>
        <w:keepNext w:val="0"/>
        <w:keepLines w:val="0"/>
        <w:spacing w:after="80" w:lineRule="auto"/>
        <w:rPr>
          <w:b w:val="1"/>
          <w:bCs w:val="1"/>
          <w:sz w:val="34"/>
          <w:szCs w:val="34"/>
        </w:rPr>
      </w:pPr>
      <w:bookmarkStart w:colFirst="0" w:colLast="0" w:name="_y4ugd2isgmvt" w:id="186"/>
      <w:bookmarkEnd w:id="186"/>
      <w:r w:rsidDel="00000000" w:rsidR="00000000" w:rsidRPr="00000000">
        <w:rPr>
          <w:b w:val="1"/>
          <w:bCs w:val="1"/>
          <w:sz w:val="34"/>
          <w:szCs w:val="34"/>
          <w:rtl w:val="0"/>
        </w:rPr>
        <w:t xml:space="preserve">12.3 Per-Deployment Cost Structure</w:t>
      </w:r>
    </w:p>
    <w:p w:rsidR="00000000" w:rsidDel="00000000" w:rsidP="00000000" w:rsidRDefault="00000000" w:rsidRPr="00000000" w14:paraId="000004E6">
      <w:pPr>
        <w:spacing w:after="240" w:before="240" w:lineRule="auto"/>
        <w:rPr>
          <w:color w:val="1155cc"/>
          <w:u w:val="single"/>
        </w:rPr>
      </w:pPr>
      <w:r w:rsidDel="00000000" w:rsidR="00000000" w:rsidRPr="00000000">
        <w:rPr>
          <w:rtl w:val="0"/>
        </w:rPr>
        <w:t xml:space="preserve">Per-deployment costs are the recurring expenditures borne by individual institutions operating TL governance. These costs must be competitive with the current compliance cost baseline to generate institutional adoption without regulatory mandate.</w:t>
      </w:r>
      <w:hyperlink r:id="rId1104">
        <w:r w:rsidDel="00000000" w:rsidR="00000000" w:rsidRPr="00000000">
          <w:rPr>
            <w:rtl w:val="0"/>
          </w:rPr>
          <w:t xml:space="preserve"> </w:t>
        </w:r>
      </w:hyperlink>
      <w:hyperlink r:id="rId1105">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4E7">
      <w:pPr>
        <w:pStyle w:val="Heading3"/>
        <w:keepNext w:val="0"/>
        <w:keepLines w:val="0"/>
        <w:spacing w:before="280" w:lineRule="auto"/>
        <w:rPr>
          <w:b w:val="1"/>
          <w:bCs w:val="1"/>
          <w:color w:val="000000"/>
          <w:sz w:val="26"/>
          <w:szCs w:val="26"/>
        </w:rPr>
      </w:pPr>
      <w:bookmarkStart w:colFirst="0" w:colLast="0" w:name="_3764x32e628m" w:id="187"/>
      <w:bookmarkEnd w:id="187"/>
      <w:r w:rsidDel="00000000" w:rsidR="00000000" w:rsidRPr="00000000">
        <w:rPr>
          <w:b w:val="1"/>
          <w:bCs w:val="1"/>
          <w:color w:val="000000"/>
          <w:sz w:val="26"/>
          <w:szCs w:val="26"/>
          <w:rtl w:val="0"/>
        </w:rPr>
        <w:t xml:space="preserve">12.3.1 Hardware Costs</w:t>
      </w:r>
    </w:p>
    <w:p w:rsidR="00000000" w:rsidDel="00000000" w:rsidP="00000000" w:rsidRDefault="00000000" w:rsidRPr="00000000" w14:paraId="000004E8">
      <w:pPr>
        <w:spacing w:after="240" w:before="240" w:lineRule="auto"/>
        <w:rPr>
          <w:color w:val="1155cc"/>
          <w:u w:val="single"/>
        </w:rPr>
      </w:pPr>
      <w:r w:rsidDel="00000000" w:rsidR="00000000" w:rsidRPr="00000000">
        <w:rPr>
          <w:rtl w:val="0"/>
        </w:rPr>
        <w:t xml:space="preserve">In Architecture B deployment, each production Triadic Coprocessor unit carries a per-unit cost determined by fabrication yield, packaging complexity, and production volume. At modest initial volumes of hundreds of units annually, the per-unit cost is estimated in the range of </w:t>
      </w:r>
      <w:r w:rsidDel="00000000" w:rsidR="00000000" w:rsidRPr="00000000">
        <w:rPr>
          <w:b w:val="1"/>
          <w:bCs w:val="1"/>
          <w:rtl w:val="0"/>
        </w:rPr>
        <w:t xml:space="preserve">$50,000 to $200,000</w:t>
      </w:r>
      <w:r w:rsidDel="00000000" w:rsidR="00000000" w:rsidRPr="00000000">
        <w:rPr>
          <w:rtl w:val="0"/>
        </w:rPr>
        <w:t xml:space="preserve"> - reflecting the advanced process node, the novel memristive layer integration, and the FIPS 140-2 Level 3 certification overhead.</w:t>
      </w:r>
      <w:hyperlink r:id="rId1106">
        <w:r w:rsidDel="00000000" w:rsidR="00000000" w:rsidRPr="00000000">
          <w:rPr>
            <w:rtl w:val="0"/>
          </w:rPr>
          <w:t xml:space="preserve"> </w:t>
        </w:r>
      </w:hyperlink>
      <w:hyperlink r:id="rId1107">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4E9">
      <w:pPr>
        <w:spacing w:after="240" w:before="240" w:lineRule="auto"/>
        <w:rPr/>
      </w:pPr>
      <w:r w:rsidDel="00000000" w:rsidR="00000000" w:rsidRPr="00000000">
        <w:rPr>
          <w:rtl w:val="0"/>
        </w:rPr>
        <w:t xml:space="preserve">For a systemically important financial institution deploying TL governance across its primary trading, settlement, and monetary operations, the hardware footprint is estimated at five to twenty Triadic Coprocessor units, representing a total hardware cost of </w:t>
      </w:r>
      <w:r w:rsidDel="00000000" w:rsidR="00000000" w:rsidRPr="00000000">
        <w:rPr>
          <w:b w:val="1"/>
          <w:bCs w:val="1"/>
          <w:rtl w:val="0"/>
        </w:rPr>
        <w:t xml:space="preserve">$250,000 to $4 million</w:t>
      </w:r>
      <w:r w:rsidDel="00000000" w:rsidR="00000000" w:rsidRPr="00000000">
        <w:rPr>
          <w:rtl w:val="0"/>
        </w:rPr>
        <w:t xml:space="preserve"> per deployment. At higher production volumes, per-unit costs are expected to decline toward the $10,000 to $50,000 range consistent with other specialized financial infrastructure ASICs.</w:t>
      </w:r>
    </w:p>
    <w:p w:rsidR="00000000" w:rsidDel="00000000" w:rsidP="00000000" w:rsidRDefault="00000000" w:rsidRPr="00000000" w14:paraId="000004EA">
      <w:pPr>
        <w:spacing w:after="240" w:before="240" w:lineRule="auto"/>
        <w:rPr>
          <w:color w:val="1155cc"/>
          <w:u w:val="single"/>
        </w:rPr>
      </w:pPr>
      <w:r w:rsidDel="00000000" w:rsidR="00000000" w:rsidRPr="00000000">
        <w:rPr>
          <w:rtl w:val="0"/>
        </w:rPr>
        <w:t xml:space="preserve">The hardware capital expenditure must be evaluated against the capital relief achieved by demonstrating architectural compliance. For a global systemically important bank facing a FRTB-driven capital requirement increase of approximately seventy percent - which at typical capital ratios translates to billions of dollars in additional regulatory capital - the hardware cost of TL deployment represents a fraction of one percent of the capital relief achievable through demonstrated architectural compliance.</w:t>
      </w:r>
      <w:hyperlink r:id="rId1108">
        <w:r w:rsidDel="00000000" w:rsidR="00000000" w:rsidRPr="00000000">
          <w:rPr>
            <w:rtl w:val="0"/>
          </w:rPr>
          <w:t xml:space="preserve"> </w:t>
        </w:r>
      </w:hyperlink>
      <w:hyperlink r:id="rId1109">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4EB">
      <w:pPr>
        <w:pStyle w:val="Heading3"/>
        <w:keepNext w:val="0"/>
        <w:keepLines w:val="0"/>
        <w:spacing w:before="280" w:lineRule="auto"/>
        <w:rPr>
          <w:b w:val="1"/>
          <w:bCs w:val="1"/>
          <w:color w:val="000000"/>
          <w:sz w:val="26"/>
          <w:szCs w:val="26"/>
        </w:rPr>
      </w:pPr>
      <w:bookmarkStart w:colFirst="0" w:colLast="0" w:name="_pyryyxdo2wkg" w:id="188"/>
      <w:bookmarkEnd w:id="188"/>
      <w:r w:rsidDel="00000000" w:rsidR="00000000" w:rsidRPr="00000000">
        <w:rPr>
          <w:b w:val="1"/>
          <w:bCs w:val="1"/>
          <w:color w:val="000000"/>
          <w:sz w:val="26"/>
          <w:szCs w:val="26"/>
          <w:rtl w:val="0"/>
        </w:rPr>
        <w:t xml:space="preserve">12.3.2 Operational Costs</w:t>
      </w:r>
    </w:p>
    <w:p w:rsidR="00000000" w:rsidDel="00000000" w:rsidP="00000000" w:rsidRDefault="00000000" w:rsidRPr="00000000" w14:paraId="000004EC">
      <w:pPr>
        <w:spacing w:after="240" w:before="240" w:lineRule="auto"/>
        <w:rPr/>
      </w:pPr>
      <w:r w:rsidDel="00000000" w:rsidR="00000000" w:rsidRPr="00000000">
        <w:rPr>
          <w:rtl w:val="0"/>
        </w:rPr>
        <w:t xml:space="preserve">Recurring operational costs encompass four categories.</w:t>
      </w:r>
    </w:p>
    <w:p w:rsidR="00000000" w:rsidDel="00000000" w:rsidP="00000000" w:rsidRDefault="00000000" w:rsidRPr="00000000" w14:paraId="000004ED">
      <w:pPr>
        <w:spacing w:after="240" w:before="240" w:lineRule="auto"/>
        <w:rPr/>
      </w:pPr>
      <w:r w:rsidDel="00000000" w:rsidR="00000000" w:rsidRPr="00000000">
        <w:rPr>
          <w:b w:val="1"/>
          <w:bCs w:val="1"/>
          <w:rtl w:val="0"/>
        </w:rPr>
        <w:t xml:space="preserve">Governance Lane Compute.</w:t>
      </w:r>
      <w:r w:rsidDel="00000000" w:rsidR="00000000" w:rsidRPr="00000000">
        <w:rPr>
          <w:rtl w:val="0"/>
        </w:rPr>
        <w:t xml:space="preserve"> The Governance Lane's evidentiary evaluation, schema validation, cryptographic signing, and Regulatory Nexus query operations require dedicated computational infrastructure. For institutions processing millions of proposals per day, the Governance Lane compute cost is estimated at </w:t>
      </w:r>
      <w:r w:rsidDel="00000000" w:rsidR="00000000" w:rsidRPr="00000000">
        <w:rPr>
          <w:b w:val="1"/>
          <w:bCs w:val="1"/>
          <w:rtl w:val="0"/>
        </w:rPr>
        <w:t xml:space="preserve">$500,000 to $2 million</w:t>
      </w:r>
      <w:r w:rsidDel="00000000" w:rsidR="00000000" w:rsidRPr="00000000">
        <w:rPr>
          <w:rtl w:val="0"/>
        </w:rPr>
        <w:t xml:space="preserve"> annually for cloud or co-location infrastructure sustaining sub-two-millisecond immediate execution gating latency.</w:t>
      </w:r>
    </w:p>
    <w:p w:rsidR="00000000" w:rsidDel="00000000" w:rsidP="00000000" w:rsidRDefault="00000000" w:rsidRPr="00000000" w14:paraId="000004EE">
      <w:pPr>
        <w:spacing w:after="240" w:before="240" w:lineRule="auto"/>
        <w:rPr/>
      </w:pPr>
      <w:r w:rsidDel="00000000" w:rsidR="00000000" w:rsidRPr="00000000">
        <w:rPr>
          <w:b w:val="1"/>
          <w:bCs w:val="1"/>
          <w:rtl w:val="0"/>
        </w:rPr>
        <w:t xml:space="preserve">Blockchain Anchoring Fees.</w:t>
      </w:r>
      <w:r w:rsidDel="00000000" w:rsidR="00000000" w:rsidRPr="00000000">
        <w:rPr>
          <w:rtl w:val="0"/>
        </w:rPr>
        <w:t xml:space="preserve"> Merkle root anchor transactions via </w:t>
      </w:r>
      <w:r w:rsidDel="00000000" w:rsidR="00000000" w:rsidRPr="00000000">
        <w:rPr>
          <w:rFonts w:ascii="Roboto Mono" w:cs="Roboto Mono" w:eastAsia="Roboto Mono" w:hAnsi="Roboto Mono"/>
          <w:color w:val="188038"/>
          <w:rtl w:val="0"/>
        </w:rPr>
        <w:t xml:space="preserve">GET /audit/verifications/merkle/{merkleRoot}</w:t>
      </w:r>
      <w:r w:rsidDel="00000000" w:rsidR="00000000" w:rsidRPr="00000000">
        <w:rPr>
          <w:rtl w:val="0"/>
        </w:rPr>
        <w:t xml:space="preserve"> on Bitcoin, Ethereum, and Polygon occur at three-hundred-second intervals under the </w:t>
      </w:r>
      <w:r w:rsidDel="00000000" w:rsidR="00000000" w:rsidRPr="00000000">
        <w:rPr>
          <w:rFonts w:ascii="Roboto Mono" w:cs="Roboto Mono" w:eastAsia="Roboto Mono" w:hAnsi="Roboto Mono"/>
          <w:color w:val="188038"/>
          <w:rtl w:val="0"/>
        </w:rPr>
        <w:t xml:space="preserve">3-of-5</w:t>
      </w:r>
      <w:r w:rsidDel="00000000" w:rsidR="00000000" w:rsidRPr="00000000">
        <w:rPr>
          <w:rtl w:val="0"/>
        </w:rPr>
        <w:t xml:space="preserve"> quorum requirement, regardless of proposal volume. At current network fee levels, the annual anchoring cost across all five active chains is estimated at </w:t>
      </w:r>
      <w:r w:rsidDel="00000000" w:rsidR="00000000" w:rsidRPr="00000000">
        <w:rPr>
          <w:b w:val="1"/>
          <w:bCs w:val="1"/>
          <w:rtl w:val="0"/>
        </w:rPr>
        <w:t xml:space="preserve">$50,000 to $200,000</w:t>
      </w:r>
      <w:r w:rsidDel="00000000" w:rsidR="00000000" w:rsidRPr="00000000">
        <w:rPr>
          <w:rtl w:val="0"/>
        </w:rPr>
        <w:t xml:space="preserve">. This cost scales with blockchain network congestion rather than proposal volume.</w:t>
      </w:r>
    </w:p>
    <w:p w:rsidR="00000000" w:rsidDel="00000000" w:rsidP="00000000" w:rsidRDefault="00000000" w:rsidRPr="00000000" w14:paraId="000004EF">
      <w:pPr>
        <w:spacing w:after="240" w:before="240" w:lineRule="auto"/>
        <w:rPr/>
      </w:pPr>
      <w:r w:rsidDel="00000000" w:rsidR="00000000" w:rsidRPr="00000000">
        <w:rPr>
          <w:b w:val="1"/>
          <w:bCs w:val="1"/>
          <w:rtl w:val="0"/>
        </w:rPr>
        <w:t xml:space="preserve">Tri-Cameral Membership Fees.</w:t>
      </w:r>
      <w:r w:rsidDel="00000000" w:rsidR="00000000" w:rsidRPr="00000000">
        <w:rPr>
          <w:rtl w:val="0"/>
        </w:rPr>
        <w:t xml:space="preserve"> Institutions participating in the Tri-Cameral governance network pay membership fees funding the operation of the Technical Council, Stewardship Custodians accessible via </w:t>
      </w:r>
      <w:r w:rsidDel="00000000" w:rsidR="00000000" w:rsidRPr="00000000">
        <w:rPr>
          <w:rFonts w:ascii="Roboto Mono" w:cs="Roboto Mono" w:eastAsia="Roboto Mono" w:hAnsi="Roboto Mono"/>
          <w:color w:val="188038"/>
          <w:rtl w:val="0"/>
        </w:rPr>
        <w:t xml:space="preserve">GET /regulator/custodian-quorum</w:t>
      </w:r>
      <w:r w:rsidDel="00000000" w:rsidR="00000000" w:rsidRPr="00000000">
        <w:rPr>
          <w:rtl w:val="0"/>
        </w:rPr>
        <w:t xml:space="preserve">, and Smart Contract Treasury. Membership fees are tiered by institution size and proposal volume. Estimated range: </w:t>
      </w:r>
      <w:r w:rsidDel="00000000" w:rsidR="00000000" w:rsidRPr="00000000">
        <w:rPr>
          <w:b w:val="1"/>
          <w:bCs w:val="1"/>
          <w:rtl w:val="0"/>
        </w:rPr>
        <w:t xml:space="preserve">$500,000 to $5 million</w:t>
      </w:r>
      <w:r w:rsidDel="00000000" w:rsidR="00000000" w:rsidRPr="00000000">
        <w:rPr>
          <w:rtl w:val="0"/>
        </w:rPr>
        <w:t xml:space="preserve"> annually for top-tier institutions.</w:t>
      </w:r>
    </w:p>
    <w:p w:rsidR="00000000" w:rsidDel="00000000" w:rsidP="00000000" w:rsidRDefault="00000000" w:rsidRPr="00000000" w14:paraId="000004F0">
      <w:pPr>
        <w:spacing w:after="240" w:before="240" w:lineRule="auto"/>
        <w:rPr/>
      </w:pPr>
      <w:r w:rsidDel="00000000" w:rsidR="00000000" w:rsidRPr="00000000">
        <w:rPr>
          <w:b w:val="1"/>
          <w:bCs w:val="1"/>
          <w:rtl w:val="0"/>
        </w:rPr>
        <w:t xml:space="preserve">Regulatory Nexus Subscription.</w:t>
      </w:r>
      <w:r w:rsidDel="00000000" w:rsidR="00000000" w:rsidRPr="00000000">
        <w:rPr>
          <w:rtl w:val="0"/>
        </w:rPr>
        <w:t xml:space="preserve"> The machine-readable regulatory database requires continuous maintenance, legal expert review of new regulatory developments, and authenticated update channel operations across </w:t>
      </w:r>
      <w:r w:rsidDel="00000000" w:rsidR="00000000" w:rsidRPr="00000000">
        <w:rPr>
          <w:rFonts w:ascii="Roboto Mono" w:cs="Roboto Mono" w:eastAsia="Roboto Mono" w:hAnsi="Roboto Mono"/>
          <w:color w:val="188038"/>
          <w:rtl w:val="0"/>
        </w:rPr>
        <w:t xml:space="preserve">finance_domain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trade_domain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data_protection_domain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monetary_policy_domain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market_integrity_domain</w:t>
      </w:r>
      <w:r w:rsidDel="00000000" w:rsidR="00000000" w:rsidRPr="00000000">
        <w:rPr>
          <w:rtl w:val="0"/>
        </w:rPr>
        <w:t xml:space="preserve"> endpoints. Subscription fees: estimated at </w:t>
      </w:r>
      <w:r w:rsidDel="00000000" w:rsidR="00000000" w:rsidRPr="00000000">
        <w:rPr>
          <w:b w:val="1"/>
          <w:bCs w:val="1"/>
          <w:rtl w:val="0"/>
        </w:rPr>
        <w:t xml:space="preserve">$200,000 to $1 million</w:t>
      </w:r>
      <w:r w:rsidDel="00000000" w:rsidR="00000000" w:rsidRPr="00000000">
        <w:rPr>
          <w:rtl w:val="0"/>
        </w:rPr>
        <w:t xml:space="preserve"> annually depending on the number of jurisdictions covered.</w:t>
      </w:r>
    </w:p>
    <w:p w:rsidR="00000000" w:rsidDel="00000000" w:rsidP="00000000" w:rsidRDefault="00000000" w:rsidRPr="00000000" w14:paraId="000004F1">
      <w:pPr>
        <w:spacing w:after="240" w:before="240" w:lineRule="auto"/>
        <w:rPr>
          <w:color w:val="1155cc"/>
          <w:u w:val="single"/>
        </w:rPr>
      </w:pPr>
      <w:r w:rsidDel="00000000" w:rsidR="00000000" w:rsidRPr="00000000">
        <w:rPr>
          <w:rtl w:val="0"/>
        </w:rPr>
        <w:t xml:space="preserve">Total annual recurring operational cost for a full-scale deployment at a systemically important financial institution: estimated at </w:t>
      </w:r>
      <w:r w:rsidDel="00000000" w:rsidR="00000000" w:rsidRPr="00000000">
        <w:rPr>
          <w:b w:val="1"/>
          <w:bCs w:val="1"/>
          <w:rtl w:val="0"/>
        </w:rPr>
        <w:t xml:space="preserve">$1.25 million to $8.2 million</w:t>
      </w:r>
      <w:r w:rsidDel="00000000" w:rsidR="00000000" w:rsidRPr="00000000">
        <w:rPr>
          <w:rtl w:val="0"/>
        </w:rPr>
        <w:t xml:space="preserve">. This range is modest relative to the institution's current AML compliance expenditure alone, which at global systemically important bank scale typically exceeds $1 billion annually.</w:t>
      </w:r>
      <w:hyperlink r:id="rId1110">
        <w:r w:rsidDel="00000000" w:rsidR="00000000" w:rsidRPr="00000000">
          <w:rPr>
            <w:rtl w:val="0"/>
          </w:rPr>
          <w:t xml:space="preserve"> </w:t>
        </w:r>
      </w:hyperlink>
      <w:hyperlink r:id="rId1111">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4F2">
      <w:pPr>
        <w:pStyle w:val="Heading2"/>
        <w:keepNext w:val="0"/>
        <w:keepLines w:val="0"/>
        <w:spacing w:after="80" w:lineRule="auto"/>
        <w:rPr>
          <w:b w:val="1"/>
          <w:bCs w:val="1"/>
          <w:sz w:val="34"/>
          <w:szCs w:val="34"/>
        </w:rPr>
      </w:pPr>
      <w:bookmarkStart w:colFirst="0" w:colLast="0" w:name="_83w66jjyaemc" w:id="189"/>
      <w:bookmarkEnd w:id="189"/>
      <w:r w:rsidDel="00000000" w:rsidR="00000000" w:rsidRPr="00000000">
        <w:rPr>
          <w:b w:val="1"/>
          <w:bCs w:val="1"/>
          <w:sz w:val="34"/>
          <w:szCs w:val="34"/>
          <w:rtl w:val="0"/>
        </w:rPr>
        <w:t xml:space="preserve">12.4 The Constitutional Compliance Premium</w:t>
      </w:r>
    </w:p>
    <w:p w:rsidR="00000000" w:rsidDel="00000000" w:rsidP="00000000" w:rsidRDefault="00000000" w:rsidRPr="00000000" w14:paraId="000004F3">
      <w:pPr>
        <w:spacing w:after="240" w:before="240" w:lineRule="auto"/>
        <w:rPr>
          <w:color w:val="1155cc"/>
          <w:u w:val="single"/>
        </w:rPr>
      </w:pPr>
      <w:r w:rsidDel="00000000" w:rsidR="00000000" w:rsidRPr="00000000">
        <w:rPr>
          <w:rtl w:val="0"/>
        </w:rPr>
        <w:t xml:space="preserve">The compliance premium is the market pricing differential that emerges when counterparties, insurers, and regulators recognize that TL-governed institutions carry lower operational, legal, and systemic risk than comparably sized non-governed institutions. It is not a regulatory mandate. It is a market equilibrium outcome that emerges from the asymmetric information reduction produced by TL's cryptographically verifiable governance record.</w:t>
      </w:r>
      <w:hyperlink r:id="rId1112">
        <w:r w:rsidDel="00000000" w:rsidR="00000000" w:rsidRPr="00000000">
          <w:rPr>
            <w:rtl w:val="0"/>
          </w:rPr>
          <w:t xml:space="preserve"> </w:t>
        </w:r>
      </w:hyperlink>
      <w:hyperlink r:id="rId1113">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4F4">
      <w:pPr>
        <w:pStyle w:val="Heading3"/>
        <w:keepNext w:val="0"/>
        <w:keepLines w:val="0"/>
        <w:spacing w:before="280" w:lineRule="auto"/>
        <w:rPr>
          <w:b w:val="1"/>
          <w:bCs w:val="1"/>
          <w:color w:val="000000"/>
          <w:sz w:val="26"/>
          <w:szCs w:val="26"/>
        </w:rPr>
      </w:pPr>
      <w:bookmarkStart w:colFirst="0" w:colLast="0" w:name="_g5qg9a7iqdci" w:id="190"/>
      <w:bookmarkEnd w:id="190"/>
      <w:r w:rsidDel="00000000" w:rsidR="00000000" w:rsidRPr="00000000">
        <w:rPr>
          <w:b w:val="1"/>
          <w:bCs w:val="1"/>
          <w:color w:val="000000"/>
          <w:sz w:val="26"/>
          <w:szCs w:val="26"/>
          <w:rtl w:val="0"/>
        </w:rPr>
        <w:t xml:space="preserve">12.4.1 Counterparty Risk Reduction</w:t>
      </w:r>
    </w:p>
    <w:p w:rsidR="00000000" w:rsidDel="00000000" w:rsidP="00000000" w:rsidRDefault="00000000" w:rsidRPr="00000000" w14:paraId="000004F5">
      <w:pPr>
        <w:spacing w:after="240" w:before="240" w:lineRule="auto"/>
        <w:rPr>
          <w:color w:val="1155cc"/>
          <w:u w:val="single"/>
        </w:rPr>
      </w:pPr>
      <w:r w:rsidDel="00000000" w:rsidR="00000000" w:rsidRPr="00000000">
        <w:rPr>
          <w:rtl w:val="0"/>
        </w:rPr>
        <w:t xml:space="preserve">Under conventional governance, a financial institution assessing counterparty risk must rely on the counterparty's self-reported compliance status, periodic regulatory examination results, and credit rating agency assessments - all backward-looking and subject to the same evidentiary ambiguity that produces post-hoc governance failures. The cost of this information asymmetry is reflected in counterparty credit spreads, collateral haircuts, and credit limit constraints.</w:t>
      </w:r>
      <w:hyperlink r:id="rId1114">
        <w:r w:rsidDel="00000000" w:rsidR="00000000" w:rsidRPr="00000000">
          <w:rPr>
            <w:rtl w:val="0"/>
          </w:rPr>
          <w:t xml:space="preserve"> </w:t>
        </w:r>
      </w:hyperlink>
      <w:hyperlink r:id="rId1115">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4F6">
      <w:pPr>
        <w:spacing w:after="240" w:before="240" w:lineRule="auto"/>
        <w:rPr>
          <w:color w:val="1155cc"/>
          <w:u w:val="single"/>
        </w:rPr>
      </w:pPr>
      <w:r w:rsidDel="00000000" w:rsidR="00000000" w:rsidRPr="00000000">
        <w:rPr>
          <w:rtl w:val="0"/>
        </w:rPr>
        <w:t xml:space="preserve">TL-governed institutions publish a cryptographically anchored compliance reputation score through the Regulatory Nexus. Counterparties can query this score in real time and verify its authenticity against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GET /audit/verifications/inclusion/{logId}</w:t>
      </w:r>
      <w:r w:rsidDel="00000000" w:rsidR="00000000" w:rsidRPr="00000000">
        <w:rPr>
          <w:rtl w:val="0"/>
        </w:rPr>
        <w:t xml:space="preserve">. The score reflects actual governance behavior - the institution's Proceed/Refuse/Hold distribution visible through </w:t>
      </w:r>
      <w:r w:rsidDel="00000000" w:rsidR="00000000" w:rsidRPr="00000000">
        <w:rPr>
          <w:rFonts w:ascii="Roboto Mono" w:cs="Roboto Mono" w:eastAsia="Roboto Mono" w:hAnsi="Roboto Mono"/>
          <w:color w:val="188038"/>
          <w:rtl w:val="0"/>
        </w:rPr>
        <w:t xml:space="preserve">GET /metrics/summary</w:t>
      </w:r>
      <w:r w:rsidDel="00000000" w:rsidR="00000000" w:rsidRPr="00000000">
        <w:rPr>
          <w:rtl w:val="0"/>
        </w:rPr>
        <w:t xml:space="preserve">, its false positive rate on AML alerts via </w:t>
      </w:r>
      <w:r w:rsidDel="00000000" w:rsidR="00000000" w:rsidRPr="00000000">
        <w:rPr>
          <w:rFonts w:ascii="Roboto Mono" w:cs="Roboto Mono" w:eastAsia="Roboto Mono" w:hAnsi="Roboto Mono"/>
          <w:color w:val="188038"/>
          <w:rtl w:val="0"/>
        </w:rPr>
        <w:t xml:space="preserve">RegulatoryContext.fatf.sarGenerated</w:t>
      </w:r>
      <w:r w:rsidDel="00000000" w:rsidR="00000000" w:rsidRPr="00000000">
        <w:rPr>
          <w:rtl w:val="0"/>
        </w:rPr>
        <w:t xml:space="preserve">, its schema modification history via </w:t>
      </w:r>
      <w:r w:rsidDel="00000000" w:rsidR="00000000" w:rsidRPr="00000000">
        <w:rPr>
          <w:rFonts w:ascii="Roboto Mono" w:cs="Roboto Mono" w:eastAsia="Roboto Mono" w:hAnsi="Roboto Mono"/>
          <w:color w:val="188038"/>
          <w:rtl w:val="0"/>
        </w:rPr>
        <w:t xml:space="preserve">PUT /thresholds/{domain}</w:t>
      </w:r>
      <w:r w:rsidDel="00000000" w:rsidR="00000000" w:rsidRPr="00000000">
        <w:rPr>
          <w:rtl w:val="0"/>
        </w:rPr>
        <w:t xml:space="preserve">, and its compliance with mandatory review deadlines. This information advantage reduces the counterparty's cost of risk assessment, translating directly into tighter credit spreads, lower collateral requirements, and larger credit lines for TL-governed institutions relative to non-governed peers.</w:t>
      </w:r>
      <w:hyperlink r:id="rId1116">
        <w:r w:rsidDel="00000000" w:rsidR="00000000" w:rsidRPr="00000000">
          <w:rPr>
            <w:rtl w:val="0"/>
          </w:rPr>
          <w:t xml:space="preserve"> </w:t>
        </w:r>
      </w:hyperlink>
      <w:hyperlink r:id="rId1117">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4F7">
      <w:pPr>
        <w:pStyle w:val="Heading3"/>
        <w:keepNext w:val="0"/>
        <w:keepLines w:val="0"/>
        <w:spacing w:before="280" w:lineRule="auto"/>
        <w:rPr>
          <w:b w:val="1"/>
          <w:bCs w:val="1"/>
          <w:color w:val="000000"/>
          <w:sz w:val="26"/>
          <w:szCs w:val="26"/>
        </w:rPr>
      </w:pPr>
      <w:bookmarkStart w:colFirst="0" w:colLast="0" w:name="_un1z9ti180h9" w:id="191"/>
      <w:bookmarkEnd w:id="191"/>
      <w:r w:rsidDel="00000000" w:rsidR="00000000" w:rsidRPr="00000000">
        <w:rPr>
          <w:b w:val="1"/>
          <w:bCs w:val="1"/>
          <w:color w:val="000000"/>
          <w:sz w:val="26"/>
          <w:szCs w:val="26"/>
          <w:rtl w:val="0"/>
        </w:rPr>
        <w:t xml:space="preserve">12.4.2 Insurance Premium Reduction</w:t>
      </w:r>
    </w:p>
    <w:p w:rsidR="00000000" w:rsidDel="00000000" w:rsidP="00000000" w:rsidRDefault="00000000" w:rsidRPr="00000000" w14:paraId="000004F8">
      <w:pPr>
        <w:spacing w:after="240" w:before="240" w:lineRule="auto"/>
        <w:rPr>
          <w:color w:val="1155cc"/>
          <w:u w:val="single"/>
        </w:rPr>
      </w:pPr>
      <w:r w:rsidDel="00000000" w:rsidR="00000000" w:rsidRPr="00000000">
        <w:rPr>
          <w:rtl w:val="0"/>
        </w:rPr>
        <w:t xml:space="preserve">Directors and officers liability insurance, errors and omissions coverage, and cyber liability insurance for financial institutions are priced against the probability and magnitude of governance failures. An institution that can demonstrate to its insurer that its governance architecture physically prevents specific failure modes - spoofing and layering through Refuse on manipulation signatures recorded in </w:t>
      </w:r>
      <w:r w:rsidDel="00000000" w:rsidR="00000000" w:rsidRPr="00000000">
        <w:rPr>
          <w:rFonts w:ascii="Roboto Mono" w:cs="Roboto Mono" w:eastAsia="Roboto Mono" w:hAnsi="Roboto Mono"/>
          <w:color w:val="188038"/>
          <w:rtl w:val="0"/>
        </w:rPr>
        <w:t xml:space="preserve">JustificationObject_v1_0_0</w:t>
      </w:r>
      <w:r w:rsidDel="00000000" w:rsidR="00000000" w:rsidRPr="00000000">
        <w:rPr>
          <w:rtl w:val="0"/>
        </w:rPr>
        <w:t xml:space="preserve">, model override through the five-layer NL=NA enforcement with </w:t>
      </w:r>
      <w:r w:rsidDel="00000000" w:rsidR="00000000" w:rsidRPr="00000000">
        <w:rPr>
          <w:rFonts w:ascii="Roboto Mono" w:cs="Roboto Mono" w:eastAsia="Roboto Mono" w:hAnsi="Roboto Mono"/>
          <w:color w:val="188038"/>
          <w:rtl w:val="0"/>
        </w:rPr>
        <w:t xml:space="preserve">NLNAViolation</w:t>
      </w:r>
      <w:r w:rsidDel="00000000" w:rsidR="00000000" w:rsidRPr="00000000">
        <w:rPr>
          <w:rtl w:val="0"/>
        </w:rPr>
        <w:t xml:space="preserve"> reverts in </w:t>
      </w:r>
      <w:r w:rsidDel="00000000" w:rsidR="00000000" w:rsidRPr="00000000">
        <w:rPr>
          <w:rFonts w:ascii="Roboto Mono" w:cs="Roboto Mono" w:eastAsia="Roboto Mono" w:hAnsi="Roboto Mono"/>
          <w:color w:val="188038"/>
          <w:rtl w:val="0"/>
        </w:rPr>
        <w:t xml:space="preserve">TL_Ledger_Core</w:t>
      </w:r>
      <w:r w:rsidDel="00000000" w:rsidR="00000000" w:rsidRPr="00000000">
        <w:rPr>
          <w:rtl w:val="0"/>
        </w:rPr>
        <w:t xml:space="preserve">, data breach through the </w:t>
      </w:r>
      <w:r w:rsidDel="00000000" w:rsidR="00000000" w:rsidRPr="00000000">
        <w:rPr>
          <w:rFonts w:ascii="Roboto Mono" w:cs="Roboto Mono" w:eastAsia="Roboto Mono" w:hAnsi="Roboto Mono"/>
          <w:color w:val="188038"/>
          <w:rtl w:val="0"/>
        </w:rPr>
        <w:t xml:space="preserve">HybridShield</w:t>
      </w:r>
      <w:r w:rsidDel="00000000" w:rsidR="00000000" w:rsidRPr="00000000">
        <w:rPr>
          <w:rtl w:val="0"/>
        </w:rPr>
        <w:t xml:space="preserve">'s pseudonymization - creates a quantifiable reduction in insurer loss probability.</w:t>
      </w:r>
      <w:hyperlink r:id="rId1118">
        <w:r w:rsidDel="00000000" w:rsidR="00000000" w:rsidRPr="00000000">
          <w:rPr>
            <w:rtl w:val="0"/>
          </w:rPr>
          <w:t xml:space="preserve"> </w:t>
        </w:r>
      </w:hyperlink>
      <w:hyperlink r:id="rId1119">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4F9">
      <w:pPr>
        <w:spacing w:after="240" w:before="240" w:lineRule="auto"/>
        <w:rPr/>
      </w:pPr>
      <w:r w:rsidDel="00000000" w:rsidR="00000000" w:rsidRPr="00000000">
        <w:rPr>
          <w:rtl w:val="0"/>
        </w:rPr>
        <w:t xml:space="preserve">Insurance underwriters currently rely on questionnaire-based governance assessments that are inherently unverifiable. TL's Decision Log history via </w:t>
      </w:r>
      <w:r w:rsidDel="00000000" w:rsidR="00000000" w:rsidRPr="00000000">
        <w:rPr>
          <w:rFonts w:ascii="Roboto Mono" w:cs="Roboto Mono" w:eastAsia="Roboto Mono" w:hAnsi="Roboto Mono"/>
          <w:color w:val="188038"/>
          <w:rtl w:val="0"/>
        </w:rPr>
        <w:t xml:space="preserve">GET /audit-logs/{logId}</w:t>
      </w:r>
      <w:r w:rsidDel="00000000" w:rsidR="00000000" w:rsidRPr="00000000">
        <w:rPr>
          <w:rtl w:val="0"/>
        </w:rPr>
        <w:t xml:space="preserve"> provides actuarially verifiable governance performance data: the insurer can examine the actual distribution of Governance Lane determinations, the frequency of Epistemic Hold escalations via </w:t>
      </w:r>
      <w:r w:rsidDel="00000000" w:rsidR="00000000" w:rsidRPr="00000000">
        <w:rPr>
          <w:rFonts w:ascii="Roboto Mono" w:cs="Roboto Mono" w:eastAsia="Roboto Mono" w:hAnsi="Roboto Mono"/>
          <w:color w:val="188038"/>
          <w:rtl w:val="0"/>
        </w:rPr>
        <w:t xml:space="preserve">GET /epistemic-hold/lantern</w:t>
      </w:r>
      <w:r w:rsidDel="00000000" w:rsidR="00000000" w:rsidRPr="00000000">
        <w:rPr>
          <w:rtl w:val="0"/>
        </w:rPr>
        <w:t xml:space="preserve">, and the absence of </w:t>
      </w:r>
      <w:r w:rsidDel="00000000" w:rsidR="00000000" w:rsidRPr="00000000">
        <w:rPr>
          <w:rFonts w:ascii="Roboto Mono" w:cs="Roboto Mono" w:eastAsia="Roboto Mono" w:hAnsi="Roboto Mono"/>
          <w:color w:val="188038"/>
          <w:rtl w:val="0"/>
        </w:rPr>
        <w:t xml:space="preserve">GhostGovernanceDetectedError</w:t>
      </w:r>
      <w:r w:rsidDel="00000000" w:rsidR="00000000" w:rsidRPr="00000000">
        <w:rPr>
          <w:rtl w:val="0"/>
        </w:rPr>
        <w:t xml:space="preserve"> events in </w:t>
      </w:r>
      <w:r w:rsidDel="00000000" w:rsidR="00000000" w:rsidRPr="00000000">
        <w:rPr>
          <w:rFonts w:ascii="Roboto Mono" w:cs="Roboto Mono" w:eastAsia="Roboto Mono" w:hAnsi="Roboto Mono"/>
          <w:color w:val="188038"/>
          <w:rtl w:val="0"/>
        </w:rPr>
        <w:t xml:space="preserve">GET /metrics/summary</w:t>
      </w:r>
      <w:r w:rsidDel="00000000" w:rsidR="00000000" w:rsidRPr="00000000">
        <w:rPr>
          <w:rtl w:val="0"/>
        </w:rPr>
        <w:t xml:space="preserve"> over the coverage period. This verifiable data supports premium differentiation that conventional governance frameworks cannot justify.</w:t>
      </w:r>
    </w:p>
    <w:p w:rsidR="00000000" w:rsidDel="00000000" w:rsidP="00000000" w:rsidRDefault="00000000" w:rsidRPr="00000000" w14:paraId="000004FA">
      <w:pPr>
        <w:pStyle w:val="Heading3"/>
        <w:keepNext w:val="0"/>
        <w:keepLines w:val="0"/>
        <w:spacing w:before="280" w:lineRule="auto"/>
        <w:rPr>
          <w:b w:val="1"/>
          <w:bCs w:val="1"/>
          <w:color w:val="000000"/>
          <w:sz w:val="26"/>
          <w:szCs w:val="26"/>
        </w:rPr>
      </w:pPr>
      <w:bookmarkStart w:colFirst="0" w:colLast="0" w:name="_ajqrwd8udc0" w:id="192"/>
      <w:bookmarkEnd w:id="192"/>
      <w:r w:rsidDel="00000000" w:rsidR="00000000" w:rsidRPr="00000000">
        <w:rPr>
          <w:b w:val="1"/>
          <w:bCs w:val="1"/>
          <w:color w:val="000000"/>
          <w:sz w:val="26"/>
          <w:szCs w:val="26"/>
          <w:rtl w:val="0"/>
        </w:rPr>
        <w:t xml:space="preserve">12.4.3 Regulatory Examination Efficiency</w:t>
      </w:r>
    </w:p>
    <w:p w:rsidR="00000000" w:rsidDel="00000000" w:rsidP="00000000" w:rsidRDefault="00000000" w:rsidRPr="00000000" w14:paraId="000004FB">
      <w:pPr>
        <w:spacing w:after="240" w:before="240" w:lineRule="auto"/>
        <w:rPr>
          <w:color w:val="1155cc"/>
          <w:u w:val="single"/>
        </w:rPr>
      </w:pPr>
      <w:r w:rsidDel="00000000" w:rsidR="00000000" w:rsidRPr="00000000">
        <w:rPr>
          <w:rtl w:val="0"/>
        </w:rPr>
        <w:t xml:space="preserve">TL-governed institutions can satisfy examination requirements through Regulatory Nexus API access rather than through document production and interview processes. A regulator with appropriate EKR authorization via </w:t>
      </w:r>
      <w:r w:rsidDel="00000000" w:rsidR="00000000" w:rsidRPr="00000000">
        <w:rPr>
          <w:rFonts w:ascii="Roboto Mono" w:cs="Roboto Mono" w:eastAsia="Roboto Mono" w:hAnsi="Roboto Mono"/>
          <w:color w:val="188038"/>
          <w:rtl w:val="0"/>
        </w:rPr>
        <w:t xml:space="preserve">GET /regulator/custodian-quorum</w:t>
      </w:r>
      <w:r w:rsidDel="00000000" w:rsidR="00000000" w:rsidRPr="00000000">
        <w:rPr>
          <w:rtl w:val="0"/>
        </w:rPr>
        <w:t xml:space="preserve"> can verify the institution's compliance with specific regulatory provisions by querying the Decision Log history directly through </w:t>
      </w:r>
      <w:r w:rsidDel="00000000" w:rsidR="00000000" w:rsidRPr="00000000">
        <w:rPr>
          <w:rFonts w:ascii="Roboto Mono" w:cs="Roboto Mono" w:eastAsia="Roboto Mono" w:hAnsi="Roboto Mono"/>
          <w:color w:val="188038"/>
          <w:rtl w:val="0"/>
        </w:rPr>
        <w:t xml:space="preserve">POST /regulator/evidence-export</w:t>
      </w:r>
      <w:r w:rsidDel="00000000" w:rsidR="00000000" w:rsidRPr="00000000">
        <w:rPr>
          <w:rtl w:val="0"/>
        </w:rPr>
        <w:t xml:space="preserve">: every proposal evaluation that touched a Basel III capital requirement via </w:t>
      </w:r>
      <w:r w:rsidDel="00000000" w:rsidR="00000000" w:rsidRPr="00000000">
        <w:rPr>
          <w:rFonts w:ascii="Roboto Mono" w:cs="Roboto Mono" w:eastAsia="Roboto Mono" w:hAnsi="Roboto Mono"/>
          <w:color w:val="188038"/>
          <w:rtl w:val="0"/>
        </w:rPr>
        <w:t xml:space="preserve">GET /regulator/basel-iii/attestation</w:t>
      </w:r>
      <w:r w:rsidDel="00000000" w:rsidR="00000000" w:rsidRPr="00000000">
        <w:rPr>
          <w:rtl w:val="0"/>
        </w:rPr>
        <w:t xml:space="preserve">, every AML alert that triggered the </w:t>
      </w:r>
      <w:r w:rsidDel="00000000" w:rsidR="00000000" w:rsidRPr="00000000">
        <w:rPr>
          <w:rFonts w:ascii="Roboto Mono" w:cs="Roboto Mono" w:eastAsia="Roboto Mono" w:hAnsi="Roboto Mono"/>
          <w:color w:val="188038"/>
          <w:rtl w:val="0"/>
        </w:rPr>
        <w:t xml:space="preserve">RegulatoryContext.fatf</w:t>
      </w:r>
      <w:r w:rsidDel="00000000" w:rsidR="00000000" w:rsidRPr="00000000">
        <w:rPr>
          <w:rtl w:val="0"/>
        </w:rPr>
        <w:t xml:space="preserve"> schema validation, every sanctions check result. The examination cycle compresses from weeks to hours. The institution's preparation cost reduces proportionally.</w:t>
      </w:r>
      <w:hyperlink r:id="rId1120">
        <w:r w:rsidDel="00000000" w:rsidR="00000000" w:rsidRPr="00000000">
          <w:rPr>
            <w:rtl w:val="0"/>
          </w:rPr>
          <w:t xml:space="preserve"> </w:t>
        </w:r>
      </w:hyperlink>
      <w:hyperlink r:id="rId1121">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4FC">
      <w:pPr>
        <w:spacing w:after="240" w:before="240" w:lineRule="auto"/>
        <w:rPr/>
      </w:pPr>
      <w:r w:rsidDel="00000000" w:rsidR="00000000" w:rsidRPr="00000000">
        <w:rPr>
          <w:rtl w:val="0"/>
        </w:rPr>
        <w:t xml:space="preserve">The Smart Contract Treasury quantifies this premium through the fee reduction schedule for institutions maintaining high compliance reputation scores. An institution whose governance performance places it in the top quartile of the network receives fee reductions that offset a meaningful portion of its annual operational costs.</w:t>
      </w:r>
    </w:p>
    <w:p w:rsidR="00000000" w:rsidDel="00000000" w:rsidP="00000000" w:rsidRDefault="00000000" w:rsidRPr="00000000" w14:paraId="000004FD">
      <w:pPr>
        <w:pStyle w:val="Heading2"/>
        <w:keepNext w:val="0"/>
        <w:keepLines w:val="0"/>
        <w:spacing w:after="80" w:lineRule="auto"/>
        <w:rPr>
          <w:b w:val="1"/>
          <w:bCs w:val="1"/>
          <w:sz w:val="34"/>
          <w:szCs w:val="34"/>
        </w:rPr>
      </w:pPr>
      <w:bookmarkStart w:colFirst="0" w:colLast="0" w:name="_jkwg9a57op84" w:id="193"/>
      <w:bookmarkEnd w:id="193"/>
      <w:r w:rsidDel="00000000" w:rsidR="00000000" w:rsidRPr="00000000">
        <w:rPr>
          <w:b w:val="1"/>
          <w:bCs w:val="1"/>
          <w:sz w:val="34"/>
          <w:szCs w:val="34"/>
          <w:rtl w:val="0"/>
        </w:rPr>
        <w:t xml:space="preserve">12.5 Deployment Phases</w:t>
      </w:r>
    </w:p>
    <w:p w:rsidR="00000000" w:rsidDel="00000000" w:rsidP="00000000" w:rsidRDefault="00000000" w:rsidRPr="00000000" w14:paraId="000004FE">
      <w:pPr>
        <w:spacing w:after="240" w:before="240" w:lineRule="auto"/>
        <w:rPr>
          <w:color w:val="1155cc"/>
          <w:u w:val="single"/>
        </w:rPr>
      </w:pPr>
      <w:r w:rsidDel="00000000" w:rsidR="00000000" w:rsidRPr="00000000">
        <w:rPr>
          <w:rtl w:val="0"/>
        </w:rPr>
        <w:t xml:space="preserve">TL deployment proceeds through three phases distinguished by governance infrastructure maturity, hardware availability, and market adoption depth.</w:t>
      </w:r>
      <w:hyperlink r:id="rId1122">
        <w:r w:rsidDel="00000000" w:rsidR="00000000" w:rsidRPr="00000000">
          <w:rPr>
            <w:rtl w:val="0"/>
          </w:rPr>
          <w:t xml:space="preserve"> </w:t>
        </w:r>
      </w:hyperlink>
      <w:hyperlink r:id="rId1123">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4FF">
      <w:pPr>
        <w:pStyle w:val="Heading3"/>
        <w:keepNext w:val="0"/>
        <w:keepLines w:val="0"/>
        <w:spacing w:before="280" w:lineRule="auto"/>
        <w:rPr>
          <w:b w:val="1"/>
          <w:bCs w:val="1"/>
          <w:color w:val="000000"/>
          <w:sz w:val="26"/>
          <w:szCs w:val="26"/>
        </w:rPr>
      </w:pPr>
      <w:bookmarkStart w:colFirst="0" w:colLast="0" w:name="_7xx4ivp3xhtd" w:id="194"/>
      <w:bookmarkEnd w:id="194"/>
      <w:r w:rsidDel="00000000" w:rsidR="00000000" w:rsidRPr="00000000">
        <w:rPr>
          <w:b w:val="1"/>
          <w:bCs w:val="1"/>
          <w:color w:val="000000"/>
          <w:sz w:val="26"/>
          <w:szCs w:val="26"/>
          <w:rtl w:val="0"/>
        </w:rPr>
        <w:t xml:space="preserve">12.5.1 Phase 1: Minimum Viable Governance (Software Emulation, 2026-2027)</w:t>
      </w:r>
    </w:p>
    <w:p w:rsidR="00000000" w:rsidDel="00000000" w:rsidP="00000000" w:rsidRDefault="00000000" w:rsidRPr="00000000" w14:paraId="00000500">
      <w:pPr>
        <w:spacing w:after="240" w:before="240" w:lineRule="auto"/>
        <w:rPr/>
      </w:pPr>
      <w:r w:rsidDel="00000000" w:rsidR="00000000" w:rsidRPr="00000000">
        <w:rPr>
          <w:rtl w:val="0"/>
        </w:rPr>
        <w:t xml:space="preserve">Phase 1 deploys TL governance using the Transitional Emulation Mode software stack on conventional binary hardware. The enforcement limitations of emulation mode - Pillars I and IV degraded to policy-only - are acknowledged, disclosed through </w:t>
      </w:r>
      <w:r w:rsidDel="00000000" w:rsidR="00000000" w:rsidRPr="00000000">
        <w:rPr>
          <w:rFonts w:ascii="Roboto Mono" w:cs="Roboto Mono" w:eastAsia="Roboto Mono" w:hAnsi="Roboto Mono"/>
          <w:color w:val="188038"/>
          <w:rtl w:val="0"/>
        </w:rPr>
        <w:t xml:space="preserve">GET /epistemic-hold/lantern</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compliancePosture</w:t>
      </w:r>
      <w:r w:rsidDel="00000000" w:rsidR="00000000" w:rsidRPr="00000000">
        <w:rPr>
          <w:rtl w:val="0"/>
        </w:rPr>
        <w:t xml:space="preserve"> reflecting the degraded posture, and signaled through </w:t>
      </w:r>
      <w:r w:rsidDel="00000000" w:rsidR="00000000" w:rsidRPr="00000000">
        <w:rPr>
          <w:rFonts w:ascii="Roboto Mono" w:cs="Roboto Mono" w:eastAsia="Roboto Mono" w:hAnsi="Roboto Mono"/>
          <w:color w:val="188038"/>
          <w:rtl w:val="0"/>
        </w:rPr>
        <w:t xml:space="preserve">NULL_PUF_DEPLOYMENT</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NLNAAuditToken.pufAttestation</w:t>
      </w:r>
      <w:r w:rsidDel="00000000" w:rsidR="00000000" w:rsidRPr="00000000">
        <w:rPr>
          <w:rtl w:val="0"/>
        </w:rPr>
        <w:t xml:space="preserve"> on every </w:t>
      </w:r>
      <w:r w:rsidDel="00000000" w:rsidR="00000000" w:rsidRPr="00000000">
        <w:rPr>
          <w:rFonts w:ascii="Roboto Mono" w:cs="Roboto Mono" w:eastAsia="Roboto Mono" w:hAnsi="Roboto Mono"/>
          <w:color w:val="188038"/>
          <w:rtl w:val="0"/>
        </w:rPr>
        <w:t xml:space="preserve">PermissionToken_v1_0_0</w:t>
      </w:r>
      <w:r w:rsidDel="00000000" w:rsidR="00000000" w:rsidRPr="00000000">
        <w:rPr>
          <w:rtl w:val="0"/>
        </w:rPr>
        <w:t xml:space="preserve">.</w:t>
      </w:r>
    </w:p>
    <w:p w:rsidR="00000000" w:rsidDel="00000000" w:rsidP="00000000" w:rsidRDefault="00000000" w:rsidRPr="00000000" w14:paraId="00000501">
      <w:pPr>
        <w:spacing w:after="240" w:before="240" w:lineRule="auto"/>
        <w:rPr/>
      </w:pPr>
      <w:r w:rsidDel="00000000" w:rsidR="00000000" w:rsidRPr="00000000">
        <w:rPr>
          <w:rtl w:val="0"/>
        </w:rPr>
        <w:t xml:space="preserve">Phase 1 delivers the cryptographic and ledger infrastructure at full capability: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with BLAKE3-256 Merkle trees, multi-chain blockchain anchoring via </w:t>
      </w:r>
      <w:r w:rsidDel="00000000" w:rsidR="00000000" w:rsidRPr="00000000">
        <w:rPr>
          <w:rFonts w:ascii="Roboto Mono" w:cs="Roboto Mono" w:eastAsia="Roboto Mono" w:hAnsi="Roboto Mono"/>
          <w:color w:val="188038"/>
          <w:rtl w:val="0"/>
        </w:rPr>
        <w:t xml:space="preserve">GET /audit/verifications/merkle/{merkleRoot}</w:t>
      </w:r>
      <w:r w:rsidDel="00000000" w:rsidR="00000000" w:rsidRPr="00000000">
        <w:rPr>
          <w:rtl w:val="0"/>
        </w:rPr>
        <w:t xml:space="preserve">, the five-layer NL=NA enforcement architecture at the software policy level, the Regulatory Nexus with initial coverage of five primary domains across ten jurisdictions, the EKR mechanism for regulatory access and GDPR compliance through </w:t>
      </w:r>
      <w:r w:rsidDel="00000000" w:rsidR="00000000" w:rsidRPr="00000000">
        <w:rPr>
          <w:rFonts w:ascii="Roboto Mono" w:cs="Roboto Mono" w:eastAsia="Roboto Mono" w:hAnsi="Roboto Mono"/>
          <w:color w:val="188038"/>
          <w:rtl w:val="0"/>
        </w:rPr>
        <w:t xml:space="preserve">EKRRecord_v1_0_0</w:t>
      </w:r>
      <w:r w:rsidDel="00000000" w:rsidR="00000000" w:rsidRPr="00000000">
        <w:rPr>
          <w:rtl w:val="0"/>
        </w:rPr>
        <w:t xml:space="preserve">, and the Tri-Cameral governance structure with full Decision Log and </w:t>
      </w:r>
      <w:r w:rsidDel="00000000" w:rsidR="00000000" w:rsidRPr="00000000">
        <w:rPr>
          <w:rFonts w:ascii="Roboto Mono" w:cs="Roboto Mono" w:eastAsia="Roboto Mono" w:hAnsi="Roboto Mono"/>
          <w:color w:val="188038"/>
          <w:rtl w:val="0"/>
        </w:rPr>
        <w:t xml:space="preserve">PermissionToken_v1_0_0</w:t>
      </w:r>
      <w:r w:rsidDel="00000000" w:rsidR="00000000" w:rsidRPr="00000000">
        <w:rPr>
          <w:rtl w:val="0"/>
        </w:rPr>
        <w:t xml:space="preserve"> generation.</w:t>
      </w:r>
    </w:p>
    <w:p w:rsidR="00000000" w:rsidDel="00000000" w:rsidP="00000000" w:rsidRDefault="00000000" w:rsidRPr="00000000" w14:paraId="00000502">
      <w:pPr>
        <w:spacing w:after="240" w:before="240" w:lineRule="auto"/>
        <w:rPr>
          <w:color w:val="1155cc"/>
          <w:u w:val="single"/>
        </w:rPr>
      </w:pPr>
      <w:r w:rsidDel="00000000" w:rsidR="00000000" w:rsidRPr="00000000">
        <w:rPr>
          <w:rtl w:val="0"/>
        </w:rPr>
        <w:t xml:space="preserve">Phase 1 target institutions are those facing the most immediate regulatory pressure: institutions subject to EU AI Act high-risk system requirements effective 2 August 2026, institutions facing FRTB implementation deadlines in their jurisdiction via </w:t>
      </w:r>
      <w:r w:rsidDel="00000000" w:rsidR="00000000" w:rsidRPr="00000000">
        <w:rPr>
          <w:rFonts w:ascii="Roboto Mono" w:cs="Roboto Mono" w:eastAsia="Roboto Mono" w:hAnsi="Roboto Mono"/>
          <w:color w:val="188038"/>
          <w:rtl w:val="0"/>
        </w:rPr>
        <w:t xml:space="preserve">GET /regulator/basel-iii/attestation</w:t>
      </w:r>
      <w:r w:rsidDel="00000000" w:rsidR="00000000" w:rsidRPr="00000000">
        <w:rPr>
          <w:rtl w:val="0"/>
        </w:rPr>
        <w:t xml:space="preserve">, and institutions that have received large enforcement actions and face enhanced supervisory scrutiny. These institutions have the clearest near-term return on governance investment.</w:t>
      </w:r>
      <w:hyperlink r:id="rId1124">
        <w:r w:rsidDel="00000000" w:rsidR="00000000" w:rsidRPr="00000000">
          <w:rPr>
            <w:rtl w:val="0"/>
          </w:rPr>
          <w:t xml:space="preserve"> </w:t>
        </w:r>
      </w:hyperlink>
      <w:hyperlink r:id="rId1125">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503">
      <w:pPr>
        <w:pStyle w:val="Heading3"/>
        <w:keepNext w:val="0"/>
        <w:keepLines w:val="0"/>
        <w:spacing w:before="280" w:lineRule="auto"/>
        <w:rPr>
          <w:b w:val="1"/>
          <w:bCs w:val="1"/>
          <w:color w:val="000000"/>
          <w:sz w:val="26"/>
          <w:szCs w:val="26"/>
        </w:rPr>
      </w:pPr>
      <w:bookmarkStart w:colFirst="0" w:colLast="0" w:name="_wrkthqdexso0" w:id="195"/>
      <w:bookmarkEnd w:id="195"/>
      <w:r w:rsidDel="00000000" w:rsidR="00000000" w:rsidRPr="00000000">
        <w:rPr>
          <w:b w:val="1"/>
          <w:bCs w:val="1"/>
          <w:color w:val="000000"/>
          <w:sz w:val="26"/>
          <w:szCs w:val="26"/>
          <w:rtl w:val="0"/>
        </w:rPr>
        <w:t xml:space="preserve">12.5.2 Phase 2: Architecture B Hardware Deployment (2027-2029)</w:t>
      </w:r>
    </w:p>
    <w:p w:rsidR="00000000" w:rsidDel="00000000" w:rsidP="00000000" w:rsidRDefault="00000000" w:rsidRPr="00000000" w14:paraId="00000504">
      <w:pPr>
        <w:spacing w:after="240" w:before="240" w:lineRule="auto"/>
        <w:rPr>
          <w:color w:val="1155cc"/>
          <w:u w:val="single"/>
        </w:rPr>
      </w:pPr>
      <w:r w:rsidDel="00000000" w:rsidR="00000000" w:rsidRPr="00000000">
        <w:rPr>
          <w:rtl w:val="0"/>
        </w:rPr>
        <w:t xml:space="preserve">Phase 2 deploys TL governance with Architecture B DITL coprocessors, achieving physics-level enforcement of Pillars I and IV. All six mandatory conditions for non-bypassability are satisfied. The </w:t>
      </w:r>
      <w:r w:rsidDel="00000000" w:rsidR="00000000" w:rsidRPr="00000000">
        <w:rPr>
          <w:rFonts w:ascii="Roboto Mono" w:cs="Roboto Mono" w:eastAsia="Roboto Mono" w:hAnsi="Roboto Mono"/>
          <w:color w:val="188038"/>
          <w:rtl w:val="0"/>
        </w:rPr>
        <w:t xml:space="preserve">TLCapabilityFlags.pufAttestationMode</w:t>
      </w:r>
      <w:r w:rsidDel="00000000" w:rsidR="00000000" w:rsidRPr="00000000">
        <w:rPr>
          <w:rtl w:val="0"/>
        </w:rPr>
        <w:t xml:space="preserve"> transitions from </w:t>
      </w:r>
      <w:r w:rsidDel="00000000" w:rsidR="00000000" w:rsidRPr="00000000">
        <w:rPr>
          <w:rFonts w:ascii="Roboto Mono" w:cs="Roboto Mono" w:eastAsia="Roboto Mono" w:hAnsi="Roboto Mono"/>
          <w:color w:val="188038"/>
          <w:rtl w:val="0"/>
        </w:rPr>
        <w:t xml:space="preserve">NULL_PUF_DEPLOYMENT</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"ARCHITECTURE_B"</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lantern</w:t>
      </w:r>
      <w:r w:rsidDel="00000000" w:rsidR="00000000" w:rsidRPr="00000000">
        <w:rPr>
          <w:rtl w:val="0"/>
        </w:rPr>
        <w:t xml:space="preserve"> beacon via </w:t>
      </w:r>
      <w:r w:rsidDel="00000000" w:rsidR="00000000" w:rsidRPr="00000000">
        <w:rPr>
          <w:rFonts w:ascii="Roboto Mono" w:cs="Roboto Mono" w:eastAsia="Roboto Mono" w:hAnsi="Roboto Mono"/>
          <w:color w:val="188038"/>
          <w:rtl w:val="0"/>
        </w:rPr>
        <w:t xml:space="preserve">GET /epistemic-hold/lantern</w:t>
      </w:r>
      <w:r w:rsidDel="00000000" w:rsidR="00000000" w:rsidRPr="00000000">
        <w:rPr>
          <w:rtl w:val="0"/>
        </w:rPr>
        <w:t xml:space="preserve"> transitions from emulation mode disclosure to hardware-enforced attestation. The compliance premium increases substantially because governance performance guarantees are now physically backed rather than cryptographically attested.</w:t>
      </w:r>
      <w:hyperlink r:id="rId1126">
        <w:r w:rsidDel="00000000" w:rsidR="00000000" w:rsidRPr="00000000">
          <w:rPr>
            <w:rtl w:val="0"/>
          </w:rPr>
          <w:t xml:space="preserve"> </w:t>
        </w:r>
      </w:hyperlink>
      <w:hyperlink r:id="rId1127">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505">
      <w:pPr>
        <w:spacing w:after="240" w:before="240" w:lineRule="auto"/>
        <w:rPr/>
      </w:pPr>
      <w:r w:rsidDel="00000000" w:rsidR="00000000" w:rsidRPr="00000000">
        <w:rPr>
          <w:rtl w:val="0"/>
        </w:rPr>
        <w:t xml:space="preserve">Phase 2 extends the Regulatory Nexus database coverage to twenty-five jurisdictions and adds sector-specific regulatory modules for insurance under Solvency II and for CBDC governance under emerging central bank digital currency regulatory frameworks. The IEC 61508 SIL 3 certification for Architecture B hardware is expected to complete in this phase.</w:t>
      </w:r>
    </w:p>
    <w:p w:rsidR="00000000" w:rsidDel="00000000" w:rsidP="00000000" w:rsidRDefault="00000000" w:rsidRPr="00000000" w14:paraId="00000506">
      <w:pPr>
        <w:spacing w:after="240" w:before="240" w:lineRule="auto"/>
        <w:rPr/>
      </w:pPr>
      <w:r w:rsidDel="00000000" w:rsidR="00000000" w:rsidRPr="00000000">
        <w:rPr>
          <w:rtl w:val="0"/>
        </w:rPr>
        <w:t xml:space="preserve">Phase 2 establishes the compliance premium at levels that attract mainstream institutional adoption beyond the early regulatory pressure cohort. Central bank CBDC deployments, if achieved in this phase, create the network effects that mandate TL-compatible governance for all participants in each CBDC payment network.</w:t>
      </w:r>
    </w:p>
    <w:p w:rsidR="00000000" w:rsidDel="00000000" w:rsidP="00000000" w:rsidRDefault="00000000" w:rsidRPr="00000000" w14:paraId="00000507">
      <w:pPr>
        <w:pStyle w:val="Heading3"/>
        <w:keepNext w:val="0"/>
        <w:keepLines w:val="0"/>
        <w:spacing w:before="280" w:lineRule="auto"/>
        <w:rPr>
          <w:b w:val="1"/>
          <w:bCs w:val="1"/>
          <w:color w:val="000000"/>
          <w:sz w:val="26"/>
          <w:szCs w:val="26"/>
        </w:rPr>
      </w:pPr>
      <w:bookmarkStart w:colFirst="0" w:colLast="0" w:name="_vf1t76mlqb10" w:id="196"/>
      <w:bookmarkEnd w:id="196"/>
      <w:r w:rsidDel="00000000" w:rsidR="00000000" w:rsidRPr="00000000">
        <w:rPr>
          <w:b w:val="1"/>
          <w:bCs w:val="1"/>
          <w:color w:val="000000"/>
          <w:sz w:val="26"/>
          <w:szCs w:val="26"/>
          <w:rtl w:val="0"/>
        </w:rPr>
        <w:t xml:space="preserve">12.5.3 Phase 3: Full Ecosystem and Architecture A Horizon (2029-2032)</w:t>
      </w:r>
    </w:p>
    <w:p w:rsidR="00000000" w:rsidDel="00000000" w:rsidP="00000000" w:rsidRDefault="00000000" w:rsidRPr="00000000" w14:paraId="00000508">
      <w:pPr>
        <w:spacing w:after="240" w:before="240" w:lineRule="auto"/>
        <w:rPr>
          <w:color w:val="1155cc"/>
          <w:u w:val="single"/>
        </w:rPr>
      </w:pPr>
      <w:r w:rsidDel="00000000" w:rsidR="00000000" w:rsidRPr="00000000">
        <w:rPr>
          <w:rtl w:val="0"/>
        </w:rPr>
        <w:t xml:space="preserve">Phase 3 expands TL governance to the full addressable market across financial services, supply chain, insurance, and public sector applications. The Regulatory Nexus achieves comprehensive jurisdiction coverage. The post-quantum hybrid signature protocol activates via </w:t>
      </w:r>
      <w:r w:rsidDel="00000000" w:rsidR="00000000" w:rsidRPr="00000000">
        <w:rPr>
          <w:rFonts w:ascii="Roboto Mono" w:cs="Roboto Mono" w:eastAsia="Roboto Mono" w:hAnsi="Roboto Mono"/>
          <w:color w:val="188038"/>
          <w:rtl w:val="0"/>
        </w:rPr>
        <w:t xml:space="preserve">SignatureBlock_v1_0_0.hybridSignatureMode</w:t>
      </w:r>
      <w:r w:rsidDel="00000000" w:rsidR="00000000" w:rsidRPr="00000000">
        <w:rPr>
          <w:rtl w:val="0"/>
        </w:rPr>
        <w:t xml:space="preserve"> as the Quantum Readiness Parameter crosses Threshold 1. Architecture A native ternary crossbar development initiates as a long-term research program with the </w:t>
      </w:r>
      <w:r w:rsidDel="00000000" w:rsidR="00000000" w:rsidRPr="00000000">
        <w:rPr>
          <w:rFonts w:ascii="Roboto Mono" w:cs="Roboto Mono" w:eastAsia="Roboto Mono" w:hAnsi="Roboto Mono"/>
          <w:color w:val="188038"/>
          <w:rtl w:val="0"/>
        </w:rPr>
        <w:t xml:space="preserve">TLCapabilityFlags.pufAttestationMode</w:t>
      </w:r>
      <w:r w:rsidDel="00000000" w:rsidR="00000000" w:rsidRPr="00000000">
        <w:rPr>
          <w:rtl w:val="0"/>
        </w:rPr>
        <w:t xml:space="preserve"> designation </w:t>
      </w:r>
      <w:r w:rsidDel="00000000" w:rsidR="00000000" w:rsidRPr="00000000">
        <w:rPr>
          <w:rFonts w:ascii="Roboto Mono" w:cs="Roboto Mono" w:eastAsia="Roboto Mono" w:hAnsi="Roboto Mono"/>
          <w:color w:val="188038"/>
          <w:rtl w:val="0"/>
        </w:rPr>
        <w:t xml:space="preserve">"ARCHITECTURE_A"</w:t>
      </w:r>
      <w:r w:rsidDel="00000000" w:rsidR="00000000" w:rsidRPr="00000000">
        <w:rPr>
          <w:rtl w:val="0"/>
        </w:rPr>
        <w:t xml:space="preserve"> as its endpoint target.</w:t>
      </w:r>
      <w:hyperlink r:id="rId1128">
        <w:r w:rsidDel="00000000" w:rsidR="00000000" w:rsidRPr="00000000">
          <w:rPr>
            <w:rtl w:val="0"/>
          </w:rPr>
          <w:t xml:space="preserve"> </w:t>
        </w:r>
      </w:hyperlink>
      <w:hyperlink r:id="rId1129">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509">
      <w:pPr>
        <w:spacing w:after="240" w:before="240" w:lineRule="auto"/>
        <w:rPr/>
      </w:pPr>
      <w:r w:rsidDel="00000000" w:rsidR="00000000" w:rsidRPr="00000000">
        <w:rPr>
          <w:rtl w:val="0"/>
        </w:rPr>
        <w:t xml:space="preserve">Phase 3 establishes the compliance premium as a recognized market standard. The Smart Contract Treasury's reputation score becomes a standard input to counterparty credit assessment, insurance underwriting, and regulatory examination planning. The network effect of shared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infrastructure creates interoperability benefits that increase with network size, accelerating late-stage adoption beyond what individual institution economics would predict.</w:t>
      </w:r>
    </w:p>
    <w:p w:rsidR="00000000" w:rsidDel="00000000" w:rsidP="00000000" w:rsidRDefault="00000000" w:rsidRPr="00000000" w14:paraId="0000050A">
      <w:pPr>
        <w:pStyle w:val="Heading2"/>
        <w:keepNext w:val="0"/>
        <w:keepLines w:val="0"/>
        <w:spacing w:after="80" w:lineRule="auto"/>
        <w:rPr>
          <w:b w:val="1"/>
          <w:bCs w:val="1"/>
          <w:sz w:val="34"/>
          <w:szCs w:val="34"/>
        </w:rPr>
      </w:pPr>
      <w:bookmarkStart w:colFirst="0" w:colLast="0" w:name="_wakeuuo8ysqe" w:id="197"/>
      <w:bookmarkEnd w:id="197"/>
      <w:r w:rsidDel="00000000" w:rsidR="00000000" w:rsidRPr="00000000">
        <w:rPr>
          <w:b w:val="1"/>
          <w:bCs w:val="1"/>
          <w:sz w:val="34"/>
          <w:szCs w:val="34"/>
          <w:rtl w:val="0"/>
        </w:rPr>
        <w:t xml:space="preserve">12.6 Consortium Structure and Governance of the Development Program</w:t>
      </w:r>
    </w:p>
    <w:p w:rsidR="00000000" w:rsidDel="00000000" w:rsidP="00000000" w:rsidRDefault="00000000" w:rsidRPr="00000000" w14:paraId="0000050B">
      <w:pPr>
        <w:spacing w:after="240" w:before="240" w:lineRule="auto"/>
        <w:rPr>
          <w:color w:val="1155cc"/>
          <w:u w:val="single"/>
        </w:rPr>
      </w:pPr>
      <w:r w:rsidDel="00000000" w:rsidR="00000000" w:rsidRPr="00000000">
        <w:rPr>
          <w:rtl w:val="0"/>
        </w:rPr>
        <w:t xml:space="preserve">The TL development program requires a consortium governance structure that can manage the NRE investment, coordinate Tri-Cameral establishment, and maintain framework integrity during the transition from specification to deployment.</w:t>
      </w:r>
      <w:hyperlink r:id="rId1130">
        <w:r w:rsidDel="00000000" w:rsidR="00000000" w:rsidRPr="00000000">
          <w:rPr>
            <w:rtl w:val="0"/>
          </w:rPr>
          <w:t xml:space="preserve"> </w:t>
        </w:r>
      </w:hyperlink>
      <w:hyperlink r:id="rId1131">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50C">
      <w:pPr>
        <w:pStyle w:val="Heading3"/>
        <w:keepNext w:val="0"/>
        <w:keepLines w:val="0"/>
        <w:spacing w:before="280" w:lineRule="auto"/>
        <w:rPr>
          <w:b w:val="1"/>
          <w:bCs w:val="1"/>
          <w:color w:val="000000"/>
          <w:sz w:val="26"/>
          <w:szCs w:val="26"/>
        </w:rPr>
      </w:pPr>
      <w:bookmarkStart w:colFirst="0" w:colLast="0" w:name="_kmu540a9waxa" w:id="198"/>
      <w:bookmarkEnd w:id="198"/>
      <w:r w:rsidDel="00000000" w:rsidR="00000000" w:rsidRPr="00000000">
        <w:rPr>
          <w:b w:val="1"/>
          <w:bCs w:val="1"/>
          <w:color w:val="000000"/>
          <w:sz w:val="26"/>
          <w:szCs w:val="26"/>
          <w:rtl w:val="0"/>
        </w:rPr>
        <w:t xml:space="preserve">12.6.1 Founding Consortium Model</w:t>
      </w:r>
    </w:p>
    <w:p w:rsidR="00000000" w:rsidDel="00000000" w:rsidP="00000000" w:rsidRDefault="00000000" w:rsidRPr="00000000" w14:paraId="0000050D">
      <w:pPr>
        <w:spacing w:after="240" w:before="240" w:lineRule="auto"/>
        <w:rPr/>
      </w:pPr>
      <w:r w:rsidDel="00000000" w:rsidR="00000000" w:rsidRPr="00000000">
        <w:rPr>
          <w:rtl w:val="0"/>
        </w:rPr>
        <w:t xml:space="preserve">The founding consortium comprises anchor institutions whose deployment commitments justify the NRE investment and whose combined governance experience spans the primary regulatory domains addressed by the framework. Founding consortium members contribute to NRE financing, participate in Technical Council and Stewardship Custodian establishment, and receive preferential access to production hardware and software infrastructure during Phase 1.</w:t>
      </w:r>
    </w:p>
    <w:p w:rsidR="00000000" w:rsidDel="00000000" w:rsidP="00000000" w:rsidRDefault="00000000" w:rsidRPr="00000000" w14:paraId="0000050E">
      <w:pPr>
        <w:spacing w:after="240" w:before="240" w:lineRule="auto"/>
        <w:rPr/>
      </w:pPr>
      <w:r w:rsidDel="00000000" w:rsidR="00000000" w:rsidRPr="00000000">
        <w:rPr>
          <w:rtl w:val="0"/>
        </w:rPr>
        <w:t xml:space="preserve">The consortium is organized as a non-profit foundation rather than a commercial entity, consistent with the Open Source License's prohibition on proprietary enclosure and the requirement that the framework remain in the intellectual commons. Revenue from membership fees, Regulatory Nexus subscriptions, and Smart Contract Treasury operations funds the ongoing development program, hardware procurement, and governance infrastructure. Surplus revenue beyond operating requirements is allocated to the four reserves specified in Section 9.3.3.</w:t>
      </w:r>
    </w:p>
    <w:p w:rsidR="00000000" w:rsidDel="00000000" w:rsidP="00000000" w:rsidRDefault="00000000" w:rsidRPr="00000000" w14:paraId="0000050F">
      <w:pPr>
        <w:spacing w:after="240" w:before="240" w:lineRule="auto"/>
        <w:rPr>
          <w:color w:val="1155cc"/>
          <w:u w:val="single"/>
        </w:rPr>
      </w:pPr>
      <w:r w:rsidDel="00000000" w:rsidR="00000000" w:rsidRPr="00000000">
        <w:rPr>
          <w:rtl w:val="0"/>
        </w:rPr>
        <w:t xml:space="preserve">The founding consortium's governance does not replace the Tri-Cameral model. The consortium governs the development program. The Tri-Cameral model governs the framework. These are distinct governance layers with distinct authorities. The consortium makes business decisions about development priorities, partnership structures, and resource allocation. The Tri-Cameral model makes governance decisions about schema modifications via </w:t>
      </w:r>
      <w:r w:rsidDel="00000000" w:rsidR="00000000" w:rsidRPr="00000000">
        <w:rPr>
          <w:rFonts w:ascii="Roboto Mono" w:cs="Roboto Mono" w:eastAsia="Roboto Mono" w:hAnsi="Roboto Mono"/>
          <w:color w:val="188038"/>
          <w:rtl w:val="0"/>
        </w:rPr>
        <w:t xml:space="preserve">PUT /thresholds/{domain}</w:t>
      </w:r>
      <w:r w:rsidDel="00000000" w:rsidR="00000000" w:rsidRPr="00000000">
        <w:rPr>
          <w:rtl w:val="0"/>
        </w:rPr>
        <w:t xml:space="preserve">, regulatory alignment, and the Succession Declaration via </w:t>
      </w:r>
      <w:r w:rsidDel="00000000" w:rsidR="00000000" w:rsidRPr="00000000">
        <w:rPr>
          <w:rFonts w:ascii="Roboto Mono" w:cs="Roboto Mono" w:eastAsia="Roboto Mono" w:hAnsi="Roboto Mono"/>
          <w:color w:val="188038"/>
          <w:rtl w:val="0"/>
        </w:rPr>
        <w:t xml:space="preserve">SuccessionDeclaration_v1_0_0</w:t>
      </w:r>
      <w:r w:rsidDel="00000000" w:rsidR="00000000" w:rsidRPr="00000000">
        <w:rPr>
          <w:rtl w:val="0"/>
        </w:rPr>
        <w:t xml:space="preserve">.</w:t>
      </w:r>
      <w:hyperlink r:id="rId1132">
        <w:r w:rsidDel="00000000" w:rsidR="00000000" w:rsidRPr="00000000">
          <w:rPr>
            <w:rtl w:val="0"/>
          </w:rPr>
          <w:t xml:space="preserve"> </w:t>
        </w:r>
      </w:hyperlink>
      <w:hyperlink r:id="rId1133">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510">
      <w:pPr>
        <w:pStyle w:val="Heading3"/>
        <w:keepNext w:val="0"/>
        <w:keepLines w:val="0"/>
        <w:spacing w:before="280" w:lineRule="auto"/>
        <w:rPr>
          <w:b w:val="1"/>
          <w:bCs w:val="1"/>
          <w:color w:val="000000"/>
          <w:sz w:val="26"/>
          <w:szCs w:val="26"/>
        </w:rPr>
      </w:pPr>
      <w:bookmarkStart w:colFirst="0" w:colLast="0" w:name="_eo5cex98gaz4" w:id="199"/>
      <w:bookmarkEnd w:id="199"/>
      <w:r w:rsidDel="00000000" w:rsidR="00000000" w:rsidRPr="00000000">
        <w:rPr>
          <w:b w:val="1"/>
          <w:bCs w:val="1"/>
          <w:color w:val="000000"/>
          <w:sz w:val="26"/>
          <w:szCs w:val="26"/>
          <w:rtl w:val="0"/>
        </w:rPr>
        <w:t xml:space="preserve">12.6.2 Regulatory Recognition Pathway</w:t>
      </w:r>
    </w:p>
    <w:p w:rsidR="00000000" w:rsidDel="00000000" w:rsidP="00000000" w:rsidRDefault="00000000" w:rsidRPr="00000000" w14:paraId="00000511">
      <w:pPr>
        <w:spacing w:after="240" w:before="240" w:lineRule="auto"/>
        <w:rPr>
          <w:color w:val="1155cc"/>
          <w:u w:val="single"/>
        </w:rPr>
      </w:pPr>
      <w:r w:rsidDel="00000000" w:rsidR="00000000" w:rsidRPr="00000000">
        <w:rPr>
          <w:rtl w:val="0"/>
        </w:rPr>
        <w:t xml:space="preserve">Commercial deployment of TL governance for regulatory compliance purposes requires that supervisory authorities in each target jurisdiction recognize the framework's Decision Log and </w:t>
      </w:r>
      <w:r w:rsidDel="00000000" w:rsidR="00000000" w:rsidRPr="00000000">
        <w:rPr>
          <w:rFonts w:ascii="Roboto Mono" w:cs="Roboto Mono" w:eastAsia="Roboto Mono" w:hAnsi="Roboto Mono"/>
          <w:color w:val="188038"/>
          <w:rtl w:val="0"/>
        </w:rPr>
        <w:t xml:space="preserve">PermissionToken_v1_0_0</w:t>
      </w:r>
      <w:r w:rsidDel="00000000" w:rsidR="00000000" w:rsidRPr="00000000">
        <w:rPr>
          <w:rtl w:val="0"/>
        </w:rPr>
        <w:t xml:space="preserve"> records as satisfying their specific evidentiary and governance requirements. This recognition does not require legislative change in most jurisdictions. It requires regulatory guidance or no-action letters confirming that TL's architectural compliance satisfies existing regulatory obligations.</w:t>
      </w:r>
      <w:hyperlink r:id="rId1134">
        <w:r w:rsidDel="00000000" w:rsidR="00000000" w:rsidRPr="00000000">
          <w:rPr>
            <w:rtl w:val="0"/>
          </w:rPr>
          <w:t xml:space="preserve"> </w:t>
        </w:r>
      </w:hyperlink>
      <w:hyperlink r:id="rId1135">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512">
      <w:pPr>
        <w:spacing w:after="240" w:before="240" w:lineRule="auto"/>
        <w:rPr/>
      </w:pPr>
      <w:r w:rsidDel="00000000" w:rsidR="00000000" w:rsidRPr="00000000">
        <w:rPr>
          <w:rtl w:val="0"/>
        </w:rPr>
        <w:t xml:space="preserve">The regulatory recognition pathway proceeds through three channels simultaneously.</w:t>
      </w:r>
    </w:p>
    <w:p w:rsidR="00000000" w:rsidDel="00000000" w:rsidP="00000000" w:rsidRDefault="00000000" w:rsidRPr="00000000" w14:paraId="00000513">
      <w:pPr>
        <w:spacing w:after="240" w:before="240" w:lineRule="auto"/>
        <w:rPr/>
      </w:pPr>
      <w:r w:rsidDel="00000000" w:rsidR="00000000" w:rsidRPr="00000000">
        <w:rPr>
          <w:b w:val="1"/>
          <w:bCs w:val="1"/>
          <w:rtl w:val="0"/>
        </w:rPr>
        <w:t xml:space="preserve">Supervisory Engagement.</w:t>
      </w:r>
      <w:r w:rsidDel="00000000" w:rsidR="00000000" w:rsidRPr="00000000">
        <w:rPr>
          <w:rtl w:val="0"/>
        </w:rPr>
        <w:t xml:space="preserve"> The Stewardship Custodians engage financial supervisors in each target jurisdiction through the Regulatory Nexus's authenticated update channels, providing regulators with access to the governance schema, the Decision Log specification, and the evidentiary standards that the framework satisfies. Supervisors that subscribe to the Regulatory Nexus transparency interface can monitor how their regulations are encoded and flag misinterpretations for correction via the Regulatory Nexus update channel.</w:t>
      </w:r>
    </w:p>
    <w:p w:rsidR="00000000" w:rsidDel="00000000" w:rsidP="00000000" w:rsidRDefault="00000000" w:rsidRPr="00000000" w14:paraId="00000514">
      <w:pPr>
        <w:spacing w:after="240" w:before="240" w:lineRule="auto"/>
        <w:rPr/>
      </w:pPr>
      <w:r w:rsidDel="00000000" w:rsidR="00000000" w:rsidRPr="00000000">
        <w:rPr>
          <w:b w:val="1"/>
          <w:bCs w:val="1"/>
          <w:rtl w:val="0"/>
        </w:rPr>
        <w:t xml:space="preserve">Examination Pilot Program.</w:t>
      </w:r>
      <w:r w:rsidDel="00000000" w:rsidR="00000000" w:rsidRPr="00000000">
        <w:rPr>
          <w:rtl w:val="0"/>
        </w:rPr>
        <w:t xml:space="preserve"> The founding consortium proposes joint examination pilots with willing supervisory authorities, in which a TL-governed institution's regulatory examination is conducted through Regulatory Nexus API access via </w:t>
      </w:r>
      <w:r w:rsidDel="00000000" w:rsidR="00000000" w:rsidRPr="00000000">
        <w:rPr>
          <w:rFonts w:ascii="Roboto Mono" w:cs="Roboto Mono" w:eastAsia="Roboto Mono" w:hAnsi="Roboto Mono"/>
          <w:color w:val="188038"/>
          <w:rtl w:val="0"/>
        </w:rPr>
        <w:t xml:space="preserve">POST /regulator/evidence-export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 /regulator/timestamp-verification/{logId}</w:t>
      </w:r>
      <w:r w:rsidDel="00000000" w:rsidR="00000000" w:rsidRPr="00000000">
        <w:rPr>
          <w:rtl w:val="0"/>
        </w:rPr>
        <w:t xml:space="preserve"> rather than through traditional document production. Successful pilots demonstrate both the examination efficiency gain and the evidentiary quality of TL's governance records, creating the empirical basis for formal regulatory recognition.</w:t>
      </w:r>
    </w:p>
    <w:p w:rsidR="00000000" w:rsidDel="00000000" w:rsidP="00000000" w:rsidRDefault="00000000" w:rsidRPr="00000000" w14:paraId="00000515">
      <w:pPr>
        <w:spacing w:after="240" w:before="240" w:lineRule="auto"/>
        <w:rPr/>
      </w:pPr>
      <w:r w:rsidDel="00000000" w:rsidR="00000000" w:rsidRPr="00000000">
        <w:rPr>
          <w:b w:val="1"/>
          <w:bCs w:val="1"/>
          <w:rtl w:val="0"/>
        </w:rPr>
        <w:t xml:space="preserve">Standards Body Participation.</w:t>
      </w:r>
      <w:r w:rsidDel="00000000" w:rsidR="00000000" w:rsidRPr="00000000">
        <w:rPr>
          <w:rtl w:val="0"/>
        </w:rPr>
        <w:t xml:space="preserve"> The Technical Council participates in relevant international standards processes - IOSCO working groups on financial market infrastructure technology, the BIS Committee on Payments and Market Infrastructures, and ISO technical committees on financial services cryptography - to align TL's technical specifications with emerging international standards and ensure that those standards accommodate TL's governance architecture.</w:t>
      </w:r>
    </w:p>
    <w:p w:rsidR="00000000" w:rsidDel="00000000" w:rsidP="00000000" w:rsidRDefault="00000000" w:rsidRPr="00000000" w14:paraId="00000516">
      <w:pPr>
        <w:pStyle w:val="Heading2"/>
        <w:keepNext w:val="0"/>
        <w:keepLines w:val="0"/>
        <w:spacing w:after="80" w:lineRule="auto"/>
        <w:rPr>
          <w:b w:val="1"/>
          <w:bCs w:val="1"/>
          <w:sz w:val="34"/>
          <w:szCs w:val="34"/>
        </w:rPr>
      </w:pPr>
      <w:bookmarkStart w:colFirst="0" w:colLast="0" w:name="_u96hdil7ykpa" w:id="200"/>
      <w:bookmarkEnd w:id="200"/>
      <w:r w:rsidDel="00000000" w:rsidR="00000000" w:rsidRPr="00000000">
        <w:rPr>
          <w:b w:val="1"/>
          <w:bCs w:val="1"/>
          <w:sz w:val="34"/>
          <w:szCs w:val="34"/>
          <w:rtl w:val="0"/>
        </w:rPr>
        <w:t xml:space="preserve">12.7 Return on Investment Framework</w:t>
      </w:r>
    </w:p>
    <w:p w:rsidR="00000000" w:rsidDel="00000000" w:rsidP="00000000" w:rsidRDefault="00000000" w:rsidRPr="00000000" w14:paraId="00000517">
      <w:pPr>
        <w:spacing w:after="240" w:before="240" w:lineRule="auto"/>
        <w:rPr>
          <w:color w:val="1155cc"/>
          <w:u w:val="single"/>
        </w:rPr>
      </w:pPr>
      <w:r w:rsidDel="00000000" w:rsidR="00000000" w:rsidRPr="00000000">
        <w:rPr>
          <w:rtl w:val="0"/>
        </w:rPr>
        <w:t xml:space="preserve">The return on investment for TL deployment is best understood as a portfolio of benefit streams over the framework's multi-decade operational horizon, offset by the capital and operational costs described in Sections 12.2 and 12.3.</w:t>
      </w:r>
      <w:hyperlink r:id="rId1136">
        <w:r w:rsidDel="00000000" w:rsidR="00000000" w:rsidRPr="00000000">
          <w:rPr>
            <w:rtl w:val="0"/>
          </w:rPr>
          <w:t xml:space="preserve"> </w:t>
        </w:r>
      </w:hyperlink>
      <w:hyperlink r:id="rId1137">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518">
      <w:pPr>
        <w:pStyle w:val="Heading3"/>
        <w:keepNext w:val="0"/>
        <w:keepLines w:val="0"/>
        <w:spacing w:before="280" w:lineRule="auto"/>
        <w:rPr>
          <w:b w:val="1"/>
          <w:bCs w:val="1"/>
          <w:color w:val="000000"/>
          <w:sz w:val="26"/>
          <w:szCs w:val="26"/>
        </w:rPr>
      </w:pPr>
      <w:bookmarkStart w:colFirst="0" w:colLast="0" w:name="_1o075yy8nbdy" w:id="201"/>
      <w:bookmarkEnd w:id="201"/>
      <w:r w:rsidDel="00000000" w:rsidR="00000000" w:rsidRPr="00000000">
        <w:rPr>
          <w:b w:val="1"/>
          <w:bCs w:val="1"/>
          <w:color w:val="000000"/>
          <w:sz w:val="26"/>
          <w:szCs w:val="26"/>
          <w:rtl w:val="0"/>
        </w:rPr>
        <w:t xml:space="preserve">12.7.1 Cost Avoidance</w:t>
      </w:r>
    </w:p>
    <w:p w:rsidR="00000000" w:rsidDel="00000000" w:rsidP="00000000" w:rsidRDefault="00000000" w:rsidRPr="00000000" w14:paraId="00000519">
      <w:pPr>
        <w:spacing w:after="240" w:before="240" w:lineRule="auto"/>
        <w:rPr>
          <w:color w:val="1155cc"/>
          <w:u w:val="single"/>
        </w:rPr>
      </w:pPr>
      <w:r w:rsidDel="00000000" w:rsidR="00000000" w:rsidRPr="00000000">
        <w:rPr>
          <w:rtl w:val="0"/>
        </w:rPr>
        <w:t xml:space="preserve">The largest near-term benefit stream for most institutions is the avoidance of regulatory enforcement costs. The TD Bank $3 billion BSA penalty establishes the upper bound of enforcement exposure for a single institution failing AML governance requirements. The broader pattern of AML enforcement - $3.2 billion in global penalties in 2024 alone - demonstrates that this is a recurring feature of the regulatory landscape for institutions with inadequate governance architecture.</w:t>
      </w:r>
      <w:hyperlink r:id="rId1138">
        <w:r w:rsidDel="00000000" w:rsidR="00000000" w:rsidRPr="00000000">
          <w:rPr>
            <w:rtl w:val="0"/>
          </w:rPr>
          <w:t xml:space="preserve"> </w:t>
        </w:r>
      </w:hyperlink>
      <w:hyperlink r:id="rId1139">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51A">
      <w:pPr>
        <w:spacing w:after="240" w:before="240" w:lineRule="auto"/>
        <w:rPr/>
      </w:pPr>
      <w:r w:rsidDel="00000000" w:rsidR="00000000" w:rsidRPr="00000000">
        <w:rPr>
          <w:rtl w:val="0"/>
        </w:rPr>
        <w:t xml:space="preserve">TL's architectural AML compliance through </w:t>
      </w:r>
      <w:r w:rsidDel="00000000" w:rsidR="00000000" w:rsidRPr="00000000">
        <w:rPr>
          <w:rFonts w:ascii="Roboto Mono" w:cs="Roboto Mono" w:eastAsia="Roboto Mono" w:hAnsi="Roboto Mono"/>
          <w:color w:val="188038"/>
          <w:rtl w:val="0"/>
        </w:rPr>
        <w:t xml:space="preserve">RegulatoryContext.fatf.amlCheckRequired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sanctionsScreened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pepInvolved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sarGenerated</w:t>
      </w:r>
      <w:r w:rsidDel="00000000" w:rsidR="00000000" w:rsidRPr="00000000">
        <w:rPr>
          <w:rtl w:val="0"/>
        </w:rPr>
        <w:t xml:space="preserve"> evaluation fields does not eliminate all regulatory enforcement risk. But the specific failure modes that generate the largest enforcement actions - systematic AML false positive suppression, spoofing and layering in automated trading, model override of risk parameters, and unauthorized execution without evidentiary documentation generating </w:t>
      </w:r>
      <w:r w:rsidDel="00000000" w:rsidR="00000000" w:rsidRPr="00000000">
        <w:rPr>
          <w:rFonts w:ascii="Roboto Mono" w:cs="Roboto Mono" w:eastAsia="Roboto Mono" w:hAnsi="Roboto Mono"/>
          <w:color w:val="188038"/>
          <w:rtl w:val="0"/>
        </w:rPr>
        <w:t xml:space="preserve">GhostGovernanceDetectedError</w:t>
      </w:r>
      <w:r w:rsidDel="00000000" w:rsidR="00000000" w:rsidRPr="00000000">
        <w:rPr>
          <w:rtl w:val="0"/>
        </w:rPr>
        <w:t xml:space="preserve"> - are either physically prevented or cryptographically detectable.</w:t>
      </w:r>
    </w:p>
    <w:p w:rsidR="00000000" w:rsidDel="00000000" w:rsidP="00000000" w:rsidRDefault="00000000" w:rsidRPr="00000000" w14:paraId="0000051B">
      <w:pPr>
        <w:spacing w:after="240" w:before="240" w:lineRule="auto"/>
        <w:rPr>
          <w:color w:val="1155cc"/>
          <w:u w:val="single"/>
        </w:rPr>
      </w:pPr>
      <w:r w:rsidDel="00000000" w:rsidR="00000000" w:rsidRPr="00000000">
        <w:rPr>
          <w:rtl w:val="0"/>
        </w:rPr>
        <w:t xml:space="preserve">The expected value of regulatory enforcement cost avoidance is estimated through a probability-weighted model: the institution's current annual enforcement exposure multiplied by the reduction in enforcement probability attributable to TL's architectural compliance improvements. For a top-ten global bank with estimated annual enforcement exposure of $200 million to $1 billion based on current industry enforcement rates, even a fifty percent reduction in enforcement probability produces an expected annual benefit of </w:t>
      </w:r>
      <w:r w:rsidDel="00000000" w:rsidR="00000000" w:rsidRPr="00000000">
        <w:rPr>
          <w:b w:val="1"/>
          <w:bCs w:val="1"/>
          <w:rtl w:val="0"/>
        </w:rPr>
        <w:t xml:space="preserve">$100 million to $500 million</w:t>
      </w:r>
      <w:r w:rsidDel="00000000" w:rsidR="00000000" w:rsidRPr="00000000">
        <w:rPr>
          <w:rtl w:val="0"/>
        </w:rPr>
        <w:t xml:space="preserve"> - substantially exceeding the framework's annual operational cost.</w:t>
      </w:r>
      <w:hyperlink r:id="rId1140">
        <w:r w:rsidDel="00000000" w:rsidR="00000000" w:rsidRPr="00000000">
          <w:rPr>
            <w:rtl w:val="0"/>
          </w:rPr>
          <w:t xml:space="preserve"> </w:t>
        </w:r>
      </w:hyperlink>
      <w:hyperlink r:id="rId1141">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51C">
      <w:pPr>
        <w:pStyle w:val="Heading3"/>
        <w:keepNext w:val="0"/>
        <w:keepLines w:val="0"/>
        <w:spacing w:before="280" w:lineRule="auto"/>
        <w:rPr>
          <w:b w:val="1"/>
          <w:bCs w:val="1"/>
          <w:color w:val="000000"/>
          <w:sz w:val="26"/>
          <w:szCs w:val="26"/>
        </w:rPr>
      </w:pPr>
      <w:bookmarkStart w:colFirst="0" w:colLast="0" w:name="_psmbu9du26h2" w:id="202"/>
      <w:bookmarkEnd w:id="202"/>
      <w:r w:rsidDel="00000000" w:rsidR="00000000" w:rsidRPr="00000000">
        <w:rPr>
          <w:b w:val="1"/>
          <w:bCs w:val="1"/>
          <w:color w:val="000000"/>
          <w:sz w:val="26"/>
          <w:szCs w:val="26"/>
          <w:rtl w:val="0"/>
        </w:rPr>
        <w:t xml:space="preserve">12.7.2 Capital Efficiency</w:t>
      </w:r>
    </w:p>
    <w:p w:rsidR="00000000" w:rsidDel="00000000" w:rsidP="00000000" w:rsidRDefault="00000000" w:rsidRPr="00000000" w14:paraId="0000051D">
      <w:pPr>
        <w:spacing w:after="240" w:before="240" w:lineRule="auto"/>
        <w:rPr>
          <w:color w:val="1155cc"/>
          <w:u w:val="single"/>
        </w:rPr>
      </w:pPr>
      <w:r w:rsidDel="00000000" w:rsidR="00000000" w:rsidRPr="00000000">
        <w:rPr>
          <w:rtl w:val="0"/>
        </w:rPr>
        <w:t xml:space="preserve">Capital relief from demonstrated architectural compliance represents the second major benefit stream. Basel III's trajectory is toward increasing capital requirements for institutions that cannot demonstrate robust operational governance. FRTB's seventy percent increase in market risk capital requirements is one manifestation of this trend.</w:t>
      </w:r>
      <w:hyperlink r:id="rId1142">
        <w:r w:rsidDel="00000000" w:rsidR="00000000" w:rsidRPr="00000000">
          <w:rPr>
            <w:rtl w:val="0"/>
          </w:rPr>
          <w:t xml:space="preserve"> </w:t>
        </w:r>
      </w:hyperlink>
      <w:hyperlink r:id="rId1143">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51E">
      <w:pPr>
        <w:spacing w:after="240" w:before="240" w:lineRule="auto"/>
        <w:rPr/>
      </w:pPr>
      <w:r w:rsidDel="00000000" w:rsidR="00000000" w:rsidRPr="00000000">
        <w:rPr>
          <w:rtl w:val="0"/>
        </w:rPr>
        <w:t xml:space="preserve">TL does not directly reduce regulatory capital requirements through any formula. It creates the evidentiary basis for supervisory dialogue about capital calibration: if an institution can demonstrate through its Decision Log history accessible via </w:t>
      </w:r>
      <w:r w:rsidDel="00000000" w:rsidR="00000000" w:rsidRPr="00000000">
        <w:rPr>
          <w:rFonts w:ascii="Roboto Mono" w:cs="Roboto Mono" w:eastAsia="Roboto Mono" w:hAnsi="Roboto Mono"/>
          <w:color w:val="188038"/>
          <w:rtl w:val="0"/>
        </w:rPr>
        <w:t xml:space="preserve">GET /decisions/{decisionId}</w:t>
      </w:r>
      <w:r w:rsidDel="00000000" w:rsidR="00000000" w:rsidRPr="00000000">
        <w:rPr>
          <w:rtl w:val="0"/>
        </w:rPr>
        <w:t xml:space="preserve"> that specific model governance failures were detected and corrected, that specific market manipulation attempts were blocked before execution via </w:t>
      </w:r>
      <w:r w:rsidDel="00000000" w:rsidR="00000000" w:rsidRPr="00000000">
        <w:rPr>
          <w:rFonts w:ascii="Roboto Mono" w:cs="Roboto Mono" w:eastAsia="Roboto Mono" w:hAnsi="Roboto Mono"/>
          <w:color w:val="188038"/>
          <w:rtl w:val="0"/>
        </w:rPr>
        <w:t xml:space="preserve">POST /refusals</w:t>
      </w:r>
      <w:r w:rsidDel="00000000" w:rsidR="00000000" w:rsidRPr="00000000">
        <w:rPr>
          <w:rtl w:val="0"/>
        </w:rPr>
        <w:t xml:space="preserve">, and that specific regulatory threshold violations were detected and prevented in real time, it has a defensible basis for requesting supervisory recalibration of its operational risk capital charge.</w:t>
      </w:r>
    </w:p>
    <w:p w:rsidR="00000000" w:rsidDel="00000000" w:rsidP="00000000" w:rsidRDefault="00000000" w:rsidRPr="00000000" w14:paraId="0000051F">
      <w:pPr>
        <w:pStyle w:val="Heading3"/>
        <w:keepNext w:val="0"/>
        <w:keepLines w:val="0"/>
        <w:spacing w:before="280" w:lineRule="auto"/>
        <w:rPr>
          <w:b w:val="1"/>
          <w:bCs w:val="1"/>
          <w:color w:val="000000"/>
          <w:sz w:val="26"/>
          <w:szCs w:val="26"/>
        </w:rPr>
      </w:pPr>
      <w:bookmarkStart w:colFirst="0" w:colLast="0" w:name="_yhytouih751h" w:id="203"/>
      <w:bookmarkEnd w:id="203"/>
      <w:r w:rsidDel="00000000" w:rsidR="00000000" w:rsidRPr="00000000">
        <w:rPr>
          <w:b w:val="1"/>
          <w:bCs w:val="1"/>
          <w:color w:val="000000"/>
          <w:sz w:val="26"/>
          <w:szCs w:val="26"/>
          <w:rtl w:val="0"/>
        </w:rPr>
        <w:t xml:space="preserve">12.7.3 Operational Efficiency</w:t>
      </w:r>
    </w:p>
    <w:p w:rsidR="00000000" w:rsidDel="00000000" w:rsidP="00000000" w:rsidRDefault="00000000" w:rsidRPr="00000000" w14:paraId="00000520">
      <w:pPr>
        <w:spacing w:after="240" w:before="240" w:lineRule="auto"/>
        <w:rPr>
          <w:color w:val="1155cc"/>
          <w:u w:val="single"/>
        </w:rPr>
      </w:pPr>
      <w:r w:rsidDel="00000000" w:rsidR="00000000" w:rsidRPr="00000000">
        <w:rPr>
          <w:rtl w:val="0"/>
        </w:rPr>
        <w:t xml:space="preserve">The consolidation of regulatory compliance infrastructure onto the TL governance layer eliminates redundant compliance programs addressing the same underlying requirement through different mechanisms. A financial institution currently maintaining separate AML monitoring systems, trading surveillance systems, model risk management frameworks, data protection compliance programs, and regulatory reporting infrastructure for multiple jurisdictions can progressively consolidate these programs onto the Governance Lane's unified evidentiary evaluation through </w:t>
      </w:r>
      <w:r w:rsidDel="00000000" w:rsidR="00000000" w:rsidRPr="00000000">
        <w:rPr>
          <w:rFonts w:ascii="Roboto Mono" w:cs="Roboto Mono" w:eastAsia="Roboto Mono" w:hAnsi="Roboto Mono"/>
          <w:color w:val="188038"/>
          <w:rtl w:val="0"/>
        </w:rPr>
        <w:t xml:space="preserve">POST /evaluate/trade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/evaluate/policy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/evaluate/supply-chain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POST /regulator/evidence-export</w:t>
      </w:r>
      <w:r w:rsidDel="00000000" w:rsidR="00000000" w:rsidRPr="00000000">
        <w:rPr>
          <w:rtl w:val="0"/>
        </w:rPr>
        <w:t xml:space="preserve">.</w:t>
      </w:r>
      <w:hyperlink r:id="rId1144">
        <w:r w:rsidDel="00000000" w:rsidR="00000000" w:rsidRPr="00000000">
          <w:rPr>
            <w:rtl w:val="0"/>
          </w:rPr>
          <w:t xml:space="preserve"> </w:t>
        </w:r>
      </w:hyperlink>
      <w:hyperlink r:id="rId1145">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521">
      <w:pPr>
        <w:pStyle w:val="Heading3"/>
        <w:keepNext w:val="0"/>
        <w:keepLines w:val="0"/>
        <w:spacing w:before="280" w:lineRule="auto"/>
        <w:rPr>
          <w:b w:val="1"/>
          <w:bCs w:val="1"/>
          <w:color w:val="000000"/>
          <w:sz w:val="26"/>
          <w:szCs w:val="26"/>
        </w:rPr>
      </w:pPr>
      <w:bookmarkStart w:colFirst="0" w:colLast="0" w:name="_mkmd9qroh0vm" w:id="204"/>
      <w:bookmarkEnd w:id="204"/>
      <w:r w:rsidDel="00000000" w:rsidR="00000000" w:rsidRPr="00000000">
        <w:rPr>
          <w:b w:val="1"/>
          <w:bCs w:val="1"/>
          <w:color w:val="000000"/>
          <w:sz w:val="26"/>
          <w:szCs w:val="26"/>
          <w:rtl w:val="0"/>
        </w:rPr>
        <w:t xml:space="preserve">12.7.4 Revenue Enhancement</w:t>
      </w:r>
    </w:p>
    <w:p w:rsidR="00000000" w:rsidDel="00000000" w:rsidP="00000000" w:rsidRDefault="00000000" w:rsidRPr="00000000" w14:paraId="00000522">
      <w:pPr>
        <w:spacing w:after="240" w:before="240" w:lineRule="auto"/>
        <w:rPr>
          <w:color w:val="1155cc"/>
          <w:u w:val="single"/>
        </w:rPr>
      </w:pPr>
      <w:r w:rsidDel="00000000" w:rsidR="00000000" w:rsidRPr="00000000">
        <w:rPr>
          <w:rtl w:val="0"/>
        </w:rPr>
        <w:t xml:space="preserve">The compliance premium described in Section 12.4 translates into revenue enhancement through three mechanisms: tighter credit spreads with TL-governed counterparties who face lower verification costs because they can query </w:t>
      </w:r>
      <w:r w:rsidDel="00000000" w:rsidR="00000000" w:rsidRPr="00000000">
        <w:rPr>
          <w:rFonts w:ascii="Roboto Mono" w:cs="Roboto Mono" w:eastAsia="Roboto Mono" w:hAnsi="Roboto Mono"/>
          <w:color w:val="188038"/>
          <w:rtl w:val="0"/>
        </w:rPr>
        <w:t xml:space="preserve">GET /audit/verifications/inclusion/{logId}</w:t>
      </w:r>
      <w:r w:rsidDel="00000000" w:rsidR="00000000" w:rsidRPr="00000000">
        <w:rPr>
          <w:rtl w:val="0"/>
        </w:rPr>
        <w:t xml:space="preserve"> directly; reduced letter of credit costs in trade finance due to shared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verification via </w:t>
      </w:r>
      <w:r w:rsidDel="00000000" w:rsidR="00000000" w:rsidRPr="00000000">
        <w:rPr>
          <w:rFonts w:ascii="Roboto Mono" w:cs="Roboto Mono" w:eastAsia="Roboto Mono" w:hAnsi="Roboto Mono"/>
          <w:color w:val="188038"/>
          <w:rtl w:val="0"/>
        </w:rPr>
        <w:t xml:space="preserve">GET /audit/verifications/merkle/{merkleRoot}</w:t>
      </w:r>
      <w:r w:rsidDel="00000000" w:rsidR="00000000" w:rsidRPr="00000000">
        <w:rPr>
          <w:rtl w:val="0"/>
        </w:rPr>
        <w:t xml:space="preserve">; and preferential access to CBDC payment networks where central bank operators require TL-compatible governance from network participants.</w:t>
      </w:r>
      <w:hyperlink r:id="rId1146">
        <w:r w:rsidDel="00000000" w:rsidR="00000000" w:rsidRPr="00000000">
          <w:rPr>
            <w:rtl w:val="0"/>
          </w:rPr>
          <w:t xml:space="preserve"> </w:t>
        </w:r>
      </w:hyperlink>
      <w:hyperlink r:id="rId1147">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523">
      <w:pPr>
        <w:pStyle w:val="Heading2"/>
        <w:keepNext w:val="0"/>
        <w:keepLines w:val="0"/>
        <w:spacing w:after="80" w:lineRule="auto"/>
        <w:rPr>
          <w:b w:val="1"/>
          <w:bCs w:val="1"/>
          <w:sz w:val="34"/>
          <w:szCs w:val="34"/>
        </w:rPr>
      </w:pPr>
      <w:bookmarkStart w:colFirst="0" w:colLast="0" w:name="_k2ael7iwrwtd" w:id="205"/>
      <w:bookmarkEnd w:id="205"/>
      <w:r w:rsidDel="00000000" w:rsidR="00000000" w:rsidRPr="00000000">
        <w:rPr>
          <w:b w:val="1"/>
          <w:bCs w:val="1"/>
          <w:sz w:val="34"/>
          <w:szCs w:val="34"/>
          <w:rtl w:val="0"/>
        </w:rPr>
        <w:t xml:space="preserve">12.8 Economic Sustainability Without Defense or Surveillance Revenue</w:t>
      </w:r>
    </w:p>
    <w:p w:rsidR="00000000" w:rsidDel="00000000" w:rsidP="00000000" w:rsidRDefault="00000000" w:rsidRPr="00000000" w14:paraId="00000524">
      <w:pPr>
        <w:spacing w:after="240" w:before="240" w:lineRule="auto"/>
        <w:rPr>
          <w:color w:val="1155cc"/>
          <w:u w:val="single"/>
        </w:rPr>
      </w:pPr>
      <w:r w:rsidDel="00000000" w:rsidR="00000000" w:rsidRPr="00000000">
        <w:rPr>
          <w:rtl w:val="0"/>
        </w:rPr>
        <w:t xml:space="preserve">The No Spy, No Weapon Mandate prohibits TL governance from accessing the defense procurement and intelligence agency revenue streams that subsidize much of the advanced technology ecosystem. The economic viability determination from Section 5.7 is affirmative: the compliance premium, the Smart Contract Treasury's automated incentive structure, and the reduced counterparty risk create a self-sustaining revenue model that does not require defense or surveillance subsidies.</w:t>
      </w:r>
      <w:hyperlink r:id="rId1148">
        <w:r w:rsidDel="00000000" w:rsidR="00000000" w:rsidRPr="00000000">
          <w:rPr>
            <w:rtl w:val="0"/>
          </w:rPr>
          <w:t xml:space="preserve"> </w:t>
        </w:r>
      </w:hyperlink>
      <w:hyperlink r:id="rId1149">
        <w:r w:rsidDel="00000000" w:rsidR="00000000" w:rsidRPr="00000000">
          <w:rPr>
            <w:color w:val="1155cc"/>
            <w:u w:val="single"/>
            <w:rtl w:val="0"/>
          </w:rPr>
          <w:t xml:space="preserve">[8]</w:t>
        </w:r>
      </w:hyperlink>
      <w:r w:rsidDel="00000000" w:rsidR="00000000" w:rsidRPr="00000000">
        <w:rPr>
          <w:rtl w:val="0"/>
        </w:rPr>
      </w:r>
    </w:p>
    <w:p w:rsidR="00000000" w:rsidDel="00000000" w:rsidP="00000000" w:rsidRDefault="00000000" w:rsidRPr="00000000" w14:paraId="00000525">
      <w:pPr>
        <w:spacing w:after="240" w:before="240" w:lineRule="auto"/>
        <w:rPr/>
      </w:pPr>
      <w:r w:rsidDel="00000000" w:rsidR="00000000" w:rsidRPr="00000000">
        <w:rPr>
          <w:rtl w:val="0"/>
        </w:rPr>
        <w:t xml:space="preserve">The financial services market's annual compliance expenditure exceeds $300 billion. The trade finance market processes $10 trillion in annual transactions with governance costs that significantly exceed TL's per-transaction operational costs. The CBDC deployment market has sufficient central bank interest to sustain hardware production volumes that make Architecture B unit economics viable. These markets do not require defense or intelligence revenue to be economically substantial.</w:t>
      </w:r>
    </w:p>
    <w:p w:rsidR="00000000" w:rsidDel="00000000" w:rsidP="00000000" w:rsidRDefault="00000000" w:rsidRPr="00000000" w14:paraId="00000526">
      <w:pPr>
        <w:spacing w:after="240" w:before="240" w:lineRule="auto"/>
        <w:rPr>
          <w:color w:val="1155cc"/>
          <w:u w:val="single"/>
        </w:rPr>
      </w:pPr>
      <w:r w:rsidDel="00000000" w:rsidR="00000000" w:rsidRPr="00000000">
        <w:rPr>
          <w:rtl w:val="0"/>
        </w:rPr>
        <w:t xml:space="preserve">The Smart Contract Treasury's automated incentive structure creates additional economic self-reinforcement: institutions demonstrating verifiable compliance via the reputation score queryable through the Regulatory Nexus receive fee reductions, reputation token allocations anchored to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and preferential liquidity access. Institutions that develop dual-use capabilities face automatic divestment penalties enforced through the Treasury's automated enforcement architecture. The revenue model rewards governance compliance and penalizes governance violation without requiring human enforcement discretion at the moment of consequence delivery.</w:t>
      </w:r>
      <w:hyperlink r:id="rId1150">
        <w:r w:rsidDel="00000000" w:rsidR="00000000" w:rsidRPr="00000000">
          <w:rPr>
            <w:rtl w:val="0"/>
          </w:rPr>
          <w:t xml:space="preserve"> </w:t>
        </w:r>
      </w:hyperlink>
      <w:hyperlink r:id="rId1151">
        <w:r w:rsidDel="00000000" w:rsidR="00000000" w:rsidRPr="00000000">
          <w:rPr>
            <w:color w:val="1155cc"/>
            <w:u w:val="single"/>
            <w:rtl w:val="0"/>
          </w:rPr>
          <w:t xml:space="preserve">[8]</w:t>
        </w:r>
      </w:hyperlink>
      <w:r w:rsidDel="00000000" w:rsidR="00000000" w:rsidRPr="00000000">
        <w:rPr>
          <w:rtl w:val="0"/>
        </w:rPr>
      </w:r>
    </w:p>
    <w:p w:rsidR="00000000" w:rsidDel="00000000" w:rsidP="00000000" w:rsidRDefault="00000000" w:rsidRPr="00000000" w14:paraId="00000527">
      <w:pPr>
        <w:pStyle w:val="Heading2"/>
        <w:keepNext w:val="0"/>
        <w:keepLines w:val="0"/>
        <w:spacing w:after="80" w:lineRule="auto"/>
        <w:rPr>
          <w:b w:val="1"/>
          <w:bCs w:val="1"/>
          <w:sz w:val="34"/>
          <w:szCs w:val="34"/>
        </w:rPr>
      </w:pPr>
      <w:bookmarkStart w:colFirst="0" w:colLast="0" w:name="_53o6pw5s3ewv" w:id="206"/>
      <w:bookmarkEnd w:id="206"/>
      <w:r w:rsidDel="00000000" w:rsidR="00000000" w:rsidRPr="00000000">
        <w:rPr>
          <w:b w:val="1"/>
          <w:bCs w:val="1"/>
          <w:sz w:val="34"/>
          <w:szCs w:val="34"/>
          <w:rtl w:val="0"/>
        </w:rPr>
        <w:t xml:space="preserve">12.9 Economic Risk Factors</w:t>
      </w:r>
    </w:p>
    <w:p w:rsidR="00000000" w:rsidDel="00000000" w:rsidP="00000000" w:rsidRDefault="00000000" w:rsidRPr="00000000" w14:paraId="00000528">
      <w:pPr>
        <w:spacing w:after="240" w:before="240" w:lineRule="auto"/>
        <w:rPr>
          <w:color w:val="1155cc"/>
          <w:u w:val="single"/>
        </w:rPr>
      </w:pPr>
      <w:r w:rsidDel="00000000" w:rsidR="00000000" w:rsidRPr="00000000">
        <w:rPr>
          <w:rtl w:val="0"/>
        </w:rPr>
        <w:t xml:space="preserve">Four economic risk factors could undermine the implementation economics described in this Section.</w:t>
      </w:r>
      <w:hyperlink r:id="rId1152">
        <w:r w:rsidDel="00000000" w:rsidR="00000000" w:rsidRPr="00000000">
          <w:rPr>
            <w:rtl w:val="0"/>
          </w:rPr>
          <w:t xml:space="preserve"> </w:t>
        </w:r>
      </w:hyperlink>
      <w:hyperlink r:id="rId1153">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529">
      <w:pPr>
        <w:spacing w:after="240" w:before="240" w:lineRule="auto"/>
        <w:rPr/>
      </w:pPr>
      <w:r w:rsidDel="00000000" w:rsidR="00000000" w:rsidRPr="00000000">
        <w:rPr>
          <w:b w:val="1"/>
          <w:bCs w:val="1"/>
          <w:rtl w:val="0"/>
        </w:rPr>
        <w:t xml:space="preserve">DITL Fabrication Delay.</w:t>
      </w:r>
      <w:r w:rsidDel="00000000" w:rsidR="00000000" w:rsidRPr="00000000">
        <w:rPr>
          <w:rtl w:val="0"/>
        </w:rPr>
        <w:t xml:space="preserve"> If the Architecture B development program encounters kill criteria requiring redesign iterations beyond the single permitted recursion, the Phase 2 hardware deployment timeline extends. Institutions that deploy in Phase 1 under the expectation of transitioning to hardware enforcement in 2027 may remain in emulation mode longer than anticipated, reducing the compliance premium achievable during the delay period. The </w:t>
      </w:r>
      <w:r w:rsidDel="00000000" w:rsidR="00000000" w:rsidRPr="00000000">
        <w:rPr>
          <w:rFonts w:ascii="Roboto Mono" w:cs="Roboto Mono" w:eastAsia="Roboto Mono" w:hAnsi="Roboto Mono"/>
          <w:color w:val="188038"/>
          <w:rtl w:val="0"/>
        </w:rPr>
        <w:t xml:space="preserve">NULL_PUF_DEPLOYMENT</w:t>
      </w:r>
      <w:r w:rsidDel="00000000" w:rsidR="00000000" w:rsidRPr="00000000">
        <w:rPr>
          <w:rtl w:val="0"/>
        </w:rPr>
        <w:t xml:space="preserve"> sentinel in </w:t>
      </w:r>
      <w:r w:rsidDel="00000000" w:rsidR="00000000" w:rsidRPr="00000000">
        <w:rPr>
          <w:rFonts w:ascii="Roboto Mono" w:cs="Roboto Mono" w:eastAsia="Roboto Mono" w:hAnsi="Roboto Mono"/>
          <w:color w:val="188038"/>
          <w:rtl w:val="0"/>
        </w:rPr>
        <w:t xml:space="preserve">NLNAAuditToken.pufAttestation</w:t>
      </w:r>
      <w:r w:rsidDel="00000000" w:rsidR="00000000" w:rsidRPr="00000000">
        <w:rPr>
          <w:rtl w:val="0"/>
        </w:rPr>
        <w:t xml:space="preserve"> continues to flag the emulation mode posture to all counterparties throughout any delay.</w:t>
      </w:r>
    </w:p>
    <w:p w:rsidR="00000000" w:rsidDel="00000000" w:rsidP="00000000" w:rsidRDefault="00000000" w:rsidRPr="00000000" w14:paraId="0000052A">
      <w:pPr>
        <w:spacing w:after="240" w:before="240" w:lineRule="auto"/>
        <w:rPr/>
      </w:pPr>
      <w:r w:rsidDel="00000000" w:rsidR="00000000" w:rsidRPr="00000000">
        <w:rPr>
          <w:b w:val="1"/>
          <w:bCs w:val="1"/>
          <w:rtl w:val="0"/>
        </w:rPr>
        <w:t xml:space="preserve">Regulatory Non-Recognition.</w:t>
      </w:r>
      <w:r w:rsidDel="00000000" w:rsidR="00000000" w:rsidRPr="00000000">
        <w:rPr>
          <w:rtl w:val="0"/>
        </w:rPr>
        <w:t xml:space="preserve"> If key financial supervisors decline to recognize TL's Decision Log and </w:t>
      </w:r>
      <w:r w:rsidDel="00000000" w:rsidR="00000000" w:rsidRPr="00000000">
        <w:rPr>
          <w:rFonts w:ascii="Roboto Mono" w:cs="Roboto Mono" w:eastAsia="Roboto Mono" w:hAnsi="Roboto Mono"/>
          <w:color w:val="188038"/>
          <w:rtl w:val="0"/>
        </w:rPr>
        <w:t xml:space="preserve">PermissionToken_v1_0_0</w:t>
      </w:r>
      <w:r w:rsidDel="00000000" w:rsidR="00000000" w:rsidRPr="00000000">
        <w:rPr>
          <w:rtl w:val="0"/>
        </w:rPr>
        <w:t xml:space="preserve"> records as satisfying their specific examination requirements, the operational efficiency benefits of examination cycle compression are unavailable. The </w:t>
      </w:r>
      <w:r w:rsidDel="00000000" w:rsidR="00000000" w:rsidRPr="00000000">
        <w:rPr>
          <w:rFonts w:ascii="Roboto Mono" w:cs="Roboto Mono" w:eastAsia="Roboto Mono" w:hAnsi="Roboto Mono"/>
          <w:color w:val="188038"/>
          <w:rtl w:val="0"/>
        </w:rPr>
        <w:t xml:space="preserve">GET /regulator/iosco/principle-mapping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 /regulator/basel-iii/attestation</w:t>
      </w:r>
      <w:r w:rsidDel="00000000" w:rsidR="00000000" w:rsidRPr="00000000">
        <w:rPr>
          <w:rtl w:val="0"/>
        </w:rPr>
        <w:t xml:space="preserve"> endpoints are designed specifically to demonstrate alignment with supervisory requirements, but regulatory recognition ultimately depends on engagement that is uncertain in both timing and outcome.</w:t>
      </w:r>
    </w:p>
    <w:p w:rsidR="00000000" w:rsidDel="00000000" w:rsidP="00000000" w:rsidRDefault="00000000" w:rsidRPr="00000000" w14:paraId="0000052B">
      <w:pPr>
        <w:spacing w:after="240" w:before="240" w:lineRule="auto"/>
        <w:rPr/>
      </w:pPr>
      <w:r w:rsidDel="00000000" w:rsidR="00000000" w:rsidRPr="00000000">
        <w:rPr>
          <w:b w:val="1"/>
          <w:bCs w:val="1"/>
          <w:rtl w:val="0"/>
        </w:rPr>
        <w:t xml:space="preserve">Consortium Governance Failure.</w:t>
      </w:r>
      <w:r w:rsidDel="00000000" w:rsidR="00000000" w:rsidRPr="00000000">
        <w:rPr>
          <w:rtl w:val="0"/>
        </w:rPr>
        <w:t xml:space="preserve"> The founding consortium's non-profit governance structure must maintain framework integrity through the competitive pressures that arise when commercial interests differ on development priorities. If the consortium's governance fails - through capture by a dominant founding member, through financial distress, or through irreconcilable disagreement - the development program may stall or diverge from the specification in ways that undermine market value.</w:t>
      </w:r>
    </w:p>
    <w:p w:rsidR="00000000" w:rsidDel="00000000" w:rsidP="00000000" w:rsidRDefault="00000000" w:rsidRPr="00000000" w14:paraId="0000052C">
      <w:pPr>
        <w:spacing w:after="240" w:before="240" w:lineRule="auto"/>
        <w:rPr>
          <w:color w:val="1155cc"/>
          <w:u w:val="single"/>
        </w:rPr>
      </w:pPr>
      <w:r w:rsidDel="00000000" w:rsidR="00000000" w:rsidRPr="00000000">
        <w:rPr>
          <w:b w:val="1"/>
          <w:bCs w:val="1"/>
          <w:rtl w:val="0"/>
        </w:rPr>
        <w:t xml:space="preserve">Network Effect Threshold.</w:t>
      </w:r>
      <w:r w:rsidDel="00000000" w:rsidR="00000000" w:rsidRPr="00000000">
        <w:rPr>
          <w:rtl w:val="0"/>
        </w:rPr>
        <w:t xml:space="preserve"> The compliance premium scales with the number of TL-governed counterparties in the network. Below a critical adoption threshold, the premium is insufficient to justify deployment costs for institutions not facing immediate regulatory pressure. The compliance reputation score queryable through the Regulatory Nexus has value only if counterparties can verify TL governance status and price it into transaction terms. Central bank CBDC adoption, which mandates TL-compatible governance for all network participants, is the most credible mechanism for overcoming this threshold risk.</w:t>
      </w:r>
      <w:hyperlink r:id="rId1154">
        <w:r w:rsidDel="00000000" w:rsidR="00000000" w:rsidRPr="00000000">
          <w:rPr>
            <w:rtl w:val="0"/>
          </w:rPr>
          <w:t xml:space="preserve"> </w:t>
        </w:r>
      </w:hyperlink>
      <w:hyperlink r:id="rId1155">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52D">
      <w:pPr>
        <w:pStyle w:val="Heading1"/>
        <w:keepNext w:val="0"/>
        <w:keepLines w:val="0"/>
        <w:spacing w:before="480" w:lineRule="auto"/>
        <w:rPr>
          <w:b w:val="1"/>
          <w:bCs w:val="1"/>
          <w:sz w:val="46"/>
          <w:szCs w:val="46"/>
        </w:rPr>
      </w:pPr>
      <w:bookmarkStart w:colFirst="0" w:colLast="0" w:name="_n4xxda0r2p5" w:id="207"/>
      <w:bookmarkEnd w:id="207"/>
      <w:r w:rsidDel="00000000" w:rsidR="00000000" w:rsidRPr="00000000">
        <w:rPr>
          <w:b w:val="1"/>
          <w:bCs w:val="1"/>
          <w:sz w:val="46"/>
          <w:szCs w:val="46"/>
          <w:rtl w:val="0"/>
        </w:rPr>
        <w:t xml:space="preserve">SECTION 13: SUCCESSION AND CONTINUITY</w:t>
      </w:r>
    </w:p>
    <w:p w:rsidR="00000000" w:rsidDel="00000000" w:rsidP="00000000" w:rsidRDefault="00000000" w:rsidRPr="00000000" w14:paraId="0000052E">
      <w:pPr>
        <w:pStyle w:val="Heading2"/>
        <w:keepNext w:val="0"/>
        <w:keepLines w:val="0"/>
        <w:spacing w:after="80" w:lineRule="auto"/>
        <w:rPr>
          <w:b w:val="1"/>
          <w:bCs w:val="1"/>
          <w:sz w:val="34"/>
          <w:szCs w:val="34"/>
        </w:rPr>
      </w:pPr>
      <w:bookmarkStart w:colFirst="0" w:colLast="0" w:name="_w6ift3faao85" w:id="208"/>
      <w:bookmarkEnd w:id="208"/>
      <w:r w:rsidDel="00000000" w:rsidR="00000000" w:rsidRPr="00000000">
        <w:rPr>
          <w:b w:val="1"/>
          <w:bCs w:val="1"/>
          <w:sz w:val="34"/>
          <w:szCs w:val="34"/>
          <w:rtl w:val="0"/>
        </w:rPr>
        <w:t xml:space="preserve">13.0 Overview</w:t>
      </w:r>
    </w:p>
    <w:p w:rsidR="00000000" w:rsidDel="00000000" w:rsidP="00000000" w:rsidRDefault="00000000" w:rsidRPr="00000000" w14:paraId="0000052F">
      <w:pPr>
        <w:spacing w:after="240" w:before="240" w:lineRule="auto"/>
        <w:rPr>
          <w:color w:val="1155cc"/>
          <w:u w:val="single"/>
        </w:rPr>
      </w:pPr>
      <w:r w:rsidDel="00000000" w:rsidR="00000000" w:rsidRPr="00000000">
        <w:rPr>
          <w:rtl w:val="0"/>
        </w:rPr>
        <w:t xml:space="preserve">Every governance framework confronts a problem that no technical specification can solve through mathematics alone: the institutions that maintain it are mortal, corruptible, and subject to forces that no governance design fully anticipates. Founders die. Organizations dissolve. Regimes change. Legal systems evolve. Technologies become obsolete.</w:t>
      </w:r>
      <w:hyperlink r:id="rId1156">
        <w:r w:rsidDel="00000000" w:rsidR="00000000" w:rsidRPr="00000000">
          <w:rPr>
            <w:rtl w:val="0"/>
          </w:rPr>
          <w:t xml:space="preserve"> </w:t>
        </w:r>
      </w:hyperlink>
      <w:hyperlink r:id="rId1157">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530">
      <w:pPr>
        <w:spacing w:after="240" w:before="240" w:lineRule="auto"/>
        <w:rPr>
          <w:color w:val="1155cc"/>
          <w:u w:val="single"/>
        </w:rPr>
      </w:pPr>
      <w:r w:rsidDel="00000000" w:rsidR="00000000" w:rsidRPr="00000000">
        <w:rPr>
          <w:rtl w:val="0"/>
        </w:rPr>
        <w:t xml:space="preserve">Section 13 specifies how Ternary Logic survives these transitions. It defines the Succession Declaration - encoded in </w:t>
      </w:r>
      <w:r w:rsidDel="00000000" w:rsidR="00000000" w:rsidRPr="00000000">
        <w:rPr>
          <w:rFonts w:ascii="Roboto Mono" w:cs="Roboto Mono" w:eastAsia="Roboto Mono" w:hAnsi="Roboto Mono"/>
          <w:color w:val="188038"/>
          <w:rtl w:val="0"/>
        </w:rPr>
        <w:t xml:space="preserve">SuccessionDeclaration_v1_0_0</w:t>
      </w:r>
      <w:r w:rsidDel="00000000" w:rsidR="00000000" w:rsidRPr="00000000">
        <w:rPr>
          <w:rtl w:val="0"/>
        </w:rPr>
        <w:t xml:space="preserve"> - the institutional protocol that transfers governance authority when the founding steward is no longer capable of exercising it - and the Open Source License - the legal instrument that ensures the framework remains unownable, unenclosable, and perpetually available regardless of what happens to the individuals and organizations that created it.</w:t>
      </w:r>
      <w:hyperlink r:id="rId1158">
        <w:r w:rsidDel="00000000" w:rsidR="00000000" w:rsidRPr="00000000">
          <w:rPr>
            <w:rtl w:val="0"/>
          </w:rPr>
          <w:t xml:space="preserve"> </w:t>
        </w:r>
      </w:hyperlink>
      <w:hyperlink r:id="rId1159">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531">
      <w:pPr>
        <w:spacing w:after="240" w:before="240" w:lineRule="auto"/>
        <w:rPr>
          <w:color w:val="1155cc"/>
          <w:u w:val="single"/>
        </w:rPr>
      </w:pPr>
      <w:r w:rsidDel="00000000" w:rsidR="00000000" w:rsidRPr="00000000">
        <w:rPr>
          <w:rtl w:val="0"/>
        </w:rPr>
        <w:t xml:space="preserve">The architectural objective is institutional immortality without institutional dependence. The framework must outlast any individual, any organization, and any political configuration. It must do so not through the heroic foresight of its designers - which is always limited - but through the structural properties of a distributed institutional architecture whose continuity does not depend on any single point of trust, any single holder of authority, or any single jurisdiction's legal protection.</w:t>
      </w:r>
      <w:hyperlink r:id="rId1160">
        <w:r w:rsidDel="00000000" w:rsidR="00000000" w:rsidRPr="00000000">
          <w:rPr>
            <w:rtl w:val="0"/>
          </w:rPr>
          <w:t xml:space="preserve"> </w:t>
        </w:r>
      </w:hyperlink>
      <w:hyperlink r:id="rId1161">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532">
      <w:pPr>
        <w:spacing w:after="240" w:before="240" w:lineRule="auto"/>
        <w:rPr>
          <w:color w:val="1155cc"/>
          <w:u w:val="single"/>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is the foundation of this continuity. Every governance action - every determination, every schema modification, every chamber vote, every key ceremony - is anchored via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 to a distributed ledger that no single institution controls and no single jurisdiction can erase. The framework's governance history survives the death of its founders, the dissolution of its maintaining organizations, and the legal transformation of the jurisdictions in which it operates. The Goukassian Vow endures because it is embedded in </w:t>
      </w:r>
      <w:r w:rsidDel="00000000" w:rsidR="00000000" w:rsidRPr="00000000">
        <w:rPr>
          <w:rFonts w:ascii="Roboto Mono" w:cs="Roboto Mono" w:eastAsia="Roboto Mono" w:hAnsi="Roboto Mono"/>
          <w:color w:val="188038"/>
          <w:rtl w:val="0"/>
        </w:rPr>
        <w:t xml:space="preserve">tl_openapi.yaml</w:t>
      </w:r>
      <w:r w:rsidDel="00000000" w:rsidR="00000000" w:rsidRPr="00000000">
        <w:rPr>
          <w:rtl w:val="0"/>
        </w:rPr>
        <w:t xml:space="preserve"> under </w:t>
      </w:r>
      <w:r w:rsidDel="00000000" w:rsidR="00000000" w:rsidRPr="00000000">
        <w:rPr>
          <w:rFonts w:ascii="Roboto Mono" w:cs="Roboto Mono" w:eastAsia="Roboto Mono" w:hAnsi="Roboto Mono"/>
          <w:color w:val="188038"/>
          <w:rtl w:val="0"/>
        </w:rPr>
        <w:t xml:space="preserve">x-tl-constitutional-preamble</w:t>
      </w:r>
      <w:r w:rsidDel="00000000" w:rsidR="00000000" w:rsidRPr="00000000">
        <w:rPr>
          <w:rtl w:val="0"/>
        </w:rPr>
        <w:t xml:space="preserve"> and in ledger entries replicated across nodes on three independent blockchain networks, any two of which suffice to verify the entire governance history via </w:t>
      </w:r>
      <w:r w:rsidDel="00000000" w:rsidR="00000000" w:rsidRPr="00000000">
        <w:rPr>
          <w:rFonts w:ascii="Roboto Mono" w:cs="Roboto Mono" w:eastAsia="Roboto Mono" w:hAnsi="Roboto Mono"/>
          <w:color w:val="188038"/>
          <w:rtl w:val="0"/>
        </w:rPr>
        <w:t xml:space="preserve">GET /audit/verifications/merkle/{merkleRoot}</w:t>
      </w:r>
      <w:r w:rsidDel="00000000" w:rsidR="00000000" w:rsidRPr="00000000">
        <w:rPr>
          <w:rtl w:val="0"/>
        </w:rPr>
        <w:t xml:space="preserve">.</w:t>
      </w:r>
      <w:hyperlink r:id="rId1162">
        <w:r w:rsidDel="00000000" w:rsidR="00000000" w:rsidRPr="00000000">
          <w:rPr>
            <w:rtl w:val="0"/>
          </w:rPr>
          <w:t xml:space="preserve"> </w:t>
        </w:r>
      </w:hyperlink>
      <w:hyperlink r:id="rId1163">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533">
      <w:pPr>
        <w:pStyle w:val="Heading2"/>
        <w:keepNext w:val="0"/>
        <w:keepLines w:val="0"/>
        <w:spacing w:after="80" w:lineRule="auto"/>
        <w:rPr>
          <w:b w:val="1"/>
          <w:bCs w:val="1"/>
          <w:sz w:val="34"/>
          <w:szCs w:val="34"/>
        </w:rPr>
      </w:pPr>
      <w:bookmarkStart w:colFirst="0" w:colLast="0" w:name="_s2fsrkc1g6at" w:id="209"/>
      <w:bookmarkEnd w:id="209"/>
      <w:r w:rsidDel="00000000" w:rsidR="00000000" w:rsidRPr="00000000">
        <w:rPr>
          <w:b w:val="1"/>
          <w:bCs w:val="1"/>
          <w:sz w:val="34"/>
          <w:szCs w:val="34"/>
          <w:rtl w:val="0"/>
        </w:rPr>
        <w:t xml:space="preserve">13.1 The Succession Declaration</w:t>
      </w:r>
    </w:p>
    <w:p w:rsidR="00000000" w:rsidDel="00000000" w:rsidP="00000000" w:rsidRDefault="00000000" w:rsidRPr="00000000" w14:paraId="00000534">
      <w:pPr>
        <w:spacing w:after="240" w:before="240" w:lineRule="auto"/>
        <w:rPr>
          <w:color w:val="1155cc"/>
          <w:u w:val="single"/>
        </w:rPr>
      </w:pPr>
      <w:r w:rsidDel="00000000" w:rsidR="00000000" w:rsidRPr="00000000">
        <w:rPr>
          <w:rtl w:val="0"/>
        </w:rPr>
        <w:t xml:space="preserve">The Succession Declaration is not a will in the legal sense. It is a governance protocol - a pre-defined sequence of actions that activates automatically when defined trigger conditions are met, without requiring any post-trigger human authorization to initiate. It is encoded in the </w:t>
      </w:r>
      <w:r w:rsidDel="00000000" w:rsidR="00000000" w:rsidRPr="00000000">
        <w:rPr>
          <w:rFonts w:ascii="Roboto Mono" w:cs="Roboto Mono" w:eastAsia="Roboto Mono" w:hAnsi="Roboto Mono"/>
          <w:color w:val="188038"/>
          <w:rtl w:val="0"/>
        </w:rPr>
        <w:t xml:space="preserve">SuccessionDeclaration_v1_0_0</w:t>
      </w:r>
      <w:r w:rsidDel="00000000" w:rsidR="00000000" w:rsidRPr="00000000">
        <w:rPr>
          <w:rtl w:val="0"/>
        </w:rPr>
        <w:t xml:space="preserve"> schema. Its expiry triggers </w:t>
      </w:r>
      <w:r w:rsidDel="00000000" w:rsidR="00000000" w:rsidRPr="00000000">
        <w:rPr>
          <w:rFonts w:ascii="Roboto Mono" w:cs="Roboto Mono" w:eastAsia="Roboto Mono" w:hAnsi="Roboto Mono"/>
          <w:color w:val="188038"/>
          <w:rtl w:val="0"/>
        </w:rPr>
        <w:t xml:space="preserve">SUCCESSION_DECLARATION_EXPIRED_ERROR</w:t>
      </w:r>
      <w:r w:rsidDel="00000000" w:rsidR="00000000" w:rsidRPr="00000000">
        <w:rPr>
          <w:rtl w:val="0"/>
        </w:rPr>
        <w:t xml:space="preserve"> in the </w:t>
      </w:r>
      <w:r w:rsidDel="00000000" w:rsidR="00000000" w:rsidRPr="00000000">
        <w:rPr>
          <w:rFonts w:ascii="Roboto Mono" w:cs="Roboto Mono" w:eastAsia="Roboto Mono" w:hAnsi="Roboto Mono"/>
          <w:color w:val="188038"/>
          <w:rtl w:val="0"/>
        </w:rPr>
        <w:t xml:space="preserve">TLProblemDetail</w:t>
      </w:r>
      <w:r w:rsidDel="00000000" w:rsidR="00000000" w:rsidRPr="00000000">
        <w:rPr>
          <w:rtl w:val="0"/>
        </w:rPr>
        <w:t xml:space="preserve"> error taxonomy, and its absence when required triggers </w:t>
      </w:r>
      <w:r w:rsidDel="00000000" w:rsidR="00000000" w:rsidRPr="00000000">
        <w:rPr>
          <w:rFonts w:ascii="Roboto Mono" w:cs="Roboto Mono" w:eastAsia="Roboto Mono" w:hAnsi="Roboto Mono"/>
          <w:color w:val="188038"/>
          <w:rtl w:val="0"/>
        </w:rPr>
        <w:t xml:space="preserve">SUCCESSION_DECLARATION_REQUIRED_ERROR</w:t>
      </w:r>
      <w:r w:rsidDel="00000000" w:rsidR="00000000" w:rsidRPr="00000000">
        <w:rPr>
          <w:rtl w:val="0"/>
        </w:rPr>
        <w:t xml:space="preserve">.</w:t>
      </w:r>
      <w:hyperlink r:id="rId1164">
        <w:r w:rsidDel="00000000" w:rsidR="00000000" w:rsidRPr="00000000">
          <w:rPr>
            <w:rtl w:val="0"/>
          </w:rPr>
          <w:t xml:space="preserve"> </w:t>
        </w:r>
      </w:hyperlink>
      <w:hyperlink r:id="rId1165">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535">
      <w:pPr>
        <w:pStyle w:val="Heading3"/>
        <w:keepNext w:val="0"/>
        <w:keepLines w:val="0"/>
        <w:spacing w:before="280" w:lineRule="auto"/>
        <w:rPr>
          <w:b w:val="1"/>
          <w:bCs w:val="1"/>
          <w:color w:val="000000"/>
          <w:sz w:val="26"/>
          <w:szCs w:val="26"/>
        </w:rPr>
      </w:pPr>
      <w:bookmarkStart w:colFirst="0" w:colLast="0" w:name="_xk2mfk8uuako" w:id="210"/>
      <w:bookmarkEnd w:id="210"/>
      <w:r w:rsidDel="00000000" w:rsidR="00000000" w:rsidRPr="00000000">
        <w:rPr>
          <w:b w:val="1"/>
          <w:bCs w:val="1"/>
          <w:color w:val="000000"/>
          <w:sz w:val="26"/>
          <w:szCs w:val="26"/>
          <w:rtl w:val="0"/>
        </w:rPr>
        <w:t xml:space="preserve">13.1.1 Trigger Conditions</w:t>
      </w:r>
    </w:p>
    <w:p w:rsidR="00000000" w:rsidDel="00000000" w:rsidP="00000000" w:rsidRDefault="00000000" w:rsidRPr="00000000" w14:paraId="00000536">
      <w:pPr>
        <w:spacing w:after="240" w:before="240" w:lineRule="auto"/>
        <w:rPr/>
      </w:pPr>
      <w:r w:rsidDel="00000000" w:rsidR="00000000" w:rsidRPr="00000000">
        <w:rPr>
          <w:rtl w:val="0"/>
        </w:rPr>
        <w:t xml:space="preserve">Four conditions independently trigger the Succession Declaration protocol.</w:t>
      </w:r>
    </w:p>
    <w:p w:rsidR="00000000" w:rsidDel="00000000" w:rsidP="00000000" w:rsidRDefault="00000000" w:rsidRPr="00000000" w14:paraId="00000537">
      <w:pPr>
        <w:spacing w:after="240" w:before="240" w:lineRule="auto"/>
        <w:rPr>
          <w:color w:val="1155cc"/>
          <w:u w:val="single"/>
        </w:rPr>
      </w:pPr>
      <w:r w:rsidDel="00000000" w:rsidR="00000000" w:rsidRPr="00000000">
        <w:rPr>
          <w:b w:val="1"/>
          <w:bCs w:val="1"/>
          <w:rtl w:val="0"/>
        </w:rPr>
        <w:t xml:space="preserve">Trigger 1: Verified Death or Permanent Incapacitation of the Founding Steward.</w:t>
      </w:r>
      <w:r w:rsidDel="00000000" w:rsidR="00000000" w:rsidRPr="00000000">
        <w:rPr>
          <w:rtl w:val="0"/>
        </w:rPr>
        <w:t xml:space="preserve"> Death is verified through death certificates attested by multiple jurisdictional authorities and confirmed through the authenticated out-of-band monitoring channel maintained by the Stewardship Custodians via </w:t>
      </w:r>
      <w:r w:rsidDel="00000000" w:rsidR="00000000" w:rsidRPr="00000000">
        <w:rPr>
          <w:rFonts w:ascii="Roboto Mono" w:cs="Roboto Mono" w:eastAsia="Roboto Mono" w:hAnsi="Roboto Mono"/>
          <w:color w:val="188038"/>
          <w:rtl w:val="0"/>
        </w:rPr>
        <w:t xml:space="preserve">GET /audit/custodians/{custodianId}/heartbeat</w:t>
      </w:r>
      <w:r w:rsidDel="00000000" w:rsidR="00000000" w:rsidRPr="00000000">
        <w:rPr>
          <w:rtl w:val="0"/>
        </w:rPr>
        <w:t xml:space="preserve">. Permanent incapacitation - defined as the inability to exercise governance functions for a continuous period exceeding twelve months due to medical condition - is verified through independent medical certification and confirmed through the same channel. The verification must occur through at least two independent sources to prevent false trigger activation through fabricated documentation.</w:t>
      </w:r>
      <w:hyperlink r:id="rId1166">
        <w:r w:rsidDel="00000000" w:rsidR="00000000" w:rsidRPr="00000000">
          <w:rPr>
            <w:rtl w:val="0"/>
          </w:rPr>
          <w:t xml:space="preserve"> </w:t>
        </w:r>
      </w:hyperlink>
      <w:hyperlink r:id="rId1167">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538">
      <w:pPr>
        <w:spacing w:after="240" w:before="240" w:lineRule="auto"/>
        <w:rPr>
          <w:color w:val="1155cc"/>
          <w:u w:val="single"/>
        </w:rPr>
      </w:pPr>
      <w:r w:rsidDel="00000000" w:rsidR="00000000" w:rsidRPr="00000000">
        <w:rPr>
          <w:b w:val="1"/>
          <w:bCs w:val="1"/>
          <w:rtl w:val="0"/>
        </w:rPr>
        <w:t xml:space="preserve">Trigger 2: Verified Compromise of the Founding Steward's Cryptographic Identity.</w:t>
      </w:r>
      <w:r w:rsidDel="00000000" w:rsidR="00000000" w:rsidRPr="00000000">
        <w:rPr>
          <w:rtl w:val="0"/>
        </w:rPr>
        <w:t xml:space="preserve"> If the founding steward's private signing keys are compromised, the steward's published attestations can no longer be trusted. Compromise is verified through detection of unauthorized key usage patterns in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GET /audit-logs/{logId}</w:t>
      </w:r>
      <w:r w:rsidDel="00000000" w:rsidR="00000000" w:rsidRPr="00000000">
        <w:rPr>
          <w:rtl w:val="0"/>
        </w:rPr>
        <w:t xml:space="preserve">, through the steward's own verified declaration of compromise through an authenticated secondary channel, or through Technical Council analysis of anomalous </w:t>
      </w:r>
      <w:r w:rsidDel="00000000" w:rsidR="00000000" w:rsidRPr="00000000">
        <w:rPr>
          <w:rFonts w:ascii="Roboto Mono" w:cs="Roboto Mono" w:eastAsia="Roboto Mono" w:hAnsi="Roboto Mono"/>
          <w:color w:val="188038"/>
          <w:rtl w:val="0"/>
        </w:rPr>
        <w:t xml:space="preserve">lantern</w:t>
      </w:r>
      <w:r w:rsidDel="00000000" w:rsidR="00000000" w:rsidRPr="00000000">
        <w:rPr>
          <w:rtl w:val="0"/>
        </w:rPr>
        <w:t xml:space="preserve"> beacon behavior via </w:t>
      </w:r>
      <w:r w:rsidDel="00000000" w:rsidR="00000000" w:rsidRPr="00000000">
        <w:rPr>
          <w:rFonts w:ascii="Roboto Mono" w:cs="Roboto Mono" w:eastAsia="Roboto Mono" w:hAnsi="Roboto Mono"/>
          <w:color w:val="188038"/>
          <w:rtl w:val="0"/>
        </w:rPr>
        <w:t xml:space="preserve">GET /epistemic-hold/lantern</w:t>
      </w:r>
      <w:r w:rsidDel="00000000" w:rsidR="00000000" w:rsidRPr="00000000">
        <w:rPr>
          <w:rtl w:val="0"/>
        </w:rPr>
        <w:t xml:space="preserve"> that is inconsistent with authentic key control.</w:t>
      </w:r>
      <w:hyperlink r:id="rId1168">
        <w:r w:rsidDel="00000000" w:rsidR="00000000" w:rsidRPr="00000000">
          <w:rPr>
            <w:rtl w:val="0"/>
          </w:rPr>
          <w:t xml:space="preserve"> </w:t>
        </w:r>
      </w:hyperlink>
      <w:hyperlink r:id="rId1169">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539">
      <w:pPr>
        <w:spacing w:after="240" w:before="240" w:lineRule="auto"/>
        <w:rPr>
          <w:color w:val="1155cc"/>
          <w:u w:val="single"/>
        </w:rPr>
      </w:pPr>
      <w:r w:rsidDel="00000000" w:rsidR="00000000" w:rsidRPr="00000000">
        <w:rPr>
          <w:b w:val="1"/>
          <w:bCs w:val="1"/>
          <w:rtl w:val="0"/>
        </w:rPr>
        <w:t xml:space="preserve">Trigger 3: Verified Capture of the Founding Steward by a Hostile Actor.</w:t>
      </w:r>
      <w:r w:rsidDel="00000000" w:rsidR="00000000" w:rsidRPr="00000000">
        <w:rPr>
          <w:rtl w:val="0"/>
        </w:rPr>
        <w:t xml:space="preserve"> Capture includes physical detention, legal compulsion through national security authority that prevents the steward from exercising independent governance judgment, and demonstrated sustained coercion producing governance decisions inconsistent with the governance schema. Capture is verified through independent human rights monitor confirmation, through pattern analysis of the steward's governance decisions against baselines in </w:t>
      </w:r>
      <w:r w:rsidDel="00000000" w:rsidR="00000000" w:rsidRPr="00000000">
        <w:rPr>
          <w:rFonts w:ascii="Roboto Mono" w:cs="Roboto Mono" w:eastAsia="Roboto Mono" w:hAnsi="Roboto Mono"/>
          <w:color w:val="188038"/>
          <w:rtl w:val="0"/>
        </w:rPr>
        <w:t xml:space="preserve">ThresholdProfile_v1_0_0</w:t>
      </w:r>
      <w:r w:rsidDel="00000000" w:rsidR="00000000" w:rsidRPr="00000000">
        <w:rPr>
          <w:rtl w:val="0"/>
        </w:rPr>
        <w:t xml:space="preserve">, or through the steward's own verified declaration through an authentication channel demonstrably outside the hostile actor's control.</w:t>
      </w:r>
      <w:hyperlink r:id="rId1170">
        <w:r w:rsidDel="00000000" w:rsidR="00000000" w:rsidRPr="00000000">
          <w:rPr>
            <w:rtl w:val="0"/>
          </w:rPr>
          <w:t xml:space="preserve"> </w:t>
        </w:r>
      </w:hyperlink>
      <w:hyperlink r:id="rId1171">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53A">
      <w:pPr>
        <w:spacing w:after="240" w:before="240" w:lineRule="auto"/>
        <w:rPr>
          <w:color w:val="1155cc"/>
          <w:u w:val="single"/>
        </w:rPr>
      </w:pPr>
      <w:r w:rsidDel="00000000" w:rsidR="00000000" w:rsidRPr="00000000">
        <w:rPr>
          <w:b w:val="1"/>
          <w:bCs w:val="1"/>
          <w:rtl w:val="0"/>
        </w:rPr>
        <w:t xml:space="preserve">Trigger 4: Voluntary Relinquishment.</w:t>
      </w:r>
      <w:r w:rsidDel="00000000" w:rsidR="00000000" w:rsidRPr="00000000">
        <w:rPr>
          <w:rtl w:val="0"/>
        </w:rPr>
        <w:t xml:space="preserve"> The founding steward may voluntarily transfer governance authority to the Tri-Cameral model at any time through a cryptographically signed declaration anchored to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 The declaration must include the steward's ORCID identifier (0009-0006-5966-1243), a timestamp from the hardware-bound clock, the current governance schema version hash from </w:t>
      </w:r>
      <w:r w:rsidDel="00000000" w:rsidR="00000000" w:rsidRPr="00000000">
        <w:rPr>
          <w:rFonts w:ascii="Roboto Mono" w:cs="Roboto Mono" w:eastAsia="Roboto Mono" w:hAnsi="Roboto Mono"/>
          <w:color w:val="188038"/>
          <w:rtl w:val="0"/>
        </w:rPr>
        <w:t xml:space="preserve">activeAxiomSetHash</w:t>
      </w:r>
      <w:r w:rsidDel="00000000" w:rsidR="00000000" w:rsidRPr="00000000">
        <w:rPr>
          <w:rtl w:val="0"/>
        </w:rPr>
        <w:t xml:space="preserve">, and a statement of voluntary relinquishment in a form specified by the Stewardship Custodians. Voluntary relinquishment is the preferred succession path because it allows for planned transition rather than emergency response.</w:t>
      </w:r>
      <w:hyperlink r:id="rId1172">
        <w:r w:rsidDel="00000000" w:rsidR="00000000" w:rsidRPr="00000000">
          <w:rPr>
            <w:rtl w:val="0"/>
          </w:rPr>
          <w:t xml:space="preserve"> </w:t>
        </w:r>
      </w:hyperlink>
      <w:hyperlink r:id="rId1173">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53B">
      <w:pPr>
        <w:pStyle w:val="Heading3"/>
        <w:keepNext w:val="0"/>
        <w:keepLines w:val="0"/>
        <w:spacing w:before="280" w:lineRule="auto"/>
        <w:rPr>
          <w:b w:val="1"/>
          <w:bCs w:val="1"/>
          <w:color w:val="000000"/>
          <w:sz w:val="26"/>
          <w:szCs w:val="26"/>
        </w:rPr>
      </w:pPr>
      <w:bookmarkStart w:colFirst="0" w:colLast="0" w:name="_20qbky37bmdm" w:id="211"/>
      <w:bookmarkEnd w:id="211"/>
      <w:r w:rsidDel="00000000" w:rsidR="00000000" w:rsidRPr="00000000">
        <w:rPr>
          <w:b w:val="1"/>
          <w:bCs w:val="1"/>
          <w:color w:val="000000"/>
          <w:sz w:val="26"/>
          <w:szCs w:val="26"/>
          <w:rtl w:val="0"/>
        </w:rPr>
        <w:t xml:space="preserve">13.1.2 Succession Protocol Activation</w:t>
      </w:r>
    </w:p>
    <w:p w:rsidR="00000000" w:rsidDel="00000000" w:rsidP="00000000" w:rsidRDefault="00000000" w:rsidRPr="00000000" w14:paraId="0000053C">
      <w:pPr>
        <w:spacing w:after="240" w:before="240" w:lineRule="auto"/>
        <w:rPr>
          <w:color w:val="1155cc"/>
          <w:u w:val="single"/>
        </w:rPr>
      </w:pPr>
      <w:r w:rsidDel="00000000" w:rsidR="00000000" w:rsidRPr="00000000">
        <w:rPr>
          <w:rtl w:val="0"/>
        </w:rPr>
        <w:t xml:space="preserve">Upon verified trigger, the Stewardship Custodians convene an emergency quorum within seventy-two hours, verified via </w:t>
      </w:r>
      <w:r w:rsidDel="00000000" w:rsidR="00000000" w:rsidRPr="00000000">
        <w:rPr>
          <w:rFonts w:ascii="Roboto Mono" w:cs="Roboto Mono" w:eastAsia="Roboto Mono" w:hAnsi="Roboto Mono"/>
          <w:color w:val="188038"/>
          <w:rtl w:val="0"/>
        </w:rPr>
        <w:t xml:space="preserve">GET /regulator/custodian-quorum</w:t>
      </w:r>
      <w:r w:rsidDel="00000000" w:rsidR="00000000" w:rsidRPr="00000000">
        <w:rPr>
          <w:rtl w:val="0"/>
        </w:rPr>
        <w:t xml:space="preserve">. The quorum validates the trigger through independent evidentiary channels. If the quorum validates the trigger, the Succession Declaration activates. If the quorum cannot validate the trigger within the deadline, the framework enters maximum-conservative governance mode: all new proposals receive automatic Epistemic Hold via </w:t>
      </w:r>
      <w:r w:rsidDel="00000000" w:rsidR="00000000" w:rsidRPr="00000000">
        <w:rPr>
          <w:rFonts w:ascii="Roboto Mono" w:cs="Roboto Mono" w:eastAsia="Roboto Mono" w:hAnsi="Roboto Mono"/>
          <w:color w:val="188038"/>
          <w:rtl w:val="0"/>
        </w:rPr>
        <w:t xml:space="preserve">EscrowRecord_v1_0_0</w:t>
      </w:r>
      <w:r w:rsidDel="00000000" w:rsidR="00000000" w:rsidRPr="00000000">
        <w:rPr>
          <w:rtl w:val="0"/>
        </w:rPr>
        <w:t xml:space="preserve"> and only routine, pre-validated transaction types continue to process until the validation question is resolved.</w:t>
      </w:r>
      <w:hyperlink r:id="rId1174">
        <w:r w:rsidDel="00000000" w:rsidR="00000000" w:rsidRPr="00000000">
          <w:rPr>
            <w:rtl w:val="0"/>
          </w:rPr>
          <w:t xml:space="preserve"> </w:t>
        </w:r>
      </w:hyperlink>
      <w:hyperlink r:id="rId1175">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53D">
      <w:pPr>
        <w:spacing w:after="240" w:before="240" w:lineRule="auto"/>
        <w:rPr/>
      </w:pPr>
      <w:r w:rsidDel="00000000" w:rsidR="00000000" w:rsidRPr="00000000">
        <w:rPr>
          <w:rtl w:val="0"/>
        </w:rPr>
        <w:t xml:space="preserve">Upon activation, the Succession Declaration executes three simultaneous actions.</w:t>
      </w:r>
    </w:p>
    <w:p w:rsidR="00000000" w:rsidDel="00000000" w:rsidP="00000000" w:rsidRDefault="00000000" w:rsidRPr="00000000" w14:paraId="0000053E">
      <w:pPr>
        <w:spacing w:after="240" w:before="240" w:lineRule="auto"/>
        <w:rPr>
          <w:color w:val="1155cc"/>
          <w:u w:val="single"/>
        </w:rPr>
      </w:pPr>
      <w:r w:rsidDel="00000000" w:rsidR="00000000" w:rsidRPr="00000000">
        <w:rPr>
          <w:b w:val="1"/>
          <w:bCs w:val="1"/>
          <w:rtl w:val="0"/>
        </w:rPr>
        <w:t xml:space="preserve">Action 1: Authority Distribution.</w:t>
      </w:r>
      <w:r w:rsidDel="00000000" w:rsidR="00000000" w:rsidRPr="00000000">
        <w:rPr>
          <w:rtl w:val="0"/>
        </w:rPr>
        <w:t xml:space="preserve"> The founding steward's residual governance authority is distributed across the three chambers according to their mandates. The Technical Council assumes responsibility for the mathematical and cryptographic integrity functions previously held by the steward. The Stewardship Custodians assume responsibility for governance schema interpretation and Goukassian Vow enforcement functions. The Smart Contract Treasury assumes responsibility for economic sustainability and resource allocation functions. No single chamber inherits the founding steward's unified authority. The governance design intentionally fragments the founder's role to prevent succession from creating a new single point of capture.</w:t>
      </w:r>
      <w:hyperlink r:id="rId1176">
        <w:r w:rsidDel="00000000" w:rsidR="00000000" w:rsidRPr="00000000">
          <w:rPr>
            <w:rtl w:val="0"/>
          </w:rPr>
          <w:t xml:space="preserve"> </w:t>
        </w:r>
      </w:hyperlink>
      <w:hyperlink r:id="rId1177">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53F">
      <w:pPr>
        <w:spacing w:after="240" w:before="240" w:lineRule="auto"/>
        <w:rPr>
          <w:color w:val="1155cc"/>
          <w:u w:val="single"/>
        </w:rPr>
      </w:pPr>
      <w:r w:rsidDel="00000000" w:rsidR="00000000" w:rsidRPr="00000000">
        <w:rPr>
          <w:b w:val="1"/>
          <w:bCs w:val="1"/>
          <w:rtl w:val="0"/>
        </w:rPr>
        <w:t xml:space="preserve">Action 2: Key Material Retirement.</w:t>
      </w:r>
      <w:r w:rsidDel="00000000" w:rsidR="00000000" w:rsidRPr="00000000">
        <w:rPr>
          <w:rtl w:val="0"/>
        </w:rPr>
        <w:t xml:space="preserve"> All cryptographic key material held by the founding steward in a personal capacity is cryptographically retired through the </w:t>
      </w:r>
      <w:r w:rsidDel="00000000" w:rsidR="00000000" w:rsidRPr="00000000">
        <w:rPr>
          <w:rFonts w:ascii="Roboto Mono" w:cs="Roboto Mono" w:eastAsia="Roboto Mono" w:hAnsi="Roboto Mono"/>
          <w:color w:val="188038"/>
          <w:rtl w:val="0"/>
        </w:rPr>
        <w:t xml:space="preserve">HKDF-SHA3-256</w:t>
      </w:r>
      <w:r w:rsidDel="00000000" w:rsidR="00000000" w:rsidRPr="00000000">
        <w:rPr>
          <w:rtl w:val="0"/>
        </w:rPr>
        <w:t xml:space="preserve"> destruction protocol, confirmed through </w:t>
      </w:r>
      <w:r w:rsidDel="00000000" w:rsidR="00000000" w:rsidRPr="00000000">
        <w:rPr>
          <w:rFonts w:ascii="Roboto Mono" w:cs="Roboto Mono" w:eastAsia="Roboto Mono" w:hAnsi="Roboto Mono"/>
          <w:color w:val="188038"/>
          <w:rtl w:val="0"/>
        </w:rPr>
        <w:t xml:space="preserve">hkdfSha3256Confirmed: true</w:t>
      </w:r>
      <w:r w:rsidDel="00000000" w:rsidR="00000000" w:rsidRPr="00000000">
        <w:rPr>
          <w:rtl w:val="0"/>
        </w:rPr>
        <w:t xml:space="preserve"> in the retirement </w:t>
      </w:r>
      <w:r w:rsidDel="00000000" w:rsidR="00000000" w:rsidRPr="00000000">
        <w:rPr>
          <w:rFonts w:ascii="Roboto Mono" w:cs="Roboto Mono" w:eastAsia="Roboto Mono" w:hAnsi="Roboto Mono"/>
          <w:color w:val="188038"/>
          <w:rtl w:val="0"/>
        </w:rPr>
        <w:t xml:space="preserve">EKRRecord_v1_0_0</w:t>
      </w:r>
      <w:r w:rsidDel="00000000" w:rsidR="00000000" w:rsidRPr="00000000">
        <w:rPr>
          <w:rtl w:val="0"/>
        </w:rPr>
        <w:t xml:space="preserve"> entry. The retirement generates a Decision Log anchored to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 creating a permanent record of the key lifecycle termination. Subsequent governance actions signed with the retired key material are rejected by the Governance Lane's Layer 2 cryptographic integrity check.</w:t>
      </w:r>
      <w:hyperlink r:id="rId1178">
        <w:r w:rsidDel="00000000" w:rsidR="00000000" w:rsidRPr="00000000">
          <w:rPr>
            <w:rtl w:val="0"/>
          </w:rPr>
          <w:t xml:space="preserve"> </w:t>
        </w:r>
      </w:hyperlink>
      <w:hyperlink r:id="rId1179">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540">
      <w:pPr>
        <w:spacing w:after="240" w:before="240" w:lineRule="auto"/>
        <w:rPr>
          <w:color w:val="1155cc"/>
          <w:u w:val="single"/>
        </w:rPr>
      </w:pPr>
      <w:r w:rsidDel="00000000" w:rsidR="00000000" w:rsidRPr="00000000">
        <w:rPr>
          <w:b w:val="1"/>
          <w:bCs w:val="1"/>
          <w:rtl w:val="0"/>
        </w:rPr>
        <w:t xml:space="preserve">Action 3: Succession Record Anchoring.</w:t>
      </w:r>
      <w:r w:rsidDel="00000000" w:rsidR="00000000" w:rsidRPr="00000000">
        <w:rPr>
          <w:rtl w:val="0"/>
        </w:rPr>
        <w:t xml:space="preserve"> The complete succession record - the trigger documentation, the Stewardship Custodian quorum vote, the authority distribution decision, and the key retirement certificate - is compiled into a Succession Decision Log and anchored to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 with all three chains confirming the anchor under the </w:t>
      </w:r>
      <w:r w:rsidDel="00000000" w:rsidR="00000000" w:rsidRPr="00000000">
        <w:rPr>
          <w:rFonts w:ascii="Roboto Mono" w:cs="Roboto Mono" w:eastAsia="Roboto Mono" w:hAnsi="Roboto Mono"/>
          <w:color w:val="188038"/>
          <w:rtl w:val="0"/>
        </w:rPr>
        <w:t xml:space="preserve">3-of-5</w:t>
      </w:r>
      <w:r w:rsidDel="00000000" w:rsidR="00000000" w:rsidRPr="00000000">
        <w:rPr>
          <w:rtl w:val="0"/>
        </w:rPr>
        <w:t xml:space="preserve"> quorum requirement. The </w:t>
      </w:r>
      <w:r w:rsidDel="00000000" w:rsidR="00000000" w:rsidRPr="00000000">
        <w:rPr>
          <w:rFonts w:ascii="Roboto Mono" w:cs="Roboto Mono" w:eastAsia="Roboto Mono" w:hAnsi="Roboto Mono"/>
          <w:color w:val="188038"/>
          <w:rtl w:val="0"/>
        </w:rPr>
        <w:t xml:space="preserve">pqcMigrationStatus</w:t>
      </w:r>
      <w:r w:rsidDel="00000000" w:rsidR="00000000" w:rsidRPr="00000000">
        <w:rPr>
          <w:rtl w:val="0"/>
        </w:rPr>
        <w:t xml:space="preserve"> field in </w:t>
      </w:r>
      <w:r w:rsidDel="00000000" w:rsidR="00000000" w:rsidRPr="00000000">
        <w:rPr>
          <w:rFonts w:ascii="Roboto Mono" w:cs="Roboto Mono" w:eastAsia="Roboto Mono" w:hAnsi="Roboto Mono"/>
          <w:color w:val="188038"/>
          <w:rtl w:val="0"/>
        </w:rPr>
        <w:t xml:space="preserve">SuccessionDeclaration_v1_0_0</w:t>
      </w:r>
      <w:r w:rsidDel="00000000" w:rsidR="00000000" w:rsidRPr="00000000">
        <w:rPr>
          <w:rtl w:val="0"/>
        </w:rPr>
        <w:t xml:space="preserve"> records whether the post-quantum migration was complete at the time of succession, providing future Tri-Cameral members with the cryptographic posture inherited at the moment of transition.</w:t>
      </w:r>
      <w:hyperlink r:id="rId1180">
        <w:r w:rsidDel="00000000" w:rsidR="00000000" w:rsidRPr="00000000">
          <w:rPr>
            <w:rtl w:val="0"/>
          </w:rPr>
          <w:t xml:space="preserve"> </w:t>
        </w:r>
      </w:hyperlink>
      <w:hyperlink r:id="rId1181">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541">
      <w:pPr>
        <w:pStyle w:val="Heading3"/>
        <w:keepNext w:val="0"/>
        <w:keepLines w:val="0"/>
        <w:spacing w:before="280" w:lineRule="auto"/>
        <w:rPr>
          <w:b w:val="1"/>
          <w:bCs w:val="1"/>
          <w:color w:val="000000"/>
          <w:sz w:val="26"/>
          <w:szCs w:val="26"/>
        </w:rPr>
      </w:pPr>
      <w:bookmarkStart w:colFirst="0" w:colLast="0" w:name="_qhiysxb99410" w:id="212"/>
      <w:bookmarkEnd w:id="212"/>
      <w:r w:rsidDel="00000000" w:rsidR="00000000" w:rsidRPr="00000000">
        <w:rPr>
          <w:b w:val="1"/>
          <w:bCs w:val="1"/>
          <w:color w:val="000000"/>
          <w:sz w:val="26"/>
          <w:szCs w:val="26"/>
          <w:rtl w:val="0"/>
        </w:rPr>
        <w:t xml:space="preserve">13.1.3 The Conservative Schema Fallback</w:t>
      </w:r>
    </w:p>
    <w:p w:rsidR="00000000" w:rsidDel="00000000" w:rsidP="00000000" w:rsidRDefault="00000000" w:rsidRPr="00000000" w14:paraId="00000542">
      <w:pPr>
        <w:spacing w:after="240" w:before="240" w:lineRule="auto"/>
        <w:rPr>
          <w:color w:val="1155cc"/>
          <w:u w:val="single"/>
        </w:rPr>
      </w:pPr>
      <w:r w:rsidDel="00000000" w:rsidR="00000000" w:rsidRPr="00000000">
        <w:rPr>
          <w:rtl w:val="0"/>
        </w:rPr>
        <w:t xml:space="preserve">When the Succession Declaration activates, the Governance Lane automatically evaluates whether the active governance schema satisfies the conservative schema fallback criteria. The rollback target must satisfy two conditions: it was adopted through valid Tri-Cameral supermajority process with no evidence of capture evidenced in </w:t>
      </w:r>
      <w:r w:rsidDel="00000000" w:rsidR="00000000" w:rsidRPr="00000000">
        <w:rPr>
          <w:rFonts w:ascii="Roboto Mono" w:cs="Roboto Mono" w:eastAsia="Roboto Mono" w:hAnsi="Roboto Mono"/>
          <w:color w:val="188038"/>
          <w:rtl w:val="0"/>
        </w:rPr>
        <w:t xml:space="preserve">GET /audit-logs/{logId}</w:t>
      </w:r>
      <w:r w:rsidDel="00000000" w:rsidR="00000000" w:rsidRPr="00000000">
        <w:rPr>
          <w:rtl w:val="0"/>
        </w:rPr>
        <w:t xml:space="preserve">, and it is not more permissive than the original deployment schema in any governance boundary definition recorded in </w:t>
      </w:r>
      <w:r w:rsidDel="00000000" w:rsidR="00000000" w:rsidRPr="00000000">
        <w:rPr>
          <w:rFonts w:ascii="Roboto Mono" w:cs="Roboto Mono" w:eastAsia="Roboto Mono" w:hAnsi="Roboto Mono"/>
          <w:color w:val="188038"/>
          <w:rtl w:val="0"/>
        </w:rPr>
        <w:t xml:space="preserve">ThresholdProfile_v1_0_0</w:t>
      </w:r>
      <w:r w:rsidDel="00000000" w:rsidR="00000000" w:rsidRPr="00000000">
        <w:rPr>
          <w:rtl w:val="0"/>
        </w:rPr>
        <w:t xml:space="preserve">.</w:t>
      </w:r>
      <w:hyperlink r:id="rId1182">
        <w:r w:rsidDel="00000000" w:rsidR="00000000" w:rsidRPr="00000000">
          <w:rPr>
            <w:rtl w:val="0"/>
          </w:rPr>
          <w:t xml:space="preserve"> </w:t>
        </w:r>
      </w:hyperlink>
      <w:hyperlink r:id="rId1183">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543">
      <w:pPr>
        <w:spacing w:after="240" w:before="240" w:lineRule="auto"/>
        <w:rPr>
          <w:color w:val="1155cc"/>
          <w:u w:val="single"/>
        </w:rPr>
      </w:pPr>
      <w:r w:rsidDel="00000000" w:rsidR="00000000" w:rsidRPr="00000000">
        <w:rPr>
          <w:rtl w:val="0"/>
        </w:rPr>
        <w:t xml:space="preserve">If the active schema fails these criteria, the Governance Lane rolls back to the most conservative qualifying version anchored to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This rollback is operationally disruptive: it immediately tightens evidentiary thresholds configured via </w:t>
      </w:r>
      <w:r w:rsidDel="00000000" w:rsidR="00000000" w:rsidRPr="00000000">
        <w:rPr>
          <w:rFonts w:ascii="Roboto Mono" w:cs="Roboto Mono" w:eastAsia="Roboto Mono" w:hAnsi="Roboto Mono"/>
          <w:color w:val="188038"/>
          <w:rtl w:val="0"/>
        </w:rPr>
        <w:t xml:space="preserve">PUT /thresholds/{domain}</w:t>
      </w:r>
      <w:r w:rsidDel="00000000" w:rsidR="00000000" w:rsidRPr="00000000">
        <w:rPr>
          <w:rtl w:val="0"/>
        </w:rPr>
        <w:t xml:space="preserve">, reactivates governance boundaries that had been relaxed through schema modification via </w:t>
      </w:r>
      <w:r w:rsidDel="00000000" w:rsidR="00000000" w:rsidRPr="00000000">
        <w:rPr>
          <w:rFonts w:ascii="Roboto Mono" w:cs="Roboto Mono" w:eastAsia="Roboto Mono" w:hAnsi="Roboto Mono"/>
          <w:color w:val="188038"/>
          <w:rtl w:val="0"/>
        </w:rPr>
        <w:t xml:space="preserve">POST /pillars/{pillarId}/configure</w:t>
      </w:r>
      <w:r w:rsidDel="00000000" w:rsidR="00000000" w:rsidRPr="00000000">
        <w:rPr>
          <w:rtl w:val="0"/>
        </w:rPr>
        <w:t xml:space="preserve">, and causes Epistemic Hold or Refuse on proposals that previously received Proceed under the more permissive schema. This disruption is intentional. The conservative schema fallback is a governance emergency response that treats disruption as preferable to continued operation under a compromised schema.</w:t>
      </w:r>
      <w:hyperlink r:id="rId1184">
        <w:r w:rsidDel="00000000" w:rsidR="00000000" w:rsidRPr="00000000">
          <w:rPr>
            <w:rtl w:val="0"/>
          </w:rPr>
          <w:t xml:space="preserve"> </w:t>
        </w:r>
      </w:hyperlink>
      <w:hyperlink r:id="rId1185">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544">
      <w:pPr>
        <w:pStyle w:val="Heading3"/>
        <w:keepNext w:val="0"/>
        <w:keepLines w:val="0"/>
        <w:spacing w:before="280" w:lineRule="auto"/>
        <w:rPr>
          <w:b w:val="1"/>
          <w:bCs w:val="1"/>
          <w:color w:val="000000"/>
          <w:sz w:val="26"/>
          <w:szCs w:val="26"/>
        </w:rPr>
      </w:pPr>
      <w:bookmarkStart w:colFirst="0" w:colLast="0" w:name="_rkrnjaj8ukb1" w:id="213"/>
      <w:bookmarkEnd w:id="213"/>
      <w:r w:rsidDel="00000000" w:rsidR="00000000" w:rsidRPr="00000000">
        <w:rPr>
          <w:b w:val="1"/>
          <w:bCs w:val="1"/>
          <w:color w:val="000000"/>
          <w:sz w:val="26"/>
          <w:szCs w:val="26"/>
          <w:rtl w:val="0"/>
        </w:rPr>
        <w:t xml:space="preserve">13.1.4 What Succession Does Not Transfer</w:t>
      </w:r>
    </w:p>
    <w:p w:rsidR="00000000" w:rsidDel="00000000" w:rsidP="00000000" w:rsidRDefault="00000000" w:rsidRPr="00000000" w14:paraId="00000545">
      <w:pPr>
        <w:spacing w:after="240" w:before="240" w:lineRule="auto"/>
        <w:rPr>
          <w:color w:val="1155cc"/>
          <w:u w:val="single"/>
        </w:rPr>
      </w:pPr>
      <w:r w:rsidDel="00000000" w:rsidR="00000000" w:rsidRPr="00000000">
        <w:rPr>
          <w:rtl w:val="0"/>
        </w:rPr>
        <w:t xml:space="preserve">The Succession Declaration transfers governance authority. It does not transfer the Goukassian Vow, the governance schema, the Eight Pillars, or the NL=NA covenant. These foundational elements are not held by the founding steward in any proprietary sense. They exist in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tl_openapi.yaml</w:t>
      </w:r>
      <w:r w:rsidDel="00000000" w:rsidR="00000000" w:rsidRPr="00000000">
        <w:rPr>
          <w:rtl w:val="0"/>
        </w:rPr>
        <w:t xml:space="preserve"> under </w:t>
      </w:r>
      <w:r w:rsidDel="00000000" w:rsidR="00000000" w:rsidRPr="00000000">
        <w:rPr>
          <w:rFonts w:ascii="Roboto Mono" w:cs="Roboto Mono" w:eastAsia="Roboto Mono" w:hAnsi="Roboto Mono"/>
          <w:color w:val="188038"/>
          <w:rtl w:val="0"/>
        </w:rPr>
        <w:t xml:space="preserve">x-tl-constitutional-preamble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tl_schema.json</w:t>
      </w:r>
      <w:r w:rsidDel="00000000" w:rsidR="00000000" w:rsidRPr="00000000">
        <w:rPr>
          <w:rtl w:val="0"/>
        </w:rPr>
        <w:t xml:space="preserve">, and in the distributed implementations of the framework's participants. They survive the founding steward's authority not because the steward wills them to survive but because they are embedded in mathematical structures that no single actor controls.</w:t>
      </w:r>
      <w:hyperlink r:id="rId1186">
        <w:r w:rsidDel="00000000" w:rsidR="00000000" w:rsidRPr="00000000">
          <w:rPr>
            <w:rtl w:val="0"/>
          </w:rPr>
          <w:t xml:space="preserve"> </w:t>
        </w:r>
      </w:hyperlink>
      <w:hyperlink r:id="rId1187">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546">
      <w:pPr>
        <w:spacing w:after="240" w:before="240" w:lineRule="auto"/>
        <w:rPr/>
      </w:pPr>
      <w:r w:rsidDel="00000000" w:rsidR="00000000" w:rsidRPr="00000000">
        <w:rPr>
          <w:rtl w:val="0"/>
        </w:rPr>
        <w:t xml:space="preserve">The founding steward created the framework. The framework does not depend on the founding steward for its continued operation. This distinction between creation and dependence is the fundamental achievement of the Succession Declaration: it converts a governance framework whose authority traces to an individual into a governance framework whose authority traces to a distributed institutional architecture.</w:t>
      </w:r>
    </w:p>
    <w:p w:rsidR="00000000" w:rsidDel="00000000" w:rsidP="00000000" w:rsidRDefault="00000000" w:rsidRPr="00000000" w14:paraId="00000547">
      <w:pPr>
        <w:pStyle w:val="Heading2"/>
        <w:keepNext w:val="0"/>
        <w:keepLines w:val="0"/>
        <w:spacing w:after="80" w:lineRule="auto"/>
        <w:rPr>
          <w:b w:val="1"/>
          <w:bCs w:val="1"/>
          <w:sz w:val="34"/>
          <w:szCs w:val="34"/>
        </w:rPr>
      </w:pPr>
      <w:bookmarkStart w:colFirst="0" w:colLast="0" w:name="_nl7dbvypmcx4" w:id="214"/>
      <w:bookmarkEnd w:id="214"/>
      <w:r w:rsidDel="00000000" w:rsidR="00000000" w:rsidRPr="00000000">
        <w:rPr>
          <w:b w:val="1"/>
          <w:bCs w:val="1"/>
          <w:sz w:val="34"/>
          <w:szCs w:val="34"/>
          <w:rtl w:val="0"/>
        </w:rPr>
        <w:t xml:space="preserve">13.2 The Open Source License</w:t>
      </w:r>
    </w:p>
    <w:p w:rsidR="00000000" w:rsidDel="00000000" w:rsidP="00000000" w:rsidRDefault="00000000" w:rsidRPr="00000000" w14:paraId="00000548">
      <w:pPr>
        <w:spacing w:after="240" w:before="240" w:lineRule="auto"/>
        <w:rPr>
          <w:color w:val="1155cc"/>
          <w:u w:val="single"/>
        </w:rPr>
      </w:pPr>
      <w:r w:rsidDel="00000000" w:rsidR="00000000" w:rsidRPr="00000000">
        <w:rPr>
          <w:rtl w:val="0"/>
        </w:rPr>
        <w:t xml:space="preserve">The Open Source License is the legal instrument that prevents Ternary Logic from being privatized, enclosed, or subjected to proprietary control that would permit any owner to modify the governance schema for profit or to restrict access to the framework's protections.</w:t>
      </w:r>
      <w:hyperlink r:id="rId1188">
        <w:r w:rsidDel="00000000" w:rsidR="00000000" w:rsidRPr="00000000">
          <w:rPr>
            <w:rtl w:val="0"/>
          </w:rPr>
          <w:t xml:space="preserve"> </w:t>
        </w:r>
      </w:hyperlink>
      <w:hyperlink r:id="rId1189">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549">
      <w:pPr>
        <w:spacing w:after="240" w:before="240" w:lineRule="auto"/>
        <w:rPr>
          <w:color w:val="1155cc"/>
          <w:u w:val="single"/>
        </w:rPr>
      </w:pPr>
      <w:r w:rsidDel="00000000" w:rsidR="00000000" w:rsidRPr="00000000">
        <w:rPr>
          <w:rtl w:val="0"/>
        </w:rPr>
        <w:t xml:space="preserve">The License is not merely a software license. It is a governance covenant that binds every implementation, every fork, and every derivative work to the framework's foundational principles. It is anchored to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 with its own hash and chamber signatures through </w:t>
      </w:r>
      <w:r w:rsidDel="00000000" w:rsidR="00000000" w:rsidRPr="00000000">
        <w:rPr>
          <w:rFonts w:ascii="Roboto Mono" w:cs="Roboto Mono" w:eastAsia="Roboto Mono" w:hAnsi="Roboto Mono"/>
          <w:color w:val="188038"/>
          <w:rtl w:val="0"/>
        </w:rPr>
        <w:t xml:space="preserve">TriCameralApproval_v1_0_0</w:t>
      </w:r>
      <w:r w:rsidDel="00000000" w:rsidR="00000000" w:rsidRPr="00000000">
        <w:rPr>
          <w:rtl w:val="0"/>
        </w:rPr>
        <w:t xml:space="preserve">, making it as tamper-evident and permanently verifiable as any other governance record. Its canonical representation is referenced through </w:t>
      </w:r>
      <w:r w:rsidDel="00000000" w:rsidR="00000000" w:rsidRPr="00000000">
        <w:rPr>
          <w:rFonts w:ascii="Roboto Mono" w:cs="Roboto Mono" w:eastAsia="Roboto Mono" w:hAnsi="Roboto Mono"/>
          <w:color w:val="188038"/>
          <w:rtl w:val="0"/>
        </w:rPr>
        <w:t xml:space="preserve">canonicalMandateHashes</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eip712_typed_data.json</w:t>
      </w:r>
      <w:r w:rsidDel="00000000" w:rsidR="00000000" w:rsidRPr="00000000">
        <w:rPr>
          <w:rtl w:val="0"/>
        </w:rPr>
        <w:t xml:space="preserve">.</w:t>
      </w:r>
      <w:hyperlink r:id="rId1190">
        <w:r w:rsidDel="00000000" w:rsidR="00000000" w:rsidRPr="00000000">
          <w:rPr>
            <w:rtl w:val="0"/>
          </w:rPr>
          <w:t xml:space="preserve"> </w:t>
        </w:r>
      </w:hyperlink>
      <w:hyperlink r:id="rId1191">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54A">
      <w:pPr>
        <w:pStyle w:val="Heading3"/>
        <w:keepNext w:val="0"/>
        <w:keepLines w:val="0"/>
        <w:spacing w:before="280" w:lineRule="auto"/>
        <w:rPr>
          <w:b w:val="1"/>
          <w:bCs w:val="1"/>
          <w:color w:val="000000"/>
          <w:sz w:val="26"/>
          <w:szCs w:val="26"/>
        </w:rPr>
      </w:pPr>
      <w:bookmarkStart w:colFirst="0" w:colLast="0" w:name="_ahep9v5cvl8t" w:id="215"/>
      <w:bookmarkEnd w:id="215"/>
      <w:r w:rsidDel="00000000" w:rsidR="00000000" w:rsidRPr="00000000">
        <w:rPr>
          <w:b w:val="1"/>
          <w:bCs w:val="1"/>
          <w:color w:val="000000"/>
          <w:sz w:val="26"/>
          <w:szCs w:val="26"/>
          <w:rtl w:val="0"/>
        </w:rPr>
        <w:t xml:space="preserve">13.2.1 The Three Covenants</w:t>
      </w:r>
    </w:p>
    <w:p w:rsidR="00000000" w:rsidDel="00000000" w:rsidP="00000000" w:rsidRDefault="00000000" w:rsidRPr="00000000" w14:paraId="0000054B">
      <w:pPr>
        <w:spacing w:after="240" w:before="240" w:lineRule="auto"/>
        <w:rPr/>
      </w:pPr>
      <w:r w:rsidDel="00000000" w:rsidR="00000000" w:rsidRPr="00000000">
        <w:rPr>
          <w:rtl w:val="0"/>
        </w:rPr>
        <w:t xml:space="preserve">The License operates through three binding covenants that are individually enforceable and collectively self-reinforcing.</w:t>
      </w:r>
    </w:p>
    <w:p w:rsidR="00000000" w:rsidDel="00000000" w:rsidP="00000000" w:rsidRDefault="00000000" w:rsidRPr="00000000" w14:paraId="0000054C">
      <w:pPr>
        <w:spacing w:after="240" w:before="240" w:lineRule="auto"/>
        <w:rPr>
          <w:color w:val="1155cc"/>
          <w:u w:val="single"/>
        </w:rPr>
      </w:pPr>
      <w:r w:rsidDel="00000000" w:rsidR="00000000" w:rsidRPr="00000000">
        <w:rPr>
          <w:b w:val="1"/>
          <w:bCs w:val="1"/>
          <w:rtl w:val="0"/>
        </w:rPr>
        <w:t xml:space="preserve">Covenant 1: Attribution.</w:t>
      </w:r>
      <w:r w:rsidDel="00000000" w:rsidR="00000000" w:rsidRPr="00000000">
        <w:rPr>
          <w:rtl w:val="0"/>
        </w:rPr>
        <w:t xml:space="preserve"> Any implementation, modification, or derivative work must include the original Goukassian Vow text as specified in </w:t>
      </w:r>
      <w:r w:rsidDel="00000000" w:rsidR="00000000" w:rsidRPr="00000000">
        <w:rPr>
          <w:rFonts w:ascii="Roboto Mono" w:cs="Roboto Mono" w:eastAsia="Roboto Mono" w:hAnsi="Roboto Mono"/>
          <w:color w:val="188038"/>
          <w:rtl w:val="0"/>
        </w:rPr>
        <w:t xml:space="preserve">tl_openapi.yaml</w:t>
      </w:r>
      <w:r w:rsidDel="00000000" w:rsidR="00000000" w:rsidRPr="00000000">
        <w:rPr>
          <w:rtl w:val="0"/>
        </w:rPr>
        <w:t xml:space="preserve"> under </w:t>
      </w:r>
      <w:r w:rsidDel="00000000" w:rsidR="00000000" w:rsidRPr="00000000">
        <w:rPr>
          <w:rFonts w:ascii="Roboto Mono" w:cs="Roboto Mono" w:eastAsia="Roboto Mono" w:hAnsi="Roboto Mono"/>
          <w:color w:val="188038"/>
          <w:rtl w:val="0"/>
        </w:rPr>
        <w:t xml:space="preserve">x-tl-constitutional-preamble</w:t>
      </w:r>
      <w:r w:rsidDel="00000000" w:rsidR="00000000" w:rsidRPr="00000000">
        <w:rPr>
          <w:rtl w:val="0"/>
        </w:rPr>
        <w:t xml:space="preserve">, the Eight Pillars specification as defined in </w:t>
      </w:r>
      <w:r w:rsidDel="00000000" w:rsidR="00000000" w:rsidRPr="00000000">
        <w:rPr>
          <w:rFonts w:ascii="Roboto Mono" w:cs="Roboto Mono" w:eastAsia="Roboto Mono" w:hAnsi="Roboto Mono"/>
          <w:color w:val="188038"/>
          <w:rtl w:val="0"/>
        </w:rPr>
        <w:t xml:space="preserve">PillarIdentifier_v1_0_0</w:t>
      </w:r>
      <w:r w:rsidDel="00000000" w:rsidR="00000000" w:rsidRPr="00000000">
        <w:rPr>
          <w:rtl w:val="0"/>
        </w:rPr>
        <w:t xml:space="preserve">, and the founding steward's ORCID identifier (0009-0006-5966-1243).</w:t>
      </w:r>
      <w:hyperlink r:id="rId1192">
        <w:r w:rsidDel="00000000" w:rsidR="00000000" w:rsidRPr="00000000">
          <w:rPr>
            <w:rtl w:val="0"/>
          </w:rPr>
          <w:t xml:space="preserve"> </w:t>
        </w:r>
      </w:hyperlink>
      <w:hyperlink r:id="rId1193">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54D">
      <w:pPr>
        <w:spacing w:after="240" w:before="240" w:lineRule="auto"/>
        <w:rPr/>
      </w:pPr>
      <w:r w:rsidDel="00000000" w:rsidR="00000000" w:rsidRPr="00000000">
        <w:rPr>
          <w:rtl w:val="0"/>
        </w:rPr>
        <w:t xml:space="preserve">This covenant prevents the framework from being forked into a stripped-down version that lacks the foundational elements while still claiming TL identity. It ensures that every instance of TL carries the trace of its ethical and governance origin. The attribution is not a vanity requirement. It is a provenance chain that allows any observer to trace a deployed implementation back to the original specification and verify whether the implementation's governance schema is consistent with the original intent.</w:t>
      </w:r>
    </w:p>
    <w:p w:rsidR="00000000" w:rsidDel="00000000" w:rsidP="00000000" w:rsidRDefault="00000000" w:rsidRPr="00000000" w14:paraId="0000054E">
      <w:pPr>
        <w:spacing w:after="240" w:before="240" w:lineRule="auto"/>
        <w:rPr>
          <w:color w:val="1155cc"/>
          <w:u w:val="single"/>
        </w:rPr>
      </w:pPr>
      <w:r w:rsidDel="00000000" w:rsidR="00000000" w:rsidRPr="00000000">
        <w:rPr>
          <w:rtl w:val="0"/>
        </w:rPr>
        <w:t xml:space="preserve">The attribution requirement cannot be satisfied by reference alone. The Goukassian Vow text must appear verbatim. The Eight Pillars specification must be functionally operative - not merely cited. The ORCID identifier must appear in the implementation's public governance documentation and in the </w:t>
      </w:r>
      <w:r w:rsidDel="00000000" w:rsidR="00000000" w:rsidRPr="00000000">
        <w:rPr>
          <w:rFonts w:ascii="Roboto Mono" w:cs="Roboto Mono" w:eastAsia="Roboto Mono" w:hAnsi="Roboto Mono"/>
          <w:color w:val="188038"/>
          <w:rtl w:val="0"/>
        </w:rPr>
        <w:t xml:space="preserve">Signature</w:t>
      </w:r>
      <w:r w:rsidDel="00000000" w:rsidR="00000000" w:rsidRPr="00000000">
        <w:rPr>
          <w:rtl w:val="0"/>
        </w:rPr>
        <w:t xml:space="preserve"> artifact of </w:t>
      </w:r>
      <w:r w:rsidDel="00000000" w:rsidR="00000000" w:rsidRPr="00000000">
        <w:rPr>
          <w:rFonts w:ascii="Roboto Mono" w:cs="Roboto Mono" w:eastAsia="Roboto Mono" w:hAnsi="Roboto Mono"/>
          <w:color w:val="188038"/>
          <w:rtl w:val="0"/>
        </w:rPr>
        <w:t xml:space="preserve">GoukassianPrincipleBlock_v1_0_0</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lantern</w:t>
      </w:r>
      <w:r w:rsidDel="00000000" w:rsidR="00000000" w:rsidRPr="00000000">
        <w:rPr>
          <w:rtl w:val="0"/>
        </w:rPr>
        <w:t xml:space="preserve"> beacon's integrity self-test via </w:t>
      </w:r>
      <w:r w:rsidDel="00000000" w:rsidR="00000000" w:rsidRPr="00000000">
        <w:rPr>
          <w:rFonts w:ascii="Roboto Mono" w:cs="Roboto Mono" w:eastAsia="Roboto Mono" w:hAnsi="Roboto Mono"/>
          <w:color w:val="188038"/>
          <w:rtl w:val="0"/>
        </w:rPr>
        <w:t xml:space="preserve">GET /epistemic-hold/lantern</w:t>
      </w:r>
      <w:r w:rsidDel="00000000" w:rsidR="00000000" w:rsidRPr="00000000">
        <w:rPr>
          <w:rtl w:val="0"/>
        </w:rPr>
        <w:t xml:space="preserve"> evaluates whether the attribution is operative rather than decorative: a </w:t>
      </w:r>
      <w:r w:rsidDel="00000000" w:rsidR="00000000" w:rsidRPr="00000000">
        <w:rPr>
          <w:rFonts w:ascii="Roboto Mono" w:cs="Roboto Mono" w:eastAsia="Roboto Mono" w:hAnsi="Roboto Mono"/>
          <w:color w:val="188038"/>
          <w:rtl w:val="0"/>
        </w:rPr>
        <w:t xml:space="preserve">compliancePosture</w:t>
      </w:r>
      <w:r w:rsidDel="00000000" w:rsidR="00000000" w:rsidRPr="00000000">
        <w:rPr>
          <w:rtl w:val="0"/>
        </w:rPr>
        <w:t xml:space="preserve"> value of </w:t>
      </w:r>
      <w:r w:rsidDel="00000000" w:rsidR="00000000" w:rsidRPr="00000000">
        <w:rPr>
          <w:rFonts w:ascii="Roboto Mono" w:cs="Roboto Mono" w:eastAsia="Roboto Mono" w:hAnsi="Roboto Mono"/>
          <w:color w:val="188038"/>
          <w:rtl w:val="0"/>
        </w:rPr>
        <w:t xml:space="preserve">EPISTEMIC_HOLD_ACTIVE</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holdRationale.pillarImplicated</w:t>
      </w:r>
      <w:r w:rsidDel="00000000" w:rsidR="00000000" w:rsidRPr="00000000">
        <w:rPr>
          <w:rtl w:val="0"/>
        </w:rPr>
        <w:t xml:space="preserve"> set to </w:t>
      </w:r>
      <w:r w:rsidDel="00000000" w:rsidR="00000000" w:rsidRPr="00000000">
        <w:rPr>
          <w:rFonts w:ascii="Roboto Mono" w:cs="Roboto Mono" w:eastAsia="Roboto Mono" w:hAnsi="Roboto Mono"/>
          <w:color w:val="188038"/>
          <w:rtl w:val="0"/>
        </w:rPr>
        <w:t xml:space="preserve">"GoukassianPrinciple"</w:t>
      </w:r>
      <w:r w:rsidDel="00000000" w:rsidR="00000000" w:rsidRPr="00000000">
        <w:rPr>
          <w:rtl w:val="0"/>
        </w:rPr>
        <w:t xml:space="preserve"> signals attribution failure to all monitoring parties.</w:t>
      </w:r>
      <w:hyperlink r:id="rId1194">
        <w:r w:rsidDel="00000000" w:rsidR="00000000" w:rsidRPr="00000000">
          <w:rPr>
            <w:rtl w:val="0"/>
          </w:rPr>
          <w:t xml:space="preserve"> </w:t>
        </w:r>
      </w:hyperlink>
      <w:hyperlink r:id="rId1195">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54F">
      <w:pPr>
        <w:spacing w:after="240" w:before="240" w:lineRule="auto"/>
        <w:rPr>
          <w:color w:val="1155cc"/>
          <w:u w:val="single"/>
        </w:rPr>
      </w:pPr>
      <w:r w:rsidDel="00000000" w:rsidR="00000000" w:rsidRPr="00000000">
        <w:rPr>
          <w:b w:val="1"/>
          <w:bCs w:val="1"/>
          <w:rtl w:val="0"/>
        </w:rPr>
        <w:t xml:space="preserve">Covenant 2: Non-Enclosure.</w:t>
      </w:r>
      <w:r w:rsidDel="00000000" w:rsidR="00000000" w:rsidRPr="00000000">
        <w:rPr>
          <w:rtl w:val="0"/>
        </w:rPr>
        <w:t xml:space="preserve"> No entity may impose proprietary restrictions - including patent claims, trade secret protection, or exclusive licensing - on any component of the framework that would prevent others from exercising the rights granted by the License.</w:t>
      </w:r>
      <w:hyperlink r:id="rId1196">
        <w:r w:rsidDel="00000000" w:rsidR="00000000" w:rsidRPr="00000000">
          <w:rPr>
            <w:rtl w:val="0"/>
          </w:rPr>
          <w:t xml:space="preserve"> </w:t>
        </w:r>
      </w:hyperlink>
      <w:hyperlink r:id="rId1197">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550">
      <w:pPr>
        <w:spacing w:after="240" w:before="240" w:lineRule="auto"/>
        <w:rPr/>
      </w:pPr>
      <w:r w:rsidDel="00000000" w:rsidR="00000000" w:rsidRPr="00000000">
        <w:rPr>
          <w:rtl w:val="0"/>
        </w:rPr>
        <w:t xml:space="preserve">This covenant prevents the framework from being captured through intellectual property law. A corporation that modifies TL for internal use cannot patent the modification and then sue competitors who implement similar governance architecture. A nation-state cannot classify the framework as a state secret and restrict its export without violating the Non-Enclosure Covenant, which is itself anchored to an international distributed ledger outside any single jurisdiction's control - verifiable via </w:t>
      </w:r>
      <w:r w:rsidDel="00000000" w:rsidR="00000000" w:rsidRPr="00000000">
        <w:rPr>
          <w:rFonts w:ascii="Roboto Mono" w:cs="Roboto Mono" w:eastAsia="Roboto Mono" w:hAnsi="Roboto Mono"/>
          <w:color w:val="188038"/>
          <w:rtl w:val="0"/>
        </w:rPr>
        <w:t xml:space="preserve">GET /audit/verifications/merkle/{merkleRoot}</w:t>
      </w:r>
      <w:r w:rsidDel="00000000" w:rsidR="00000000" w:rsidRPr="00000000">
        <w:rPr>
          <w:rtl w:val="0"/>
        </w:rPr>
        <w:t xml:space="preserve">.</w:t>
      </w:r>
    </w:p>
    <w:p w:rsidR="00000000" w:rsidDel="00000000" w:rsidP="00000000" w:rsidRDefault="00000000" w:rsidRPr="00000000" w14:paraId="00000551">
      <w:pPr>
        <w:spacing w:after="240" w:before="240" w:lineRule="auto"/>
        <w:rPr/>
      </w:pPr>
      <w:r w:rsidDel="00000000" w:rsidR="00000000" w:rsidRPr="00000000">
        <w:rPr>
          <w:rtl w:val="0"/>
        </w:rPr>
        <w:t xml:space="preserve">The Non-Enclosure Covenant applies to the framework's governance architecture, its enforcement mechanisms, and its cryptographic protocols. It does not prohibit commercial development of TL-compatible products that add proprietary value on top of the open framework, provided those additions are genuinely additive and do not constitute alternative implementations of the enforcement mechanisms that the License requires to remain open.</w:t>
      </w:r>
    </w:p>
    <w:p w:rsidR="00000000" w:rsidDel="00000000" w:rsidP="00000000" w:rsidRDefault="00000000" w:rsidRPr="00000000" w14:paraId="00000552">
      <w:pPr>
        <w:spacing w:after="240" w:before="240" w:lineRule="auto"/>
        <w:rPr>
          <w:color w:val="1155cc"/>
          <w:u w:val="single"/>
        </w:rPr>
      </w:pPr>
      <w:r w:rsidDel="00000000" w:rsidR="00000000" w:rsidRPr="00000000">
        <w:rPr>
          <w:b w:val="1"/>
          <w:bCs w:val="1"/>
          <w:rtl w:val="0"/>
        </w:rPr>
        <w:t xml:space="preserve">Covenant 3: Constitutional Integrity.</w:t>
      </w:r>
      <w:r w:rsidDel="00000000" w:rsidR="00000000" w:rsidRPr="00000000">
        <w:rPr>
          <w:rtl w:val="0"/>
        </w:rPr>
        <w:t xml:space="preserve"> Any derivative work that modifies the governance schema, the Goukassian Vow, or the Eight Pillars must publish the modification to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 with a complete Decision Log justifying the change under the original governance criteria.</w:t>
      </w:r>
      <w:hyperlink r:id="rId1198">
        <w:r w:rsidDel="00000000" w:rsidR="00000000" w:rsidRPr="00000000">
          <w:rPr>
            <w:rtl w:val="0"/>
          </w:rPr>
          <w:t xml:space="preserve"> </w:t>
        </w:r>
      </w:hyperlink>
      <w:hyperlink r:id="rId1199">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553">
      <w:pPr>
        <w:spacing w:after="240" w:before="240" w:lineRule="auto"/>
        <w:rPr/>
      </w:pPr>
      <w:r w:rsidDel="00000000" w:rsidR="00000000" w:rsidRPr="00000000">
        <w:rPr>
          <w:rtl w:val="0"/>
        </w:rPr>
        <w:t xml:space="preserve">This covenant prevents semantic drift through concealed modification. A fork that relaxes the evidentiary requirements for Proceed via </w:t>
      </w:r>
      <w:r w:rsidDel="00000000" w:rsidR="00000000" w:rsidRPr="00000000">
        <w:rPr>
          <w:rFonts w:ascii="Roboto Mono" w:cs="Roboto Mono" w:eastAsia="Roboto Mono" w:hAnsi="Roboto Mono"/>
          <w:color w:val="188038"/>
          <w:rtl w:val="0"/>
        </w:rPr>
        <w:t xml:space="preserve">PUT /thresholds/{domain}</w:t>
      </w:r>
      <w:r w:rsidDel="00000000" w:rsidR="00000000" w:rsidRPr="00000000">
        <w:rPr>
          <w:rtl w:val="0"/>
        </w:rPr>
        <w:t xml:space="preserve"> cannot do so secretly. It must generate a public Decision Log that external auditors can review and challenge via </w:t>
      </w:r>
      <w:r w:rsidDel="00000000" w:rsidR="00000000" w:rsidRPr="00000000">
        <w:rPr>
          <w:rFonts w:ascii="Roboto Mono" w:cs="Roboto Mono" w:eastAsia="Roboto Mono" w:hAnsi="Roboto Mono"/>
          <w:color w:val="188038"/>
          <w:rtl w:val="0"/>
        </w:rPr>
        <w:t xml:space="preserve">GET /decisions/{decisionId}</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activeAxiomSetHash</w:t>
      </w:r>
      <w:r w:rsidDel="00000000" w:rsidR="00000000" w:rsidRPr="00000000">
        <w:rPr>
          <w:rtl w:val="0"/>
        </w:rPr>
        <w:t xml:space="preserve"> field in </w:t>
      </w:r>
      <w:r w:rsidDel="00000000" w:rsidR="00000000" w:rsidRPr="00000000">
        <w:rPr>
          <w:rFonts w:ascii="Roboto Mono" w:cs="Roboto Mono" w:eastAsia="Roboto Mono" w:hAnsi="Roboto Mono"/>
          <w:color w:val="188038"/>
          <w:rtl w:val="0"/>
        </w:rPr>
        <w:t xml:space="preserve">TGLF_StateP1_v1_0_0</w:t>
      </w:r>
      <w:r w:rsidDel="00000000" w:rsidR="00000000" w:rsidRPr="00000000">
        <w:rPr>
          <w:rtl w:val="0"/>
        </w:rPr>
        <w:t xml:space="preserve"> cryptographically binds every governance determination to the exact schema version under which it was made, creating a chain of custody for every interpretation of the Vow.</w:t>
      </w:r>
    </w:p>
    <w:p w:rsidR="00000000" w:rsidDel="00000000" w:rsidP="00000000" w:rsidRDefault="00000000" w:rsidRPr="00000000" w14:paraId="00000554">
      <w:pPr>
        <w:spacing w:after="240" w:before="240" w:lineRule="auto"/>
        <w:rPr>
          <w:color w:val="1155cc"/>
          <w:u w:val="single"/>
        </w:rPr>
      </w:pPr>
      <w:r w:rsidDel="00000000" w:rsidR="00000000" w:rsidRPr="00000000">
        <w:rPr>
          <w:rtl w:val="0"/>
        </w:rPr>
        <w:t xml:space="preserve">The Covenant is self-referential in a governance-sound way: a proposal to modify the License itself must pass through the full five-layer NL=NA enforcement architecture. The Governance Lane evaluates whether the proposed modification would weaken any of the three covenants, introduce a surveillance or weapons capability, or reduce the framework's governance strength relative to its current version. If it would, the Governance Lane issues Refuse. The License governs its own amendment.</w:t>
      </w:r>
      <w:hyperlink r:id="rId1200">
        <w:r w:rsidDel="00000000" w:rsidR="00000000" w:rsidRPr="00000000">
          <w:rPr>
            <w:rtl w:val="0"/>
          </w:rPr>
          <w:t xml:space="preserve"> </w:t>
        </w:r>
      </w:hyperlink>
      <w:hyperlink r:id="rId1201">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555">
      <w:pPr>
        <w:pStyle w:val="Heading3"/>
        <w:keepNext w:val="0"/>
        <w:keepLines w:val="0"/>
        <w:spacing w:before="280" w:lineRule="auto"/>
        <w:rPr>
          <w:b w:val="1"/>
          <w:bCs w:val="1"/>
          <w:color w:val="000000"/>
          <w:sz w:val="26"/>
          <w:szCs w:val="26"/>
        </w:rPr>
      </w:pPr>
      <w:bookmarkStart w:colFirst="0" w:colLast="0" w:name="_c7td02e86ffk" w:id="216"/>
      <w:bookmarkEnd w:id="216"/>
      <w:r w:rsidDel="00000000" w:rsidR="00000000" w:rsidRPr="00000000">
        <w:rPr>
          <w:b w:val="1"/>
          <w:bCs w:val="1"/>
          <w:color w:val="000000"/>
          <w:sz w:val="26"/>
          <w:szCs w:val="26"/>
          <w:rtl w:val="0"/>
        </w:rPr>
        <w:t xml:space="preserve">13.2.2 The Evidentiary Burden Inversion</w:t>
      </w:r>
    </w:p>
    <w:p w:rsidR="00000000" w:rsidDel="00000000" w:rsidP="00000000" w:rsidRDefault="00000000" w:rsidRPr="00000000" w14:paraId="00000556">
      <w:pPr>
        <w:spacing w:after="240" w:before="240" w:lineRule="auto"/>
        <w:rPr>
          <w:color w:val="1155cc"/>
          <w:u w:val="single"/>
        </w:rPr>
      </w:pPr>
      <w:r w:rsidDel="00000000" w:rsidR="00000000" w:rsidRPr="00000000">
        <w:rPr>
          <w:rtl w:val="0"/>
        </w:rPr>
        <w:t xml:space="preserve">The License's most operationally significant provision is the inversion of the evidentiary burden for compliance. Under conventional software licenses, the plaintiff bears the burden of proving that the defendant's use violates the license terms. Under the TL License, the defendant implementer bears the burden of proving that their implementation satisfies the governance criteria.</w:t>
      </w:r>
      <w:hyperlink r:id="rId1202">
        <w:r w:rsidDel="00000000" w:rsidR="00000000" w:rsidRPr="00000000">
          <w:rPr>
            <w:rtl w:val="0"/>
          </w:rPr>
          <w:t xml:space="preserve"> </w:t>
        </w:r>
      </w:hyperlink>
      <w:hyperlink r:id="rId1203">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557">
      <w:pPr>
        <w:spacing w:after="240" w:before="240" w:lineRule="auto"/>
        <w:rPr>
          <w:color w:val="1155cc"/>
          <w:u w:val="single"/>
        </w:rPr>
      </w:pPr>
      <w:r w:rsidDel="00000000" w:rsidR="00000000" w:rsidRPr="00000000">
        <w:rPr>
          <w:rtl w:val="0"/>
        </w:rPr>
        <w:t xml:space="preserve">Missing logs constitute presumptive evidence of negligence. The </w:t>
      </w:r>
      <w:r w:rsidDel="00000000" w:rsidR="00000000" w:rsidRPr="00000000">
        <w:rPr>
          <w:rFonts w:ascii="Roboto Mono" w:cs="Roboto Mono" w:eastAsia="Roboto Mono" w:hAnsi="Roboto Mono"/>
          <w:color w:val="188038"/>
          <w:rtl w:val="0"/>
        </w:rPr>
        <w:t xml:space="preserve">ghostGovernanceDetectionRate</w:t>
      </w:r>
      <w:r w:rsidDel="00000000" w:rsidR="00000000" w:rsidRPr="00000000">
        <w:rPr>
          <w:rtl w:val="0"/>
        </w:rPr>
        <w:t xml:space="preserve"> metric in </w:t>
      </w:r>
      <w:r w:rsidDel="00000000" w:rsidR="00000000" w:rsidRPr="00000000">
        <w:rPr>
          <w:rFonts w:ascii="Roboto Mono" w:cs="Roboto Mono" w:eastAsia="Roboto Mono" w:hAnsi="Roboto Mono"/>
          <w:color w:val="188038"/>
          <w:rtl w:val="0"/>
        </w:rPr>
        <w:t xml:space="preserve">GET /metrics/summary</w:t>
      </w:r>
      <w:r w:rsidDel="00000000" w:rsidR="00000000" w:rsidRPr="00000000">
        <w:rPr>
          <w:rtl w:val="0"/>
        </w:rPr>
        <w:t xml:space="preserve"> quantifies Ghost Governance prevention at the NL=NA physical commit boundary. The </w:t>
      </w:r>
      <w:r w:rsidDel="00000000" w:rsidR="00000000" w:rsidRPr="00000000">
        <w:rPr>
          <w:rFonts w:ascii="Roboto Mono" w:cs="Roboto Mono" w:eastAsia="Roboto Mono" w:hAnsi="Roboto Mono"/>
          <w:color w:val="188038"/>
          <w:rtl w:val="0"/>
        </w:rPr>
        <w:t xml:space="preserve">GhostGovernanceDetectedError</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tlErrorCode: "GHOST_GOVERNANCE_DETECTED_ERROR"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x-tl-state: -1</w:t>
      </w:r>
      <w:r w:rsidDel="00000000" w:rsidR="00000000" w:rsidRPr="00000000">
        <w:rPr>
          <w:rtl w:val="0"/>
        </w:rPr>
        <w:t xml:space="preserve"> fires when an actuation attempt occurs without a registered </w:t>
      </w:r>
      <w:r w:rsidDel="00000000" w:rsidR="00000000" w:rsidRPr="00000000">
        <w:rPr>
          <w:rFonts w:ascii="Roboto Mono" w:cs="Roboto Mono" w:eastAsia="Roboto Mono" w:hAnsi="Roboto Mono"/>
          <w:color w:val="188038"/>
          <w:rtl w:val="0"/>
        </w:rPr>
        <w:t xml:space="preserve">PermissionToken_v1_0_0</w:t>
      </w:r>
      <w:r w:rsidDel="00000000" w:rsidR="00000000" w:rsidRPr="00000000">
        <w:rPr>
          <w:rtl w:val="0"/>
        </w:rPr>
        <w:t xml:space="preserve">. A court evaluating a TL License dispute need only determine whether the required Decision Logs exist and whether they satisfy the schema requirements. If the </w:t>
      </w:r>
      <w:r w:rsidDel="00000000" w:rsidR="00000000" w:rsidRPr="00000000">
        <w:rPr>
          <w:rFonts w:ascii="Roboto Mono" w:cs="Roboto Mono" w:eastAsia="Roboto Mono" w:hAnsi="Roboto Mono"/>
          <w:color w:val="188038"/>
          <w:rtl w:val="0"/>
        </w:rPr>
        <w:t xml:space="preserve">AuditProof_v1_0_0.logHash</w:t>
      </w:r>
      <w:r w:rsidDel="00000000" w:rsidR="00000000" w:rsidRPr="00000000">
        <w:rPr>
          <w:rtl w:val="0"/>
        </w:rPr>
        <w:t xml:space="preserve"> chain is invalid or absent, the violation is established as a matter of law.</w:t>
      </w:r>
      <w:hyperlink r:id="rId1204">
        <w:r w:rsidDel="00000000" w:rsidR="00000000" w:rsidRPr="00000000">
          <w:rPr>
            <w:rtl w:val="0"/>
          </w:rPr>
          <w:t xml:space="preserve"> </w:t>
        </w:r>
      </w:hyperlink>
      <w:hyperlink r:id="rId1205">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558">
      <w:pPr>
        <w:spacing w:after="240" w:before="240" w:lineRule="auto"/>
        <w:rPr>
          <w:color w:val="1155cc"/>
          <w:u w:val="single"/>
        </w:rPr>
      </w:pPr>
      <w:r w:rsidDel="00000000" w:rsidR="00000000" w:rsidRPr="00000000">
        <w:rPr>
          <w:rtl w:val="0"/>
        </w:rPr>
        <w:t xml:space="preserve">This burden inversion changes the litigation economics of License enforcement. The plaintiff does not need to prove a negative - that governance failures occurred. The defendant must prove a positive - that governance succeeded.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is the court of first resort: any party can query </w:t>
      </w:r>
      <w:r w:rsidDel="00000000" w:rsidR="00000000" w:rsidRPr="00000000">
        <w:rPr>
          <w:rFonts w:ascii="Roboto Mono" w:cs="Roboto Mono" w:eastAsia="Roboto Mono" w:hAnsi="Roboto Mono"/>
          <w:color w:val="188038"/>
          <w:rtl w:val="0"/>
        </w:rPr>
        <w:t xml:space="preserve">GET /audit/verifications/inclusion/{logId}</w:t>
      </w:r>
      <w:r w:rsidDel="00000000" w:rsidR="00000000" w:rsidRPr="00000000">
        <w:rPr>
          <w:rtl w:val="0"/>
        </w:rPr>
        <w:t xml:space="preserve"> to determine whether an implementation has been generating Decision Logs, whether those logs satisfy the schema requirements, and whether the required </w:t>
      </w:r>
      <w:r w:rsidDel="00000000" w:rsidR="00000000" w:rsidRPr="00000000">
        <w:rPr>
          <w:rFonts w:ascii="Roboto Mono" w:cs="Roboto Mono" w:eastAsia="Roboto Mono" w:hAnsi="Roboto Mono"/>
          <w:color w:val="188038"/>
          <w:rtl w:val="0"/>
        </w:rPr>
        <w:t xml:space="preserve">TriCameralApproval_v1_0_0</w:t>
      </w:r>
      <w:r w:rsidDel="00000000" w:rsidR="00000000" w:rsidRPr="00000000">
        <w:rPr>
          <w:rtl w:val="0"/>
        </w:rPr>
        <w:t xml:space="preserve"> signatures are present.</w:t>
      </w:r>
      <w:hyperlink r:id="rId1206">
        <w:r w:rsidDel="00000000" w:rsidR="00000000" w:rsidRPr="00000000">
          <w:rPr>
            <w:rtl w:val="0"/>
          </w:rPr>
          <w:t xml:space="preserve"> </w:t>
        </w:r>
      </w:hyperlink>
      <w:hyperlink r:id="rId1207">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559">
      <w:pPr>
        <w:pStyle w:val="Heading3"/>
        <w:keepNext w:val="0"/>
        <w:keepLines w:val="0"/>
        <w:spacing w:before="280" w:lineRule="auto"/>
        <w:rPr>
          <w:b w:val="1"/>
          <w:bCs w:val="1"/>
          <w:color w:val="000000"/>
          <w:sz w:val="26"/>
          <w:szCs w:val="26"/>
        </w:rPr>
      </w:pPr>
      <w:bookmarkStart w:colFirst="0" w:colLast="0" w:name="_ah0xn61ey5v7" w:id="217"/>
      <w:bookmarkEnd w:id="217"/>
      <w:r w:rsidDel="00000000" w:rsidR="00000000" w:rsidRPr="00000000">
        <w:rPr>
          <w:b w:val="1"/>
          <w:bCs w:val="1"/>
          <w:color w:val="000000"/>
          <w:sz w:val="26"/>
          <w:szCs w:val="26"/>
          <w:rtl w:val="0"/>
        </w:rPr>
        <w:t xml:space="preserve">13.2.3 Severability and Jurisdictional Resilience</w:t>
      </w:r>
    </w:p>
    <w:p w:rsidR="00000000" w:rsidDel="00000000" w:rsidP="00000000" w:rsidRDefault="00000000" w:rsidRPr="00000000" w14:paraId="0000055A">
      <w:pPr>
        <w:spacing w:after="240" w:before="240" w:lineRule="auto"/>
        <w:rPr>
          <w:color w:val="1155cc"/>
          <w:u w:val="single"/>
        </w:rPr>
      </w:pPr>
      <w:r w:rsidDel="00000000" w:rsidR="00000000" w:rsidRPr="00000000">
        <w:rPr>
          <w:rtl w:val="0"/>
        </w:rPr>
        <w:t xml:space="preserve">The License includes a severability clause that preserves the remaining covenants if any single covenant is adjudicated invalid in a specific jurisdiction. The License's jurisdictional resilience derives from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anchor via </w:t>
      </w:r>
      <w:r w:rsidDel="00000000" w:rsidR="00000000" w:rsidRPr="00000000">
        <w:rPr>
          <w:rFonts w:ascii="Roboto Mono" w:cs="Roboto Mono" w:eastAsia="Roboto Mono" w:hAnsi="Roboto Mono"/>
          <w:color w:val="188038"/>
          <w:rtl w:val="0"/>
        </w:rPr>
        <w:t xml:space="preserve">GET /audit/verifications/merkle/{merkleRoot}</w:t>
      </w:r>
      <w:r w:rsidDel="00000000" w:rsidR="00000000" w:rsidRPr="00000000">
        <w:rPr>
          <w:rtl w:val="0"/>
        </w:rPr>
        <w:t xml:space="preserve">. A jurisdiction that invalidates one covenant cannot erase the ledger record of the framework and its history. External parties - counterparties, investors, regulators in other jurisdictions - continue to have access to the complete governance record and can assess the implementing institution's compliance with all three covenants regardless of what a single jurisdiction's courts have determined.</w:t>
      </w:r>
      <w:hyperlink r:id="rId1208">
        <w:r w:rsidDel="00000000" w:rsidR="00000000" w:rsidRPr="00000000">
          <w:rPr>
            <w:rtl w:val="0"/>
          </w:rPr>
          <w:t xml:space="preserve"> </w:t>
        </w:r>
      </w:hyperlink>
      <w:hyperlink r:id="rId1209">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55B">
      <w:pPr>
        <w:spacing w:after="240" w:before="240" w:lineRule="auto"/>
        <w:rPr/>
      </w:pPr>
      <w:r w:rsidDel="00000000" w:rsidR="00000000" w:rsidRPr="00000000">
        <w:rPr>
          <w:rtl w:val="0"/>
        </w:rPr>
        <w:t xml:space="preserve">The social and economic consequences of License violation - reputation damage visible in the compliance reputation score queryable through the Regulatory Nexus, </w:t>
      </w:r>
      <w:r w:rsidDel="00000000" w:rsidR="00000000" w:rsidRPr="00000000">
        <w:rPr>
          <w:rFonts w:ascii="Roboto Mono" w:cs="Roboto Mono" w:eastAsia="Roboto Mono" w:hAnsi="Roboto Mono"/>
          <w:color w:val="188038"/>
          <w:rtl w:val="0"/>
        </w:rPr>
        <w:t xml:space="preserve">lantern</w:t>
      </w:r>
      <w:r w:rsidDel="00000000" w:rsidR="00000000" w:rsidRPr="00000000">
        <w:rPr>
          <w:rtl w:val="0"/>
        </w:rPr>
        <w:t xml:space="preserve"> revocation triggering </w:t>
      </w:r>
      <w:r w:rsidDel="00000000" w:rsidR="00000000" w:rsidRPr="00000000">
        <w:rPr>
          <w:rFonts w:ascii="Roboto Mono" w:cs="Roboto Mono" w:eastAsia="Roboto Mono" w:hAnsi="Roboto Mono"/>
          <w:color w:val="188038"/>
          <w:rtl w:val="0"/>
        </w:rPr>
        <w:t xml:space="preserve">GET /epistemic-hold/lantern</w:t>
      </w:r>
      <w:r w:rsidDel="00000000" w:rsidR="00000000" w:rsidRPr="00000000">
        <w:rPr>
          <w:rtl w:val="0"/>
        </w:rPr>
        <w:t xml:space="preserve"> with degraded </w:t>
      </w:r>
      <w:r w:rsidDel="00000000" w:rsidR="00000000" w:rsidRPr="00000000">
        <w:rPr>
          <w:rFonts w:ascii="Roboto Mono" w:cs="Roboto Mono" w:eastAsia="Roboto Mono" w:hAnsi="Roboto Mono"/>
          <w:color w:val="188038"/>
          <w:rtl w:val="0"/>
        </w:rPr>
        <w:t xml:space="preserve">pillarStatuses</w:t>
      </w:r>
      <w:r w:rsidDel="00000000" w:rsidR="00000000" w:rsidRPr="00000000">
        <w:rPr>
          <w:rtl w:val="0"/>
        </w:rPr>
        <w:t xml:space="preserve">, Smart Contract Treasury penalties enforced through its automated architecture, and exclusion from the Regulatory Nexus governance network - operate independently of any jurisdiction's legal enforcement of the License text.</w:t>
      </w:r>
    </w:p>
    <w:p w:rsidR="00000000" w:rsidDel="00000000" w:rsidP="00000000" w:rsidRDefault="00000000" w:rsidRPr="00000000" w14:paraId="0000055C">
      <w:pPr>
        <w:pStyle w:val="Heading2"/>
        <w:keepNext w:val="0"/>
        <w:keepLines w:val="0"/>
        <w:spacing w:after="80" w:lineRule="auto"/>
        <w:rPr>
          <w:b w:val="1"/>
          <w:bCs w:val="1"/>
          <w:sz w:val="34"/>
          <w:szCs w:val="34"/>
        </w:rPr>
      </w:pPr>
      <w:bookmarkStart w:colFirst="0" w:colLast="0" w:name="_l93c1v24eu34" w:id="218"/>
      <w:bookmarkEnd w:id="218"/>
      <w:r w:rsidDel="00000000" w:rsidR="00000000" w:rsidRPr="00000000">
        <w:rPr>
          <w:b w:val="1"/>
          <w:bCs w:val="1"/>
          <w:sz w:val="34"/>
          <w:szCs w:val="34"/>
          <w:rtl w:val="0"/>
        </w:rPr>
        <w:t xml:space="preserve">13.3 Long-Term Continuity Mechanisms</w:t>
      </w:r>
    </w:p>
    <w:p w:rsidR="00000000" w:rsidDel="00000000" w:rsidP="00000000" w:rsidRDefault="00000000" w:rsidRPr="00000000" w14:paraId="0000055D">
      <w:pPr>
        <w:spacing w:after="240" w:before="240" w:lineRule="auto"/>
        <w:rPr/>
      </w:pPr>
      <w:r w:rsidDel="00000000" w:rsidR="00000000" w:rsidRPr="00000000">
        <w:rPr>
          <w:rtl w:val="0"/>
        </w:rPr>
        <w:t xml:space="preserve">Beyond the Succession Declaration and the Open Source License, the framework's long-term continuity depends on three mechanisms operating over multi-decade horizons.</w:t>
      </w:r>
    </w:p>
    <w:p w:rsidR="00000000" w:rsidDel="00000000" w:rsidP="00000000" w:rsidRDefault="00000000" w:rsidRPr="00000000" w14:paraId="0000055E">
      <w:pPr>
        <w:pStyle w:val="Heading3"/>
        <w:keepNext w:val="0"/>
        <w:keepLines w:val="0"/>
        <w:spacing w:before="280" w:lineRule="auto"/>
        <w:rPr>
          <w:b w:val="1"/>
          <w:bCs w:val="1"/>
          <w:color w:val="000000"/>
          <w:sz w:val="26"/>
          <w:szCs w:val="26"/>
        </w:rPr>
      </w:pPr>
      <w:bookmarkStart w:colFirst="0" w:colLast="0" w:name="_dfa3gbwsgmoq" w:id="219"/>
      <w:bookmarkEnd w:id="219"/>
      <w:r w:rsidDel="00000000" w:rsidR="00000000" w:rsidRPr="00000000">
        <w:rPr>
          <w:b w:val="1"/>
          <w:bCs w:val="1"/>
          <w:color w:val="000000"/>
          <w:sz w:val="26"/>
          <w:szCs w:val="26"/>
          <w:rtl w:val="0"/>
        </w:rPr>
        <w:t xml:space="preserve">13.3.1 The Immutable Ledger as Institutional Memory</w:t>
      </w:r>
    </w:p>
    <w:p w:rsidR="00000000" w:rsidDel="00000000" w:rsidP="00000000" w:rsidRDefault="00000000" w:rsidRPr="00000000" w14:paraId="0000055F">
      <w:pPr>
        <w:spacing w:after="240" w:before="240" w:lineRule="auto"/>
        <w:rPr>
          <w:color w:val="1155cc"/>
          <w:u w:val="single"/>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is the framework's institutional memory. It preserves the complete governance history of every determination, every schema modification via </w:t>
      </w:r>
      <w:r w:rsidDel="00000000" w:rsidR="00000000" w:rsidRPr="00000000">
        <w:rPr>
          <w:rFonts w:ascii="Roboto Mono" w:cs="Roboto Mono" w:eastAsia="Roboto Mono" w:hAnsi="Roboto Mono"/>
          <w:color w:val="188038"/>
          <w:rtl w:val="0"/>
        </w:rPr>
        <w:t xml:space="preserve">PUT /thresholds/{domain}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POST /pillars/{pillarId}/configure</w:t>
      </w:r>
      <w:r w:rsidDel="00000000" w:rsidR="00000000" w:rsidRPr="00000000">
        <w:rPr>
          <w:rtl w:val="0"/>
        </w:rPr>
        <w:t xml:space="preserve">, every chamber vote in </w:t>
      </w:r>
      <w:r w:rsidDel="00000000" w:rsidR="00000000" w:rsidRPr="00000000">
        <w:rPr>
          <w:rFonts w:ascii="Roboto Mono" w:cs="Roboto Mono" w:eastAsia="Roboto Mono" w:hAnsi="Roboto Mono"/>
          <w:color w:val="188038"/>
          <w:rtl w:val="0"/>
        </w:rPr>
        <w:t xml:space="preserve">TriCameralApproval_v1_0_0</w:t>
      </w:r>
      <w:r w:rsidDel="00000000" w:rsidR="00000000" w:rsidRPr="00000000">
        <w:rPr>
          <w:rtl w:val="0"/>
        </w:rPr>
        <w:t xml:space="preserve">, and every key ceremony recorded in </w:t>
      </w:r>
      <w:r w:rsidDel="00000000" w:rsidR="00000000" w:rsidRPr="00000000">
        <w:rPr>
          <w:rFonts w:ascii="Roboto Mono" w:cs="Roboto Mono" w:eastAsia="Roboto Mono" w:hAnsi="Roboto Mono"/>
          <w:color w:val="188038"/>
          <w:rtl w:val="0"/>
        </w:rPr>
        <w:t xml:space="preserve">EKRRecord_v1_0_0</w:t>
      </w:r>
      <w:r w:rsidDel="00000000" w:rsidR="00000000" w:rsidRPr="00000000">
        <w:rPr>
          <w:rtl w:val="0"/>
        </w:rPr>
        <w:t xml:space="preserve"> from the framework's first deployment onward. This history persists independently of the institutional memory of the individuals and organizations that created the records.</w:t>
      </w:r>
      <w:hyperlink r:id="rId1210">
        <w:r w:rsidDel="00000000" w:rsidR="00000000" w:rsidRPr="00000000">
          <w:rPr>
            <w:rtl w:val="0"/>
          </w:rPr>
          <w:t xml:space="preserve"> </w:t>
        </w:r>
      </w:hyperlink>
      <w:hyperlink r:id="rId1211">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560">
      <w:pPr>
        <w:spacing w:after="240" w:before="240" w:lineRule="auto"/>
        <w:rPr>
          <w:color w:val="1155cc"/>
          <w:u w:val="single"/>
        </w:rPr>
      </w:pPr>
      <w:r w:rsidDel="00000000" w:rsidR="00000000" w:rsidRPr="00000000">
        <w:rPr>
          <w:rtl w:val="0"/>
        </w:rPr>
        <w:t xml:space="preserve">In twenty years, when none of the founding Stewardship Custodians remains in their role, when the founding consortium's original institutional members have been acquired, merged, or dissolved,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will still contain the cryptographically verified record of every governance decision made from the beginning. Future Tri-Cameral members who want to understand why a specific schema provision was written as it was can query </w:t>
      </w:r>
      <w:r w:rsidDel="00000000" w:rsidR="00000000" w:rsidRPr="00000000">
        <w:rPr>
          <w:rFonts w:ascii="Roboto Mono" w:cs="Roboto Mono" w:eastAsia="Roboto Mono" w:hAnsi="Roboto Mono"/>
          <w:color w:val="188038"/>
          <w:rtl w:val="0"/>
        </w:rPr>
        <w:t xml:space="preserve">GET /decisions/{decisionId}</w:t>
      </w:r>
      <w:r w:rsidDel="00000000" w:rsidR="00000000" w:rsidRPr="00000000">
        <w:rPr>
          <w:rtl w:val="0"/>
        </w:rPr>
        <w:t xml:space="preserve"> for the original Decision Log that created the provision, the constitutional justification provided, and the </w:t>
      </w:r>
      <w:r w:rsidDel="00000000" w:rsidR="00000000" w:rsidRPr="00000000">
        <w:rPr>
          <w:rFonts w:ascii="Roboto Mono" w:cs="Roboto Mono" w:eastAsia="Roboto Mono" w:hAnsi="Roboto Mono"/>
          <w:color w:val="188038"/>
          <w:rtl w:val="0"/>
        </w:rPr>
        <w:t xml:space="preserve">TriCameralApproval_v1_0_0</w:t>
      </w:r>
      <w:r w:rsidDel="00000000" w:rsidR="00000000" w:rsidRPr="00000000">
        <w:rPr>
          <w:rtl w:val="0"/>
        </w:rPr>
        <w:t xml:space="preserve"> signatures that validated the change. The ledger is not just a transaction record. It is the living history of the framework itself.</w:t>
      </w:r>
      <w:hyperlink r:id="rId1212">
        <w:r w:rsidDel="00000000" w:rsidR="00000000" w:rsidRPr="00000000">
          <w:rPr>
            <w:rtl w:val="0"/>
          </w:rPr>
          <w:t xml:space="preserve"> </w:t>
        </w:r>
      </w:hyperlink>
      <w:hyperlink r:id="rId1213">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561">
      <w:pPr>
        <w:pStyle w:val="Heading3"/>
        <w:keepNext w:val="0"/>
        <w:keepLines w:val="0"/>
        <w:spacing w:before="280" w:lineRule="auto"/>
        <w:rPr>
          <w:b w:val="1"/>
          <w:bCs w:val="1"/>
          <w:color w:val="000000"/>
          <w:sz w:val="26"/>
          <w:szCs w:val="26"/>
        </w:rPr>
      </w:pPr>
      <w:bookmarkStart w:colFirst="0" w:colLast="0" w:name="_nwjlnnkf6xo1" w:id="220"/>
      <w:bookmarkEnd w:id="220"/>
      <w:r w:rsidDel="00000000" w:rsidR="00000000" w:rsidRPr="00000000">
        <w:rPr>
          <w:b w:val="1"/>
          <w:bCs w:val="1"/>
          <w:color w:val="000000"/>
          <w:sz w:val="26"/>
          <w:szCs w:val="26"/>
          <w:rtl w:val="0"/>
        </w:rPr>
        <w:t xml:space="preserve">13.3.2 Mandatory Review Protocol and Drift Prevention</w:t>
      </w:r>
    </w:p>
    <w:p w:rsidR="00000000" w:rsidDel="00000000" w:rsidP="00000000" w:rsidRDefault="00000000" w:rsidRPr="00000000" w14:paraId="00000562">
      <w:pPr>
        <w:spacing w:after="240" w:before="240" w:lineRule="auto"/>
        <w:rPr>
          <w:color w:val="1155cc"/>
          <w:u w:val="single"/>
        </w:rPr>
      </w:pPr>
      <w:r w:rsidDel="00000000" w:rsidR="00000000" w:rsidRPr="00000000">
        <w:rPr>
          <w:rtl w:val="0"/>
        </w:rPr>
        <w:t xml:space="preserve">Every schema parameter stored in </w:t>
      </w:r>
      <w:r w:rsidDel="00000000" w:rsidR="00000000" w:rsidRPr="00000000">
        <w:rPr>
          <w:rFonts w:ascii="Roboto Mono" w:cs="Roboto Mono" w:eastAsia="Roboto Mono" w:hAnsi="Roboto Mono"/>
          <w:color w:val="188038"/>
          <w:rtl w:val="0"/>
        </w:rPr>
        <w:t xml:space="preserve">ThresholdProfile_v1_0_0</w:t>
      </w:r>
      <w:r w:rsidDel="00000000" w:rsidR="00000000" w:rsidRPr="00000000">
        <w:rPr>
          <w:rtl w:val="0"/>
        </w:rPr>
        <w:t xml:space="preserve"> and every pillar configuration stored through </w:t>
      </w:r>
      <w:r w:rsidDel="00000000" w:rsidR="00000000" w:rsidRPr="00000000">
        <w:rPr>
          <w:rFonts w:ascii="Roboto Mono" w:cs="Roboto Mono" w:eastAsia="Roboto Mono" w:hAnsi="Roboto Mono"/>
          <w:color w:val="188038"/>
          <w:rtl w:val="0"/>
        </w:rPr>
        <w:t xml:space="preserve">POST /pillars/{pillarId}/configure</w:t>
      </w:r>
      <w:r w:rsidDel="00000000" w:rsidR="00000000" w:rsidRPr="00000000">
        <w:rPr>
          <w:rtl w:val="0"/>
        </w:rPr>
        <w:t xml:space="preserve"> carries a review horizon designation - immediate, near-term, or long-term - and a mandatory review date. Reviews are not discretionary. They are governance obligations anchored in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A parameter that has not been reviewed by its mandatory review date triggers automatic Epistemic Hold via </w:t>
      </w:r>
      <w:r w:rsidDel="00000000" w:rsidR="00000000" w:rsidRPr="00000000">
        <w:rPr>
          <w:rFonts w:ascii="Roboto Mono" w:cs="Roboto Mono" w:eastAsia="Roboto Mono" w:hAnsi="Roboto Mono"/>
          <w:color w:val="188038"/>
          <w:rtl w:val="0"/>
        </w:rPr>
        <w:t xml:space="preserve">EscrowRecord_v1_0_0</w:t>
      </w:r>
      <w:r w:rsidDel="00000000" w:rsidR="00000000" w:rsidRPr="00000000">
        <w:rPr>
          <w:rtl w:val="0"/>
        </w:rPr>
        <w:t xml:space="preserve"> on proposals that depend on that parameter, with </w:t>
      </w:r>
      <w:r w:rsidDel="00000000" w:rsidR="00000000" w:rsidRPr="00000000">
        <w:rPr>
          <w:rFonts w:ascii="Roboto Mono" w:cs="Roboto Mono" w:eastAsia="Roboto Mono" w:hAnsi="Roboto Mono"/>
          <w:color w:val="188038"/>
          <w:rtl w:val="0"/>
        </w:rPr>
        <w:t xml:space="preserve">holdRationale.pillarImplicated</w:t>
      </w:r>
      <w:r w:rsidDel="00000000" w:rsidR="00000000" w:rsidRPr="00000000">
        <w:rPr>
          <w:rtl w:val="0"/>
        </w:rPr>
        <w:t xml:space="preserve"> set to the relevant Pillar identifier.</w:t>
      </w:r>
      <w:hyperlink r:id="rId1214">
        <w:r w:rsidDel="00000000" w:rsidR="00000000" w:rsidRPr="00000000">
          <w:rPr>
            <w:rtl w:val="0"/>
          </w:rPr>
          <w:t xml:space="preserve"> </w:t>
        </w:r>
      </w:hyperlink>
      <w:hyperlink r:id="rId1215">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563">
      <w:pPr>
        <w:spacing w:after="240" w:before="240" w:lineRule="auto"/>
        <w:rPr>
          <w:color w:val="1155cc"/>
          <w:u w:val="single"/>
        </w:rPr>
      </w:pPr>
      <w:r w:rsidDel="00000000" w:rsidR="00000000" w:rsidRPr="00000000">
        <w:rPr>
          <w:rtl w:val="0"/>
        </w:rPr>
        <w:t xml:space="preserve">The framework cannot drift silently: every failure to review produces a governance record of the lapse. Every parameter relaxation generates a Decision Log with </w:t>
      </w:r>
      <w:r w:rsidDel="00000000" w:rsidR="00000000" w:rsidRPr="00000000">
        <w:rPr>
          <w:rFonts w:ascii="Roboto Mono" w:cs="Roboto Mono" w:eastAsia="Roboto Mono" w:hAnsi="Roboto Mono"/>
          <w:color w:val="188038"/>
          <w:rtl w:val="0"/>
        </w:rPr>
        <w:t xml:space="preserve">TriCameralApproval_v1_0_0</w:t>
      </w:r>
      <w:r w:rsidDel="00000000" w:rsidR="00000000" w:rsidRPr="00000000">
        <w:rPr>
          <w:rtl w:val="0"/>
        </w:rPr>
        <w:t xml:space="preserve"> signatures, making the drift trajectory visible through </w:t>
      </w:r>
      <w:r w:rsidDel="00000000" w:rsidR="00000000" w:rsidRPr="00000000">
        <w:rPr>
          <w:rFonts w:ascii="Roboto Mono" w:cs="Roboto Mono" w:eastAsia="Roboto Mono" w:hAnsi="Roboto Mono"/>
          <w:color w:val="188038"/>
          <w:rtl w:val="0"/>
        </w:rPr>
        <w:t xml:space="preserve">GET /audit-logs/{logId}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 /audit/verifications/inclusion/{logId}</w:t>
      </w:r>
      <w:r w:rsidDel="00000000" w:rsidR="00000000" w:rsidRPr="00000000">
        <w:rPr>
          <w:rtl w:val="0"/>
        </w:rPr>
        <w:t xml:space="preserve"> to external analysts who can raise challenges during the timelock window before the modification takes effect. The Smart Contract Treasury's pattern-of-drift penalty - imposing automatic fees on institutions that repeatedly submit schema relaxations via </w:t>
      </w:r>
      <w:r w:rsidDel="00000000" w:rsidR="00000000" w:rsidRPr="00000000">
        <w:rPr>
          <w:rFonts w:ascii="Roboto Mono" w:cs="Roboto Mono" w:eastAsia="Roboto Mono" w:hAnsi="Roboto Mono"/>
          <w:color w:val="188038"/>
          <w:rtl w:val="0"/>
        </w:rPr>
        <w:t xml:space="preserve">PUT /thresholds/{domain}</w:t>
      </w:r>
      <w:r w:rsidDel="00000000" w:rsidR="00000000" w:rsidRPr="00000000">
        <w:rPr>
          <w:rtl w:val="0"/>
        </w:rPr>
        <w:t xml:space="preserve"> - makes gradual boundary erosion economically costly.</w:t>
      </w:r>
      <w:hyperlink r:id="rId1216">
        <w:r w:rsidDel="00000000" w:rsidR="00000000" w:rsidRPr="00000000">
          <w:rPr>
            <w:rtl w:val="0"/>
          </w:rPr>
          <w:t xml:space="preserve"> </w:t>
        </w:r>
      </w:hyperlink>
      <w:hyperlink r:id="rId1217">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564">
      <w:pPr>
        <w:pStyle w:val="Heading3"/>
        <w:keepNext w:val="0"/>
        <w:keepLines w:val="0"/>
        <w:spacing w:before="280" w:lineRule="auto"/>
        <w:rPr>
          <w:b w:val="1"/>
          <w:bCs w:val="1"/>
          <w:color w:val="000000"/>
          <w:sz w:val="26"/>
          <w:szCs w:val="26"/>
        </w:rPr>
      </w:pPr>
      <w:bookmarkStart w:colFirst="0" w:colLast="0" w:name="_kqras4kc76y9" w:id="221"/>
      <w:bookmarkEnd w:id="221"/>
      <w:r w:rsidDel="00000000" w:rsidR="00000000" w:rsidRPr="00000000">
        <w:rPr>
          <w:b w:val="1"/>
          <w:bCs w:val="1"/>
          <w:color w:val="000000"/>
          <w:sz w:val="26"/>
          <w:szCs w:val="26"/>
          <w:rtl w:val="0"/>
        </w:rPr>
        <w:t xml:space="preserve">13.3.3 The Distributed Resilience of the Goukassian Vow</w:t>
      </w:r>
    </w:p>
    <w:p w:rsidR="00000000" w:rsidDel="00000000" w:rsidP="00000000" w:rsidRDefault="00000000" w:rsidRPr="00000000" w14:paraId="00000565">
      <w:pPr>
        <w:spacing w:after="240" w:before="240" w:lineRule="auto"/>
        <w:rPr>
          <w:color w:val="1155cc"/>
          <w:u w:val="single"/>
        </w:rPr>
      </w:pPr>
      <w:r w:rsidDel="00000000" w:rsidR="00000000" w:rsidRPr="00000000">
        <w:rPr>
          <w:rtl w:val="0"/>
        </w:rPr>
        <w:t xml:space="preserve">The Goukassian Vow's three mandates - pause when truth is uncertain, refuse when harm is clear, proceed where truth is - are the bedrock of Ternary Logic. They are also the simplest element of the framework: three sentences, each mapping to one state in a closed three-state alphabet encoded as </w:t>
      </w:r>
      <w:r w:rsidDel="00000000" w:rsidR="00000000" w:rsidRPr="00000000">
        <w:rPr>
          <w:rFonts w:ascii="Roboto Mono" w:cs="Roboto Mono" w:eastAsia="Roboto Mono" w:hAnsi="Roboto Mono"/>
          <w:color w:val="188038"/>
          <w:rtl w:val="0"/>
        </w:rPr>
        <w:t xml:space="preserve">enum: [1, 0, -1]</w:t>
      </w:r>
      <w:r w:rsidDel="00000000" w:rsidR="00000000" w:rsidRPr="00000000">
        <w:rPr>
          <w:rtl w:val="0"/>
        </w:rPr>
        <w:t xml:space="preserve">.</w:t>
      </w:r>
      <w:hyperlink r:id="rId1218">
        <w:r w:rsidDel="00000000" w:rsidR="00000000" w:rsidRPr="00000000">
          <w:rPr>
            <w:rtl w:val="0"/>
          </w:rPr>
          <w:t xml:space="preserve"> </w:t>
        </w:r>
      </w:hyperlink>
      <w:hyperlink r:id="rId1219">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566">
      <w:pPr>
        <w:spacing w:after="240" w:before="240" w:lineRule="auto"/>
        <w:rPr>
          <w:color w:val="1155cc"/>
          <w:u w:val="single"/>
        </w:rPr>
      </w:pPr>
      <w:r w:rsidDel="00000000" w:rsidR="00000000" w:rsidRPr="00000000">
        <w:rPr>
          <w:rtl w:val="0"/>
        </w:rPr>
        <w:t xml:space="preserve">This simplicity is a structural strength. The Vow does not require technical expertise to evaluate. Any individual who reads the governance schema can verify whether a proposed action is consistent with the three mandates. Any regulator who reviews a Decision Log accessible via </w:t>
      </w:r>
      <w:r w:rsidDel="00000000" w:rsidR="00000000" w:rsidRPr="00000000">
        <w:rPr>
          <w:rFonts w:ascii="Roboto Mono" w:cs="Roboto Mono" w:eastAsia="Roboto Mono" w:hAnsi="Roboto Mono"/>
          <w:color w:val="188038"/>
          <w:rtl w:val="0"/>
        </w:rPr>
        <w:t xml:space="preserve">GET /decisions/{decisionId}</w:t>
      </w:r>
      <w:r w:rsidDel="00000000" w:rsidR="00000000" w:rsidRPr="00000000">
        <w:rPr>
          <w:rtl w:val="0"/>
        </w:rPr>
        <w:t xml:space="preserve"> can assess whether the governance determination - </w:t>
      </w:r>
      <w:r w:rsidDel="00000000" w:rsidR="00000000" w:rsidRPr="00000000">
        <w:rPr>
          <w:rFonts w:ascii="Roboto Mono" w:cs="Roboto Mono" w:eastAsia="Roboto Mono" w:hAnsi="Roboto Mono"/>
          <w:color w:val="188038"/>
          <w:rtl w:val="0"/>
        </w:rPr>
        <w:t xml:space="preserve">"Proceed"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"Refuse"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"EpistemicHold"</w:t>
      </w:r>
      <w:r w:rsidDel="00000000" w:rsidR="00000000" w:rsidRPr="00000000">
        <w:rPr>
          <w:rtl w:val="0"/>
        </w:rPr>
        <w:t xml:space="preserve"> in the </w:t>
      </w:r>
      <w:r w:rsidDel="00000000" w:rsidR="00000000" w:rsidRPr="00000000">
        <w:rPr>
          <w:rFonts w:ascii="Roboto Mono" w:cs="Roboto Mono" w:eastAsia="Roboto Mono" w:hAnsi="Roboto Mono"/>
          <w:color w:val="188038"/>
          <w:rtl w:val="0"/>
        </w:rPr>
        <w:t xml:space="preserve">stateLabel</w:t>
      </w:r>
      <w:r w:rsidDel="00000000" w:rsidR="00000000" w:rsidRPr="00000000">
        <w:rPr>
          <w:rtl w:val="0"/>
        </w:rPr>
        <w:t xml:space="preserve"> field - is consistent with the Vow's commands. Any institution considering deployment can determine whether its governance practices align with the Vow's commands without consulting a specialist.</w:t>
      </w:r>
      <w:hyperlink r:id="rId1220">
        <w:r w:rsidDel="00000000" w:rsidR="00000000" w:rsidRPr="00000000">
          <w:rPr>
            <w:rtl w:val="0"/>
          </w:rPr>
          <w:t xml:space="preserve"> </w:t>
        </w:r>
      </w:hyperlink>
      <w:hyperlink r:id="rId1221">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567">
      <w:pPr>
        <w:spacing w:after="240" w:before="240" w:lineRule="auto"/>
        <w:rPr>
          <w:color w:val="1155cc"/>
          <w:u w:val="single"/>
        </w:rPr>
      </w:pPr>
      <w:r w:rsidDel="00000000" w:rsidR="00000000" w:rsidRPr="00000000">
        <w:rPr>
          <w:rtl w:val="0"/>
        </w:rPr>
        <w:t xml:space="preserve">This accessibility is the deepest form of resilience. Technical specifications become obsolete as technology evolves. Legal frameworks become unenforceable as jurisdictions transform. Institutional arrangements become compromised as personnel and incentives change. But the three simple commands of the Goukassian Vow - evaluable by any competent adult who reads them - create a standard of governance assessment that is independent of technical expertise, jurisdictional authority, and institutional structure. As long as the Vow is readable, the framework's core governance intent is recoverable.</w:t>
      </w:r>
      <w:hyperlink r:id="rId1222">
        <w:r w:rsidDel="00000000" w:rsidR="00000000" w:rsidRPr="00000000">
          <w:rPr>
            <w:rtl w:val="0"/>
          </w:rPr>
          <w:t xml:space="preserve"> </w:t>
        </w:r>
      </w:hyperlink>
      <w:hyperlink r:id="rId1223">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568">
      <w:pPr>
        <w:spacing w:after="240" w:before="240" w:lineRule="auto"/>
        <w:rPr>
          <w:color w:val="1155cc"/>
          <w:u w:val="single"/>
        </w:rPr>
      </w:pPr>
      <w:r w:rsidDel="00000000" w:rsidR="00000000" w:rsidRPr="00000000">
        <w:rPr>
          <w:rtl w:val="0"/>
        </w:rPr>
        <w:t xml:space="preserve">The Vow is anchored to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as the first entry in the framework's governance history via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 It is replicated across Bitcoin, Ethereum, and Polygon nodes under the </w:t>
      </w:r>
      <w:r w:rsidDel="00000000" w:rsidR="00000000" w:rsidRPr="00000000">
        <w:rPr>
          <w:rFonts w:ascii="Roboto Mono" w:cs="Roboto Mono" w:eastAsia="Roboto Mono" w:hAnsi="Roboto Mono"/>
          <w:color w:val="188038"/>
          <w:rtl w:val="0"/>
        </w:rPr>
        <w:t xml:space="preserve">3-of-5</w:t>
      </w:r>
      <w:r w:rsidDel="00000000" w:rsidR="00000000" w:rsidRPr="00000000">
        <w:rPr>
          <w:rtl w:val="0"/>
        </w:rPr>
        <w:t xml:space="preserve"> quorum requirement. It is embedded in the Attribution Covenant of the Open Source License. It is the opening text of </w:t>
      </w:r>
      <w:r w:rsidDel="00000000" w:rsidR="00000000" w:rsidRPr="00000000">
        <w:rPr>
          <w:rFonts w:ascii="Roboto Mono" w:cs="Roboto Mono" w:eastAsia="Roboto Mono" w:hAnsi="Roboto Mono"/>
          <w:color w:val="188038"/>
          <w:rtl w:val="0"/>
        </w:rPr>
        <w:t xml:space="preserve">tl_openapi.yaml</w:t>
      </w:r>
      <w:r w:rsidDel="00000000" w:rsidR="00000000" w:rsidRPr="00000000">
        <w:rPr>
          <w:rtl w:val="0"/>
        </w:rPr>
        <w:t xml:space="preserve"> under </w:t>
      </w:r>
      <w:r w:rsidDel="00000000" w:rsidR="00000000" w:rsidRPr="00000000">
        <w:rPr>
          <w:rFonts w:ascii="Roboto Mono" w:cs="Roboto Mono" w:eastAsia="Roboto Mono" w:hAnsi="Roboto Mono"/>
          <w:color w:val="188038"/>
          <w:rtl w:val="0"/>
        </w:rPr>
        <w:t xml:space="preserve">x-tl-constitutional-preamble</w:t>
      </w:r>
      <w:r w:rsidDel="00000000" w:rsidR="00000000" w:rsidRPr="00000000">
        <w:rPr>
          <w:rtl w:val="0"/>
        </w:rPr>
        <w:t xml:space="preserve">. It is encoded in </w:t>
      </w:r>
      <w:r w:rsidDel="00000000" w:rsidR="00000000" w:rsidRPr="00000000">
        <w:rPr>
          <w:rFonts w:ascii="Roboto Mono" w:cs="Roboto Mono" w:eastAsia="Roboto Mono" w:hAnsi="Roboto Mono"/>
          <w:color w:val="188038"/>
          <w:rtl w:val="0"/>
        </w:rPr>
        <w:t xml:space="preserve">eip712_typed_data.json</w:t>
      </w:r>
      <w:r w:rsidDel="00000000" w:rsidR="00000000" w:rsidRPr="00000000">
        <w:rPr>
          <w:rtl w:val="0"/>
        </w:rPr>
        <w:t xml:space="preserve"> under </w:t>
      </w:r>
      <w:r w:rsidDel="00000000" w:rsidR="00000000" w:rsidRPr="00000000">
        <w:rPr>
          <w:rFonts w:ascii="Roboto Mono" w:cs="Roboto Mono" w:eastAsia="Roboto Mono" w:hAnsi="Roboto Mono"/>
          <w:color w:val="188038"/>
          <w:rtl w:val="0"/>
        </w:rPr>
        <w:t xml:space="preserve">canonicalMandateHashes</w:t>
      </w:r>
      <w:r w:rsidDel="00000000" w:rsidR="00000000" w:rsidRPr="00000000">
        <w:rPr>
          <w:rtl w:val="0"/>
        </w:rPr>
        <w:t xml:space="preserve">. It will be readable long after the specific regulatory frameworks that the Regulatory Nexus currently encodes have been superseded by new ones.</w:t>
      </w:r>
      <w:hyperlink r:id="rId1224">
        <w:r w:rsidDel="00000000" w:rsidR="00000000" w:rsidRPr="00000000">
          <w:rPr>
            <w:rtl w:val="0"/>
          </w:rPr>
          <w:t xml:space="preserve"> </w:t>
        </w:r>
      </w:hyperlink>
      <w:hyperlink r:id="rId1225">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569">
      <w:pPr>
        <w:pStyle w:val="Heading2"/>
        <w:keepNext w:val="0"/>
        <w:keepLines w:val="0"/>
        <w:spacing w:after="80" w:lineRule="auto"/>
        <w:rPr>
          <w:b w:val="1"/>
          <w:bCs w:val="1"/>
          <w:sz w:val="34"/>
          <w:szCs w:val="34"/>
        </w:rPr>
      </w:pPr>
      <w:bookmarkStart w:colFirst="0" w:colLast="0" w:name="_g180ogl6voux" w:id="222"/>
      <w:bookmarkEnd w:id="222"/>
      <w:r w:rsidDel="00000000" w:rsidR="00000000" w:rsidRPr="00000000">
        <w:rPr>
          <w:b w:val="1"/>
          <w:bCs w:val="1"/>
          <w:sz w:val="34"/>
          <w:szCs w:val="34"/>
          <w:rtl w:val="0"/>
        </w:rPr>
        <w:t xml:space="preserve">13.4 Ghost Governance and Institutional Immortality</w:t>
      </w:r>
    </w:p>
    <w:p w:rsidR="00000000" w:rsidDel="00000000" w:rsidP="00000000" w:rsidRDefault="00000000" w:rsidRPr="00000000" w14:paraId="0000056A">
      <w:pPr>
        <w:spacing w:after="240" w:before="240" w:lineRule="auto"/>
        <w:rPr>
          <w:color w:val="1155cc"/>
          <w:u w:val="single"/>
        </w:rPr>
      </w:pPr>
      <w:r w:rsidDel="00000000" w:rsidR="00000000" w:rsidRPr="00000000">
        <w:rPr>
          <w:rtl w:val="0"/>
        </w:rPr>
        <w:t xml:space="preserve">Ghost Governance - actions that execute without immutable audit evidence, generating </w:t>
      </w:r>
      <w:r w:rsidDel="00000000" w:rsidR="00000000" w:rsidRPr="00000000">
        <w:rPr>
          <w:rFonts w:ascii="Roboto Mono" w:cs="Roboto Mono" w:eastAsia="Roboto Mono" w:hAnsi="Roboto Mono"/>
          <w:color w:val="188038"/>
          <w:rtl w:val="0"/>
        </w:rPr>
        <w:t xml:space="preserve">GhostGovernanceDetectedError</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tlErrorCode: "GHOST_GOVERNANCE_DETECTED_ERROR"</w:t>
      </w:r>
      <w:r w:rsidDel="00000000" w:rsidR="00000000" w:rsidRPr="00000000">
        <w:rPr>
          <w:rtl w:val="0"/>
        </w:rPr>
        <w:t xml:space="preserve"> - is the precise condition that NL=NA was designed to prevent.</w:t>
      </w:r>
      <w:hyperlink r:id="rId1226">
        <w:r w:rsidDel="00000000" w:rsidR="00000000" w:rsidRPr="00000000">
          <w:rPr>
            <w:rtl w:val="0"/>
          </w:rPr>
          <w:t xml:space="preserve"> </w:t>
        </w:r>
      </w:hyperlink>
      <w:hyperlink r:id="rId1227">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56B">
      <w:pPr>
        <w:spacing w:after="240" w:before="240" w:lineRule="auto"/>
        <w:rPr/>
      </w:pPr>
      <w:r w:rsidDel="00000000" w:rsidR="00000000" w:rsidRPr="00000000">
        <w:rPr>
          <w:rtl w:val="0"/>
        </w:rPr>
        <w:t xml:space="preserve">It is also the condition that the Succession Declaration and the Open Source License are designed to prevent in the institutional domain. An institution whose governance framework exists only as long as its founding steward remains alive, whose governance constraints can be eliminated when a new majority acquires control, and whose governance history can be erased when the maintaining organization dissolves - that institution is not governed by TL. It is governed by institutional convenience that has temporarily adopted TL's terminology.</w:t>
      </w:r>
    </w:p>
    <w:p w:rsidR="00000000" w:rsidDel="00000000" w:rsidP="00000000" w:rsidRDefault="00000000" w:rsidRPr="00000000" w14:paraId="0000056C">
      <w:pPr>
        <w:spacing w:after="240" w:before="240" w:lineRule="auto"/>
        <w:rPr>
          <w:color w:val="1155cc"/>
          <w:u w:val="single"/>
        </w:rPr>
      </w:pPr>
      <w:r w:rsidDel="00000000" w:rsidR="00000000" w:rsidRPr="00000000">
        <w:rPr>
          <w:rtl w:val="0"/>
        </w:rPr>
        <w:t xml:space="preserve">The deeper purpose of institutional immortality is not the preservation of any specific governance arrangement. It is the preservation of the commitment to evidence before action. Future generations of economic actors, operating in financial systems and technological environments that no one today can fully anticipate, should inherit a governance architecture that requires their automated systems to produce evidence of governance compliance before those systems can execute economic consequences - verified through </w:t>
      </w:r>
      <w:r w:rsidDel="00000000" w:rsidR="00000000" w:rsidRPr="00000000">
        <w:rPr>
          <w:rFonts w:ascii="Roboto Mono" w:cs="Roboto Mono" w:eastAsia="Roboto Mono" w:hAnsi="Roboto Mono"/>
          <w:color w:val="188038"/>
          <w:rtl w:val="0"/>
        </w:rPr>
        <w:t xml:space="preserve">TL_Ledger_Core.registerPermissionToken</w:t>
      </w:r>
      <w:r w:rsidDel="00000000" w:rsidR="00000000" w:rsidRPr="00000000">
        <w:rPr>
          <w:rtl w:val="0"/>
        </w:rPr>
        <w:t xml:space="preserve"> and the five-layer NL=NA enforcement architecture.</w:t>
      </w:r>
      <w:hyperlink r:id="rId1228">
        <w:r w:rsidDel="00000000" w:rsidR="00000000" w:rsidRPr="00000000">
          <w:rPr>
            <w:rtl w:val="0"/>
          </w:rPr>
          <w:t xml:space="preserve"> </w:t>
        </w:r>
      </w:hyperlink>
      <w:hyperlink r:id="rId1229">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56D">
      <w:pPr>
        <w:spacing w:after="240" w:before="240" w:lineRule="auto"/>
        <w:rPr>
          <w:color w:val="1155cc"/>
          <w:u w:val="single"/>
        </w:rPr>
      </w:pPr>
      <w:r w:rsidDel="00000000" w:rsidR="00000000" w:rsidRPr="00000000">
        <w:rPr>
          <w:rtl w:val="0"/>
        </w:rPr>
        <w:t xml:space="preserve">The Succession Declaration and the Open Source License are not mechanisms for preserving the founding steward's legacy. They are mechanisms for ensuring that the framework earns its continued adoption through demonstrated performance rather than through the inertia of founder authority. When the founding steward's authority ends, the framework survives only if the Tri-Cameral model maintains it faithfully, the Open Source License prevents it from being enclosed,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preserves its history honestly via </w:t>
      </w:r>
      <w:r w:rsidDel="00000000" w:rsidR="00000000" w:rsidRPr="00000000">
        <w:rPr>
          <w:rFonts w:ascii="Roboto Mono" w:cs="Roboto Mono" w:eastAsia="Roboto Mono" w:hAnsi="Roboto Mono"/>
          <w:color w:val="188038"/>
          <w:rtl w:val="0"/>
        </w:rPr>
        <w:t xml:space="preserve">GET /audit/verifications/merkle/{merkleRoot}</w:t>
      </w:r>
      <w:r w:rsidDel="00000000" w:rsidR="00000000" w:rsidRPr="00000000">
        <w:rPr>
          <w:rtl w:val="0"/>
        </w:rPr>
        <w:t xml:space="preserve">, and the institutional economics of compliance remain favorable to adoption. If all four conditions are met, the framework continues. If they are not, the framework should not continue - because a framework that survives only through institutional inertia rather than governance merit has already failed the test.</w:t>
      </w:r>
      <w:hyperlink r:id="rId1230">
        <w:r w:rsidDel="00000000" w:rsidR="00000000" w:rsidRPr="00000000">
          <w:rPr>
            <w:rtl w:val="0"/>
          </w:rPr>
          <w:t xml:space="preserve"> </w:t>
        </w:r>
      </w:hyperlink>
      <w:hyperlink r:id="rId1231">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56E">
      <w:pPr>
        <w:pStyle w:val="Heading2"/>
        <w:keepNext w:val="0"/>
        <w:keepLines w:val="0"/>
        <w:spacing w:after="80" w:lineRule="auto"/>
        <w:rPr>
          <w:b w:val="1"/>
          <w:bCs w:val="1"/>
          <w:sz w:val="34"/>
          <w:szCs w:val="34"/>
        </w:rPr>
      </w:pPr>
      <w:bookmarkStart w:colFirst="0" w:colLast="0" w:name="_phf2u4wndxpy" w:id="223"/>
      <w:bookmarkEnd w:id="223"/>
      <w:r w:rsidDel="00000000" w:rsidR="00000000" w:rsidRPr="00000000">
        <w:rPr>
          <w:b w:val="1"/>
          <w:bCs w:val="1"/>
          <w:sz w:val="34"/>
          <w:szCs w:val="34"/>
          <w:rtl w:val="0"/>
        </w:rPr>
        <w:t xml:space="preserve">13.5 Author Attribution</w:t>
      </w:r>
    </w:p>
    <w:p w:rsidR="00000000" w:rsidDel="00000000" w:rsidP="00000000" w:rsidRDefault="00000000" w:rsidRPr="00000000" w14:paraId="0000056F">
      <w:pPr>
        <w:spacing w:after="240" w:before="240" w:lineRule="auto"/>
        <w:rPr/>
      </w:pPr>
      <w:r w:rsidDel="00000000" w:rsidR="00000000" w:rsidRPr="00000000">
        <w:rPr>
          <w:rtl w:val="0"/>
        </w:rPr>
        <w:t xml:space="preserve">Pursuant to the Attribution Covenant of the Open Source License, this Section provides the formal attribution that every legitimate TL implementation must carry.</w:t>
      </w:r>
    </w:p>
    <w:p w:rsidR="00000000" w:rsidDel="00000000" w:rsidP="00000000" w:rsidRDefault="00000000" w:rsidRPr="00000000" w14:paraId="00000570">
      <w:pPr>
        <w:spacing w:after="240" w:before="240" w:lineRule="auto"/>
        <w:rPr/>
      </w:pPr>
      <w:r w:rsidDel="00000000" w:rsidR="00000000" w:rsidRPr="00000000">
        <w:rPr>
          <w:rtl w:val="0"/>
        </w:rPr>
        <w:t xml:space="preserve">Ternary Logic (TL) is a sovereign evidentiary governance framework authored by </w:t>
      </w:r>
      <w:r w:rsidDel="00000000" w:rsidR="00000000" w:rsidRPr="00000000">
        <w:rPr>
          <w:b w:val="1"/>
          <w:bCs w:val="1"/>
          <w:rtl w:val="0"/>
        </w:rPr>
        <w:t xml:space="preserve">Lev Goukassian</w:t>
      </w:r>
      <w:r w:rsidDel="00000000" w:rsidR="00000000" w:rsidRPr="00000000">
        <w:rPr>
          <w:rtl w:val="0"/>
        </w:rPr>
        <w:t xml:space="preserve"> (ORCID: 0009-0006-5966-1243). The framework is published under DOI</w:t>
      </w:r>
      <w:hyperlink r:id="rId1232">
        <w:r w:rsidDel="00000000" w:rsidR="00000000" w:rsidRPr="00000000">
          <w:rPr>
            <w:rtl w:val="0"/>
          </w:rPr>
          <w:t xml:space="preserve"> </w:t>
        </w:r>
      </w:hyperlink>
      <w:hyperlink r:id="rId1233">
        <w:r w:rsidDel="00000000" w:rsidR="00000000" w:rsidRPr="00000000">
          <w:rPr>
            <w:color w:val="1155cc"/>
            <w:u w:val="single"/>
            <w:rtl w:val="0"/>
          </w:rPr>
          <w:t xml:space="preserve">10.1007/s43681-026-01124-0</w:t>
        </w:r>
      </w:hyperlink>
      <w:r w:rsidDel="00000000" w:rsidR="00000000" w:rsidRPr="00000000">
        <w:rPr>
          <w:rtl w:val="0"/>
        </w:rPr>
        <w:t xml:space="preserve"> (Springer Nature, AI and Ethics, accepted April 2026, in production). The open-source implementation is maintained at the</w:t>
      </w:r>
      <w:hyperlink r:id="rId1234">
        <w:r w:rsidDel="00000000" w:rsidR="00000000" w:rsidRPr="00000000">
          <w:rPr>
            <w:rtl w:val="0"/>
          </w:rPr>
          <w:t xml:space="preserve"> </w:t>
        </w:r>
      </w:hyperlink>
      <w:hyperlink r:id="rId1235">
        <w:r w:rsidDel="00000000" w:rsidR="00000000" w:rsidRPr="00000000">
          <w:rPr>
            <w:color w:val="1155cc"/>
            <w:u w:val="single"/>
            <w:rtl w:val="0"/>
          </w:rPr>
          <w:t xml:space="preserve">FractonicMind/TernaryLogic</w:t>
        </w:r>
      </w:hyperlink>
      <w:r w:rsidDel="00000000" w:rsidR="00000000" w:rsidRPr="00000000">
        <w:rPr>
          <w:rtl w:val="0"/>
        </w:rPr>
        <w:t xml:space="preserve"> repository.</w:t>
      </w:r>
    </w:p>
    <w:p w:rsidR="00000000" w:rsidDel="00000000" w:rsidP="00000000" w:rsidRDefault="00000000" w:rsidRPr="00000000" w14:paraId="00000571">
      <w:pPr>
        <w:spacing w:after="240" w:before="240" w:lineRule="auto"/>
        <w:rPr/>
      </w:pPr>
      <w:r w:rsidDel="00000000" w:rsidR="00000000" w:rsidRPr="00000000">
        <w:rPr>
          <w:rtl w:val="0"/>
        </w:rPr>
        <w:t xml:space="preserve">The Goukassian Vow, which constitutes the foundational law of the framework, reads in its complete and immutable form as encoded in </w:t>
      </w:r>
      <w:r w:rsidDel="00000000" w:rsidR="00000000" w:rsidRPr="00000000">
        <w:rPr>
          <w:rFonts w:ascii="Roboto Mono" w:cs="Roboto Mono" w:eastAsia="Roboto Mono" w:hAnsi="Roboto Mono"/>
          <w:color w:val="188038"/>
          <w:rtl w:val="0"/>
        </w:rPr>
        <w:t xml:space="preserve">tl_openapi.yaml</w:t>
      </w:r>
      <w:r w:rsidDel="00000000" w:rsidR="00000000" w:rsidRPr="00000000">
        <w:rPr>
          <w:rtl w:val="0"/>
        </w:rPr>
        <w:t xml:space="preserve"> under </w:t>
      </w:r>
      <w:r w:rsidDel="00000000" w:rsidR="00000000" w:rsidRPr="00000000">
        <w:rPr>
          <w:rFonts w:ascii="Roboto Mono" w:cs="Roboto Mono" w:eastAsia="Roboto Mono" w:hAnsi="Roboto Mono"/>
          <w:color w:val="188038"/>
          <w:rtl w:val="0"/>
        </w:rPr>
        <w:t xml:space="preserve">x-tl-constitutional-preamble</w:t>
      </w:r>
      <w:r w:rsidDel="00000000" w:rsidR="00000000" w:rsidRPr="00000000">
        <w:rPr>
          <w:rtl w:val="0"/>
        </w:rPr>
        <w:t xml:space="preserve">:</w:t>
      </w:r>
    </w:p>
    <w:p w:rsidR="00000000" w:rsidDel="00000000" w:rsidP="00000000" w:rsidRDefault="00000000" w:rsidRPr="00000000" w14:paraId="00000572">
      <w:pPr>
        <w:spacing w:after="240" w:before="240" w:lineRule="auto"/>
        <w:rPr>
          <w:i w:val="1"/>
          <w:iCs w:val="1"/>
        </w:rPr>
      </w:pPr>
      <w:r w:rsidDel="00000000" w:rsidR="00000000" w:rsidRPr="00000000">
        <w:rPr>
          <w:i w:val="1"/>
          <w:iCs w:val="1"/>
          <w:rtl w:val="0"/>
        </w:rPr>
        <w:t xml:space="preserve">"Pause when truth is uncertain. Refuse when harm is clear. Proceed where truth is."</w:t>
      </w:r>
    </w:p>
    <w:p w:rsidR="00000000" w:rsidDel="00000000" w:rsidP="00000000" w:rsidRDefault="00000000" w:rsidRPr="00000000" w14:paraId="00000573">
      <w:pPr>
        <w:spacing w:after="240" w:before="240" w:lineRule="auto"/>
        <w:rPr>
          <w:color w:val="1155cc"/>
          <w:u w:val="single"/>
        </w:rPr>
      </w:pPr>
      <w:r w:rsidDel="00000000" w:rsidR="00000000" w:rsidRPr="00000000">
        <w:rPr>
          <w:rtl w:val="0"/>
        </w:rPr>
        <w:t xml:space="preserve">This attribution is not an expression of ownership. The framework's governance protections belong to everyone who operates within their scope. This attribution is an expression of provenance - the honest accounting of intellectual origin that the Attribution Covenant requires of every implementation, and that the framework requires of itself. The founding steward's authority over the framework is subject to the Succession Declaration specified in this Section. The framework's substance - the Goukassian Vow, the Eight Pillars encoded in </w:t>
      </w:r>
      <w:r w:rsidDel="00000000" w:rsidR="00000000" w:rsidRPr="00000000">
        <w:rPr>
          <w:rFonts w:ascii="Roboto Mono" w:cs="Roboto Mono" w:eastAsia="Roboto Mono" w:hAnsi="Roboto Mono"/>
          <w:color w:val="188038"/>
          <w:rtl w:val="0"/>
        </w:rPr>
        <w:t xml:space="preserve">PillarIdentifier_v1_0_0</w:t>
      </w:r>
      <w:r w:rsidDel="00000000" w:rsidR="00000000" w:rsidRPr="00000000">
        <w:rPr>
          <w:rtl w:val="0"/>
        </w:rPr>
        <w:t xml:space="preserve">, the NL=NA covenant enforced through </w:t>
      </w:r>
      <w:r w:rsidDel="00000000" w:rsidR="00000000" w:rsidRPr="00000000">
        <w:rPr>
          <w:rFonts w:ascii="Roboto Mono" w:cs="Roboto Mono" w:eastAsia="Roboto Mono" w:hAnsi="Roboto Mono"/>
          <w:color w:val="188038"/>
          <w:rtl w:val="0"/>
        </w:rPr>
        <w:t xml:space="preserve">TL_Ledger_Core</w:t>
      </w:r>
      <w:r w:rsidDel="00000000" w:rsidR="00000000" w:rsidRPr="00000000">
        <w:rPr>
          <w:rtl w:val="0"/>
        </w:rPr>
        <w:t xml:space="preserve">, and the institutional architecture of the Tri-Cameral model documented in </w:t>
      </w:r>
      <w:r w:rsidDel="00000000" w:rsidR="00000000" w:rsidRPr="00000000">
        <w:rPr>
          <w:rFonts w:ascii="Roboto Mono" w:cs="Roboto Mono" w:eastAsia="Roboto Mono" w:hAnsi="Roboto Mono"/>
          <w:color w:val="188038"/>
          <w:rtl w:val="0"/>
        </w:rPr>
        <w:t xml:space="preserve">TriCameralApproval_v1_0_0</w:t>
      </w:r>
      <w:r w:rsidDel="00000000" w:rsidR="00000000" w:rsidRPr="00000000">
        <w:rPr>
          <w:rtl w:val="0"/>
        </w:rPr>
        <w:t xml:space="preserve"> - is not subject to any individual's authority. It belongs to the distributed record of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 and to the open commons of the intellectual inheritance that the Non-Enclosure Covenant protects.</w:t>
      </w:r>
      <w:hyperlink r:id="rId1236">
        <w:r w:rsidDel="00000000" w:rsidR="00000000" w:rsidRPr="00000000">
          <w:rPr>
            <w:rtl w:val="0"/>
          </w:rPr>
          <w:t xml:space="preserve"> </w:t>
        </w:r>
      </w:hyperlink>
      <w:hyperlink r:id="rId1237">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574">
      <w:pPr>
        <w:pStyle w:val="Heading2"/>
        <w:keepNext w:val="0"/>
        <w:keepLines w:val="0"/>
        <w:spacing w:after="80" w:lineRule="auto"/>
        <w:rPr>
          <w:b w:val="1"/>
          <w:bCs w:val="1"/>
          <w:sz w:val="34"/>
          <w:szCs w:val="34"/>
        </w:rPr>
      </w:pPr>
      <w:bookmarkStart w:colFirst="0" w:colLast="0" w:name="_uzcuovs9ks2c" w:id="224"/>
      <w:bookmarkEnd w:id="224"/>
      <w:r w:rsidDel="00000000" w:rsidR="00000000" w:rsidRPr="00000000">
        <w:rPr>
          <w:b w:val="1"/>
          <w:bCs w:val="1"/>
          <w:sz w:val="34"/>
          <w:szCs w:val="34"/>
          <w:rtl w:val="0"/>
        </w:rPr>
        <w:t xml:space="preserve">13.6 The TML Relationship</w:t>
      </w:r>
    </w:p>
    <w:p w:rsidR="00000000" w:rsidDel="00000000" w:rsidP="00000000" w:rsidRDefault="00000000" w:rsidRPr="00000000" w14:paraId="00000575">
      <w:pPr>
        <w:spacing w:after="240" w:before="240" w:lineRule="auto"/>
        <w:rPr>
          <w:color w:val="1155cc"/>
          <w:u w:val="single"/>
        </w:rPr>
      </w:pPr>
      <w:r w:rsidDel="00000000" w:rsidR="00000000" w:rsidRPr="00000000">
        <w:rPr>
          <w:rtl w:val="0"/>
        </w:rPr>
        <w:t xml:space="preserve">Ternary Logic is the institutional and macroeconomic governance framework. Ternary Moral Logic (TML) is its companion framework addressing AI ethics, accountability architecture, and the micro-level governance of individual AI model behavior. Both frameworks share the founding steward and the core commitment to triadic evidentiary governance - the principle that Epistemic Hold is a honored state, not a system failure, and that the evidence for an action must precede the action itself. Both are subject to the same Succession Declaration protocol and the same Open Source License structure.</w:t>
      </w:r>
      <w:hyperlink r:id="rId1238">
        <w:r w:rsidDel="00000000" w:rsidR="00000000" w:rsidRPr="00000000">
          <w:rPr>
            <w:rtl w:val="0"/>
          </w:rPr>
          <w:t xml:space="preserve"> </w:t>
        </w:r>
      </w:hyperlink>
      <w:hyperlink r:id="rId1239">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576">
      <w:pPr>
        <w:spacing w:after="240" w:before="240" w:lineRule="auto"/>
        <w:rPr/>
      </w:pPr>
      <w:r w:rsidDel="00000000" w:rsidR="00000000" w:rsidRPr="00000000">
        <w:rPr>
          <w:rtl w:val="0"/>
        </w:rPr>
        <w:t xml:space="preserve">The succession of authority from the founding steward distributes separately to each framework's Tri-Cameral chambers. The two frameworks are architecturally complementary - TL governing the macroeconomic execution layer through </w:t>
      </w:r>
      <w:r w:rsidDel="00000000" w:rsidR="00000000" w:rsidRPr="00000000">
        <w:rPr>
          <w:rFonts w:ascii="Roboto Mono" w:cs="Roboto Mono" w:eastAsia="Roboto Mono" w:hAnsi="Roboto Mono"/>
          <w:color w:val="188038"/>
          <w:rtl w:val="0"/>
        </w:rPr>
        <w:t xml:space="preserve">POST /evaluate/trade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/evaluate/policy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POST /evaluate/supply-chain</w:t>
      </w:r>
      <w:r w:rsidDel="00000000" w:rsidR="00000000" w:rsidRPr="00000000">
        <w:rPr>
          <w:rtl w:val="0"/>
        </w:rPr>
        <w:t xml:space="preserve">, TML governing the AI reasoning and decision layer - but institutionally independent. The succession of one does not trigger the succession of the other.</w:t>
      </w:r>
    </w:p>
    <w:p w:rsidR="00000000" w:rsidDel="00000000" w:rsidP="00000000" w:rsidRDefault="00000000" w:rsidRPr="00000000" w14:paraId="00000577">
      <w:pPr>
        <w:spacing w:after="240" w:before="240" w:lineRule="auto"/>
        <w:rPr>
          <w:color w:val="1155cc"/>
          <w:u w:val="single"/>
        </w:rPr>
      </w:pPr>
      <w:r w:rsidDel="00000000" w:rsidR="00000000" w:rsidRPr="00000000">
        <w:rPr>
          <w:rtl w:val="0"/>
        </w:rPr>
        <w:t xml:space="preserve">This independence is a resilience property. A hostile actor who captures the TL governance infrastructure through institutional means does not thereby gain control of TML governance. A legal attack on TML's Open Source License does not impair TL's governance protections. The two frameworks reinforce each other's governance architecture while remaining institutionally separate so that the failure of one does not cascade into the failure of the other.</w:t>
      </w:r>
      <w:hyperlink r:id="rId1240">
        <w:r w:rsidDel="00000000" w:rsidR="00000000" w:rsidRPr="00000000">
          <w:rPr>
            <w:rtl w:val="0"/>
          </w:rPr>
          <w:t xml:space="preserve"> </w:t>
        </w:r>
      </w:hyperlink>
      <w:hyperlink r:id="rId1241">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578">
      <w:pPr>
        <w:pStyle w:val="Heading1"/>
        <w:keepNext w:val="0"/>
        <w:keepLines w:val="0"/>
        <w:spacing w:before="480" w:lineRule="auto"/>
        <w:rPr>
          <w:b w:val="1"/>
          <w:bCs w:val="1"/>
          <w:sz w:val="46"/>
          <w:szCs w:val="46"/>
        </w:rPr>
      </w:pPr>
      <w:bookmarkStart w:colFirst="0" w:colLast="0" w:name="_e1yus9bnvldf" w:id="225"/>
      <w:bookmarkEnd w:id="225"/>
      <w:r w:rsidDel="00000000" w:rsidR="00000000" w:rsidRPr="00000000">
        <w:rPr>
          <w:b w:val="1"/>
          <w:bCs w:val="1"/>
          <w:sz w:val="46"/>
          <w:szCs w:val="46"/>
          <w:rtl w:val="0"/>
        </w:rPr>
        <w:t xml:space="preserve">SECTION 14: CONCLUSION</w:t>
      </w:r>
    </w:p>
    <w:p w:rsidR="00000000" w:rsidDel="00000000" w:rsidP="00000000" w:rsidRDefault="00000000" w:rsidRPr="00000000" w14:paraId="00000579">
      <w:pPr>
        <w:pStyle w:val="Heading2"/>
        <w:keepNext w:val="0"/>
        <w:keepLines w:val="0"/>
        <w:spacing w:after="80" w:lineRule="auto"/>
        <w:rPr>
          <w:b w:val="1"/>
          <w:bCs w:val="1"/>
          <w:sz w:val="34"/>
          <w:szCs w:val="34"/>
        </w:rPr>
      </w:pPr>
      <w:bookmarkStart w:colFirst="0" w:colLast="0" w:name="_1an19zqw5g19" w:id="226"/>
      <w:bookmarkEnd w:id="226"/>
      <w:r w:rsidDel="00000000" w:rsidR="00000000" w:rsidRPr="00000000">
        <w:rPr>
          <w:b w:val="1"/>
          <w:bCs w:val="1"/>
          <w:sz w:val="34"/>
          <w:szCs w:val="34"/>
          <w:rtl w:val="0"/>
        </w:rPr>
        <w:t xml:space="preserve">14.0 The Problem This Document Addresses</w:t>
      </w:r>
    </w:p>
    <w:p w:rsidR="00000000" w:rsidDel="00000000" w:rsidP="00000000" w:rsidRDefault="00000000" w:rsidRPr="00000000" w14:paraId="0000057A">
      <w:pPr>
        <w:spacing w:after="240" w:before="240" w:lineRule="auto"/>
        <w:rPr>
          <w:color w:val="1155cc"/>
          <w:u w:val="single"/>
        </w:rPr>
      </w:pPr>
      <w:r w:rsidDel="00000000" w:rsidR="00000000" w:rsidRPr="00000000">
        <w:rPr>
          <w:rtl w:val="0"/>
        </w:rPr>
        <w:t xml:space="preserve">The global financial system processes hundreds of millions of algorithmic decisions each day. The governance architecture underlying those decisions was designed for a world in which human judgment occupied the critical path between data and action. That world no longer exists. Algorithmic systems now execute in microseconds, at scales no human oversight layer can monitor in real time, with a degree of opacity that has made post-hoc forensic reconstruction the default regulatory posture.</w:t>
      </w:r>
      <w:hyperlink r:id="rId1242">
        <w:r w:rsidDel="00000000" w:rsidR="00000000" w:rsidRPr="00000000">
          <w:rPr>
            <w:rtl w:val="0"/>
          </w:rPr>
          <w:t xml:space="preserve"> </w:t>
        </w:r>
      </w:hyperlink>
      <w:hyperlink r:id="rId1243">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57B">
      <w:pPr>
        <w:spacing w:after="240" w:before="240" w:lineRule="auto"/>
        <w:rPr>
          <w:color w:val="1155cc"/>
          <w:u w:val="single"/>
        </w:rPr>
      </w:pPr>
      <w:r w:rsidDel="00000000" w:rsidR="00000000" w:rsidRPr="00000000">
        <w:rPr>
          <w:rtl w:val="0"/>
        </w:rPr>
        <w:t xml:space="preserve">The consequences of this gap are not hypothetical. The May 6, 2010 Flash Crash eliminated approximately one trillion dollars in market value within thirty minutes, with the majority of losses concentrated in under five minutes - demonstrating what happens when automated systems operate without structured hesitation mechanisms. Global AML compliance now costs financial institutions an estimated $274 billion annually, yet ninety to ninety-five percent of all monitoring alerts are false positives.</w:t>
      </w:r>
      <w:hyperlink r:id="rId1244">
        <w:r w:rsidDel="00000000" w:rsidR="00000000" w:rsidRPr="00000000">
          <w:rPr>
            <w:rtl w:val="0"/>
          </w:rPr>
          <w:t xml:space="preserve"> </w:t>
        </w:r>
      </w:hyperlink>
      <w:hyperlink r:id="rId1245">
        <w:r w:rsidDel="00000000" w:rsidR="00000000" w:rsidRPr="00000000">
          <w:rPr>
            <w:color w:val="1155cc"/>
            <w:u w:val="single"/>
            <w:rtl w:val="0"/>
          </w:rPr>
          <w:t xml:space="preserve">[2]</w:t>
        </w:r>
      </w:hyperlink>
      <w:r w:rsidDel="00000000" w:rsidR="00000000" w:rsidRPr="00000000">
        <w:rPr>
          <w:rtl w:val="0"/>
        </w:rPr>
        <w:t xml:space="preserve"> Basel III's Fundamental Review of the Trading Book is expected to raise market risk capital requirements for the largest banking institutions by approximately seventy percent - not because underlying risk has increased, but because regulators have concluded that existing governance tools cannot prevent operational failures, so the system must absorb their cost instead.</w:t>
      </w:r>
      <w:hyperlink r:id="rId1246">
        <w:r w:rsidDel="00000000" w:rsidR="00000000" w:rsidRPr="00000000">
          <w:rPr>
            <w:rtl w:val="0"/>
          </w:rPr>
          <w:t xml:space="preserve"> </w:t>
        </w:r>
      </w:hyperlink>
      <w:hyperlink r:id="rId1247">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57C">
      <w:pPr>
        <w:spacing w:after="240" w:before="240" w:lineRule="auto"/>
        <w:rPr/>
      </w:pPr>
      <w:r w:rsidDel="00000000" w:rsidR="00000000" w:rsidRPr="00000000">
        <w:rPr>
          <w:rtl w:val="0"/>
        </w:rPr>
        <w:t xml:space="preserve">These are not failures of effort or intent. They are failures of architecture. The institutions that produced these failures employed competent people, followed applicable regulations, and operated compliance programs that satisfied supervisory examination requirements. What they lacked - what every institution relying on conventional governance lacks - is a framework that makes compliance a physical prerequisite for action rather than a post-hoc certification of past behavior. Ternary Logic is that framework.</w:t>
      </w:r>
    </w:p>
    <w:p w:rsidR="00000000" w:rsidDel="00000000" w:rsidP="00000000" w:rsidRDefault="00000000" w:rsidRPr="00000000" w14:paraId="0000057D">
      <w:pPr>
        <w:pStyle w:val="Heading2"/>
        <w:keepNext w:val="0"/>
        <w:keepLines w:val="0"/>
        <w:spacing w:after="80" w:lineRule="auto"/>
        <w:rPr>
          <w:b w:val="1"/>
          <w:bCs w:val="1"/>
          <w:sz w:val="34"/>
          <w:szCs w:val="34"/>
        </w:rPr>
      </w:pPr>
      <w:bookmarkStart w:colFirst="0" w:colLast="0" w:name="_4ffr73inpjk3" w:id="227"/>
      <w:bookmarkEnd w:id="227"/>
      <w:r w:rsidDel="00000000" w:rsidR="00000000" w:rsidRPr="00000000">
        <w:rPr>
          <w:b w:val="1"/>
          <w:bCs w:val="1"/>
          <w:sz w:val="34"/>
          <w:szCs w:val="34"/>
          <w:rtl w:val="0"/>
        </w:rPr>
        <w:t xml:space="preserve">14.1 What This Document Has Specified</w:t>
      </w:r>
    </w:p>
    <w:p w:rsidR="00000000" w:rsidDel="00000000" w:rsidP="00000000" w:rsidRDefault="00000000" w:rsidRPr="00000000" w14:paraId="0000057E">
      <w:pPr>
        <w:spacing w:after="240" w:before="240" w:lineRule="auto"/>
        <w:rPr/>
      </w:pPr>
      <w:r w:rsidDel="00000000" w:rsidR="00000000" w:rsidRPr="00000000">
        <w:rPr>
          <w:rtl w:val="0"/>
        </w:rPr>
        <w:t xml:space="preserve">This monograph has specified the complete governance architecture of Ternary Logic across fourteen Sections. The specification is not a research agenda. It is not a conceptual proposal. It is a technical standard and governance specification that an institution can deploy, an implementer can build against, and a regulator can audit against. Each element is specified at the level of detail required for implementation, with unresolved parameters tracked explicitly in the Constitutional Uncertainty Register in Appendix C rather than papered over with aspirational language.</w:t>
      </w:r>
    </w:p>
    <w:p w:rsidR="00000000" w:rsidDel="00000000" w:rsidP="00000000" w:rsidRDefault="00000000" w:rsidRPr="00000000" w14:paraId="0000057F">
      <w:pPr>
        <w:spacing w:after="240" w:before="240" w:lineRule="auto"/>
        <w:rPr>
          <w:color w:val="1155cc"/>
          <w:u w:val="single"/>
        </w:rPr>
      </w:pPr>
      <w:r w:rsidDel="00000000" w:rsidR="00000000" w:rsidRPr="00000000">
        <w:rPr>
          <w:b w:val="1"/>
          <w:bCs w:val="1"/>
          <w:rtl w:val="0"/>
        </w:rPr>
        <w:t xml:space="preserve">Section 2</w:t>
      </w:r>
      <w:r w:rsidDel="00000000" w:rsidR="00000000" w:rsidRPr="00000000">
        <w:rPr>
          <w:rtl w:val="0"/>
        </w:rPr>
        <w:t xml:space="preserve"> established the foundational architecture: the Goukassian Vow as encoding law binding every component; the three economic decision states and their operational meaning including </w:t>
      </w:r>
      <w:r w:rsidDel="00000000" w:rsidR="00000000" w:rsidRPr="00000000">
        <w:rPr>
          <w:rFonts w:ascii="Roboto Mono" w:cs="Roboto Mono" w:eastAsia="Roboto Mono" w:hAnsi="Roboto Mono"/>
          <w:color w:val="188038"/>
          <w:rtl w:val="0"/>
        </w:rPr>
        <w:t xml:space="preserve">stateLabel</w:t>
      </w:r>
      <w:r w:rsidDel="00000000" w:rsidR="00000000" w:rsidRPr="00000000">
        <w:rPr>
          <w:rtl w:val="0"/>
        </w:rPr>
        <w:t xml:space="preserve"> values </w:t>
      </w:r>
      <w:r w:rsidDel="00000000" w:rsidR="00000000" w:rsidRPr="00000000">
        <w:rPr>
          <w:rFonts w:ascii="Roboto Mono" w:cs="Roboto Mono" w:eastAsia="Roboto Mono" w:hAnsi="Roboto Mono"/>
          <w:color w:val="188038"/>
          <w:rtl w:val="0"/>
        </w:rPr>
        <w:t xml:space="preserve">"Proceed"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"EpistemicHold"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"Refuse"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TLResult</w:t>
      </w:r>
      <w:r w:rsidDel="00000000" w:rsidR="00000000" w:rsidRPr="00000000">
        <w:rPr>
          <w:rtl w:val="0"/>
        </w:rPr>
        <w:t xml:space="preserve">; the distinction between Epistemic Hold as a state and </w:t>
      </w:r>
      <w:r w:rsidDel="00000000" w:rsidR="00000000" w:rsidRPr="00000000">
        <w:rPr>
          <w:rFonts w:ascii="Roboto Mono" w:cs="Roboto Mono" w:eastAsia="Roboto Mono" w:hAnsi="Roboto Mono"/>
          <w:color w:val="188038"/>
          <w:rtl w:val="0"/>
        </w:rPr>
        <w:t xml:space="preserve">GovernancePause</w:t>
      </w:r>
      <w:r w:rsidDel="00000000" w:rsidR="00000000" w:rsidRPr="00000000">
        <w:rPr>
          <w:rtl w:val="0"/>
        </w:rPr>
        <w:t xml:space="preserve"> as a workflow; NL=NA as the five-layer enforcement covenant terminating in </w:t>
      </w:r>
      <w:r w:rsidDel="00000000" w:rsidR="00000000" w:rsidRPr="00000000">
        <w:rPr>
          <w:rFonts w:ascii="Roboto Mono" w:cs="Roboto Mono" w:eastAsia="Roboto Mono" w:hAnsi="Roboto Mono"/>
          <w:color w:val="188038"/>
          <w:rtl w:val="0"/>
        </w:rPr>
        <w:t xml:space="preserve">TL_Ledger_Core.registerPermissionToken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GoukassianPrincipleBlock_v1_0_0</w:t>
      </w:r>
      <w:r w:rsidDel="00000000" w:rsidR="00000000" w:rsidRPr="00000000">
        <w:rPr>
          <w:rtl w:val="0"/>
        </w:rPr>
        <w:t xml:space="preserve"> with its </w:t>
      </w:r>
      <w:r w:rsidDel="00000000" w:rsidR="00000000" w:rsidRPr="00000000">
        <w:rPr>
          <w:rFonts w:ascii="Roboto Mono" w:cs="Roboto Mono" w:eastAsia="Roboto Mono" w:hAnsi="Roboto Mono"/>
          <w:color w:val="188038"/>
          <w:rtl w:val="0"/>
        </w:rPr>
        <w:t xml:space="preserve">lantern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signature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license</w:t>
      </w:r>
      <w:r w:rsidDel="00000000" w:rsidR="00000000" w:rsidRPr="00000000">
        <w:rPr>
          <w:rtl w:val="0"/>
        </w:rPr>
        <w:t xml:space="preserve"> artifacts; the Eight Pillars with their canonical </w:t>
      </w:r>
      <w:r w:rsidDel="00000000" w:rsidR="00000000" w:rsidRPr="00000000">
        <w:rPr>
          <w:rFonts w:ascii="Roboto Mono" w:cs="Roboto Mono" w:eastAsia="Roboto Mono" w:hAnsi="Roboto Mono"/>
          <w:color w:val="188038"/>
          <w:rtl w:val="0"/>
        </w:rPr>
        <w:t xml:space="preserve">PillarIdentifier_v1_0_0</w:t>
      </w:r>
      <w:r w:rsidDel="00000000" w:rsidR="00000000" w:rsidRPr="00000000">
        <w:rPr>
          <w:rtl w:val="0"/>
        </w:rPr>
        <w:t xml:space="preserve"> identifiers; and the definition of constitutional computation as a category distinct from markets, hierarchies, and hybrids.</w:t>
      </w:r>
      <w:hyperlink r:id="rId1248">
        <w:r w:rsidDel="00000000" w:rsidR="00000000" w:rsidRPr="00000000">
          <w:rPr>
            <w:rtl w:val="0"/>
          </w:rPr>
          <w:t xml:space="preserve"> </w:t>
        </w:r>
      </w:hyperlink>
      <w:hyperlink r:id="rId1249">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580">
      <w:pPr>
        <w:spacing w:after="240" w:before="240" w:lineRule="auto"/>
        <w:rPr>
          <w:color w:val="1155cc"/>
          <w:u w:val="single"/>
        </w:rPr>
      </w:pPr>
      <w:r w:rsidDel="00000000" w:rsidR="00000000" w:rsidRPr="00000000">
        <w:rPr>
          <w:b w:val="1"/>
          <w:bCs w:val="1"/>
          <w:rtl w:val="0"/>
        </w:rPr>
        <w:t xml:space="preserve">Section 3</w:t>
      </w:r>
      <w:r w:rsidDel="00000000" w:rsidR="00000000" w:rsidRPr="00000000">
        <w:rPr>
          <w:rtl w:val="0"/>
        </w:rPr>
        <w:t xml:space="preserve"> specified the Dual-Lane Architecture: the physical and logical separation between the Inference Lane (</w:t>
      </w:r>
      <w:r w:rsidDel="00000000" w:rsidR="00000000" w:rsidRPr="00000000">
        <w:rPr>
          <w:rFonts w:ascii="Roboto Mono" w:cs="Roboto Mono" w:eastAsia="Roboto Mono" w:hAnsi="Roboto Mono"/>
          <w:color w:val="188038"/>
          <w:rtl w:val="0"/>
        </w:rPr>
        <w:t xml:space="preserve">TLGovernanceJWT</w:t>
      </w:r>
      <w:r w:rsidDel="00000000" w:rsidR="00000000" w:rsidRPr="00000000">
        <w:rPr>
          <w:rtl w:val="0"/>
        </w:rPr>
        <w:t xml:space="preserve"> credential) and the Governance Lane (</w:t>
      </w:r>
      <w:r w:rsidDel="00000000" w:rsidR="00000000" w:rsidRPr="00000000">
        <w:rPr>
          <w:rFonts w:ascii="Roboto Mono" w:cs="Roboto Mono" w:eastAsia="Roboto Mono" w:hAnsi="Roboto Mono"/>
          <w:color w:val="188038"/>
          <w:rtl w:val="0"/>
        </w:rPr>
        <w:t xml:space="preserve">HSMSignedJWT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NLNAAuditToken</w:t>
      </w:r>
      <w:r w:rsidDel="00000000" w:rsidR="00000000" w:rsidRPr="00000000">
        <w:rPr>
          <w:rtl w:val="0"/>
        </w:rPr>
        <w:t xml:space="preserve"> credentials); the Gateway's fail-closed design with </w:t>
      </w:r>
      <w:r w:rsidDel="00000000" w:rsidR="00000000" w:rsidRPr="00000000">
        <w:rPr>
          <w:rFonts w:ascii="Roboto Mono" w:cs="Roboto Mono" w:eastAsia="Roboto Mono" w:hAnsi="Roboto Mono"/>
          <w:color w:val="188038"/>
          <w:rtl w:val="0"/>
        </w:rPr>
        <w:t xml:space="preserve">epistemicHoldOverride: true</w:t>
      </w:r>
      <w:r w:rsidDel="00000000" w:rsidR="00000000" w:rsidRPr="00000000">
        <w:rPr>
          <w:rtl w:val="0"/>
        </w:rPr>
        <w:t xml:space="preserve"> as the default on any Governance Lane failure; the </w:t>
      </w:r>
      <w:r w:rsidDel="00000000" w:rsidR="00000000" w:rsidRPr="00000000">
        <w:rPr>
          <w:rFonts w:ascii="Roboto Mono" w:cs="Roboto Mono" w:eastAsia="Roboto Mono" w:hAnsi="Roboto Mono"/>
          <w:color w:val="188038"/>
          <w:rtl w:val="0"/>
        </w:rPr>
        <w:t xml:space="preserve">PermissionToken_v1_0_0</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laneOrigin: const: "AUDIT_LANE"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NLNAViolation</w:t>
      </w:r>
      <w:r w:rsidDel="00000000" w:rsidR="00000000" w:rsidRPr="00000000">
        <w:rPr>
          <w:rtl w:val="0"/>
        </w:rPr>
        <w:t xml:space="preserve"> revert protection; the </w:t>
      </w:r>
      <w:r w:rsidDel="00000000" w:rsidR="00000000" w:rsidRPr="00000000">
        <w:rPr>
          <w:rFonts w:ascii="Roboto Mono" w:cs="Roboto Mono" w:eastAsia="Roboto Mono" w:hAnsi="Roboto Mono"/>
          <w:color w:val="188038"/>
          <w:rtl w:val="0"/>
        </w:rPr>
        <w:t xml:space="preserve">TLResult</w:t>
      </w:r>
      <w:r w:rsidDel="00000000" w:rsidR="00000000" w:rsidRPr="00000000">
        <w:rPr>
          <w:rtl w:val="0"/>
        </w:rPr>
        <w:t xml:space="preserve"> object with its </w:t>
      </w:r>
      <w:r w:rsidDel="00000000" w:rsidR="00000000" w:rsidRPr="00000000">
        <w:rPr>
          <w:rFonts w:ascii="Roboto Mono" w:cs="Roboto Mono" w:eastAsia="Roboto Mono" w:hAnsi="Roboto Mono"/>
          <w:color w:val="188038"/>
          <w:rtl w:val="0"/>
        </w:rPr>
        <w:t xml:space="preserve">stateLabel</w:t>
      </w:r>
      <w:r w:rsidDel="00000000" w:rsidR="00000000" w:rsidRPr="00000000">
        <w:rPr>
          <w:rtl w:val="0"/>
        </w:rPr>
        <w:t xml:space="preserve"> field; and the NL=NA five-layer architecture from schema validation through </w:t>
      </w:r>
      <w:r w:rsidDel="00000000" w:rsidR="00000000" w:rsidRPr="00000000">
        <w:rPr>
          <w:rFonts w:ascii="Roboto Mono" w:cs="Roboto Mono" w:eastAsia="Roboto Mono" w:hAnsi="Roboto Mono"/>
          <w:color w:val="188038"/>
          <w:rtl w:val="0"/>
        </w:rPr>
        <w:t xml:space="preserve">verifyMerkleInclusion</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TL_Ledger_Core</w:t>
      </w:r>
      <w:r w:rsidDel="00000000" w:rsidR="00000000" w:rsidRPr="00000000">
        <w:rPr>
          <w:rtl w:val="0"/>
        </w:rPr>
        <w:t xml:space="preserve">.</w:t>
      </w:r>
      <w:hyperlink r:id="rId1250">
        <w:r w:rsidDel="00000000" w:rsidR="00000000" w:rsidRPr="00000000">
          <w:rPr>
            <w:rtl w:val="0"/>
          </w:rPr>
          <w:t xml:space="preserve"> </w:t>
        </w:r>
      </w:hyperlink>
      <w:hyperlink r:id="rId1251">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581">
      <w:pPr>
        <w:spacing w:after="240" w:before="240" w:lineRule="auto"/>
        <w:rPr>
          <w:color w:val="1155cc"/>
          <w:u w:val="single"/>
        </w:rPr>
      </w:pPr>
      <w:r w:rsidDel="00000000" w:rsidR="00000000" w:rsidRPr="00000000">
        <w:rPr>
          <w:b w:val="1"/>
          <w:bCs w:val="1"/>
          <w:rtl w:val="0"/>
        </w:rPr>
        <w:t xml:space="preserve">Section 4</w:t>
      </w:r>
      <w:r w:rsidDel="00000000" w:rsidR="00000000" w:rsidRPr="00000000">
        <w:rPr>
          <w:rtl w:val="0"/>
        </w:rPr>
        <w:t xml:space="preserve"> specified each of the Eight Pillars individually as operational enforcement mechanisms with defined enforcement classes, API expressions, schema anchors, and adversarial vulnerability profiles. The Critical binary dependency between Pillars I (</w:t>
      </w:r>
      <w:r w:rsidDel="00000000" w:rsidR="00000000" w:rsidRPr="00000000">
        <w:rPr>
          <w:rFonts w:ascii="Roboto Mono" w:cs="Roboto Mono" w:eastAsia="Roboto Mono" w:hAnsi="Roboto Mono"/>
          <w:color w:val="188038"/>
          <w:rtl w:val="0"/>
        </w:rPr>
        <w:t xml:space="preserve">EpistemicHold</w:t>
      </w:r>
      <w:r w:rsidDel="00000000" w:rsidR="00000000" w:rsidRPr="00000000">
        <w:rPr>
          <w:rtl w:val="0"/>
        </w:rPr>
        <w:t xml:space="preserve">) and IV (</w:t>
      </w:r>
      <w:r w:rsidDel="00000000" w:rsidR="00000000" w:rsidRPr="00000000">
        <w:rPr>
          <w:rFonts w:ascii="Roboto Mono" w:cs="Roboto Mono" w:eastAsia="Roboto Mono" w:hAnsi="Roboto Mono"/>
          <w:color w:val="188038"/>
          <w:rtl w:val="0"/>
        </w:rPr>
        <w:t xml:space="preserve">DecisionLogs</w:t>
      </w:r>
      <w:r w:rsidDel="00000000" w:rsidR="00000000" w:rsidRPr="00000000">
        <w:rPr>
          <w:rtl w:val="0"/>
        </w:rPr>
        <w:t xml:space="preserve">) was identified and its implications for Transitional Emulation Mode stated without qualification, signaled through </w:t>
      </w:r>
      <w:r w:rsidDel="00000000" w:rsidR="00000000" w:rsidRPr="00000000">
        <w:rPr>
          <w:rFonts w:ascii="Roboto Mono" w:cs="Roboto Mono" w:eastAsia="Roboto Mono" w:hAnsi="Roboto Mono"/>
          <w:color w:val="188038"/>
          <w:rtl w:val="0"/>
        </w:rPr>
        <w:t xml:space="preserve">NULL_PUF_DEPLOYMENT</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NLNAAuditToken.pufAttestation</w:t>
      </w:r>
      <w:r w:rsidDel="00000000" w:rsidR="00000000" w:rsidRPr="00000000">
        <w:rPr>
          <w:rtl w:val="0"/>
        </w:rPr>
        <w:t xml:space="preserve">.</w:t>
      </w:r>
      <w:hyperlink r:id="rId1252">
        <w:r w:rsidDel="00000000" w:rsidR="00000000" w:rsidRPr="00000000">
          <w:rPr>
            <w:rtl w:val="0"/>
          </w:rPr>
          <w:t xml:space="preserve"> </w:t>
        </w:r>
      </w:hyperlink>
      <w:hyperlink r:id="rId1253">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582">
      <w:pPr>
        <w:spacing w:after="240" w:before="240" w:lineRule="auto"/>
        <w:rPr>
          <w:color w:val="1155cc"/>
          <w:u w:val="single"/>
        </w:rPr>
      </w:pPr>
      <w:r w:rsidDel="00000000" w:rsidR="00000000" w:rsidRPr="00000000">
        <w:rPr>
          <w:b w:val="1"/>
          <w:bCs w:val="1"/>
          <w:rtl w:val="0"/>
        </w:rPr>
        <w:t xml:space="preserve">Section 5</w:t>
      </w:r>
      <w:r w:rsidDel="00000000" w:rsidR="00000000" w:rsidRPr="00000000">
        <w:rPr>
          <w:rtl w:val="0"/>
        </w:rPr>
        <w:t xml:space="preserve"> specified the No Spy, No Weapon Mandate as the negative governance architecture: three structural constraints enforced through the </w:t>
      </w:r>
      <w:r w:rsidDel="00000000" w:rsidR="00000000" w:rsidRPr="00000000">
        <w:rPr>
          <w:rFonts w:ascii="Roboto Mono" w:cs="Roboto Mono" w:eastAsia="Roboto Mono" w:hAnsi="Roboto Mono"/>
          <w:color w:val="188038"/>
          <w:rtl w:val="0"/>
        </w:rPr>
        <w:t xml:space="preserve">lantern</w:t>
      </w:r>
      <w:r w:rsidDel="00000000" w:rsidR="00000000" w:rsidRPr="00000000">
        <w:rPr>
          <w:rtl w:val="0"/>
        </w:rPr>
        <w:t xml:space="preserve"> integrity self-test, </w:t>
      </w:r>
      <w:r w:rsidDel="00000000" w:rsidR="00000000" w:rsidRPr="00000000">
        <w:rPr>
          <w:rFonts w:ascii="Roboto Mono" w:cs="Roboto Mono" w:eastAsia="Roboto Mono" w:hAnsi="Roboto Mono"/>
          <w:color w:val="188038"/>
          <w:rtl w:val="0"/>
        </w:rPr>
        <w:t xml:space="preserve">RegulatoryContext</w:t>
      </w:r>
      <w:r w:rsidDel="00000000" w:rsidR="00000000" w:rsidRPr="00000000">
        <w:rPr>
          <w:rtl w:val="0"/>
        </w:rPr>
        <w:t xml:space="preserve"> evaluation fields, and physically absent circuit elements in DITL hardware; the Oracle Problem resolved through query constitutionalization with mandatory metadata fields on every </w:t>
      </w:r>
      <w:r w:rsidDel="00000000" w:rsidR="00000000" w:rsidRPr="00000000">
        <w:rPr>
          <w:rFonts w:ascii="Roboto Mono" w:cs="Roboto Mono" w:eastAsia="Roboto Mono" w:hAnsi="Roboto Mono"/>
          <w:color w:val="188038"/>
          <w:rtl w:val="0"/>
        </w:rPr>
        <w:t xml:space="preserve">POST /decisions</w:t>
      </w:r>
      <w:r w:rsidDel="00000000" w:rsidR="00000000" w:rsidRPr="00000000">
        <w:rPr>
          <w:rtl w:val="0"/>
        </w:rPr>
        <w:t xml:space="preserve"> request; twelve domain-specific edge-case determinations each specifying the Governance Lane's evaluation logic; the universality stress test across five scaling dimensions; four sovereign pressure vectors; and the three-axis final determination.</w:t>
      </w:r>
      <w:hyperlink r:id="rId1254">
        <w:r w:rsidDel="00000000" w:rsidR="00000000" w:rsidRPr="00000000">
          <w:rPr>
            <w:rtl w:val="0"/>
          </w:rPr>
          <w:t xml:space="preserve"> </w:t>
        </w:r>
      </w:hyperlink>
      <w:hyperlink r:id="rId1255">
        <w:r w:rsidDel="00000000" w:rsidR="00000000" w:rsidRPr="00000000">
          <w:rPr>
            <w:color w:val="1155cc"/>
            <w:u w:val="single"/>
            <w:rtl w:val="0"/>
          </w:rPr>
          <w:t xml:space="preserve">[7]</w:t>
        </w:r>
      </w:hyperlink>
      <w:r w:rsidDel="00000000" w:rsidR="00000000" w:rsidRPr="00000000">
        <w:rPr>
          <w:rtl w:val="0"/>
        </w:rPr>
      </w:r>
    </w:p>
    <w:p w:rsidR="00000000" w:rsidDel="00000000" w:rsidP="00000000" w:rsidRDefault="00000000" w:rsidRPr="00000000" w14:paraId="00000583">
      <w:pPr>
        <w:spacing w:after="240" w:before="240" w:lineRule="auto"/>
        <w:rPr>
          <w:color w:val="1155cc"/>
          <w:u w:val="single"/>
        </w:rPr>
      </w:pPr>
      <w:r w:rsidDel="00000000" w:rsidR="00000000" w:rsidRPr="00000000">
        <w:rPr>
          <w:b w:val="1"/>
          <w:bCs w:val="1"/>
          <w:rtl w:val="0"/>
        </w:rPr>
        <w:t xml:space="preserve">Section 6</w:t>
      </w:r>
      <w:r w:rsidDel="00000000" w:rsidR="00000000" w:rsidRPr="00000000">
        <w:rPr>
          <w:rtl w:val="0"/>
        </w:rPr>
        <w:t xml:space="preserve"> specified the resolution of the structural incompatibility between ledger immutability and GDPR Article 17 through cryptographic erasure using </w:t>
      </w:r>
      <w:r w:rsidDel="00000000" w:rsidR="00000000" w:rsidRPr="00000000">
        <w:rPr>
          <w:rFonts w:ascii="Roboto Mono" w:cs="Roboto Mono" w:eastAsia="Roboto Mono" w:hAnsi="Roboto Mono"/>
          <w:color w:val="188038"/>
          <w:rtl w:val="0"/>
        </w:rPr>
        <w:t xml:space="preserve">HKDF-SHA3-256</w:t>
      </w:r>
      <w:r w:rsidDel="00000000" w:rsidR="00000000" w:rsidRPr="00000000">
        <w:rPr>
          <w:rtl w:val="0"/>
        </w:rPr>
        <w:t xml:space="preserve"> key destruction confirmed through </w:t>
      </w:r>
      <w:r w:rsidDel="00000000" w:rsidR="00000000" w:rsidRPr="00000000">
        <w:rPr>
          <w:rFonts w:ascii="Roboto Mono" w:cs="Roboto Mono" w:eastAsia="Roboto Mono" w:hAnsi="Roboto Mono"/>
          <w:color w:val="188038"/>
          <w:rtl w:val="0"/>
        </w:rPr>
        <w:t xml:space="preserve">hkdfSha3256Confirmed: true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EKRRecord_v1_0_0</w:t>
      </w:r>
      <w:r w:rsidDel="00000000" w:rsidR="00000000" w:rsidRPr="00000000">
        <w:rPr>
          <w:rtl w:val="0"/>
        </w:rPr>
        <w:t xml:space="preserve">; the Ephemeral Key Rotation mechanism's four-stage operational protocol; trade secret protection and regulatory examination compatibility through scoped time-bound decryption; full GDPR Article 17(3) compliance analysis against the three retention override grounds enforced through </w:t>
      </w:r>
      <w:r w:rsidDel="00000000" w:rsidR="00000000" w:rsidRPr="00000000">
        <w:rPr>
          <w:rFonts w:ascii="Roboto Mono" w:cs="Roboto Mono" w:eastAsia="Roboto Mono" w:hAnsi="Roboto Mono"/>
          <w:color w:val="188038"/>
          <w:rtl w:val="0"/>
        </w:rPr>
        <w:t xml:space="preserve">regulatory_nexus_reference</w:t>
      </w:r>
      <w:r w:rsidDel="00000000" w:rsidR="00000000" w:rsidRPr="00000000">
        <w:rPr>
          <w:rtl w:val="0"/>
        </w:rPr>
        <w:t xml:space="preserve">; and three residual sub-gaps tracked in the Constitutional Uncertainty Register.</w:t>
      </w:r>
      <w:hyperlink r:id="rId1256">
        <w:r w:rsidDel="00000000" w:rsidR="00000000" w:rsidRPr="00000000">
          <w:rPr>
            <w:rtl w:val="0"/>
          </w:rPr>
          <w:t xml:space="preserve"> </w:t>
        </w:r>
      </w:hyperlink>
      <w:hyperlink r:id="rId1257">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584">
      <w:pPr>
        <w:spacing w:after="240" w:before="240" w:lineRule="auto"/>
        <w:rPr>
          <w:color w:val="1155cc"/>
          <w:u w:val="single"/>
        </w:rPr>
      </w:pPr>
      <w:r w:rsidDel="00000000" w:rsidR="00000000" w:rsidRPr="00000000">
        <w:rPr>
          <w:b w:val="1"/>
          <w:bCs w:val="1"/>
          <w:rtl w:val="0"/>
        </w:rPr>
        <w:t xml:space="preserve">Section 7</w:t>
      </w:r>
      <w:r w:rsidDel="00000000" w:rsidR="00000000" w:rsidRPr="00000000">
        <w:rPr>
          <w:rtl w:val="0"/>
        </w:rPr>
        <w:t xml:space="preserve"> specified regulatory alignment at the level of individual regulatory provisions across Basel III and FRTB with </w:t>
      </w:r>
      <w:r w:rsidDel="00000000" w:rsidR="00000000" w:rsidRPr="00000000">
        <w:rPr>
          <w:rFonts w:ascii="Roboto Mono" w:cs="Roboto Mono" w:eastAsia="Roboto Mono" w:hAnsi="Roboto Mono"/>
          <w:color w:val="188038"/>
          <w:rtl w:val="0"/>
        </w:rPr>
        <w:t xml:space="preserve">baselIiiVector</w:t>
      </w:r>
      <w:r w:rsidDel="00000000" w:rsidR="00000000" w:rsidRPr="00000000">
        <w:rPr>
          <w:rtl w:val="0"/>
        </w:rPr>
        <w:t xml:space="preserve"> evaluation fields, SEC and CFTC through </w:t>
      </w:r>
      <w:r w:rsidDel="00000000" w:rsidR="00000000" w:rsidRPr="00000000">
        <w:rPr>
          <w:rFonts w:ascii="Roboto Mono" w:cs="Roboto Mono" w:eastAsia="Roboto Mono" w:hAnsi="Roboto Mono"/>
          <w:color w:val="188038"/>
          <w:rtl w:val="0"/>
        </w:rPr>
        <w:t xml:space="preserve">GET /regulator/timestamp-verification/{logId}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POST /regulator/evidence-export</w:t>
      </w:r>
      <w:r w:rsidDel="00000000" w:rsidR="00000000" w:rsidRPr="00000000">
        <w:rPr>
          <w:rtl w:val="0"/>
        </w:rPr>
        <w:t xml:space="preserve">, IOSCO PFMI through NL=NA settlement finality, central bank oversight and CBDC governance through </w:t>
      </w:r>
      <w:r w:rsidDel="00000000" w:rsidR="00000000" w:rsidRPr="00000000">
        <w:rPr>
          <w:rFonts w:ascii="Roboto Mono" w:cs="Roboto Mono" w:eastAsia="Roboto Mono" w:hAnsi="Roboto Mono"/>
          <w:color w:val="188038"/>
          <w:rtl w:val="0"/>
        </w:rPr>
        <w:t xml:space="preserve">RegulatoryContext.fatf</w:t>
      </w:r>
      <w:r w:rsidDel="00000000" w:rsidR="00000000" w:rsidRPr="00000000">
        <w:rPr>
          <w:rtl w:val="0"/>
        </w:rPr>
        <w:t xml:space="preserve"> evaluation, EU AI Act through the </w:t>
      </w:r>
      <w:r w:rsidDel="00000000" w:rsidR="00000000" w:rsidRPr="00000000">
        <w:rPr>
          <w:rFonts w:ascii="Roboto Mono" w:cs="Roboto Mono" w:eastAsia="Roboto Mono" w:hAnsi="Roboto Mono"/>
          <w:color w:val="188038"/>
          <w:rtl w:val="0"/>
        </w:rPr>
        <w:t xml:space="preserve">GovernancePause</w:t>
      </w:r>
      <w:r w:rsidDel="00000000" w:rsidR="00000000" w:rsidRPr="00000000">
        <w:rPr>
          <w:rtl w:val="0"/>
        </w:rPr>
        <w:t xml:space="preserve"> workflow enforcing mandatory human oversight, FRE 901/902 and eIDAS through </w:t>
      </w:r>
      <w:r w:rsidDel="00000000" w:rsidR="00000000" w:rsidRPr="00000000">
        <w:rPr>
          <w:rFonts w:ascii="Roboto Mono" w:cs="Roboto Mono" w:eastAsia="Roboto Mono" w:hAnsi="Roboto Mono"/>
          <w:color w:val="188038"/>
          <w:rtl w:val="0"/>
        </w:rPr>
        <w:t xml:space="preserve">TriCameralApproval_v1_0_0</w:t>
      </w:r>
      <w:r w:rsidDel="00000000" w:rsidR="00000000" w:rsidRPr="00000000">
        <w:rPr>
          <w:rtl w:val="0"/>
        </w:rPr>
        <w:t xml:space="preserve">, and the three sector-specific applications of AML through </w:t>
      </w:r>
      <w:r w:rsidDel="00000000" w:rsidR="00000000" w:rsidRPr="00000000">
        <w:rPr>
          <w:rFonts w:ascii="Roboto Mono" w:cs="Roboto Mono" w:eastAsia="Roboto Mono" w:hAnsi="Roboto Mono"/>
          <w:color w:val="188038"/>
          <w:rtl w:val="0"/>
        </w:rPr>
        <w:t xml:space="preserve">POST /regulator/fatf/compliance-export</w:t>
      </w:r>
      <w:r w:rsidDel="00000000" w:rsidR="00000000" w:rsidRPr="00000000">
        <w:rPr>
          <w:rtl w:val="0"/>
        </w:rPr>
        <w:t xml:space="preserve">, insurance, and supply chain.</w:t>
      </w:r>
      <w:hyperlink r:id="rId1258">
        <w:r w:rsidDel="00000000" w:rsidR="00000000" w:rsidRPr="00000000">
          <w:rPr>
            <w:rtl w:val="0"/>
          </w:rPr>
          <w:t xml:space="preserve"> </w:t>
        </w:r>
      </w:hyperlink>
      <w:hyperlink r:id="rId1259">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585">
      <w:pPr>
        <w:spacing w:after="240" w:before="240" w:lineRule="auto"/>
        <w:rPr>
          <w:color w:val="1155cc"/>
          <w:u w:val="single"/>
        </w:rPr>
      </w:pPr>
      <w:r w:rsidDel="00000000" w:rsidR="00000000" w:rsidRPr="00000000">
        <w:rPr>
          <w:b w:val="1"/>
          <w:bCs w:val="1"/>
          <w:rtl w:val="0"/>
        </w:rPr>
        <w:t xml:space="preserve">Section 8</w:t>
      </w:r>
      <w:r w:rsidDel="00000000" w:rsidR="00000000" w:rsidRPr="00000000">
        <w:rPr>
          <w:rtl w:val="0"/>
        </w:rPr>
        <w:t xml:space="preserve"> specified the hardware enforcement architecture in full technical depth: the enforceability gap and its attack surface; the DITL asynchronous circuit paradigm with the four-phase handshake protocol, 1-of-3 rail encoding with the </w:t>
      </w:r>
      <w:r w:rsidDel="00000000" w:rsidR="00000000" w:rsidRPr="00000000">
        <w:rPr>
          <w:rFonts w:ascii="Roboto Mono" w:cs="Roboto Mono" w:eastAsia="Roboto Mono" w:hAnsi="Roboto Mono"/>
          <w:color w:val="188038"/>
          <w:rtl w:val="0"/>
        </w:rPr>
        <w:t xml:space="preserve">{0,0}</w:t>
      </w:r>
      <w:r w:rsidDel="00000000" w:rsidR="00000000" w:rsidRPr="00000000">
        <w:rPr>
          <w:rtl w:val="0"/>
        </w:rPr>
        <w:t xml:space="preserve"> NULL state, Muller C-elements and their superiority over maskable NMIs, and completion detection; the Mandated Ternary memristive cells with the three resistance states (HRS/IRS/LRS), the </w:t>
      </w:r>
      <w:r w:rsidDel="00000000" w:rsidR="00000000" w:rsidRPr="00000000">
        <w:rPr>
          <w:rFonts w:ascii="Roboto Mono" w:cs="Roboto Mono" w:eastAsia="Roboto Mono" w:hAnsi="Roboto Mono"/>
          <w:color w:val="188038"/>
          <w:rtl w:val="0"/>
        </w:rPr>
        <w:t xml:space="preserve">CONFIRM_OK</w:t>
      </w:r>
      <w:r w:rsidDel="00000000" w:rsidR="00000000" w:rsidRPr="00000000">
        <w:rPr>
          <w:rtl w:val="0"/>
        </w:rPr>
        <w:t xml:space="preserve"> pulse architecture, the </w:t>
      </w:r>
      <w:r w:rsidDel="00000000" w:rsidR="00000000" w:rsidRPr="00000000">
        <w:rPr>
          <w:rFonts w:ascii="Roboto Mono" w:cs="Roboto Mono" w:eastAsia="Roboto Mono" w:hAnsi="Roboto Mono"/>
          <w:color w:val="188038"/>
          <w:rtl w:val="0"/>
        </w:rPr>
        <w:t xml:space="preserve">windowComparatorReading</w:t>
      </w:r>
      <w:r w:rsidDel="00000000" w:rsidR="00000000" w:rsidRPr="00000000">
        <w:rPr>
          <w:rtl w:val="0"/>
        </w:rPr>
        <w:t xml:space="preserve"> field in </w:t>
      </w:r>
      <w:r w:rsidDel="00000000" w:rsidR="00000000" w:rsidRPr="00000000">
        <w:rPr>
          <w:rFonts w:ascii="Roboto Mono" w:cs="Roboto Mono" w:eastAsia="Roboto Mono" w:hAnsi="Roboto Mono"/>
          <w:color w:val="188038"/>
          <w:rtl w:val="0"/>
        </w:rPr>
        <w:t xml:space="preserve">EscrowRecord_v1_0_0</w:t>
      </w:r>
      <w:r w:rsidDel="00000000" w:rsidR="00000000" w:rsidRPr="00000000">
        <w:rPr>
          <w:rtl w:val="0"/>
        </w:rPr>
        <w:t xml:space="preserve">, and the TSMC N2 CoWoS ReRAM 1T1R 2025 PDK baseline; the six mandatory conditions for physical non-bypassability; four-layer physical security with the six-step cascaded safe harbor response; Architecture B with IEC 61508 SIL 3 target, kill criteria, and the single permitted recursion rule; the categorical FPGA prohibition citing the Ender/Moradi/Paar break; supply chain risk including irreducible dopant-level Trojans; and Transitional Emulation Mode's per-Pillar degradation profile.</w:t>
      </w:r>
      <w:hyperlink r:id="rId1260">
        <w:r w:rsidDel="00000000" w:rsidR="00000000" w:rsidRPr="00000000">
          <w:rPr>
            <w:rtl w:val="0"/>
          </w:rPr>
          <w:t xml:space="preserve"> </w:t>
        </w:r>
      </w:hyperlink>
      <w:hyperlink r:id="rId1261">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586">
      <w:pPr>
        <w:spacing w:after="240" w:before="240" w:lineRule="auto"/>
        <w:rPr>
          <w:color w:val="1155cc"/>
          <w:u w:val="single"/>
        </w:rPr>
      </w:pPr>
      <w:r w:rsidDel="00000000" w:rsidR="00000000" w:rsidRPr="00000000">
        <w:rPr>
          <w:b w:val="1"/>
          <w:bCs w:val="1"/>
          <w:rtl w:val="0"/>
        </w:rPr>
        <w:t xml:space="preserve">Section 9</w:t>
      </w:r>
      <w:r w:rsidDel="00000000" w:rsidR="00000000" w:rsidRPr="00000000">
        <w:rPr>
          <w:rtl w:val="0"/>
        </w:rPr>
        <w:t xml:space="preserve"> specified the Tri-Cameral Governance Model: the Technical Council's nine-member composition with seventy-five percent supermajority threshold and five operational domains; the Stewardship Custodians' eleven-member dual-nomination structure with two-thirds supermajority threshold, three-of-six Shamir key quorum, and six operational domains; the Smart Contract Treasury's four constitutionally protected reserves and the automated penalty and incentive architecture; the mutual veto structure enforced through </w:t>
      </w:r>
      <w:r w:rsidDel="00000000" w:rsidR="00000000" w:rsidRPr="00000000">
        <w:rPr>
          <w:rFonts w:ascii="Roboto Mono" w:cs="Roboto Mono" w:eastAsia="Roboto Mono" w:hAnsi="Roboto Mono"/>
          <w:color w:val="188038"/>
          <w:rtl w:val="0"/>
        </w:rPr>
        <w:t xml:space="preserve">TriCameralApproval_v1_0_0</w:t>
      </w:r>
      <w:r w:rsidDel="00000000" w:rsidR="00000000" w:rsidRPr="00000000">
        <w:rPr>
          <w:rtl w:val="0"/>
        </w:rPr>
        <w:t xml:space="preserve">; the Emergency Override Protocol with five mandatory safeguards and </w:t>
      </w:r>
      <w:r w:rsidDel="00000000" w:rsidR="00000000" w:rsidRPr="00000000">
        <w:rPr>
          <w:rFonts w:ascii="Roboto Mono" w:cs="Roboto Mono" w:eastAsia="Roboto Mono" w:hAnsi="Roboto Mono"/>
          <w:color w:val="188038"/>
          <w:rtl w:val="0"/>
        </w:rPr>
        <w:t xml:space="preserve">EmergencyOverrideRequest_v1_0_0</w:t>
      </w:r>
      <w:r w:rsidDel="00000000" w:rsidR="00000000" w:rsidRPr="00000000">
        <w:rPr>
          <w:rtl w:val="0"/>
        </w:rPr>
        <w:t xml:space="preserve">; the No Switch Off Rule through four enforcement mechanisms; and four governance capture vectors with quantified attack timelines.</w:t>
      </w:r>
      <w:hyperlink r:id="rId1262">
        <w:r w:rsidDel="00000000" w:rsidR="00000000" w:rsidRPr="00000000">
          <w:rPr>
            <w:rtl w:val="0"/>
          </w:rPr>
          <w:t xml:space="preserve"> </w:t>
        </w:r>
      </w:hyperlink>
      <w:hyperlink r:id="rId1263">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587">
      <w:pPr>
        <w:spacing w:after="240" w:before="240" w:lineRule="auto"/>
        <w:rPr>
          <w:color w:val="1155cc"/>
          <w:u w:val="single"/>
        </w:rPr>
      </w:pPr>
      <w:r w:rsidDel="00000000" w:rsidR="00000000" w:rsidRPr="00000000">
        <w:rPr>
          <w:b w:val="1"/>
          <w:bCs w:val="1"/>
          <w:rtl w:val="0"/>
        </w:rPr>
        <w:t xml:space="preserve">Section 10</w:t>
      </w:r>
      <w:r w:rsidDel="00000000" w:rsidR="00000000" w:rsidRPr="00000000">
        <w:rPr>
          <w:rtl w:val="0"/>
        </w:rPr>
        <w:t xml:space="preserve"> provided the adversarial survivability assessment: Eight Pillars ratings across seven dimensions with the Critical binary dependency and </w:t>
      </w:r>
      <w:r w:rsidDel="00000000" w:rsidR="00000000" w:rsidRPr="00000000">
        <w:rPr>
          <w:rFonts w:ascii="Roboto Mono" w:cs="Roboto Mono" w:eastAsia="Roboto Mono" w:hAnsi="Roboto Mono"/>
          <w:color w:val="188038"/>
          <w:rtl w:val="0"/>
        </w:rPr>
        <w:t xml:space="preserve">NULL_PUF_DEPLOYMENT</w:t>
      </w:r>
      <w:r w:rsidDel="00000000" w:rsidR="00000000" w:rsidRPr="00000000">
        <w:rPr>
          <w:rtl w:val="0"/>
        </w:rPr>
        <w:t xml:space="preserve"> disclosure mechanism; NL=NA stress-tested against five adversarial scenarios with residual probability estimates by deployment mode including the NL=NA invariant strength table; Transitional Emulation Mode collapse analysis with adversary-specific timeline windows and the HNDT detection gap tracked in the Constitutional Uncertainty Register; triadic state integrity attacks including Sacred Pause flooding at the fifty-to-one-hundred Hold alert fatigue threshold; ten root override vectors catalogued with cost and NMI generation data; four institutional governance capture vectors with quantified timelines; semantic drift over three time horizons; four geopolitical pressure scenarios with API-level mitigations; post-compromise recovery with fifteen-minute and four-hour RTOs; and the closing thesis: hardware resists last, institutions fail first.</w:t>
      </w:r>
      <w:hyperlink r:id="rId1264">
        <w:r w:rsidDel="00000000" w:rsidR="00000000" w:rsidRPr="00000000">
          <w:rPr>
            <w:rtl w:val="0"/>
          </w:rPr>
          <w:t xml:space="preserve"> </w:t>
        </w:r>
      </w:hyperlink>
      <w:hyperlink r:id="rId1265">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588">
      <w:pPr>
        <w:spacing w:after="240" w:before="240" w:lineRule="auto"/>
        <w:rPr>
          <w:color w:val="1155cc"/>
          <w:u w:val="single"/>
        </w:rPr>
      </w:pPr>
      <w:r w:rsidDel="00000000" w:rsidR="00000000" w:rsidRPr="00000000">
        <w:rPr>
          <w:b w:val="1"/>
          <w:bCs w:val="1"/>
          <w:rtl w:val="0"/>
        </w:rPr>
        <w:t xml:space="preserve">Section 11</w:t>
      </w:r>
      <w:r w:rsidDel="00000000" w:rsidR="00000000" w:rsidRPr="00000000">
        <w:rPr>
          <w:rtl w:val="0"/>
        </w:rPr>
        <w:t xml:space="preserve"> specified the post-quantum migration architecture: SHA-256 and BLAKE3-256 resilience versus ECDSA total vulnerability under Shor's algorithm; the harvest-now-decrypt-later threat already underway against </w:t>
      </w:r>
      <w:r w:rsidDel="00000000" w:rsidR="00000000" w:rsidRPr="00000000">
        <w:rPr>
          <w:rFonts w:ascii="Roboto Mono" w:cs="Roboto Mono" w:eastAsia="Roboto Mono" w:hAnsi="Roboto Mono"/>
          <w:color w:val="188038"/>
          <w:rtl w:val="0"/>
        </w:rPr>
        <w:t xml:space="preserve">GET /audit/verifications/merkle/{merkleRoot}</w:t>
      </w:r>
      <w:r w:rsidDel="00000000" w:rsidR="00000000" w:rsidRPr="00000000">
        <w:rPr>
          <w:rtl w:val="0"/>
        </w:rPr>
        <w:t xml:space="preserve"> anchor history; the 2032-2040 vulnerability window with NSA CNSA 2.0's 2030 mandatory deadline; the three NIST standards finalized in August 2024 with </w:t>
      </w:r>
      <w:r w:rsidDel="00000000" w:rsidR="00000000" w:rsidRPr="00000000">
        <w:rPr>
          <w:rFonts w:ascii="Roboto Mono" w:cs="Roboto Mono" w:eastAsia="Roboto Mono" w:hAnsi="Roboto Mono"/>
          <w:color w:val="188038"/>
          <w:rtl w:val="0"/>
        </w:rPr>
        <w:t xml:space="preserve">signatureBlock.pqcMigrationSlots</w:t>
      </w:r>
      <w:r w:rsidDel="00000000" w:rsidR="00000000" w:rsidRPr="00000000">
        <w:rPr>
          <w:rtl w:val="0"/>
        </w:rPr>
        <w:t xml:space="preserve"> reserving slot 6 for </w:t>
      </w:r>
      <w:r w:rsidDel="00000000" w:rsidR="00000000" w:rsidRPr="00000000">
        <w:rPr>
          <w:rFonts w:ascii="Roboto Mono" w:cs="Roboto Mono" w:eastAsia="Roboto Mono" w:hAnsi="Roboto Mono"/>
          <w:color w:val="188038"/>
          <w:rtl w:val="0"/>
        </w:rPr>
        <w:t xml:space="preserve">SLH-DSA-SHAKE-128s</w:t>
      </w:r>
      <w:r w:rsidDel="00000000" w:rsidR="00000000" w:rsidRPr="00000000">
        <w:rPr>
          <w:rtl w:val="0"/>
        </w:rPr>
        <w:t xml:space="preserve"> and slot 7 for </w:t>
      </w:r>
      <w:r w:rsidDel="00000000" w:rsidR="00000000" w:rsidRPr="00000000">
        <w:rPr>
          <w:rFonts w:ascii="Roboto Mono" w:cs="Roboto Mono" w:eastAsia="Roboto Mono" w:hAnsi="Roboto Mono"/>
          <w:color w:val="188038"/>
          <w:rtl w:val="0"/>
        </w:rPr>
        <w:t xml:space="preserve">ML-KEM-1024</w:t>
      </w:r>
      <w:r w:rsidDel="00000000" w:rsidR="00000000" w:rsidRPr="00000000">
        <w:rPr>
          <w:rtl w:val="0"/>
        </w:rPr>
        <w:t xml:space="preserve">; the hybrid ECDSA-Dilithium protocol preserving Merkle chain continuity through dual-signature </w:t>
      </w:r>
      <w:r w:rsidDel="00000000" w:rsidR="00000000" w:rsidRPr="00000000">
        <w:rPr>
          <w:rFonts w:ascii="Roboto Mono" w:cs="Roboto Mono" w:eastAsia="Roboto Mono" w:hAnsi="Roboto Mono"/>
          <w:color w:val="188038"/>
          <w:rtl w:val="0"/>
        </w:rPr>
        <w:t xml:space="preserve">activeAxiomSetHash</w:t>
      </w:r>
      <w:r w:rsidDel="00000000" w:rsidR="00000000" w:rsidRPr="00000000">
        <w:rPr>
          <w:rtl w:val="0"/>
        </w:rPr>
        <w:t xml:space="preserve"> leaf structure; the automatic trigger system with Quantum Readiness Parameter and three activation thresholds; multi-chain anchoring considerations for Bitcoin </w:t>
      </w:r>
      <w:r w:rsidDel="00000000" w:rsidR="00000000" w:rsidRPr="00000000">
        <w:rPr>
          <w:rFonts w:ascii="Roboto Mono" w:cs="Roboto Mono" w:eastAsia="Roboto Mono" w:hAnsi="Roboto Mono"/>
          <w:color w:val="188038"/>
          <w:rtl w:val="0"/>
        </w:rPr>
        <w:t xml:space="preserve">OP_RETURN</w:t>
      </w:r>
      <w:r w:rsidDel="00000000" w:rsidR="00000000" w:rsidRPr="00000000">
        <w:rPr>
          <w:rtl w:val="0"/>
        </w:rPr>
        <w:t xml:space="preserve"> hybrid payload and Ethereum/Polygon single-use accounts; the constitutional agility protocol with </w:t>
      </w:r>
      <w:r w:rsidDel="00000000" w:rsidR="00000000" w:rsidRPr="00000000">
        <w:rPr>
          <w:rFonts w:ascii="Roboto Mono" w:cs="Roboto Mono" w:eastAsia="Roboto Mono" w:hAnsi="Roboto Mono"/>
          <w:color w:val="188038"/>
          <w:rtl w:val="0"/>
        </w:rPr>
        <w:t xml:space="preserve">pqcMigrationSlots</w:t>
      </w:r>
      <w:r w:rsidDel="00000000" w:rsidR="00000000" w:rsidRPr="00000000">
        <w:rPr>
          <w:rtl w:val="0"/>
        </w:rPr>
        <w:t xml:space="preserve"> array and retroactive re-anchoring tracked through </w:t>
      </w:r>
      <w:r w:rsidDel="00000000" w:rsidR="00000000" w:rsidRPr="00000000">
        <w:rPr>
          <w:rFonts w:ascii="Roboto Mono" w:cs="Roboto Mono" w:eastAsia="Roboto Mono" w:hAnsi="Roboto Mono"/>
          <w:color w:val="188038"/>
          <w:rtl w:val="0"/>
        </w:rPr>
        <w:t xml:space="preserve">pqcMigrationStatus</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SuccessionDeclaration_v1_0_0</w:t>
      </w:r>
      <w:r w:rsidDel="00000000" w:rsidR="00000000" w:rsidRPr="00000000">
        <w:rPr>
          <w:rtl w:val="0"/>
        </w:rPr>
        <w:t xml:space="preserve">; and three residual migration risks.</w:t>
      </w:r>
      <w:hyperlink r:id="rId1266">
        <w:r w:rsidDel="00000000" w:rsidR="00000000" w:rsidRPr="00000000">
          <w:rPr>
            <w:rtl w:val="0"/>
          </w:rPr>
          <w:t xml:space="preserve"> </w:t>
        </w:r>
      </w:hyperlink>
      <w:hyperlink r:id="rId1267">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589">
      <w:pPr>
        <w:spacing w:after="240" w:before="240" w:lineRule="auto"/>
        <w:rPr>
          <w:color w:val="1155cc"/>
          <w:u w:val="single"/>
        </w:rPr>
      </w:pPr>
      <w:r w:rsidDel="00000000" w:rsidR="00000000" w:rsidRPr="00000000">
        <w:rPr>
          <w:b w:val="1"/>
          <w:bCs w:val="1"/>
          <w:rtl w:val="0"/>
        </w:rPr>
        <w:t xml:space="preserve">Section 12</w:t>
      </w:r>
      <w:r w:rsidDel="00000000" w:rsidR="00000000" w:rsidRPr="00000000">
        <w:rPr>
          <w:rtl w:val="0"/>
        </w:rPr>
        <w:t xml:space="preserve"> specified the implementation economics: market sizing across four sectors with $274 billion AML baseline and $10 trillion trade finance opportunity; NRE costs for DITL coprocessor development ($50M-$150M including TSMC N2 tape-out at $10M-$30M) and software infrastructure ($20M-$50M including API implementation across </w:t>
      </w:r>
      <w:r w:rsidDel="00000000" w:rsidR="00000000" w:rsidRPr="00000000">
        <w:rPr>
          <w:rFonts w:ascii="Roboto Mono" w:cs="Roboto Mono" w:eastAsia="Roboto Mono" w:hAnsi="Roboto Mono"/>
          <w:color w:val="188038"/>
          <w:rtl w:val="0"/>
        </w:rPr>
        <w:t xml:space="preserve">POST /decisions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 and all regulatory endpoints); per-deployment cost structure totaling $1.25M-$8.2M annually versus $1B+ AML expenditure at G-SIB scale; the compliance premium through counterparty risk reduction via </w:t>
      </w:r>
      <w:r w:rsidDel="00000000" w:rsidR="00000000" w:rsidRPr="00000000">
        <w:rPr>
          <w:rFonts w:ascii="Roboto Mono" w:cs="Roboto Mono" w:eastAsia="Roboto Mono" w:hAnsi="Roboto Mono"/>
          <w:color w:val="188038"/>
          <w:rtl w:val="0"/>
        </w:rPr>
        <w:t xml:space="preserve">GET /metrics/summary</w:t>
      </w:r>
      <w:r w:rsidDel="00000000" w:rsidR="00000000" w:rsidRPr="00000000">
        <w:rPr>
          <w:rtl w:val="0"/>
        </w:rPr>
        <w:t xml:space="preserve"> reputation scoring, insurance premium reduction through actuarially verifiable </w:t>
      </w:r>
      <w:r w:rsidDel="00000000" w:rsidR="00000000" w:rsidRPr="00000000">
        <w:rPr>
          <w:rFonts w:ascii="Roboto Mono" w:cs="Roboto Mono" w:eastAsia="Roboto Mono" w:hAnsi="Roboto Mono"/>
          <w:color w:val="188038"/>
          <w:rtl w:val="0"/>
        </w:rPr>
        <w:t xml:space="preserve">GhostGovernanceDetectedError</w:t>
      </w:r>
      <w:r w:rsidDel="00000000" w:rsidR="00000000" w:rsidRPr="00000000">
        <w:rPr>
          <w:rtl w:val="0"/>
        </w:rPr>
        <w:t xml:space="preserve"> absence, and regulatory examination efficiency through </w:t>
      </w:r>
      <w:r w:rsidDel="00000000" w:rsidR="00000000" w:rsidRPr="00000000">
        <w:rPr>
          <w:rFonts w:ascii="Roboto Mono" w:cs="Roboto Mono" w:eastAsia="Roboto Mono" w:hAnsi="Roboto Mono"/>
          <w:color w:val="188038"/>
          <w:rtl w:val="0"/>
        </w:rPr>
        <w:t xml:space="preserve">POST /regulator/evidence-export</w:t>
      </w:r>
      <w:r w:rsidDel="00000000" w:rsidR="00000000" w:rsidRPr="00000000">
        <w:rPr>
          <w:rtl w:val="0"/>
        </w:rPr>
        <w:t xml:space="preserve">; three deployment phases; the non-profit consortium structure with distinct governance versus development authority; the ROI framework with $100M-$500M expected annual enforcement cost avoidance for top-ten banks; and four economic risk factors including the Network Effect Threshold with central bank CBDC as the critical adoption gate.</w:t>
      </w:r>
      <w:hyperlink r:id="rId1268">
        <w:r w:rsidDel="00000000" w:rsidR="00000000" w:rsidRPr="00000000">
          <w:rPr>
            <w:rtl w:val="0"/>
          </w:rPr>
          <w:t xml:space="preserve"> </w:t>
        </w:r>
      </w:hyperlink>
      <w:hyperlink r:id="rId1269">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58A">
      <w:pPr>
        <w:spacing w:after="240" w:before="240" w:lineRule="auto"/>
        <w:rPr>
          <w:color w:val="1155cc"/>
          <w:u w:val="single"/>
        </w:rPr>
      </w:pPr>
      <w:r w:rsidDel="00000000" w:rsidR="00000000" w:rsidRPr="00000000">
        <w:rPr>
          <w:b w:val="1"/>
          <w:bCs w:val="1"/>
          <w:rtl w:val="0"/>
        </w:rPr>
        <w:t xml:space="preserve">Section 13</w:t>
      </w:r>
      <w:r w:rsidDel="00000000" w:rsidR="00000000" w:rsidRPr="00000000">
        <w:rPr>
          <w:rtl w:val="0"/>
        </w:rPr>
        <w:t xml:space="preserve"> specified the succession and continuity architecture: the </w:t>
      </w:r>
      <w:r w:rsidDel="00000000" w:rsidR="00000000" w:rsidRPr="00000000">
        <w:rPr>
          <w:rFonts w:ascii="Roboto Mono" w:cs="Roboto Mono" w:eastAsia="Roboto Mono" w:hAnsi="Roboto Mono"/>
          <w:color w:val="188038"/>
          <w:rtl w:val="0"/>
        </w:rPr>
        <w:t xml:space="preserve">SuccessionDeclaration_v1_0_0</w:t>
      </w:r>
      <w:r w:rsidDel="00000000" w:rsidR="00000000" w:rsidRPr="00000000">
        <w:rPr>
          <w:rtl w:val="0"/>
        </w:rPr>
        <w:t xml:space="preserve"> schema with </w:t>
      </w:r>
      <w:r w:rsidDel="00000000" w:rsidR="00000000" w:rsidRPr="00000000">
        <w:rPr>
          <w:rFonts w:ascii="Roboto Mono" w:cs="Roboto Mono" w:eastAsia="Roboto Mono" w:hAnsi="Roboto Mono"/>
          <w:color w:val="188038"/>
          <w:rtl w:val="0"/>
        </w:rPr>
        <w:t xml:space="preserve">SUCCESSION_DECLARATION_EXPIRED_ERROR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SUCCESSION_DECLARATION_REQUIRED_ERROR</w:t>
      </w:r>
      <w:r w:rsidDel="00000000" w:rsidR="00000000" w:rsidRPr="00000000">
        <w:rPr>
          <w:rtl w:val="0"/>
        </w:rPr>
        <w:t xml:space="preserve"> error codes; four trigger conditions including voluntary relinquishment through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 with ORCID identifier; three simultaneous succession actions including key material retirement via </w:t>
      </w:r>
      <w:r w:rsidDel="00000000" w:rsidR="00000000" w:rsidRPr="00000000">
        <w:rPr>
          <w:rFonts w:ascii="Roboto Mono" w:cs="Roboto Mono" w:eastAsia="Roboto Mono" w:hAnsi="Roboto Mono"/>
          <w:color w:val="188038"/>
          <w:rtl w:val="0"/>
        </w:rPr>
        <w:t xml:space="preserve">HKDF-SHA3-256</w:t>
      </w:r>
      <w:r w:rsidDel="00000000" w:rsidR="00000000" w:rsidRPr="00000000">
        <w:rPr>
          <w:rtl w:val="0"/>
        </w:rPr>
        <w:t xml:space="preserve"> confirmed through </w:t>
      </w:r>
      <w:r w:rsidDel="00000000" w:rsidR="00000000" w:rsidRPr="00000000">
        <w:rPr>
          <w:rFonts w:ascii="Roboto Mono" w:cs="Roboto Mono" w:eastAsia="Roboto Mono" w:hAnsi="Roboto Mono"/>
          <w:color w:val="188038"/>
          <w:rtl w:val="0"/>
        </w:rPr>
        <w:t xml:space="preserve">hkdfSha3256Confirmed: true</w:t>
      </w:r>
      <w:r w:rsidDel="00000000" w:rsidR="00000000" w:rsidRPr="00000000">
        <w:rPr>
          <w:rtl w:val="0"/>
        </w:rPr>
        <w:t xml:space="preserve">; the conservative schema fallback via </w:t>
      </w:r>
      <w:r w:rsidDel="00000000" w:rsidR="00000000" w:rsidRPr="00000000">
        <w:rPr>
          <w:rFonts w:ascii="Roboto Mono" w:cs="Roboto Mono" w:eastAsia="Roboto Mono" w:hAnsi="Roboto Mono"/>
          <w:color w:val="188038"/>
          <w:rtl w:val="0"/>
        </w:rPr>
        <w:t xml:space="preserve">ThresholdProfile_v1_0_0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PUT /thresholds/{domain}</w:t>
      </w:r>
      <w:r w:rsidDel="00000000" w:rsidR="00000000" w:rsidRPr="00000000">
        <w:rPr>
          <w:rtl w:val="0"/>
        </w:rPr>
        <w:t xml:space="preserve">; the Open Source License's three covenants with evidentiary burden inversion through </w:t>
      </w:r>
      <w:r w:rsidDel="00000000" w:rsidR="00000000" w:rsidRPr="00000000">
        <w:rPr>
          <w:rFonts w:ascii="Roboto Mono" w:cs="Roboto Mono" w:eastAsia="Roboto Mono" w:hAnsi="Roboto Mono"/>
          <w:color w:val="188038"/>
          <w:rtl w:val="0"/>
        </w:rPr>
        <w:t xml:space="preserve">ghostGovernanceDetectionRate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GET /metrics/summary</w:t>
      </w:r>
      <w:r w:rsidDel="00000000" w:rsidR="00000000" w:rsidRPr="00000000">
        <w:rPr>
          <w:rtl w:val="0"/>
        </w:rPr>
        <w:t xml:space="preserve">; three long-term continuity mechanisms including the mandatory review protocol; the formal author attribution with DOI 10.1007/s43681-026-01124-0; and the TML architectural complementarity with institutional independence.</w:t>
      </w:r>
      <w:hyperlink r:id="rId1270">
        <w:r w:rsidDel="00000000" w:rsidR="00000000" w:rsidRPr="00000000">
          <w:rPr>
            <w:rtl w:val="0"/>
          </w:rPr>
          <w:t xml:space="preserve"> </w:t>
        </w:r>
      </w:hyperlink>
      <w:hyperlink r:id="rId1271">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58B">
      <w:pPr>
        <w:pStyle w:val="Heading2"/>
        <w:keepNext w:val="0"/>
        <w:keepLines w:val="0"/>
        <w:spacing w:after="80" w:lineRule="auto"/>
        <w:rPr>
          <w:b w:val="1"/>
          <w:bCs w:val="1"/>
          <w:sz w:val="34"/>
          <w:szCs w:val="34"/>
        </w:rPr>
      </w:pPr>
      <w:bookmarkStart w:colFirst="0" w:colLast="0" w:name="_2a6pz71g1q3o" w:id="228"/>
      <w:bookmarkEnd w:id="228"/>
      <w:r w:rsidDel="00000000" w:rsidR="00000000" w:rsidRPr="00000000">
        <w:rPr>
          <w:b w:val="1"/>
          <w:bCs w:val="1"/>
          <w:sz w:val="34"/>
          <w:szCs w:val="34"/>
          <w:rtl w:val="0"/>
        </w:rPr>
        <w:t xml:space="preserve">14.2 The Four Claims Revisited</w:t>
      </w:r>
    </w:p>
    <w:p w:rsidR="00000000" w:rsidDel="00000000" w:rsidP="00000000" w:rsidRDefault="00000000" w:rsidRPr="00000000" w14:paraId="0000058C">
      <w:pPr>
        <w:spacing w:after="240" w:before="240" w:lineRule="auto"/>
        <w:rPr/>
      </w:pPr>
      <w:r w:rsidDel="00000000" w:rsidR="00000000" w:rsidRPr="00000000">
        <w:rPr>
          <w:rtl w:val="0"/>
        </w:rPr>
        <w:t xml:space="preserve">Section 1.2 stated four specific claims that this monograph was written to substantiate. The specification is now complete. Each claim is evaluated against what was specified.</w:t>
      </w:r>
    </w:p>
    <w:p w:rsidR="00000000" w:rsidDel="00000000" w:rsidP="00000000" w:rsidRDefault="00000000" w:rsidRPr="00000000" w14:paraId="0000058D">
      <w:pPr>
        <w:spacing w:after="240" w:before="240" w:lineRule="auto"/>
        <w:rPr>
          <w:b w:val="1"/>
          <w:bCs w:val="1"/>
        </w:rPr>
      </w:pPr>
      <w:r w:rsidDel="00000000" w:rsidR="00000000" w:rsidRPr="00000000">
        <w:rPr>
          <w:b w:val="1"/>
          <w:bCs w:val="1"/>
          <w:rtl w:val="0"/>
        </w:rPr>
        <w:t xml:space="preserve">Claim 1: TL does not replace binary computation.</w:t>
      </w:r>
    </w:p>
    <w:p w:rsidR="00000000" w:rsidDel="00000000" w:rsidP="00000000" w:rsidRDefault="00000000" w:rsidRPr="00000000" w14:paraId="0000058E">
      <w:pPr>
        <w:spacing w:after="240" w:before="240" w:lineRule="auto"/>
        <w:rPr>
          <w:color w:val="1155cc"/>
          <w:u w:val="single"/>
        </w:rPr>
      </w:pPr>
      <w:r w:rsidDel="00000000" w:rsidR="00000000" w:rsidRPr="00000000">
        <w:rPr>
          <w:rtl w:val="0"/>
        </w:rPr>
        <w:t xml:space="preserve">Substantiated. The Dual-Lane Architecture specified in Section 3 maintains the Inference Lane as an unmodified binary computational domain operating at market speed with </w:t>
      </w:r>
      <w:r w:rsidDel="00000000" w:rsidR="00000000" w:rsidRPr="00000000">
        <w:rPr>
          <w:rFonts w:ascii="Roboto Mono" w:cs="Roboto Mono" w:eastAsia="Roboto Mono" w:hAnsi="Roboto Mono"/>
          <w:color w:val="188038"/>
          <w:rtl w:val="0"/>
        </w:rPr>
        <w:t xml:space="preserve">TLGovernanceJWT</w:t>
      </w:r>
      <w:r w:rsidDel="00000000" w:rsidR="00000000" w:rsidRPr="00000000">
        <w:rPr>
          <w:rtl w:val="0"/>
        </w:rPr>
        <w:t xml:space="preserve"> credential access to </w:t>
      </w:r>
      <w:r w:rsidDel="00000000" w:rsidR="00000000" w:rsidRPr="00000000">
        <w:rPr>
          <w:rFonts w:ascii="Roboto Mono" w:cs="Roboto Mono" w:eastAsia="Roboto Mono" w:hAnsi="Roboto Mono"/>
          <w:color w:val="188038"/>
          <w:rtl w:val="0"/>
        </w:rPr>
        <w:t xml:space="preserve">POST /decisions</w:t>
      </w:r>
      <w:r w:rsidDel="00000000" w:rsidR="00000000" w:rsidRPr="00000000">
        <w:rPr>
          <w:rtl w:val="0"/>
        </w:rPr>
        <w:t xml:space="preserve">. TL adds a parallel Governance Lane that evaluates proposals without slowing the Inference Lane's computational operation except through the physically enforced backpressure mechanism that activates only when the Governance Lane requires additional evaluation time. Binary proposes. Ternary governs.</w:t>
      </w:r>
      <w:hyperlink r:id="rId1272">
        <w:r w:rsidDel="00000000" w:rsidR="00000000" w:rsidRPr="00000000">
          <w:rPr>
            <w:rtl w:val="0"/>
          </w:rPr>
          <w:t xml:space="preserve"> </w:t>
        </w:r>
      </w:hyperlink>
      <w:hyperlink r:id="rId1273">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58F">
      <w:pPr>
        <w:spacing w:after="240" w:before="240" w:lineRule="auto"/>
        <w:rPr>
          <w:b w:val="1"/>
          <w:bCs w:val="1"/>
        </w:rPr>
      </w:pPr>
      <w:r w:rsidDel="00000000" w:rsidR="00000000" w:rsidRPr="00000000">
        <w:rPr>
          <w:b w:val="1"/>
          <w:bCs w:val="1"/>
          <w:rtl w:val="0"/>
        </w:rPr>
        <w:t xml:space="preserve">Claim 2: TL introduces a mandatory third decision state that binary architectures cannot represent.</w:t>
      </w:r>
    </w:p>
    <w:p w:rsidR="00000000" w:rsidDel="00000000" w:rsidP="00000000" w:rsidRDefault="00000000" w:rsidRPr="00000000" w14:paraId="00000590">
      <w:pPr>
        <w:spacing w:after="240" w:before="240" w:lineRule="auto"/>
        <w:rPr>
          <w:color w:val="1155cc"/>
          <w:u w:val="single"/>
        </w:rPr>
      </w:pPr>
      <w:r w:rsidDel="00000000" w:rsidR="00000000" w:rsidRPr="00000000">
        <w:rPr>
          <w:rtl w:val="0"/>
        </w:rPr>
        <w:t xml:space="preserve">Substantiated. Epistemic Hold (</w:t>
      </w:r>
      <w:r w:rsidDel="00000000" w:rsidR="00000000" w:rsidRPr="00000000">
        <w:rPr>
          <w:rFonts w:ascii="Roboto Mono" w:cs="Roboto Mono" w:eastAsia="Roboto Mono" w:hAnsi="Roboto Mono"/>
          <w:color w:val="188038"/>
          <w:rtl w:val="0"/>
        </w:rPr>
        <w:t xml:space="preserve">stateLabel: "EpistemicHold"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heldState: const: 0</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EscrowRecord_v1_0_0</w:t>
      </w:r>
      <w:r w:rsidDel="00000000" w:rsidR="00000000" w:rsidRPr="00000000">
        <w:rPr>
          <w:rtl w:val="0"/>
        </w:rPr>
        <w:t xml:space="preserve">) is specified as a first-class governance determination that is never an error, timeout, null, or retry. It is a physical NULL state at half-Vdd in DITL circuits - the </w:t>
      </w:r>
      <w:r w:rsidDel="00000000" w:rsidR="00000000" w:rsidRPr="00000000">
        <w:rPr>
          <w:rFonts w:ascii="Roboto Mono" w:cs="Roboto Mono" w:eastAsia="Roboto Mono" w:hAnsi="Roboto Mono"/>
          <w:color w:val="188038"/>
          <w:rtl w:val="0"/>
        </w:rPr>
        <w:t xml:space="preserve">{0,0}</w:t>
      </w:r>
      <w:r w:rsidDel="00000000" w:rsidR="00000000" w:rsidRPr="00000000">
        <w:rPr>
          <w:rtl w:val="0"/>
        </w:rPr>
        <w:t xml:space="preserve"> dual-rail encoding that Muller C-elements hold until all inputs are valid - with no binary equivalent. </w:t>
      </w:r>
      <w:r w:rsidDel="00000000" w:rsidR="00000000" w:rsidRPr="00000000">
        <w:rPr>
          <w:rFonts w:ascii="Roboto Mono" w:cs="Roboto Mono" w:eastAsia="Roboto Mono" w:hAnsi="Roboto Mono"/>
          <w:color w:val="188038"/>
          <w:rtl w:val="0"/>
        </w:rPr>
        <w:t xml:space="preserve">PATCH /epistemic-hold/escalations/{escalationId}</w:t>
      </w:r>
      <w:r w:rsidDel="00000000" w:rsidR="00000000" w:rsidRPr="00000000">
        <w:rPr>
          <w:rtl w:val="0"/>
        </w:rPr>
        <w:t xml:space="preserve"> accepts </w:t>
      </w:r>
      <w:r w:rsidDel="00000000" w:rsidR="00000000" w:rsidRPr="00000000">
        <w:rPr>
          <w:rFonts w:ascii="Roboto Mono" w:cs="Roboto Mono" w:eastAsia="Roboto Mono" w:hAnsi="Roboto Mono"/>
          <w:color w:val="188038"/>
          <w:rtl w:val="0"/>
        </w:rPr>
        <w:t xml:space="preserve">resolvedState</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enum [1, -1]</w:t>
      </w:r>
      <w:r w:rsidDel="00000000" w:rsidR="00000000" w:rsidRPr="00000000">
        <w:rPr>
          <w:rtl w:val="0"/>
        </w:rPr>
        <w:t xml:space="preserve"> only: State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cannot be re-issued as a resolution, and </w:t>
      </w:r>
      <w:r w:rsidDel="00000000" w:rsidR="00000000" w:rsidRPr="00000000">
        <w:rPr>
          <w:rFonts w:ascii="Roboto Mono" w:cs="Roboto Mono" w:eastAsia="Roboto Mono" w:hAnsi="Roboto Mono"/>
          <w:color w:val="188038"/>
          <w:rtl w:val="0"/>
        </w:rPr>
        <w:t xml:space="preserve">TL_Ledger_Core.resolveEpistemicHoldSystemWide</w:t>
      </w:r>
      <w:r w:rsidDel="00000000" w:rsidR="00000000" w:rsidRPr="00000000">
        <w:rPr>
          <w:rtl w:val="0"/>
        </w:rPr>
        <w:t xml:space="preserve"> reverts with </w:t>
      </w:r>
      <w:r w:rsidDel="00000000" w:rsidR="00000000" w:rsidRPr="00000000">
        <w:rPr>
          <w:rFonts w:ascii="Roboto Mono" w:cs="Roboto Mono" w:eastAsia="Roboto Mono" w:hAnsi="Roboto Mono"/>
          <w:color w:val="188038"/>
          <w:rtl w:val="0"/>
        </w:rPr>
        <w:t xml:space="preserve">InvalidResolutionState</w:t>
      </w:r>
      <w:r w:rsidDel="00000000" w:rsidR="00000000" w:rsidRPr="00000000">
        <w:rPr>
          <w:rtl w:val="0"/>
        </w:rPr>
        <w:t xml:space="preserve"> for any value other than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hyperlink r:id="rId1274">
        <w:r w:rsidDel="00000000" w:rsidR="00000000" w:rsidRPr="00000000">
          <w:rPr>
            <w:rtl w:val="0"/>
          </w:rPr>
          <w:t xml:space="preserve"> </w:t>
        </w:r>
      </w:hyperlink>
      <w:hyperlink r:id="rId1275">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591">
      <w:pPr>
        <w:spacing w:after="240" w:before="240" w:lineRule="auto"/>
        <w:rPr>
          <w:b w:val="1"/>
          <w:bCs w:val="1"/>
        </w:rPr>
      </w:pPr>
      <w:r w:rsidDel="00000000" w:rsidR="00000000" w:rsidRPr="00000000">
        <w:rPr>
          <w:b w:val="1"/>
          <w:bCs w:val="1"/>
          <w:rtl w:val="0"/>
        </w:rPr>
        <w:t xml:space="preserve">Claim 3: TL generates audit-grade evidentiary infrastructure as a pre-execution prerequisite, not a post-execution artifact.</w:t>
      </w:r>
    </w:p>
    <w:p w:rsidR="00000000" w:rsidDel="00000000" w:rsidP="00000000" w:rsidRDefault="00000000" w:rsidRPr="00000000" w14:paraId="00000592">
      <w:pPr>
        <w:spacing w:after="240" w:before="240" w:lineRule="auto"/>
        <w:rPr>
          <w:color w:val="1155cc"/>
          <w:u w:val="single"/>
        </w:rPr>
      </w:pPr>
      <w:r w:rsidDel="00000000" w:rsidR="00000000" w:rsidRPr="00000000">
        <w:rPr>
          <w:rtl w:val="0"/>
        </w:rPr>
        <w:t xml:space="preserve">Substantiated. The NL=NA covenant specified across Sections 2, 3, 4, and 8 mandates that the Decision Log must exist - schema-validated through </w:t>
      </w:r>
      <w:r w:rsidDel="00000000" w:rsidR="00000000" w:rsidRPr="00000000">
        <w:rPr>
          <w:rFonts w:ascii="Roboto Mono" w:cs="Roboto Mono" w:eastAsia="Roboto Mono" w:hAnsi="Roboto Mono"/>
          <w:color w:val="188038"/>
          <w:rtl w:val="0"/>
        </w:rPr>
        <w:t xml:space="preserve">tl_schema.json</w:t>
      </w:r>
      <w:r w:rsidDel="00000000" w:rsidR="00000000" w:rsidRPr="00000000">
        <w:rPr>
          <w:rtl w:val="0"/>
        </w:rPr>
        <w:t xml:space="preserve">, cryptographically sealed, governance-quorum-signed through </w:t>
      </w:r>
      <w:r w:rsidDel="00000000" w:rsidR="00000000" w:rsidRPr="00000000">
        <w:rPr>
          <w:rFonts w:ascii="Roboto Mono" w:cs="Roboto Mono" w:eastAsia="Roboto Mono" w:hAnsi="Roboto Mono"/>
          <w:color w:val="188038"/>
          <w:rtl w:val="0"/>
        </w:rPr>
        <w:t xml:space="preserve">TriCameralApproval_v1_0_0</w:t>
      </w:r>
      <w:r w:rsidDel="00000000" w:rsidR="00000000" w:rsidRPr="00000000">
        <w:rPr>
          <w:rtl w:val="0"/>
        </w:rPr>
        <w:t xml:space="preserve">, and blockchain-anchored via </w:t>
      </w:r>
      <w:r w:rsidDel="00000000" w:rsidR="00000000" w:rsidRPr="00000000">
        <w:rPr>
          <w:rFonts w:ascii="Roboto Mono" w:cs="Roboto Mono" w:eastAsia="Roboto Mono" w:hAnsi="Roboto Mono"/>
          <w:color w:val="188038"/>
          <w:rtl w:val="0"/>
        </w:rPr>
        <w:t xml:space="preserve">POST /audit-logs</w:t>
      </w:r>
      <w:r w:rsidDel="00000000" w:rsidR="00000000" w:rsidRPr="00000000">
        <w:rPr>
          <w:rtl w:val="0"/>
        </w:rPr>
        <w:t xml:space="preserve"> - before the hardware gate transitions to the Proceed state. The evidentiary record is the gateway condition. Execution cannot precede evidence. This temporal inversion is verified at the hardware level in DITL deployment through the </w:t>
      </w:r>
      <w:r w:rsidDel="00000000" w:rsidR="00000000" w:rsidRPr="00000000">
        <w:rPr>
          <w:rFonts w:ascii="Roboto Mono" w:cs="Roboto Mono" w:eastAsia="Roboto Mono" w:hAnsi="Roboto Mono"/>
          <w:color w:val="188038"/>
          <w:rtl w:val="0"/>
        </w:rPr>
        <w:t xml:space="preserve">CONFIRM_OK</w:t>
      </w:r>
      <w:r w:rsidDel="00000000" w:rsidR="00000000" w:rsidRPr="00000000">
        <w:rPr>
          <w:rtl w:val="0"/>
        </w:rPr>
        <w:t xml:space="preserve"> pulse mechanism that couples the logging lane's completion signal to the MT gate's resistance state transition. At the smart contract level, </w:t>
      </w:r>
      <w:r w:rsidDel="00000000" w:rsidR="00000000" w:rsidRPr="00000000">
        <w:rPr>
          <w:rFonts w:ascii="Roboto Mono" w:cs="Roboto Mono" w:eastAsia="Roboto Mono" w:hAnsi="Roboto Mono"/>
          <w:color w:val="188038"/>
          <w:rtl w:val="0"/>
        </w:rPr>
        <w:t xml:space="preserve">TL_Ledger_Core.registerPermissionToken</w:t>
      </w:r>
      <w:r w:rsidDel="00000000" w:rsidR="00000000" w:rsidRPr="00000000">
        <w:rPr>
          <w:rtl w:val="0"/>
        </w:rPr>
        <w:t xml:space="preserve"> reverts with </w:t>
      </w:r>
      <w:r w:rsidDel="00000000" w:rsidR="00000000" w:rsidRPr="00000000">
        <w:rPr>
          <w:rFonts w:ascii="Roboto Mono" w:cs="Roboto Mono" w:eastAsia="Roboto Mono" w:hAnsi="Roboto Mono"/>
          <w:color w:val="188038"/>
          <w:rtl w:val="0"/>
        </w:rPr>
        <w:t xml:space="preserve">NLNAViolation</w:t>
      </w:r>
      <w:r w:rsidDel="00000000" w:rsidR="00000000" w:rsidRPr="00000000">
        <w:rPr>
          <w:rtl w:val="0"/>
        </w:rPr>
        <w:t xml:space="preserve"> if the </w:t>
      </w:r>
      <w:r w:rsidDel="00000000" w:rsidR="00000000" w:rsidRPr="00000000">
        <w:rPr>
          <w:rFonts w:ascii="Roboto Mono" w:cs="Roboto Mono" w:eastAsia="Roboto Mono" w:hAnsi="Roboto Mono"/>
          <w:color w:val="188038"/>
          <w:rtl w:val="0"/>
        </w:rPr>
        <w:t xml:space="preserve">logHash</w:t>
      </w:r>
      <w:r w:rsidDel="00000000" w:rsidR="00000000" w:rsidRPr="00000000">
        <w:rPr>
          <w:rtl w:val="0"/>
        </w:rPr>
        <w:t xml:space="preserve"> is not provably included in an anchored Merkle root via </w:t>
      </w:r>
      <w:r w:rsidDel="00000000" w:rsidR="00000000" w:rsidRPr="00000000">
        <w:rPr>
          <w:rFonts w:ascii="Roboto Mono" w:cs="Roboto Mono" w:eastAsia="Roboto Mono" w:hAnsi="Roboto Mono"/>
          <w:color w:val="188038"/>
          <w:rtl w:val="0"/>
        </w:rPr>
        <w:t xml:space="preserve">verifyMerkleInclusion</w:t>
      </w:r>
      <w:r w:rsidDel="00000000" w:rsidR="00000000" w:rsidRPr="00000000">
        <w:rPr>
          <w:rtl w:val="0"/>
        </w:rPr>
        <w:t xml:space="preserve">.</w:t>
      </w:r>
      <w:hyperlink r:id="rId1276">
        <w:r w:rsidDel="00000000" w:rsidR="00000000" w:rsidRPr="00000000">
          <w:rPr>
            <w:rtl w:val="0"/>
          </w:rPr>
          <w:t xml:space="preserve"> </w:t>
        </w:r>
      </w:hyperlink>
      <w:hyperlink r:id="rId1277">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593">
      <w:pPr>
        <w:spacing w:after="240" w:before="240" w:lineRule="auto"/>
        <w:rPr>
          <w:b w:val="1"/>
          <w:bCs w:val="1"/>
        </w:rPr>
      </w:pPr>
      <w:r w:rsidDel="00000000" w:rsidR="00000000" w:rsidRPr="00000000">
        <w:rPr>
          <w:b w:val="1"/>
          <w:bCs w:val="1"/>
          <w:rtl w:val="0"/>
        </w:rPr>
        <w:t xml:space="preserve">Claim 4: TL is bounded by categorical prohibitions.</w:t>
      </w:r>
    </w:p>
    <w:p w:rsidR="00000000" w:rsidDel="00000000" w:rsidP="00000000" w:rsidRDefault="00000000" w:rsidRPr="00000000" w14:paraId="00000594">
      <w:pPr>
        <w:spacing w:after="240" w:before="240" w:lineRule="auto"/>
        <w:rPr>
          <w:color w:val="1155cc"/>
          <w:u w:val="single"/>
        </w:rPr>
      </w:pPr>
      <w:r w:rsidDel="00000000" w:rsidR="00000000" w:rsidRPr="00000000">
        <w:rPr>
          <w:rtl w:val="0"/>
        </w:rPr>
        <w:t xml:space="preserve">Substantiated. The No Spy, No Weapon Mandate specified in Section 5 establishes structural prohibitions enforced through query constitutionalization requiring mandatory metadata fields on every </w:t>
      </w:r>
      <w:r w:rsidDel="00000000" w:rsidR="00000000" w:rsidRPr="00000000">
        <w:rPr>
          <w:rFonts w:ascii="Roboto Mono" w:cs="Roboto Mono" w:eastAsia="Roboto Mono" w:hAnsi="Roboto Mono"/>
          <w:color w:val="188038"/>
          <w:rtl w:val="0"/>
        </w:rPr>
        <w:t xml:space="preserve">POST /decisions</w:t>
      </w:r>
      <w:r w:rsidDel="00000000" w:rsidR="00000000" w:rsidRPr="00000000">
        <w:rPr>
          <w:rtl w:val="0"/>
        </w:rPr>
        <w:t xml:space="preserve"> request; differential privacy noise injection through </w:t>
      </w:r>
      <w:r w:rsidDel="00000000" w:rsidR="00000000" w:rsidRPr="00000000">
        <w:rPr>
          <w:rFonts w:ascii="Roboto Mono" w:cs="Roboto Mono" w:eastAsia="Roboto Mono" w:hAnsi="Roboto Mono"/>
          <w:color w:val="188038"/>
          <w:rtl w:val="0"/>
        </w:rPr>
        <w:t xml:space="preserve">HybridShield</w:t>
      </w:r>
      <w:r w:rsidDel="00000000" w:rsidR="00000000" w:rsidRPr="00000000">
        <w:rPr>
          <w:rtl w:val="0"/>
        </w:rPr>
        <w:t xml:space="preserve">; DITL physical design constraints that make surveillance-enabling capabilities physically absent rather than merely disabled; the </w:t>
      </w:r>
      <w:r w:rsidDel="00000000" w:rsidR="00000000" w:rsidRPr="00000000">
        <w:rPr>
          <w:rFonts w:ascii="Roboto Mono" w:cs="Roboto Mono" w:eastAsia="Roboto Mono" w:hAnsi="Roboto Mono"/>
          <w:color w:val="188038"/>
          <w:rtl w:val="0"/>
        </w:rPr>
        <w:t xml:space="preserve">canonicalMandateHashes</w:t>
      </w:r>
      <w:r w:rsidDel="00000000" w:rsidR="00000000" w:rsidRPr="00000000">
        <w:rPr>
          <w:rtl w:val="0"/>
        </w:rPr>
        <w:t xml:space="preserve"> registry in </w:t>
      </w:r>
      <w:r w:rsidDel="00000000" w:rsidR="00000000" w:rsidRPr="00000000">
        <w:rPr>
          <w:rFonts w:ascii="Roboto Mono" w:cs="Roboto Mono" w:eastAsia="Roboto Mono" w:hAnsi="Roboto Mono"/>
          <w:color w:val="188038"/>
          <w:rtl w:val="0"/>
        </w:rPr>
        <w:t xml:space="preserve">eip712_typed_data.json</w:t>
      </w:r>
      <w:r w:rsidDel="00000000" w:rsidR="00000000" w:rsidRPr="00000000">
        <w:rPr>
          <w:rtl w:val="0"/>
        </w:rPr>
        <w:t xml:space="preserve"> making every mandate cryptographically identifiable at the smart contract layer; and the License's Constitutional Integrity Covenant requiring any schema modification to pass the same NL=NA enforcement architecture it governs. A system that enables surveillance or weapons is not a misconfigured TL implementation. It is categorically outside TL's governance domain.</w:t>
      </w:r>
      <w:hyperlink r:id="rId1278">
        <w:r w:rsidDel="00000000" w:rsidR="00000000" w:rsidRPr="00000000">
          <w:rPr>
            <w:rtl w:val="0"/>
          </w:rPr>
          <w:t xml:space="preserve"> </w:t>
        </w:r>
      </w:hyperlink>
      <w:hyperlink r:id="rId1279">
        <w:r w:rsidDel="00000000" w:rsidR="00000000" w:rsidRPr="00000000">
          <w:rPr>
            <w:color w:val="1155cc"/>
            <w:u w:val="single"/>
            <w:rtl w:val="0"/>
          </w:rPr>
          <w:t xml:space="preserve">[7]</w:t>
        </w:r>
      </w:hyperlink>
      <w:r w:rsidDel="00000000" w:rsidR="00000000" w:rsidRPr="00000000">
        <w:rPr>
          <w:rtl w:val="0"/>
        </w:rPr>
      </w:r>
    </w:p>
    <w:p w:rsidR="00000000" w:rsidDel="00000000" w:rsidP="00000000" w:rsidRDefault="00000000" w:rsidRPr="00000000" w14:paraId="00000595">
      <w:pPr>
        <w:pStyle w:val="Heading2"/>
        <w:keepNext w:val="0"/>
        <w:keepLines w:val="0"/>
        <w:spacing w:after="80" w:lineRule="auto"/>
        <w:rPr>
          <w:b w:val="1"/>
          <w:bCs w:val="1"/>
          <w:sz w:val="34"/>
          <w:szCs w:val="34"/>
        </w:rPr>
      </w:pPr>
      <w:bookmarkStart w:colFirst="0" w:colLast="0" w:name="_lf2du516vq3n" w:id="229"/>
      <w:bookmarkEnd w:id="229"/>
      <w:r w:rsidDel="00000000" w:rsidR="00000000" w:rsidRPr="00000000">
        <w:rPr>
          <w:b w:val="1"/>
          <w:bCs w:val="1"/>
          <w:sz w:val="34"/>
          <w:szCs w:val="34"/>
          <w:rtl w:val="0"/>
        </w:rPr>
        <w:t xml:space="preserve">14.3 What TL Changes</w:t>
      </w:r>
    </w:p>
    <w:p w:rsidR="00000000" w:rsidDel="00000000" w:rsidP="00000000" w:rsidRDefault="00000000" w:rsidRPr="00000000" w14:paraId="00000596">
      <w:pPr>
        <w:spacing w:after="240" w:before="240" w:lineRule="auto"/>
        <w:rPr/>
      </w:pPr>
      <w:r w:rsidDel="00000000" w:rsidR="00000000" w:rsidRPr="00000000">
        <w:rPr>
          <w:rtl w:val="0"/>
        </w:rPr>
        <w:t xml:space="preserve">The significance of what has been specified here extends beyond the specific technical and regulatory domains addressed. Ternary Logic changes the relationship between power and evidence in automated economic governance.</w:t>
      </w:r>
    </w:p>
    <w:p w:rsidR="00000000" w:rsidDel="00000000" w:rsidP="00000000" w:rsidRDefault="00000000" w:rsidRPr="00000000" w14:paraId="00000597">
      <w:pPr>
        <w:spacing w:after="240" w:before="240" w:lineRule="auto"/>
        <w:rPr>
          <w:color w:val="1155cc"/>
          <w:u w:val="single"/>
        </w:rPr>
      </w:pPr>
      <w:r w:rsidDel="00000000" w:rsidR="00000000" w:rsidRPr="00000000">
        <w:rPr>
          <w:rtl w:val="0"/>
        </w:rPr>
        <w:t xml:space="preserve">Under conventional governance, power executes first and evidence is produced afterward - if at all. The algorithm trades. The log records. The regulator reconstructs. The investigation concludes. The penalty is imposed. Years pass between action and accountability. During those years, the system that produced the harmful action continues to operate, the institution that deployed it continues to benefit, and the evidentiary record that would establish accountability has been subject to modification, loss, and selective preservation that characterizes records held by the entity being investigated.</w:t>
      </w:r>
      <w:hyperlink r:id="rId1280">
        <w:r w:rsidDel="00000000" w:rsidR="00000000" w:rsidRPr="00000000">
          <w:rPr>
            <w:rtl w:val="0"/>
          </w:rPr>
          <w:t xml:space="preserve"> </w:t>
        </w:r>
      </w:hyperlink>
      <w:hyperlink r:id="rId1281">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598">
      <w:pPr>
        <w:spacing w:after="240" w:before="240" w:lineRule="auto"/>
        <w:rPr>
          <w:color w:val="1155cc"/>
          <w:u w:val="single"/>
        </w:rPr>
      </w:pPr>
      <w:r w:rsidDel="00000000" w:rsidR="00000000" w:rsidRPr="00000000">
        <w:rPr>
          <w:rtl w:val="0"/>
        </w:rPr>
        <w:t xml:space="preserve">Under TL governance, evidence precedes power. The algorithm proposes via </w:t>
      </w:r>
      <w:r w:rsidDel="00000000" w:rsidR="00000000" w:rsidRPr="00000000">
        <w:rPr>
          <w:rFonts w:ascii="Roboto Mono" w:cs="Roboto Mono" w:eastAsia="Roboto Mono" w:hAnsi="Roboto Mono"/>
          <w:color w:val="188038"/>
          <w:rtl w:val="0"/>
        </w:rPr>
        <w:t xml:space="preserve">POST /decisions</w:t>
      </w:r>
      <w:r w:rsidDel="00000000" w:rsidR="00000000" w:rsidRPr="00000000">
        <w:rPr>
          <w:rtl w:val="0"/>
        </w:rPr>
        <w:t xml:space="preserve">. The Governance Lane evaluates. The Decision Log is sealed in </w:t>
      </w:r>
      <w:r w:rsidDel="00000000" w:rsidR="00000000" w:rsidRPr="00000000">
        <w:rPr>
          <w:rFonts w:ascii="Roboto Mono" w:cs="Roboto Mono" w:eastAsia="Roboto Mono" w:hAnsi="Roboto Mono"/>
          <w:color w:val="188038"/>
          <w:rtl w:val="0"/>
        </w:rPr>
        <w:t xml:space="preserve">TGLF_StateP1_v1_0_0</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PermissionToken_v1_0_0</w:t>
      </w:r>
      <w:r w:rsidDel="00000000" w:rsidR="00000000" w:rsidRPr="00000000">
        <w:rPr>
          <w:rtl w:val="0"/>
        </w:rPr>
        <w:t xml:space="preserve"> is signed by </w:t>
      </w:r>
      <w:r w:rsidDel="00000000" w:rsidR="00000000" w:rsidRPr="00000000">
        <w:rPr>
          <w:rFonts w:ascii="Roboto Mono" w:cs="Roboto Mono" w:eastAsia="Roboto Mono" w:hAnsi="Roboto Mono"/>
          <w:color w:val="188038"/>
          <w:rtl w:val="0"/>
        </w:rPr>
        <w:t xml:space="preserve">TriCameralApproval_v1_0_0</w:t>
      </w:r>
      <w:r w:rsidDel="00000000" w:rsidR="00000000" w:rsidRPr="00000000">
        <w:rPr>
          <w:rtl w:val="0"/>
        </w:rPr>
        <w:t xml:space="preserve">. The hardware gate opens via </w:t>
      </w:r>
      <w:r w:rsidDel="00000000" w:rsidR="00000000" w:rsidRPr="00000000">
        <w:rPr>
          <w:rFonts w:ascii="Roboto Mono" w:cs="Roboto Mono" w:eastAsia="Roboto Mono" w:hAnsi="Roboto Mono"/>
          <w:color w:val="188038"/>
          <w:rtl w:val="0"/>
        </w:rPr>
        <w:t xml:space="preserve">CONFIRM_OK</w:t>
      </w:r>
      <w:r w:rsidDel="00000000" w:rsidR="00000000" w:rsidRPr="00000000">
        <w:rPr>
          <w:rtl w:val="0"/>
        </w:rPr>
        <w:t xml:space="preserve"> pulse. The trade executes. The entire sequence from proposal to execution is documented before the execution occurs. The regulator does not reconstruct. The regulator queries via </w:t>
      </w:r>
      <w:r w:rsidDel="00000000" w:rsidR="00000000" w:rsidRPr="00000000">
        <w:rPr>
          <w:rFonts w:ascii="Roboto Mono" w:cs="Roboto Mono" w:eastAsia="Roboto Mono" w:hAnsi="Roboto Mono"/>
          <w:color w:val="188038"/>
          <w:rtl w:val="0"/>
        </w:rPr>
        <w:t xml:space="preserve">POST /regulator/evidence-export</w:t>
      </w:r>
      <w:r w:rsidDel="00000000" w:rsidR="00000000" w:rsidRPr="00000000">
        <w:rPr>
          <w:rtl w:val="0"/>
        </w:rPr>
        <w:t xml:space="preserve">. The investigation does not require the institution's cooperation. The evidence exists in the distributed ledger before the action occurred. The institution cannot modify it because any modification breaks the Merkle chain verifiable by every node in the network through </w:t>
      </w:r>
      <w:r w:rsidDel="00000000" w:rsidR="00000000" w:rsidRPr="00000000">
        <w:rPr>
          <w:rFonts w:ascii="Roboto Mono" w:cs="Roboto Mono" w:eastAsia="Roboto Mono" w:hAnsi="Roboto Mono"/>
          <w:color w:val="188038"/>
          <w:rtl w:val="0"/>
        </w:rPr>
        <w:t xml:space="preserve">GET /audit/verifications/merkle/{merkleRoot}</w:t>
      </w:r>
      <w:r w:rsidDel="00000000" w:rsidR="00000000" w:rsidRPr="00000000">
        <w:rPr>
          <w:rtl w:val="0"/>
        </w:rPr>
        <w:t xml:space="preserve">.</w:t>
      </w:r>
      <w:hyperlink r:id="rId1282">
        <w:r w:rsidDel="00000000" w:rsidR="00000000" w:rsidRPr="00000000">
          <w:rPr>
            <w:rtl w:val="0"/>
          </w:rPr>
          <w:t xml:space="preserve"> </w:t>
        </w:r>
      </w:hyperlink>
      <w:hyperlink r:id="rId1283">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599">
      <w:pPr>
        <w:spacing w:after="240" w:before="240" w:lineRule="auto"/>
        <w:rPr>
          <w:color w:val="1155cc"/>
          <w:u w:val="single"/>
        </w:rPr>
      </w:pPr>
      <w:r w:rsidDel="00000000" w:rsidR="00000000" w:rsidRPr="00000000">
        <w:rPr>
          <w:rtl w:val="0"/>
        </w:rPr>
        <w:t xml:space="preserve">This is not merely a better compliance system. It is a different relationship between the governed and the governing - one in which the governed entity's power to act is architecturally coupled to its capacity to document the evidentiary basis for that action. The </w:t>
      </w:r>
      <w:r w:rsidDel="00000000" w:rsidR="00000000" w:rsidRPr="00000000">
        <w:rPr>
          <w:rFonts w:ascii="Roboto Mono" w:cs="Roboto Mono" w:eastAsia="Roboto Mono" w:hAnsi="Roboto Mono"/>
          <w:color w:val="188038"/>
          <w:rtl w:val="0"/>
        </w:rPr>
        <w:t xml:space="preserve">GhostGovernanceDetectedError</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tlErrorCode: "GHOST_GOVERNANCE_DETECTED_ERROR"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x-tl-state: -1</w:t>
      </w:r>
      <w:r w:rsidDel="00000000" w:rsidR="00000000" w:rsidRPr="00000000">
        <w:rPr>
          <w:rtl w:val="0"/>
        </w:rPr>
        <w:t xml:space="preserve"> fires when ungoverned execution is attempted. Power cannot lie because power cannot execute without evidence.</w:t>
      </w:r>
      <w:hyperlink r:id="rId1284">
        <w:r w:rsidDel="00000000" w:rsidR="00000000" w:rsidRPr="00000000">
          <w:rPr>
            <w:rtl w:val="0"/>
          </w:rPr>
          <w:t xml:space="preserve"> </w:t>
        </w:r>
      </w:hyperlink>
      <w:hyperlink r:id="rId1285">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59A">
      <w:pPr>
        <w:pStyle w:val="Heading2"/>
        <w:keepNext w:val="0"/>
        <w:keepLines w:val="0"/>
        <w:spacing w:after="80" w:lineRule="auto"/>
        <w:rPr>
          <w:b w:val="1"/>
          <w:bCs w:val="1"/>
          <w:sz w:val="34"/>
          <w:szCs w:val="34"/>
        </w:rPr>
      </w:pPr>
      <w:bookmarkStart w:colFirst="0" w:colLast="0" w:name="_z1wfvjg6u02" w:id="230"/>
      <w:bookmarkEnd w:id="230"/>
      <w:r w:rsidDel="00000000" w:rsidR="00000000" w:rsidRPr="00000000">
        <w:rPr>
          <w:b w:val="1"/>
          <w:bCs w:val="1"/>
          <w:sz w:val="34"/>
          <w:szCs w:val="34"/>
          <w:rtl w:val="0"/>
        </w:rPr>
        <w:t xml:space="preserve">14.4 The Honest Assessment of Limitations</w:t>
      </w:r>
    </w:p>
    <w:p w:rsidR="00000000" w:rsidDel="00000000" w:rsidP="00000000" w:rsidRDefault="00000000" w:rsidRPr="00000000" w14:paraId="0000059B">
      <w:pPr>
        <w:spacing w:after="240" w:before="240" w:lineRule="auto"/>
        <w:rPr>
          <w:color w:val="1155cc"/>
          <w:u w:val="single"/>
        </w:rPr>
      </w:pPr>
      <w:r w:rsidDel="00000000" w:rsidR="00000000" w:rsidRPr="00000000">
        <w:rPr>
          <w:b w:val="1"/>
          <w:bCs w:val="1"/>
          <w:rtl w:val="0"/>
        </w:rPr>
        <w:t xml:space="preserve">The Transitional Emulation Mode is a genuine governance limitation.</w:t>
      </w:r>
      <w:r w:rsidDel="00000000" w:rsidR="00000000" w:rsidRPr="00000000">
        <w:rPr>
          <w:rtl w:val="0"/>
        </w:rPr>
        <w:t xml:space="preserve"> Until DITL hardware meeting all six mandatory conditions is fabricated and deployed, the framework's two most critical enforcement properties - the physical Epistemic Hold stall in DITL circuits and the hardware-gated </w:t>
      </w:r>
      <w:r w:rsidDel="00000000" w:rsidR="00000000" w:rsidRPr="00000000">
        <w:rPr>
          <w:rFonts w:ascii="Roboto Mono" w:cs="Roboto Mono" w:eastAsia="Roboto Mono" w:hAnsi="Roboto Mono"/>
          <w:color w:val="188038"/>
          <w:rtl w:val="0"/>
        </w:rPr>
        <w:t xml:space="preserve">CONFIRM_OK</w:t>
      </w:r>
      <w:r w:rsidDel="00000000" w:rsidR="00000000" w:rsidRPr="00000000">
        <w:rPr>
          <w:rtl w:val="0"/>
        </w:rPr>
        <w:t xml:space="preserve"> pulse - operate at policy level rather than physics level. The API discloses this truthfully through </w:t>
      </w:r>
      <w:r w:rsidDel="00000000" w:rsidR="00000000" w:rsidRPr="00000000">
        <w:rPr>
          <w:rFonts w:ascii="Roboto Mono" w:cs="Roboto Mono" w:eastAsia="Roboto Mono" w:hAnsi="Roboto Mono"/>
          <w:color w:val="188038"/>
          <w:rtl w:val="0"/>
        </w:rPr>
        <w:t xml:space="preserve">NULL_PUF_DEPLOYMENT</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NLNAAuditToken.pufAttestation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windowComparatorReading.softwareEnforcementActive: true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EscrowRecord_v1_0_0</w:t>
      </w:r>
      <w:r w:rsidDel="00000000" w:rsidR="00000000" w:rsidRPr="00000000">
        <w:rPr>
          <w:rtl w:val="0"/>
        </w:rPr>
        <w:t xml:space="preserve">. Against a nation-state adversary, software-only TL provides meaningful governance for an estimated six to eighteen months before the adversary develops reliable bypass tooling. This limitation is tracked in the Constitutional Uncertainty Register with immediate-resolution classification.</w:t>
      </w:r>
      <w:hyperlink r:id="rId1286">
        <w:r w:rsidDel="00000000" w:rsidR="00000000" w:rsidRPr="00000000">
          <w:rPr>
            <w:rtl w:val="0"/>
          </w:rPr>
          <w:t xml:space="preserve"> </w:t>
        </w:r>
      </w:hyperlink>
      <w:hyperlink r:id="rId1287">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59C">
      <w:pPr>
        <w:spacing w:after="240" w:before="240" w:lineRule="auto"/>
        <w:rPr>
          <w:color w:val="1155cc"/>
          <w:u w:val="single"/>
        </w:rPr>
      </w:pPr>
      <w:r w:rsidDel="00000000" w:rsidR="00000000" w:rsidRPr="00000000">
        <w:rPr>
          <w:b w:val="1"/>
          <w:bCs w:val="1"/>
          <w:rtl w:val="0"/>
        </w:rPr>
        <w:t xml:space="preserve">The supply chain risk for DITL hardware is irreducible.</w:t>
      </w:r>
      <w:r w:rsidDel="00000000" w:rsidR="00000000" w:rsidRPr="00000000">
        <w:rPr>
          <w:rtl w:val="0"/>
        </w:rPr>
        <w:t xml:space="preserve"> Dopant-level hardware Trojans inserted during fabrication cannot be detected by any post-fabrication verification protocol, including PUF attestation reported through </w:t>
      </w:r>
      <w:r w:rsidDel="00000000" w:rsidR="00000000" w:rsidRPr="00000000">
        <w:rPr>
          <w:rFonts w:ascii="Roboto Mono" w:cs="Roboto Mono" w:eastAsia="Roboto Mono" w:hAnsi="Roboto Mono"/>
          <w:color w:val="188038"/>
          <w:rtl w:val="0"/>
        </w:rPr>
        <w:t xml:space="preserve">TLCapabilityFlags.pufAttestationMode</w:t>
      </w:r>
      <w:r w:rsidDel="00000000" w:rsidR="00000000" w:rsidRPr="00000000">
        <w:rPr>
          <w:rtl w:val="0"/>
        </w:rPr>
        <w:t xml:space="preserve">. The probability of reliable DITL chip production at scale without detectable compromise is estimated at fifteen to twenty-five percent within a five-year horizon. These are honest conditional projections.</w:t>
      </w:r>
      <w:hyperlink r:id="rId1288">
        <w:r w:rsidDel="00000000" w:rsidR="00000000" w:rsidRPr="00000000">
          <w:rPr>
            <w:rtl w:val="0"/>
          </w:rPr>
          <w:t xml:space="preserve"> </w:t>
        </w:r>
      </w:hyperlink>
      <w:hyperlink r:id="rId1289">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59D">
      <w:pPr>
        <w:spacing w:after="240" w:before="240" w:lineRule="auto"/>
        <w:rPr>
          <w:color w:val="1155cc"/>
          <w:u w:val="single"/>
        </w:rPr>
      </w:pPr>
      <w:r w:rsidDel="00000000" w:rsidR="00000000" w:rsidRPr="00000000">
        <w:rPr>
          <w:b w:val="1"/>
          <w:bCs w:val="1"/>
          <w:rtl w:val="0"/>
        </w:rPr>
        <w:t xml:space="preserve">The institutional governance architecture is vulnerable to patient capture.</w:t>
      </w:r>
      <w:r w:rsidDel="00000000" w:rsidR="00000000" w:rsidRPr="00000000">
        <w:rPr>
          <w:rtl w:val="0"/>
        </w:rPr>
        <w:t xml:space="preserve"> The Tri-Cameral model's supermajority requirements, diversity mandates, and timelock mechanisms on </w:t>
      </w:r>
      <w:r w:rsidDel="00000000" w:rsidR="00000000" w:rsidRPr="00000000">
        <w:rPr>
          <w:rFonts w:ascii="Roboto Mono" w:cs="Roboto Mono" w:eastAsia="Roboto Mono" w:hAnsi="Roboto Mono"/>
          <w:color w:val="188038"/>
          <w:rtl w:val="0"/>
        </w:rPr>
        <w:t xml:space="preserve">PUT /thresholds/{domain}</w:t>
      </w:r>
      <w:r w:rsidDel="00000000" w:rsidR="00000000" w:rsidRPr="00000000">
        <w:rPr>
          <w:rtl w:val="0"/>
        </w:rPr>
        <w:t xml:space="preserve"> raise the cost of governance capture substantially. They do not make capture impossible. A patient adversary with resources to influence academic appointments and regulatory body nominations over three to seven years can achieve supermajority control of the Stewardship Custodians without triggering any individual alarm. The pattern-of-drift detection in the Smart Contract Treasury and the </w:t>
      </w:r>
      <w:r w:rsidDel="00000000" w:rsidR="00000000" w:rsidRPr="00000000">
        <w:rPr>
          <w:rFonts w:ascii="Roboto Mono" w:cs="Roboto Mono" w:eastAsia="Roboto Mono" w:hAnsi="Roboto Mono"/>
          <w:color w:val="188038"/>
          <w:rtl w:val="0"/>
        </w:rPr>
        <w:t xml:space="preserve">ImmutableLedger</w:t>
      </w:r>
      <w:r w:rsidDel="00000000" w:rsidR="00000000" w:rsidRPr="00000000">
        <w:rPr>
          <w:rtl w:val="0"/>
        </w:rPr>
        <w:t xml:space="preserve">'s record of every modification make the drift visible. They do not make it preventable by the architecture alone.</w:t>
      </w:r>
      <w:hyperlink r:id="rId1290">
        <w:r w:rsidDel="00000000" w:rsidR="00000000" w:rsidRPr="00000000">
          <w:rPr>
            <w:rtl w:val="0"/>
          </w:rPr>
          <w:t xml:space="preserve"> </w:t>
        </w:r>
      </w:hyperlink>
      <w:hyperlink r:id="rId1291">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59E">
      <w:pPr>
        <w:spacing w:after="240" w:before="240" w:lineRule="auto"/>
        <w:rPr>
          <w:color w:val="1155cc"/>
          <w:u w:val="single"/>
        </w:rPr>
      </w:pPr>
      <w:r w:rsidDel="00000000" w:rsidR="00000000" w:rsidRPr="00000000">
        <w:rPr>
          <w:b w:val="1"/>
          <w:bCs w:val="1"/>
          <w:rtl w:val="0"/>
        </w:rPr>
        <w:t xml:space="preserve">Political realism constrains geographic deployment.</w:t>
      </w:r>
      <w:r w:rsidDel="00000000" w:rsidR="00000000" w:rsidRPr="00000000">
        <w:rPr>
          <w:rtl w:val="0"/>
        </w:rPr>
        <w:t xml:space="preserve"> The No Spy, No Weapon Mandate cannot achieve universal adoption. Sovereign states with surveillance and weapons priorities will not voluntarily adopt a framework that physically prevents those priorities. TL's deployment boundary is jurisdictions with strong rule of law, independent judiciaries, and civilian technology sectors. This boundary is not a failure of the framework. It is the honest definition of where the framework is achievable under current geopolitical conditions.</w:t>
      </w:r>
      <w:hyperlink r:id="rId1292">
        <w:r w:rsidDel="00000000" w:rsidR="00000000" w:rsidRPr="00000000">
          <w:rPr>
            <w:rtl w:val="0"/>
          </w:rPr>
          <w:t xml:space="preserve"> </w:t>
        </w:r>
      </w:hyperlink>
      <w:hyperlink r:id="rId1293">
        <w:r w:rsidDel="00000000" w:rsidR="00000000" w:rsidRPr="00000000">
          <w:rPr>
            <w:color w:val="1155cc"/>
            <w:u w:val="single"/>
            <w:rtl w:val="0"/>
          </w:rPr>
          <w:t xml:space="preserve">[8]</w:t>
        </w:r>
      </w:hyperlink>
      <w:r w:rsidDel="00000000" w:rsidR="00000000" w:rsidRPr="00000000">
        <w:rPr>
          <w:rtl w:val="0"/>
        </w:rPr>
      </w:r>
    </w:p>
    <w:p w:rsidR="00000000" w:rsidDel="00000000" w:rsidP="00000000" w:rsidRDefault="00000000" w:rsidRPr="00000000" w14:paraId="0000059F">
      <w:pPr>
        <w:pStyle w:val="Heading2"/>
        <w:keepNext w:val="0"/>
        <w:keepLines w:val="0"/>
        <w:spacing w:after="80" w:lineRule="auto"/>
        <w:rPr>
          <w:b w:val="1"/>
          <w:bCs w:val="1"/>
          <w:sz w:val="34"/>
          <w:szCs w:val="34"/>
        </w:rPr>
      </w:pPr>
      <w:bookmarkStart w:colFirst="0" w:colLast="0" w:name="_i2vq046hvgsm" w:id="231"/>
      <w:bookmarkEnd w:id="231"/>
      <w:r w:rsidDel="00000000" w:rsidR="00000000" w:rsidRPr="00000000">
        <w:rPr>
          <w:b w:val="1"/>
          <w:bCs w:val="1"/>
          <w:sz w:val="34"/>
          <w:szCs w:val="34"/>
          <w:rtl w:val="0"/>
        </w:rPr>
        <w:t xml:space="preserve">14.5 The Architectural Shift This Document Proposes</w:t>
      </w:r>
    </w:p>
    <w:p w:rsidR="00000000" w:rsidDel="00000000" w:rsidP="00000000" w:rsidRDefault="00000000" w:rsidRPr="00000000" w14:paraId="000005A0">
      <w:pPr>
        <w:spacing w:after="240" w:before="240" w:lineRule="auto"/>
        <w:rPr>
          <w:color w:val="1155cc"/>
          <w:u w:val="single"/>
        </w:rPr>
      </w:pPr>
      <w:r w:rsidDel="00000000" w:rsidR="00000000" w:rsidRPr="00000000">
        <w:rPr>
          <w:rtl w:val="0"/>
        </w:rPr>
        <w:t xml:space="preserve">The governance gap that produced the Flash Crash, that sustains $274 billion in annual AML false positive expenditure, and that required a seventy percent increase in market risk capital requirements is not a gap in regulatory ambition. Regulators have written comprehensive rules. Institutions have built compliance programs. The gap is architectural: the governance mechanisms have been layered on top of binary computation rather than embedded beneath it.</w:t>
      </w:r>
      <w:hyperlink r:id="rId1294">
        <w:r w:rsidDel="00000000" w:rsidR="00000000" w:rsidRPr="00000000">
          <w:rPr>
            <w:rtl w:val="0"/>
          </w:rPr>
          <w:t xml:space="preserve"> </w:t>
        </w:r>
      </w:hyperlink>
      <w:hyperlink r:id="rId1295">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5A1">
      <w:pPr>
        <w:spacing w:after="240" w:before="240" w:lineRule="auto"/>
        <w:rPr>
          <w:color w:val="1155cc"/>
          <w:u w:val="single"/>
        </w:rPr>
      </w:pPr>
      <w:r w:rsidDel="00000000" w:rsidR="00000000" w:rsidRPr="00000000">
        <w:rPr>
          <w:rtl w:val="0"/>
        </w:rPr>
        <w:t xml:space="preserve">This document proposes a specific architectural shift: from compliance by attestation to compliance by architecture. From governance as a post-execution audit layer to governance as a pre-execution physical gate enforced through </w:t>
      </w:r>
      <w:r w:rsidDel="00000000" w:rsidR="00000000" w:rsidRPr="00000000">
        <w:rPr>
          <w:rFonts w:ascii="Roboto Mono" w:cs="Roboto Mono" w:eastAsia="Roboto Mono" w:hAnsi="Roboto Mono"/>
          <w:color w:val="188038"/>
          <w:rtl w:val="0"/>
        </w:rPr>
        <w:t xml:space="preserve">CONFIRM_OK</w:t>
      </w:r>
      <w:r w:rsidDel="00000000" w:rsidR="00000000" w:rsidRPr="00000000">
        <w:rPr>
          <w:rtl w:val="0"/>
        </w:rPr>
        <w:t xml:space="preserve"> pulse and </w:t>
      </w:r>
      <w:r w:rsidDel="00000000" w:rsidR="00000000" w:rsidRPr="00000000">
        <w:rPr>
          <w:rFonts w:ascii="Roboto Mono" w:cs="Roboto Mono" w:eastAsia="Roboto Mono" w:hAnsi="Roboto Mono"/>
          <w:color w:val="188038"/>
          <w:rtl w:val="0"/>
        </w:rPr>
        <w:t xml:space="preserve">TL_Ledger_Core.registerPermissionToken</w:t>
      </w:r>
      <w:r w:rsidDel="00000000" w:rsidR="00000000" w:rsidRPr="00000000">
        <w:rPr>
          <w:rtl w:val="0"/>
        </w:rPr>
        <w:t xml:space="preserve">. From evidence as a record of what happened to evidence as a prerequisite for what is permitted to happen through the NL=NA covenant's five enforcement layers. From a financial system that claims to be compliant to a financial system that is architected to be incapable of non-compliance - with </w:t>
      </w:r>
      <w:r w:rsidDel="00000000" w:rsidR="00000000" w:rsidRPr="00000000">
        <w:rPr>
          <w:rFonts w:ascii="Roboto Mono" w:cs="Roboto Mono" w:eastAsia="Roboto Mono" w:hAnsi="Roboto Mono"/>
          <w:color w:val="188038"/>
          <w:rtl w:val="0"/>
        </w:rPr>
        <w:t xml:space="preserve">GhostGovernanceDetectedError</w:t>
      </w:r>
      <w:r w:rsidDel="00000000" w:rsidR="00000000" w:rsidRPr="00000000">
        <w:rPr>
          <w:rtl w:val="0"/>
        </w:rPr>
        <w:t xml:space="preserve"> as the terminal defense when all else fails.</w:t>
      </w:r>
      <w:hyperlink r:id="rId1296">
        <w:r w:rsidDel="00000000" w:rsidR="00000000" w:rsidRPr="00000000">
          <w:rPr>
            <w:rtl w:val="0"/>
          </w:rPr>
          <w:t xml:space="preserve"> </w:t>
        </w:r>
      </w:hyperlink>
      <w:hyperlink r:id="rId1297">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5A2">
      <w:pPr>
        <w:spacing w:after="240" w:before="240" w:lineRule="auto"/>
        <w:rPr/>
      </w:pPr>
      <w:r w:rsidDel="00000000" w:rsidR="00000000" w:rsidRPr="00000000">
        <w:rPr>
          <w:rtl w:val="0"/>
        </w:rPr>
        <w:t xml:space="preserve">The shift is not costless. The DITL coprocessor requires fabrication that does not yet exist at production scale. The Regulatory Nexus requires legal encoding work across </w:t>
      </w:r>
      <w:r w:rsidDel="00000000" w:rsidR="00000000" w:rsidRPr="00000000">
        <w:rPr>
          <w:rFonts w:ascii="Roboto Mono" w:cs="Roboto Mono" w:eastAsia="Roboto Mono" w:hAnsi="Roboto Mono"/>
          <w:color w:val="188038"/>
          <w:rtl w:val="0"/>
        </w:rPr>
        <w:t xml:space="preserve">finance_domain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trade_domain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data_protection_domain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monetary_policy_domain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market_integrity_domain</w:t>
      </w:r>
      <w:r w:rsidDel="00000000" w:rsidR="00000000" w:rsidRPr="00000000">
        <w:rPr>
          <w:rtl w:val="0"/>
        </w:rPr>
        <w:t xml:space="preserve"> endpoints that has not yet been completed. The Tri-Cameral governance model requires institutional establishment that takes years. The post-quantum migration requires capital planning now for a vulnerability window that arrives in a decade.</w:t>
      </w:r>
    </w:p>
    <w:p w:rsidR="00000000" w:rsidDel="00000000" w:rsidP="00000000" w:rsidRDefault="00000000" w:rsidRPr="00000000" w14:paraId="000005A3">
      <w:pPr>
        <w:spacing w:after="240" w:before="240" w:lineRule="auto"/>
        <w:rPr/>
      </w:pPr>
      <w:r w:rsidDel="00000000" w:rsidR="00000000" w:rsidRPr="00000000">
        <w:rPr>
          <w:rtl w:val="0"/>
        </w:rPr>
        <w:t xml:space="preserve">None of these costs are optional. The alternative - maintaining the current architecture while the governance gap between automated economic power and human oversight capacity continues to widen - produces costs that are larger, more diffuse, and less predictable than the costs of building governance infrastructure. The Flash Crash cost one trillion dollars in thirty minutes. The TD Bank enforcement action cost three billion dollars in a single penalty. FRTB's capital surcharge will cost the global banking system hundreds of billions in additional locked capital. These are the costs of the governance gap. They are also the market for TL's solution.</w:t>
      </w:r>
    </w:p>
    <w:p w:rsidR="00000000" w:rsidDel="00000000" w:rsidP="00000000" w:rsidRDefault="00000000" w:rsidRPr="00000000" w14:paraId="000005A4">
      <w:pPr>
        <w:pStyle w:val="Heading2"/>
        <w:keepNext w:val="0"/>
        <w:keepLines w:val="0"/>
        <w:spacing w:after="80" w:lineRule="auto"/>
        <w:rPr>
          <w:b w:val="1"/>
          <w:bCs w:val="1"/>
          <w:sz w:val="34"/>
          <w:szCs w:val="34"/>
        </w:rPr>
      </w:pPr>
      <w:bookmarkStart w:colFirst="0" w:colLast="0" w:name="_dk4d67vy2ayd" w:id="232"/>
      <w:bookmarkEnd w:id="232"/>
      <w:r w:rsidDel="00000000" w:rsidR="00000000" w:rsidRPr="00000000">
        <w:rPr>
          <w:b w:val="1"/>
          <w:bCs w:val="1"/>
          <w:sz w:val="34"/>
          <w:szCs w:val="34"/>
          <w:rtl w:val="0"/>
        </w:rPr>
        <w:t xml:space="preserve">14.6 The Closing Commitment</w:t>
      </w:r>
    </w:p>
    <w:p w:rsidR="00000000" w:rsidDel="00000000" w:rsidP="00000000" w:rsidRDefault="00000000" w:rsidRPr="00000000" w14:paraId="000005A5">
      <w:pPr>
        <w:spacing w:after="240" w:before="240" w:lineRule="auto"/>
        <w:rPr/>
      </w:pPr>
      <w:r w:rsidDel="00000000" w:rsidR="00000000" w:rsidRPr="00000000">
        <w:rPr>
          <w:rtl w:val="0"/>
        </w:rPr>
        <w:t xml:space="preserve">The Goukassian Vow reads, as encoded in </w:t>
      </w:r>
      <w:r w:rsidDel="00000000" w:rsidR="00000000" w:rsidRPr="00000000">
        <w:rPr>
          <w:rFonts w:ascii="Roboto Mono" w:cs="Roboto Mono" w:eastAsia="Roboto Mono" w:hAnsi="Roboto Mono"/>
          <w:color w:val="188038"/>
          <w:rtl w:val="0"/>
        </w:rPr>
        <w:t xml:space="preserve">tl_openapi.yaml</w:t>
      </w:r>
      <w:r w:rsidDel="00000000" w:rsidR="00000000" w:rsidRPr="00000000">
        <w:rPr>
          <w:rtl w:val="0"/>
        </w:rPr>
        <w:t xml:space="preserve"> under </w:t>
      </w:r>
      <w:r w:rsidDel="00000000" w:rsidR="00000000" w:rsidRPr="00000000">
        <w:rPr>
          <w:rFonts w:ascii="Roboto Mono" w:cs="Roboto Mono" w:eastAsia="Roboto Mono" w:hAnsi="Roboto Mono"/>
          <w:color w:val="188038"/>
          <w:rtl w:val="0"/>
        </w:rPr>
        <w:t xml:space="preserve">x-tl-constitutional-preamble</w:t>
      </w:r>
      <w:r w:rsidDel="00000000" w:rsidR="00000000" w:rsidRPr="00000000">
        <w:rPr>
          <w:rtl w:val="0"/>
        </w:rPr>
        <w:t xml:space="preserve"> and in </w:t>
      </w:r>
      <w:r w:rsidDel="00000000" w:rsidR="00000000" w:rsidRPr="00000000">
        <w:rPr>
          <w:rFonts w:ascii="Roboto Mono" w:cs="Roboto Mono" w:eastAsia="Roboto Mono" w:hAnsi="Roboto Mono"/>
          <w:color w:val="188038"/>
          <w:rtl w:val="0"/>
        </w:rPr>
        <w:t xml:space="preserve">eip712_typed_data.json</w:t>
      </w:r>
      <w:r w:rsidDel="00000000" w:rsidR="00000000" w:rsidRPr="00000000">
        <w:rPr>
          <w:rtl w:val="0"/>
        </w:rPr>
        <w:t xml:space="preserve"> under </w:t>
      </w:r>
      <w:r w:rsidDel="00000000" w:rsidR="00000000" w:rsidRPr="00000000">
        <w:rPr>
          <w:rFonts w:ascii="Roboto Mono" w:cs="Roboto Mono" w:eastAsia="Roboto Mono" w:hAnsi="Roboto Mono"/>
          <w:color w:val="188038"/>
          <w:rtl w:val="0"/>
        </w:rPr>
        <w:t xml:space="preserve">canonicalMandateHashes</w:t>
      </w:r>
      <w:r w:rsidDel="00000000" w:rsidR="00000000" w:rsidRPr="00000000">
        <w:rPr>
          <w:rtl w:val="0"/>
        </w:rPr>
        <w:t xml:space="preserve">:</w:t>
      </w:r>
    </w:p>
    <w:p w:rsidR="00000000" w:rsidDel="00000000" w:rsidP="00000000" w:rsidRDefault="00000000" w:rsidRPr="00000000" w14:paraId="000005A6">
      <w:pPr>
        <w:spacing w:after="240" w:before="240" w:lineRule="auto"/>
        <w:rPr>
          <w:i w:val="1"/>
          <w:iCs w:val="1"/>
        </w:rPr>
      </w:pPr>
      <w:r w:rsidDel="00000000" w:rsidR="00000000" w:rsidRPr="00000000">
        <w:rPr>
          <w:i w:val="1"/>
          <w:iCs w:val="1"/>
          <w:rtl w:val="0"/>
        </w:rPr>
        <w:t xml:space="preserve">"Pause when truth is uncertain. Refuse when harm is clear. Proceed where truth is."</w:t>
      </w:r>
    </w:p>
    <w:p w:rsidR="00000000" w:rsidDel="00000000" w:rsidP="00000000" w:rsidRDefault="00000000" w:rsidRPr="00000000" w14:paraId="000005A7">
      <w:pPr>
        <w:spacing w:after="240" w:before="240" w:lineRule="auto"/>
        <w:rPr/>
      </w:pPr>
      <w:r w:rsidDel="00000000" w:rsidR="00000000" w:rsidRPr="00000000">
        <w:rPr>
          <w:rtl w:val="0"/>
        </w:rPr>
        <w:t xml:space="preserve">These three sentences are the complete foundational architecture of everything specified in this monograph. Every technical standard, every governance protocol, every hardware specification, every legal covenant reduces to the operational realization of these three commands.</w:t>
      </w:r>
    </w:p>
    <w:p w:rsidR="00000000" w:rsidDel="00000000" w:rsidP="00000000" w:rsidRDefault="00000000" w:rsidRPr="00000000" w14:paraId="000005A8">
      <w:pPr>
        <w:spacing w:after="240" w:before="240" w:lineRule="auto"/>
        <w:rPr>
          <w:color w:val="1155cc"/>
          <w:u w:val="single"/>
        </w:rPr>
      </w:pPr>
      <w:r w:rsidDel="00000000" w:rsidR="00000000" w:rsidRPr="00000000">
        <w:rPr>
          <w:b w:val="1"/>
          <w:bCs w:val="1"/>
          <w:rtl w:val="0"/>
        </w:rPr>
        <w:t xml:space="preserve">Pause when truth is uncertain.</w:t>
      </w:r>
      <w:r w:rsidDel="00000000" w:rsidR="00000000" w:rsidRPr="00000000">
        <w:rPr>
          <w:rtl w:val="0"/>
        </w:rPr>
        <w:t xml:space="preserve"> Not hesitate. Not slow down slightly. Pause. In a world where algorithmic systems execute in microseconds and regulators reconstruct in months, the architecturally mandated pause - the </w:t>
      </w:r>
      <w:r w:rsidDel="00000000" w:rsidR="00000000" w:rsidRPr="00000000">
        <w:rPr>
          <w:rFonts w:ascii="Roboto Mono" w:cs="Roboto Mono" w:eastAsia="Roboto Mono" w:hAnsi="Roboto Mono"/>
          <w:color w:val="188038"/>
          <w:rtl w:val="0"/>
        </w:rPr>
        <w:t xml:space="preserve">{0,0}</w:t>
      </w:r>
      <w:r w:rsidDel="00000000" w:rsidR="00000000" w:rsidRPr="00000000">
        <w:rPr>
          <w:rtl w:val="0"/>
        </w:rPr>
        <w:t xml:space="preserve"> dual-rail NULL state enforced by Muller C-elements, the </w:t>
      </w:r>
      <w:r w:rsidDel="00000000" w:rsidR="00000000" w:rsidRPr="00000000">
        <w:rPr>
          <w:rFonts w:ascii="Roboto Mono" w:cs="Roboto Mono" w:eastAsia="Roboto Mono" w:hAnsi="Roboto Mono"/>
          <w:color w:val="188038"/>
          <w:rtl w:val="0"/>
        </w:rPr>
        <w:t xml:space="preserve">EscrowRecord_v1_0_0</w:t>
      </w:r>
      <w:r w:rsidDel="00000000" w:rsidR="00000000" w:rsidRPr="00000000">
        <w:rPr>
          <w:rtl w:val="0"/>
        </w:rPr>
        <w:t xml:space="preserve"> populated with </w:t>
      </w:r>
      <w:r w:rsidDel="00000000" w:rsidR="00000000" w:rsidRPr="00000000">
        <w:rPr>
          <w:rFonts w:ascii="Roboto Mono" w:cs="Roboto Mono" w:eastAsia="Roboto Mono" w:hAnsi="Roboto Mono"/>
          <w:color w:val="188038"/>
          <w:rtl w:val="0"/>
        </w:rPr>
        <w:t xml:space="preserve">holdRationale.uncertaintyScore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GovernancePause</w:t>
      </w:r>
      <w:r w:rsidDel="00000000" w:rsidR="00000000" w:rsidRPr="00000000">
        <w:rPr>
          <w:rtl w:val="0"/>
        </w:rPr>
        <w:t xml:space="preserve"> workflow propagating through </w:t>
      </w:r>
      <w:r w:rsidDel="00000000" w:rsidR="00000000" w:rsidRPr="00000000">
        <w:rPr>
          <w:rFonts w:ascii="Roboto Mono" w:cs="Roboto Mono" w:eastAsia="Roboto Mono" w:hAnsi="Roboto Mono"/>
          <w:color w:val="188038"/>
          <w:rtl w:val="0"/>
        </w:rPr>
        <w:t xml:space="preserve">epistemicHold.escalation</w:t>
      </w:r>
      <w:r w:rsidDel="00000000" w:rsidR="00000000" w:rsidRPr="00000000">
        <w:rPr>
          <w:rtl w:val="0"/>
        </w:rPr>
        <w:t xml:space="preserve"> webhooks - is the operational realization of the epistemic humility that economic governance has always required but never before been able to enforce below the software layer.</w:t>
      </w:r>
      <w:hyperlink r:id="rId1298">
        <w:r w:rsidDel="00000000" w:rsidR="00000000" w:rsidRPr="00000000">
          <w:rPr>
            <w:rtl w:val="0"/>
          </w:rPr>
          <w:t xml:space="preserve"> </w:t>
        </w:r>
      </w:hyperlink>
      <w:hyperlink r:id="rId1299">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5A9">
      <w:pPr>
        <w:spacing w:after="240" w:before="240" w:lineRule="auto"/>
        <w:rPr>
          <w:color w:val="1155cc"/>
          <w:u w:val="single"/>
        </w:rPr>
      </w:pPr>
      <w:r w:rsidDel="00000000" w:rsidR="00000000" w:rsidRPr="00000000">
        <w:rPr>
          <w:b w:val="1"/>
          <w:bCs w:val="1"/>
          <w:rtl w:val="0"/>
        </w:rPr>
        <w:t xml:space="preserve">Refuse when harm is clear.</w:t>
      </w:r>
      <w:r w:rsidDel="00000000" w:rsidR="00000000" w:rsidRPr="00000000">
        <w:rPr>
          <w:rtl w:val="0"/>
        </w:rPr>
        <w:t xml:space="preserve"> Not when harm is proven beyond reasonable doubt. Not when harm has been documented and litigated and settled. When harm is clear - at the moment of the proposal, before the execution, while the evidence still exists and the damage has not yet occurred. The Governance Lane issues Refuse via </w:t>
      </w:r>
      <w:r w:rsidDel="00000000" w:rsidR="00000000" w:rsidRPr="00000000">
        <w:rPr>
          <w:rFonts w:ascii="Roboto Mono" w:cs="Roboto Mono" w:eastAsia="Roboto Mono" w:hAnsi="Roboto Mono"/>
          <w:color w:val="188038"/>
          <w:rtl w:val="0"/>
        </w:rPr>
        <w:t xml:space="preserve">POST /refusals</w:t>
      </w:r>
      <w:r w:rsidDel="00000000" w:rsidR="00000000" w:rsidRPr="00000000">
        <w:rPr>
          <w:rtl w:val="0"/>
        </w:rPr>
        <w:t xml:space="preserve"> before the Flash Crash cascade begins, before the manipulative order reaches the exchange, before the sanctioned entity receives the payment. </w:t>
      </w:r>
      <w:r w:rsidDel="00000000" w:rsidR="00000000" w:rsidRPr="00000000">
        <w:rPr>
          <w:rFonts w:ascii="Roboto Mono" w:cs="Roboto Mono" w:eastAsia="Roboto Mono" w:hAnsi="Roboto Mono"/>
          <w:color w:val="188038"/>
          <w:rtl w:val="0"/>
        </w:rPr>
        <w:t xml:space="preserve">TL_Ledger_Core</w:t>
      </w:r>
      <w:r w:rsidDel="00000000" w:rsidR="00000000" w:rsidRPr="00000000">
        <w:rPr>
          <w:rtl w:val="0"/>
        </w:rPr>
        <w:t xml:space="preserve"> reverts with </w:t>
      </w:r>
      <w:r w:rsidDel="00000000" w:rsidR="00000000" w:rsidRPr="00000000">
        <w:rPr>
          <w:rFonts w:ascii="Roboto Mono" w:cs="Roboto Mono" w:eastAsia="Roboto Mono" w:hAnsi="Roboto Mono"/>
          <w:color w:val="188038"/>
          <w:rtl w:val="0"/>
        </w:rPr>
        <w:t xml:space="preserve">NLNAViolation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ABI.InvalidResolutionState</w:t>
      </w:r>
      <w:r w:rsidDel="00000000" w:rsidR="00000000" w:rsidRPr="00000000">
        <w:rPr>
          <w:rtl w:val="0"/>
        </w:rPr>
        <w:t xml:space="preserve"> prevents any conversion of Refuse to Proceed.</w:t>
      </w:r>
      <w:hyperlink r:id="rId1300">
        <w:r w:rsidDel="00000000" w:rsidR="00000000" w:rsidRPr="00000000">
          <w:rPr>
            <w:rtl w:val="0"/>
          </w:rPr>
          <w:t xml:space="preserve"> </w:t>
        </w:r>
      </w:hyperlink>
      <w:hyperlink r:id="rId1301">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5AA">
      <w:pPr>
        <w:spacing w:after="240" w:before="240" w:lineRule="auto"/>
        <w:rPr>
          <w:color w:val="1155cc"/>
          <w:u w:val="single"/>
        </w:rPr>
      </w:pPr>
      <w:r w:rsidDel="00000000" w:rsidR="00000000" w:rsidRPr="00000000">
        <w:rPr>
          <w:b w:val="1"/>
          <w:bCs w:val="1"/>
          <w:rtl w:val="0"/>
        </w:rPr>
        <w:t xml:space="preserve">Proceed where truth is.</w:t>
      </w:r>
      <w:r w:rsidDel="00000000" w:rsidR="00000000" w:rsidRPr="00000000">
        <w:rPr>
          <w:rtl w:val="0"/>
        </w:rPr>
        <w:t xml:space="preserve"> Not where truth is probable. Not where truth is statistically likely. Where truth is - where the evidence exists, where the </w:t>
      </w:r>
      <w:r w:rsidDel="00000000" w:rsidR="00000000" w:rsidRPr="00000000">
        <w:rPr>
          <w:rFonts w:ascii="Roboto Mono" w:cs="Roboto Mono" w:eastAsia="Roboto Mono" w:hAnsi="Roboto Mono"/>
          <w:color w:val="188038"/>
          <w:rtl w:val="0"/>
        </w:rPr>
        <w:t xml:space="preserve">GoukassianPrincipleBlock_v1_0_0</w:t>
      </w:r>
      <w:r w:rsidDel="00000000" w:rsidR="00000000" w:rsidRPr="00000000">
        <w:rPr>
          <w:rtl w:val="0"/>
        </w:rPr>
        <w:t xml:space="preserve"> has been validated, where the </w:t>
      </w:r>
      <w:r w:rsidDel="00000000" w:rsidR="00000000" w:rsidRPr="00000000">
        <w:rPr>
          <w:rFonts w:ascii="Roboto Mono" w:cs="Roboto Mono" w:eastAsia="Roboto Mono" w:hAnsi="Roboto Mono"/>
          <w:color w:val="188038"/>
          <w:rtl w:val="0"/>
        </w:rPr>
        <w:t xml:space="preserve">pillarsCertified</w:t>
      </w:r>
      <w:r w:rsidDel="00000000" w:rsidR="00000000" w:rsidRPr="00000000">
        <w:rPr>
          <w:rtl w:val="0"/>
        </w:rPr>
        <w:t xml:space="preserve"> array carries </w:t>
      </w:r>
      <w:r w:rsidDel="00000000" w:rsidR="00000000" w:rsidRPr="00000000">
        <w:rPr>
          <w:rFonts w:ascii="Roboto Mono" w:cs="Roboto Mono" w:eastAsia="Roboto Mono" w:hAnsi="Roboto Mono"/>
          <w:color w:val="188038"/>
          <w:rtl w:val="0"/>
        </w:rPr>
        <w:t xml:space="preserve">minItems: 8, maxItems: 8</w:t>
      </w:r>
      <w:r w:rsidDel="00000000" w:rsidR="00000000" w:rsidRPr="00000000">
        <w:rPr>
          <w:rtl w:val="0"/>
        </w:rPr>
        <w:t xml:space="preserve">, where the </w:t>
      </w:r>
      <w:r w:rsidDel="00000000" w:rsidR="00000000" w:rsidRPr="00000000">
        <w:rPr>
          <w:rFonts w:ascii="Roboto Mono" w:cs="Roboto Mono" w:eastAsia="Roboto Mono" w:hAnsi="Roboto Mono"/>
          <w:color w:val="188038"/>
          <w:rtl w:val="0"/>
        </w:rPr>
        <w:t xml:space="preserve">PermissionToken_v1_0_0</w:t>
      </w:r>
      <w:r w:rsidDel="00000000" w:rsidR="00000000" w:rsidRPr="00000000">
        <w:rPr>
          <w:rtl w:val="0"/>
        </w:rPr>
        <w:t xml:space="preserve"> has been signed by </w:t>
      </w:r>
      <w:r w:rsidDel="00000000" w:rsidR="00000000" w:rsidRPr="00000000">
        <w:rPr>
          <w:rFonts w:ascii="Roboto Mono" w:cs="Roboto Mono" w:eastAsia="Roboto Mono" w:hAnsi="Roboto Mono"/>
          <w:color w:val="188038"/>
          <w:rtl w:val="0"/>
        </w:rPr>
        <w:t xml:space="preserve">TriCameralApproval_v1_0_0</w:t>
      </w:r>
      <w:r w:rsidDel="00000000" w:rsidR="00000000" w:rsidRPr="00000000">
        <w:rPr>
          <w:rtl w:val="0"/>
        </w:rPr>
        <w:t xml:space="preserve">, and where the </w:t>
      </w:r>
      <w:r w:rsidDel="00000000" w:rsidR="00000000" w:rsidRPr="00000000">
        <w:rPr>
          <w:rFonts w:ascii="Roboto Mono" w:cs="Roboto Mono" w:eastAsia="Roboto Mono" w:hAnsi="Roboto Mono"/>
          <w:color w:val="188038"/>
          <w:rtl w:val="0"/>
        </w:rPr>
        <w:t xml:space="preserve">CONFIRM_OK</w:t>
      </w:r>
      <w:r w:rsidDel="00000000" w:rsidR="00000000" w:rsidRPr="00000000">
        <w:rPr>
          <w:rtl w:val="0"/>
        </w:rPr>
        <w:t xml:space="preserve"> pulse has reached the MT gate.</w:t>
      </w:r>
      <w:hyperlink r:id="rId1302">
        <w:r w:rsidDel="00000000" w:rsidR="00000000" w:rsidRPr="00000000">
          <w:rPr>
            <w:rtl w:val="0"/>
          </w:rPr>
          <w:t xml:space="preserve"> </w:t>
        </w:r>
      </w:hyperlink>
      <w:hyperlink r:id="rId1303">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5AB">
      <w:pPr>
        <w:spacing w:after="240" w:before="240" w:lineRule="auto"/>
        <w:rPr/>
      </w:pPr>
      <w:r w:rsidDel="00000000" w:rsidR="00000000" w:rsidRPr="00000000">
        <w:rPr>
          <w:rtl w:val="0"/>
        </w:rPr>
        <w:t xml:space="preserve">This is the standard of care that the digital age requires of economic governance. It is not aspirational. It is achievable. The specification is complete. The architecture is ready. The governance crisis that produced the Flash Crash, the AML false positive epidemic, and the Basel capital surcharge spiral will not end on its own. It will end when the systems that govern automated economic power are built to the standard that the Goukassian Vow requires - or it will continue at the cost that the absence of that standard has always imposed on everyone who operates within the financial system's reach.</w:t>
      </w:r>
    </w:p>
    <w:p w:rsidR="00000000" w:rsidDel="00000000" w:rsidP="00000000" w:rsidRDefault="00000000" w:rsidRPr="00000000" w14:paraId="000005AC">
      <w:pPr>
        <w:spacing w:after="240" w:before="240" w:lineRule="auto"/>
        <w:rPr>
          <w:color w:val="1155cc"/>
          <w:u w:val="single"/>
        </w:rPr>
      </w:pPr>
      <w:r w:rsidDel="00000000" w:rsidR="00000000" w:rsidRPr="00000000">
        <w:rPr>
          <w:rtl w:val="0"/>
        </w:rPr>
        <w:t xml:space="preserve">The choice between those outcomes is architectural. And it begins with a decision to build.</w:t>
      </w:r>
      <w:hyperlink r:id="rId1304">
        <w:r w:rsidDel="00000000" w:rsidR="00000000" w:rsidRPr="00000000">
          <w:rPr>
            <w:rtl w:val="0"/>
          </w:rPr>
          <w:t xml:space="preserve"> </w:t>
        </w:r>
      </w:hyperlink>
      <w:hyperlink r:id="rId1305">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sectPr>
      <w:footerReference r:id="rId1306" w:type="default"/>
      <w:footerReference r:id="rId1307"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90" Type="http://schemas.openxmlformats.org/officeDocument/2006/relationships/hyperlink" Target="https://github.com/FractonicMind/TernaryLogic/blob/main/Governance/Ternary_Logic_as_Constitutional_Triadic_Governance_Architecture_for_High-Stakes_Automated_Decision-Making.md" TargetMode="External"/><Relationship Id="rId194" Type="http://schemas.openxmlformats.org/officeDocument/2006/relationships/hyperlink" Target="https://github.com/FractonicMind/TernaryLogic/blob/main/API/Specification_Architecture.md" TargetMode="External"/><Relationship Id="rId193" Type="http://schemas.openxmlformats.org/officeDocument/2006/relationships/hyperlink" Target="https://github.com/FractonicMind/TernaryLogic/blob/main/API/Specification_Architecture.md" TargetMode="External"/><Relationship Id="rId192" Type="http://schemas.openxmlformats.org/officeDocument/2006/relationships/hyperlink" Target="https://github.com/FractonicMind/TernaryLogic/blob/main/API/Specification_Architecture.md" TargetMode="External"/><Relationship Id="rId191" Type="http://schemas.openxmlformats.org/officeDocument/2006/relationships/hyperlink" Target="https://github.com/FractonicMind/TernaryLogic/blob/main/Governance/Ternary_Logic_as_Constitutional_Triadic_Governance_Architecture_for_High-Stakes_Automated_Decision-Making.md" TargetMode="External"/><Relationship Id="rId187" Type="http://schemas.openxmlformats.org/officeDocument/2006/relationships/hyperlink" Target="https://github.com/FractonicMind/TernaryLogic/blob/main/API/Specification_Architecture.md" TargetMode="External"/><Relationship Id="rId186" Type="http://schemas.openxmlformats.org/officeDocument/2006/relationships/hyperlink" Target="https://github.com/FractonicMind/TernaryLogic/blob/main/API/Specification_Architecture.md" TargetMode="External"/><Relationship Id="rId185" Type="http://schemas.openxmlformats.org/officeDocument/2006/relationships/hyperlink" Target="https://github.com/FractonicMind/TernaryLogic/blob/main/The%20Architecture%20Of%20Assured%20Governance%20for%20Global%20Economic%20Systems.md" TargetMode="External"/><Relationship Id="rId184" Type="http://schemas.openxmlformats.org/officeDocument/2006/relationships/hyperlink" Target="https://github.com/FractonicMind/TernaryLogic/blob/main/The%20Architecture%20Of%20Assured%20Governance%20for%20Global%20Economic%20Systems.md" TargetMode="External"/><Relationship Id="rId189" Type="http://schemas.openxmlformats.org/officeDocument/2006/relationships/hyperlink" Target="https://github.com/FractonicMind/TernaryLogic/blob/main/API/Specification_Architecture.md" TargetMode="External"/><Relationship Id="rId188" Type="http://schemas.openxmlformats.org/officeDocument/2006/relationships/hyperlink" Target="https://github.com/FractonicMind/TernaryLogic/blob/main/API/Specification_Architecture.md" TargetMode="External"/><Relationship Id="rId183" Type="http://schemas.openxmlformats.org/officeDocument/2006/relationships/hyperlink" Target="https://github.com/FractonicMind/TernaryLogic/blob/main/API/Specification_Architecture.md" TargetMode="External"/><Relationship Id="rId182" Type="http://schemas.openxmlformats.org/officeDocument/2006/relationships/hyperlink" Target="https://github.com/FractonicMind/TernaryLogic/blob/main/API/Specification_Architecture.md" TargetMode="External"/><Relationship Id="rId181" Type="http://schemas.openxmlformats.org/officeDocument/2006/relationships/hyperlink" Target="https://github.com/FractonicMind/TernaryLogic/blob/main/Governance/Ternary_Logic_as_Constitutional_Triadic_Governance_Architecture_for_High-Stakes_Automated_Decision-Making.md" TargetMode="External"/><Relationship Id="rId180" Type="http://schemas.openxmlformats.org/officeDocument/2006/relationships/hyperlink" Target="https://github.com/FractonicMind/TernaryLogic/blob/main/Governance/Ternary_Logic_as_Constitutional_Triadic_Governance_Architecture_for_High-Stakes_Automated_Decision-Making.md" TargetMode="External"/><Relationship Id="rId176" Type="http://schemas.openxmlformats.org/officeDocument/2006/relationships/hyperlink" Target="https://github.com/FractonicMind/TernaryLogic/blob/main/The%20Architecture%20Of%20Assured%20Governance%20for%20Global%20Economic%20Systems.md" TargetMode="External"/><Relationship Id="rId175" Type="http://schemas.openxmlformats.org/officeDocument/2006/relationships/hyperlink" Target="https://github.com/FractonicMind/TernaryLogic/blob/main/API/Specification_Architecture.md" TargetMode="External"/><Relationship Id="rId174" Type="http://schemas.openxmlformats.org/officeDocument/2006/relationships/hyperlink" Target="https://github.com/FractonicMind/TernaryLogic/blob/main/API/Specification_Architecture.md" TargetMode="External"/><Relationship Id="rId173" Type="http://schemas.openxmlformats.org/officeDocument/2006/relationships/hyperlink" Target="https://github.com/FractonicMind/TernaryLogic/blob/main/The%20Architecture%20Of%20Assured%20Governance%20for%20Global%20Economic%20Systems.md" TargetMode="External"/><Relationship Id="rId179" Type="http://schemas.openxmlformats.org/officeDocument/2006/relationships/hyperlink" Target="https://github.com/FractonicMind/TernaryLogic/blob/main/The%20Architecture%20Of%20Assured%20Governance%20for%20Global%20Economic%20Systems.md" TargetMode="External"/><Relationship Id="rId178" Type="http://schemas.openxmlformats.org/officeDocument/2006/relationships/hyperlink" Target="https://github.com/FractonicMind/TernaryLogic/blob/main/The%20Architecture%20Of%20Assured%20Governance%20for%20Global%20Economic%20Systems.md" TargetMode="External"/><Relationship Id="rId177" Type="http://schemas.openxmlformats.org/officeDocument/2006/relationships/hyperlink" Target="https://github.com/FractonicMind/TernaryLogic/blob/main/The%20Architecture%20Of%20Assured%20Governance%20for%20Global%20Economic%20Systems.md" TargetMode="External"/><Relationship Id="rId198" Type="http://schemas.openxmlformats.org/officeDocument/2006/relationships/hyperlink" Target="https://github.com/FractonicMind/TernaryLogic/blob/main/The%20Architecture%20Of%20Assured%20Governance%20for%20Global%20Economic%20Systems.md" TargetMode="External"/><Relationship Id="rId197" Type="http://schemas.openxmlformats.org/officeDocument/2006/relationships/hyperlink" Target="https://github.com/FractonicMind/TernaryLogic/blob/main/The%20Architecture%20Of%20Assured%20Governance%20for%20Global%20Economic%20Systems.md" TargetMode="External"/><Relationship Id="rId196" Type="http://schemas.openxmlformats.org/officeDocument/2006/relationships/hyperlink" Target="https://github.com/FractonicMind/TernaryLogic/blob/main/The%20Architecture%20Of%20Assured%20Governance%20for%20Global%20Economic%20Systems.md" TargetMode="External"/><Relationship Id="rId195" Type="http://schemas.openxmlformats.org/officeDocument/2006/relationships/hyperlink" Target="https://github.com/FractonicMind/TernaryLogic/blob/main/API/Specification_Architecture.md" TargetMode="External"/><Relationship Id="rId199" Type="http://schemas.openxmlformats.org/officeDocument/2006/relationships/hyperlink" Target="https://github.com/FractonicMind/TernaryLogic/blob/main/The%20Architecture%20Of%20Assured%20Governance%20for%20Global%20Economic%20Systems.md" TargetMode="External"/><Relationship Id="rId150" Type="http://schemas.openxmlformats.org/officeDocument/2006/relationships/hyperlink" Target="https://github.com/FractonicMind/TernaryLogic/blob/main/API/Specification_Architecture.md" TargetMode="External"/><Relationship Id="rId392" Type="http://schemas.openxmlformats.org/officeDocument/2006/relationships/hyperlink" Target="https://raw.githubusercontent.com/FractonicMind/TernaryLogic/refs/heads/main/No_Spy-No_Weapon/Universal_Scalability_of_TL_Under_the_NoS-NoW_Mandate.md" TargetMode="External"/><Relationship Id="rId391" Type="http://schemas.openxmlformats.org/officeDocument/2006/relationships/hyperlink" Target="https://raw.githubusercontent.com/FractonicMind/TernaryLogic/refs/heads/main/No_Spy-No_Weapon/Universal_Scalability_of_TL_Under_the_NoS-NoW_Mandate.md" TargetMode="External"/><Relationship Id="rId390" Type="http://schemas.openxmlformats.org/officeDocument/2006/relationships/hyperlink" Target="https://raw.githubusercontent.com/FractonicMind/TernaryLogic/refs/heads/main/No_Spy-No_Weapon/Universal_Scalability_of_TL_Under_the_NoS-NoW_Mandate.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github.com/FractonicMind/TernaryLogic/blob/main/API/Specification_Architecture.md" TargetMode="External"/><Relationship Id="rId4" Type="http://schemas.openxmlformats.org/officeDocument/2006/relationships/numbering" Target="numbering.xml"/><Relationship Id="rId148" Type="http://schemas.openxmlformats.org/officeDocument/2006/relationships/hyperlink" Target="https://github.com/FractonicMind/TernaryLogic/blob/main/API/Specification_Architecture.md" TargetMode="External"/><Relationship Id="rId1090" Type="http://schemas.openxmlformats.org/officeDocument/2006/relationships/hyperlink" Target="https://github.com/FractonicMind/TernaryLogic/blob/main/The%20Architecture%20Of%20Assured%20Governance%20for%20Global%20Economic%20Systems.md" TargetMode="External"/><Relationship Id="rId1091" Type="http://schemas.openxmlformats.org/officeDocument/2006/relationships/hyperlink" Target="https://github.com/FractonicMind/TernaryLogic/blob/main/The%20Architecture%20Of%20Assured%20Governance%20for%20Global%20Economic%20Systems.md" TargetMode="External"/><Relationship Id="rId1092" Type="http://schemas.openxmlformats.org/officeDocument/2006/relationships/hyperlink" Target="https://github.com/FractonicMind/TernaryLogic/blob/main/The%20Architecture%20Of%20Assured%20Governance%20for%20Global%20Economic%20Systems.md" TargetMode="External"/><Relationship Id="rId1093" Type="http://schemas.openxmlformats.org/officeDocument/2006/relationships/hyperlink" Target="https://github.com/FractonicMind/TernaryLogic/blob/main/The%20Architecture%20Of%20Assured%20Governance%20for%20Global%20Economic%20Systems.md" TargetMode="External"/><Relationship Id="rId1094" Type="http://schemas.openxmlformats.org/officeDocument/2006/relationships/hyperlink" Target="https://github.com/FractonicMind/TernaryLogic/blob/main/MT_Hardware/MT_System_Architecture_and_Economics.md" TargetMode="External"/><Relationship Id="rId9" Type="http://schemas.openxmlformats.org/officeDocument/2006/relationships/hyperlink" Target="https://github.com/FractonicMind/TernaryLogic/tree/main" TargetMode="External"/><Relationship Id="rId143" Type="http://schemas.openxmlformats.org/officeDocument/2006/relationships/hyperlink" Target="https://github.com/FractonicMind/TernaryLogic/blob/main/API/Specification_Architecture.md" TargetMode="External"/><Relationship Id="rId385" Type="http://schemas.openxmlformats.org/officeDocument/2006/relationships/hyperlink" Target="https://raw.githubusercontent.com/FractonicMind/TernaryLogic/refs/heads/main/No_Spy-No_Weapon/Universal_Scalability_of_TL_NoS-NoW_Prohibitions.md" TargetMode="External"/><Relationship Id="rId1095" Type="http://schemas.openxmlformats.org/officeDocument/2006/relationships/hyperlink" Target="https://github.com/FractonicMind/TernaryLogic/blob/main/MT_Hardware/MT_System_Architecture_and_Economics.md" TargetMode="External"/><Relationship Id="rId142" Type="http://schemas.openxmlformats.org/officeDocument/2006/relationships/hyperlink" Target="https://github.com/FractonicMind/TernaryLogic/blob/main/API/Specification_Architecture.md" TargetMode="External"/><Relationship Id="rId384" Type="http://schemas.openxmlformats.org/officeDocument/2006/relationships/hyperlink" Target="https://raw.githubusercontent.com/FractonicMind/TernaryLogic/refs/heads/main/No_Spy-No_Weapon/Universal_Scalability_of_TL_NoS-NoW_Prohibitions.md" TargetMode="External"/><Relationship Id="rId1096" Type="http://schemas.openxmlformats.org/officeDocument/2006/relationships/hyperlink" Target="https://github.com/FractonicMind/TernaryLogic/blob/main/MT_Hardware/MT_System_Architecture_and_Economics.md" TargetMode="External"/><Relationship Id="rId141" Type="http://schemas.openxmlformats.org/officeDocument/2006/relationships/hyperlink" Target="https://github.com/FractonicMind/TernaryLogic/blob/main/API/Specification_Architecture.md" TargetMode="External"/><Relationship Id="rId383" Type="http://schemas.openxmlformats.org/officeDocument/2006/relationships/hyperlink" Target="https://raw.githubusercontent.com/FractonicMind/TernaryLogic/refs/heads/main/No_Spy-No_Weapon/Universal_Scalability_of_TL_NoS-NoW_Prohibitions.md" TargetMode="External"/><Relationship Id="rId1097" Type="http://schemas.openxmlformats.org/officeDocument/2006/relationships/hyperlink" Target="https://github.com/FractonicMind/TernaryLogic/blob/main/MT_Hardware/MT_System_Architecture_and_Economics.md" TargetMode="External"/><Relationship Id="rId140" Type="http://schemas.openxmlformats.org/officeDocument/2006/relationships/hyperlink" Target="https://github.com/FractonicMind/TernaryLogic/blob/main/API/Specification_Architecture.md" TargetMode="External"/><Relationship Id="rId382" Type="http://schemas.openxmlformats.org/officeDocument/2006/relationships/hyperlink" Target="https://raw.githubusercontent.com/FractonicMind/TernaryLogic/refs/heads/main/No_Spy-No_Weapon/Universal_Scalability_of_TL_NoS-NoW_Prohibitions.md" TargetMode="External"/><Relationship Id="rId1098" Type="http://schemas.openxmlformats.org/officeDocument/2006/relationships/hyperlink" Target="https://github.com/FractonicMind/TernaryLogic/blob/main/MT_Hardware/MT_System_Architecture_and_Economics.md" TargetMode="External"/><Relationship Id="rId5" Type="http://schemas.openxmlformats.org/officeDocument/2006/relationships/styles" Target="styles.xml"/><Relationship Id="rId147" Type="http://schemas.openxmlformats.org/officeDocument/2006/relationships/hyperlink" Target="https://github.com/FractonicMind/TernaryLogic/blob/main/API/Specification_Architecture.md" TargetMode="External"/><Relationship Id="rId389" Type="http://schemas.openxmlformats.org/officeDocument/2006/relationships/hyperlink" Target="https://raw.githubusercontent.com/FractonicMind/TernaryLogic/refs/heads/main/No_Spy-No_Weapon/Universal_Scalability_of_TL_Under_the_NoS-NoW_Mandate.md" TargetMode="External"/><Relationship Id="rId1099" Type="http://schemas.openxmlformats.org/officeDocument/2006/relationships/hyperlink" Target="https://github.com/FractonicMind/TernaryLogic/blob/main/MT_Hardware/MT_System_Architecture_and_Economics.md" TargetMode="External"/><Relationship Id="rId6" Type="http://schemas.openxmlformats.org/officeDocument/2006/relationships/hyperlink" Target="https://orcid.org/0009-0006-5966-1243" TargetMode="External"/><Relationship Id="rId146" Type="http://schemas.openxmlformats.org/officeDocument/2006/relationships/hyperlink" Target="https://github.com/FractonicMind/TernaryLogic/blob/main/API/Specification_Architecture.md" TargetMode="External"/><Relationship Id="rId388" Type="http://schemas.openxmlformats.org/officeDocument/2006/relationships/hyperlink" Target="https://raw.githubusercontent.com/FractonicMind/TernaryLogic/refs/heads/main/No_Spy-No_Weapon/Universal_Scalability_of_TL_Under_the_NoS-NoW_Mandate.md" TargetMode="External"/><Relationship Id="rId7" Type="http://schemas.openxmlformats.org/officeDocument/2006/relationships/hyperlink" Target="https://orcid.org/0009-0006-5966-1243" TargetMode="External"/><Relationship Id="rId145" Type="http://schemas.openxmlformats.org/officeDocument/2006/relationships/hyperlink" Target="https://github.com/FractonicMind/TernaryLogic/blob/main/API/Specification_Architecture.md" TargetMode="External"/><Relationship Id="rId387" Type="http://schemas.openxmlformats.org/officeDocument/2006/relationships/hyperlink" Target="https://raw.githubusercontent.com/FractonicMind/TernaryLogic/refs/heads/main/No_Spy-No_Weapon/Universal_Scalability_of_TL_Under_the_NoS-NoW_Mandate.md" TargetMode="External"/><Relationship Id="rId8" Type="http://schemas.openxmlformats.org/officeDocument/2006/relationships/hyperlink" Target="https://github.com/FractonicMind/TernaryLogic/tree/main" TargetMode="External"/><Relationship Id="rId144" Type="http://schemas.openxmlformats.org/officeDocument/2006/relationships/hyperlink" Target="https://github.com/FractonicMind/TernaryLogic/blob/main/API/Specification_Architecture.md" TargetMode="External"/><Relationship Id="rId386" Type="http://schemas.openxmlformats.org/officeDocument/2006/relationships/hyperlink" Target="https://raw.githubusercontent.com/FractonicMind/TernaryLogic/refs/heads/main/No_Spy-No_Weapon/Universal_Scalability_of_TL_Under_the_NoS-NoW_Mandate.md" TargetMode="External"/><Relationship Id="rId381" Type="http://schemas.openxmlformats.org/officeDocument/2006/relationships/hyperlink" Target="https://raw.githubusercontent.com/FractonicMind/TernaryLogic/refs/heads/main/No_Spy-No_Weapon/Universal_Scalability_of_TL_NoS-NoW_Prohibitions.md" TargetMode="External"/><Relationship Id="rId380" Type="http://schemas.openxmlformats.org/officeDocument/2006/relationships/hyperlink" Target="https://raw.githubusercontent.com/FractonicMind/TernaryLogic/refs/heads/main/No_Spy-No_Weapon/Universal_Scalability_of_TL_NoS-NoW_Prohibitions.md" TargetMode="External"/><Relationship Id="rId139" Type="http://schemas.openxmlformats.org/officeDocument/2006/relationships/hyperlink" Target="https://github.com/FractonicMind/TernaryLogic/blob/main/API/Specification_Architecture.md" TargetMode="External"/><Relationship Id="rId138" Type="http://schemas.openxmlformats.org/officeDocument/2006/relationships/hyperlink" Target="https://github.com/FractonicMind/TernaryLogic/blob/main/API/Specification_Architecture.md" TargetMode="External"/><Relationship Id="rId137" Type="http://schemas.openxmlformats.org/officeDocument/2006/relationships/hyperlink" Target="https://github.com/FractonicMind/TernaryLogic/blob/main/API/Specification_Architecture.md" TargetMode="External"/><Relationship Id="rId379" Type="http://schemas.openxmlformats.org/officeDocument/2006/relationships/hyperlink" Target="https://raw.githubusercontent.com/FractonicMind/TernaryLogic/refs/heads/main/No_Spy-No_Weapon/Universal_Scalability_of_TL_NoS-NoW_Prohibitions.md" TargetMode="External"/><Relationship Id="rId1080" Type="http://schemas.openxmlformats.org/officeDocument/2006/relationships/hyperlink" Target="https://finance.yahoo.com/news/hidden-cost-aml-95-false-134601048.html" TargetMode="External"/><Relationship Id="rId1081" Type="http://schemas.openxmlformats.org/officeDocument/2006/relationships/hyperlink" Target="https://finance.yahoo.com/news/hidden-cost-aml-95-false-134601048.html" TargetMode="External"/><Relationship Id="rId1082" Type="http://schemas.openxmlformats.org/officeDocument/2006/relationships/hyperlink" Target="https://consilient.com/aml-failures-and-lessons-learned" TargetMode="External"/><Relationship Id="rId1083" Type="http://schemas.openxmlformats.org/officeDocument/2006/relationships/hyperlink" Target="https://consilient.com/aml-failures-and-lessons-learned" TargetMode="External"/><Relationship Id="rId132" Type="http://schemas.openxmlformats.org/officeDocument/2006/relationships/hyperlink" Target="https://github.com/FractonicMind/TernaryLogic/blob/main/API/Specification_Architecture.md" TargetMode="External"/><Relationship Id="rId374" Type="http://schemas.openxmlformats.org/officeDocument/2006/relationships/hyperlink" Target="https://raw.githubusercontent.com/FractonicMind/TernaryLogic/refs/heads/main/No_Spy-No_Weapon/Universal_Scalability_of_TL_NoS-NoW_Prohibitions.md" TargetMode="External"/><Relationship Id="rId1084" Type="http://schemas.openxmlformats.org/officeDocument/2006/relationships/hyperlink" Target="https://github.com/FractonicMind/TernaryLogic/blob/main/The%20Architecture%20Of%20Assured%20Governance%20for%20Global%20Economic%20Systems.md" TargetMode="External"/><Relationship Id="rId131" Type="http://schemas.openxmlformats.org/officeDocument/2006/relationships/hyperlink" Target="https://github.com/FractonicMind/TernaryLogic/blob/main/API/Specification_Architecture.md" TargetMode="External"/><Relationship Id="rId373" Type="http://schemas.openxmlformats.org/officeDocument/2006/relationships/hyperlink" Target="https://raw.githubusercontent.com/FractonicMind/TernaryLogic/refs/heads/main/No_Spy-No_Weapon/Universal_Scalability_of_TL_NoS-NoW_Prohibitions.md" TargetMode="External"/><Relationship Id="rId1085" Type="http://schemas.openxmlformats.org/officeDocument/2006/relationships/hyperlink" Target="https://github.com/FractonicMind/TernaryLogic/blob/main/The%20Architecture%20Of%20Assured%20Governance%20for%20Global%20Economic%20Systems.md" TargetMode="External"/><Relationship Id="rId130" Type="http://schemas.openxmlformats.org/officeDocument/2006/relationships/hyperlink" Target="https://github.com/FractonicMind/TernaryLogic/blob/main/API/Specification_Architecture.md" TargetMode="External"/><Relationship Id="rId372" Type="http://schemas.openxmlformats.org/officeDocument/2006/relationships/hyperlink" Target="https://raw.githubusercontent.com/FractonicMind/TernaryLogic/refs/heads/main/No_Spy-No_Weapon/Universal_Scalability_of_TL_NoS-NoW_Prohibitions.md" TargetMode="External"/><Relationship Id="rId1086" Type="http://schemas.openxmlformats.org/officeDocument/2006/relationships/hyperlink" Target="https://github.com/FractonicMind/TernaryLogic/blob/main/The%20Architecture%20Of%20Assured%20Governance%20for%20Global%20Economic%20Systems.md" TargetMode="External"/><Relationship Id="rId371" Type="http://schemas.openxmlformats.org/officeDocument/2006/relationships/hyperlink" Target="https://raw.githubusercontent.com/FractonicMind/TernaryLogic/refs/heads/main/No_Spy-No_Weapon/Universal_Scalability_of_TL_NoS-NoW_Prohibitions.md" TargetMode="External"/><Relationship Id="rId1087" Type="http://schemas.openxmlformats.org/officeDocument/2006/relationships/hyperlink" Target="https://github.com/FractonicMind/TernaryLogic/blob/main/The%20Architecture%20Of%20Assured%20Governance%20for%20Global%20Economic%20Systems.md" TargetMode="External"/><Relationship Id="rId136" Type="http://schemas.openxmlformats.org/officeDocument/2006/relationships/hyperlink" Target="https://github.com/FractonicMind/TernaryLogic/blob/main/API/Specification_Architecture.md" TargetMode="External"/><Relationship Id="rId378" Type="http://schemas.openxmlformats.org/officeDocument/2006/relationships/hyperlink" Target="https://raw.githubusercontent.com/FractonicMind/TernaryLogic/refs/heads/main/No_Spy-No_Weapon/Universal_Scalability_of_TL_NoS-NoW_Prohibitions.md" TargetMode="External"/><Relationship Id="rId1088" Type="http://schemas.openxmlformats.org/officeDocument/2006/relationships/hyperlink" Target="https://www.imf.org/en/publications/policy-papers/issues/2024/11/08/central-bank-digital-currency-progress-and-further-considerations-557194" TargetMode="External"/><Relationship Id="rId135" Type="http://schemas.openxmlformats.org/officeDocument/2006/relationships/hyperlink" Target="https://github.com/FractonicMind/TernaryLogic/blob/main/API/Specification_Architecture.md" TargetMode="External"/><Relationship Id="rId377" Type="http://schemas.openxmlformats.org/officeDocument/2006/relationships/hyperlink" Target="https://raw.githubusercontent.com/FractonicMind/TernaryLogic/refs/heads/main/No_Spy-No_Weapon/Universal_Scalability_of_TL_NoS-NoW_Prohibitions.md" TargetMode="External"/><Relationship Id="rId1089" Type="http://schemas.openxmlformats.org/officeDocument/2006/relationships/hyperlink" Target="https://www.imf.org/en/publications/policy-papers/issues/2024/11/08/central-bank-digital-currency-progress-and-further-considerations-557194" TargetMode="External"/><Relationship Id="rId134" Type="http://schemas.openxmlformats.org/officeDocument/2006/relationships/hyperlink" Target="https://github.com/FractonicMind/TernaryLogic/blob/main/API/Specification_Architecture.md" TargetMode="External"/><Relationship Id="rId376" Type="http://schemas.openxmlformats.org/officeDocument/2006/relationships/hyperlink" Target="https://raw.githubusercontent.com/FractonicMind/TernaryLogic/refs/heads/main/No_Spy-No_Weapon/Universal_Scalability_of_TL_NoS-NoW_Prohibitions.md" TargetMode="External"/><Relationship Id="rId133" Type="http://schemas.openxmlformats.org/officeDocument/2006/relationships/hyperlink" Target="https://github.com/FractonicMind/TernaryLogic/blob/main/API/Specification_Architecture.md" TargetMode="External"/><Relationship Id="rId375" Type="http://schemas.openxmlformats.org/officeDocument/2006/relationships/hyperlink" Target="https://raw.githubusercontent.com/FractonicMind/TernaryLogic/refs/heads/main/No_Spy-No_Weapon/Universal_Scalability_of_TL_NoS-NoW_Prohibitions.md" TargetMode="External"/><Relationship Id="rId172" Type="http://schemas.openxmlformats.org/officeDocument/2006/relationships/hyperlink" Target="https://github.com/FractonicMind/TernaryLogic/blob/main/The%20Architecture%20Of%20Assured%20Governance%20for%20Global%20Economic%20Systems.md" TargetMode="External"/><Relationship Id="rId171" Type="http://schemas.openxmlformats.org/officeDocument/2006/relationships/hyperlink" Target="https://github.com/FractonicMind/TernaryLogic/blob/main/API/Specification_Architecture.md" TargetMode="External"/><Relationship Id="rId170" Type="http://schemas.openxmlformats.org/officeDocument/2006/relationships/hyperlink" Target="https://github.com/FractonicMind/TernaryLogic/blob/main/API/Specification_Architecture.md" TargetMode="External"/><Relationship Id="rId165" Type="http://schemas.openxmlformats.org/officeDocument/2006/relationships/hyperlink" Target="https://github.com/FractonicMind/TernaryLogic/blob/main/MT_Hardware/MT_System_Architecture_and_Economics.md" TargetMode="External"/><Relationship Id="rId164" Type="http://schemas.openxmlformats.org/officeDocument/2006/relationships/hyperlink" Target="https://github.com/FractonicMind/TernaryLogic/blob/main/MT_Hardware/MT_System_Architecture_and_Economics.md" TargetMode="External"/><Relationship Id="rId163" Type="http://schemas.openxmlformats.org/officeDocument/2006/relationships/hyperlink" Target="https://raw.githubusercontent.com/FractonicMind/TernaryLogic/refs/heads/main/No_Spy-No_Weapon/Universal_Scalability_of_TL_NoS-NoW_Prohibitions.md" TargetMode="External"/><Relationship Id="rId162" Type="http://schemas.openxmlformats.org/officeDocument/2006/relationships/hyperlink" Target="https://raw.githubusercontent.com/FractonicMind/TernaryLogic/refs/heads/main/No_Spy-No_Weapon/Universal_Scalability_of_TL_NoS-NoW_Prohibitions.md" TargetMode="External"/><Relationship Id="rId169" Type="http://schemas.openxmlformats.org/officeDocument/2006/relationships/hyperlink" Target="https://github.com/FractonicMind/TernaryLogic/blob/main/API/Specification_Architecture.md" TargetMode="External"/><Relationship Id="rId168" Type="http://schemas.openxmlformats.org/officeDocument/2006/relationships/hyperlink" Target="https://github.com/FractonicMind/TernaryLogic/blob/main/API/Specification_Architecture.md" TargetMode="External"/><Relationship Id="rId167" Type="http://schemas.openxmlformats.org/officeDocument/2006/relationships/hyperlink" Target="https://github.com/FractonicMind/TernaryLogic/blob/main/The%20Architecture%20Of%20Assured%20Governance%20for%20Global%20Economic%20Systems.md" TargetMode="External"/><Relationship Id="rId166" Type="http://schemas.openxmlformats.org/officeDocument/2006/relationships/hyperlink" Target="https://github.com/FractonicMind/TernaryLogic/blob/main/The%20Architecture%20Of%20Assured%20Governance%20for%20Global%20Economic%20Systems.md" TargetMode="External"/><Relationship Id="rId161" Type="http://schemas.openxmlformats.org/officeDocument/2006/relationships/hyperlink" Target="https://github.com/FractonicMind/TernaryLogic/blob/main/The%20Architecture%20Of%20Assured%20Governance%20for%20Global%20Economic%20Systems.md" TargetMode="External"/><Relationship Id="rId160" Type="http://schemas.openxmlformats.org/officeDocument/2006/relationships/hyperlink" Target="https://github.com/FractonicMind/TernaryLogic/blob/main/The%20Architecture%20Of%20Assured%20Governance%20for%20Global%20Economic%20Systems.md" TargetMode="External"/><Relationship Id="rId159" Type="http://schemas.openxmlformats.org/officeDocument/2006/relationships/hyperlink" Target="https://github.com/FractonicMind/TernaryLogic/blob/main/API/Specification_Architecture.md" TargetMode="External"/><Relationship Id="rId154" Type="http://schemas.openxmlformats.org/officeDocument/2006/relationships/hyperlink" Target="https://github.com/FractonicMind/TernaryLogic/blob/main/API/Specification_Architecture.md" TargetMode="External"/><Relationship Id="rId396" Type="http://schemas.openxmlformats.org/officeDocument/2006/relationships/hyperlink" Target="https://raw.githubusercontent.com/FractonicMind/TernaryLogic/refs/heads/main/No_Spy-No_Weapon/Universal_Scalability_of_TL_Under_the_NoS-NoW_Mandate.md" TargetMode="External"/><Relationship Id="rId153" Type="http://schemas.openxmlformats.org/officeDocument/2006/relationships/hyperlink" Target="https://github.com/FractonicMind/TernaryLogic/blob/main/API/Specification_Architecture.md" TargetMode="External"/><Relationship Id="rId395" Type="http://schemas.openxmlformats.org/officeDocument/2006/relationships/hyperlink" Target="https://raw.githubusercontent.com/FractonicMind/TernaryLogic/refs/heads/main/No_Spy-No_Weapon/Universal_Scalability_of_TL_Under_the_NoS-NoW_Mandate.md" TargetMode="External"/><Relationship Id="rId152" Type="http://schemas.openxmlformats.org/officeDocument/2006/relationships/hyperlink" Target="https://github.com/FractonicMind/TernaryLogic/blob/main/API/Specification_Architecture.md" TargetMode="External"/><Relationship Id="rId394" Type="http://schemas.openxmlformats.org/officeDocument/2006/relationships/hyperlink" Target="https://raw.githubusercontent.com/FractonicMind/TernaryLogic/refs/heads/main/No_Spy-No_Weapon/Universal_Scalability_of_TL_Under_the_NoS-NoW_Mandate.md" TargetMode="External"/><Relationship Id="rId151" Type="http://schemas.openxmlformats.org/officeDocument/2006/relationships/hyperlink" Target="https://github.com/FractonicMind/TernaryLogic/blob/main/API/Specification_Architecture.md" TargetMode="External"/><Relationship Id="rId393" Type="http://schemas.openxmlformats.org/officeDocument/2006/relationships/hyperlink" Target="https://raw.githubusercontent.com/FractonicMind/TernaryLogic/refs/heads/main/No_Spy-No_Weapon/Universal_Scalability_of_TL_Under_the_NoS-NoW_Mandate.md" TargetMode="External"/><Relationship Id="rId158" Type="http://schemas.openxmlformats.org/officeDocument/2006/relationships/hyperlink" Target="https://github.com/FractonicMind/TernaryLogic/blob/main/API/Specification_Architecture.md" TargetMode="External"/><Relationship Id="rId157" Type="http://schemas.openxmlformats.org/officeDocument/2006/relationships/hyperlink" Target="https://github.com/FractonicMind/TernaryLogic/blob/main/API/Specification_Architecture.md" TargetMode="External"/><Relationship Id="rId399" Type="http://schemas.openxmlformats.org/officeDocument/2006/relationships/hyperlink" Target="https://raw.githubusercontent.com/FractonicMind/TernaryLogic/refs/heads/main/No_Spy-No_Weapon/Universal_Scalability_of_TL_Under_the_NoS-NoW_Mandate.md" TargetMode="External"/><Relationship Id="rId156" Type="http://schemas.openxmlformats.org/officeDocument/2006/relationships/hyperlink" Target="https://github.com/FractonicMind/TernaryLogic/blob/main/API/Specification_Architecture.md" TargetMode="External"/><Relationship Id="rId398" Type="http://schemas.openxmlformats.org/officeDocument/2006/relationships/hyperlink" Target="https://raw.githubusercontent.com/FractonicMind/TernaryLogic/refs/heads/main/No_Spy-No_Weapon/Universal_Scalability_of_TL_Under_the_NoS-NoW_Mandate.md" TargetMode="External"/><Relationship Id="rId155" Type="http://schemas.openxmlformats.org/officeDocument/2006/relationships/hyperlink" Target="https://github.com/FractonicMind/TernaryLogic/blob/main/API/Specification_Architecture.md" TargetMode="External"/><Relationship Id="rId397" Type="http://schemas.openxmlformats.org/officeDocument/2006/relationships/hyperlink" Target="https://raw.githubusercontent.com/FractonicMind/TernaryLogic/refs/heads/main/No_Spy-No_Weapon/Universal_Scalability_of_TL_Under_the_NoS-NoW_Mandate.md" TargetMode="External"/><Relationship Id="rId808" Type="http://schemas.openxmlformats.org/officeDocument/2006/relationships/hyperlink" Target="https://github.com/FractonicMind/TernaryLogic/blob/main/Governance/Ternary_Logic_as_Constitutional_Triadic_Governance_Architecture_for_High-Stakes_Automated_Decision-Making.md" TargetMode="External"/><Relationship Id="rId807" Type="http://schemas.openxmlformats.org/officeDocument/2006/relationships/hyperlink" Target="https://github.com/FractonicMind/TernaryLogic/blob/main/Governance/Ternary_Logic_as_Constitutional_Triadic_Governance_Architecture_for_High-Stakes_Automated_Decision-Making.md" TargetMode="External"/><Relationship Id="rId806" Type="http://schemas.openxmlformats.org/officeDocument/2006/relationships/hyperlink" Target="https://github.com/FractonicMind/TernaryLogic/blob/main/Governance/Ternary_Logic_as_Constitutional_Triadic_Governance_Architecture_for_High-Stakes_Automated_Decision-Making.md" TargetMode="External"/><Relationship Id="rId805" Type="http://schemas.openxmlformats.org/officeDocument/2006/relationships/hyperlink" Target="https://github.com/FractonicMind/TernaryLogic/blob/main/Governance/Ternary_Logic_as_Constitutional_Triadic_Governance_Architecture_for_High-Stakes_Automated_Decision-Making.md" TargetMode="External"/><Relationship Id="rId809" Type="http://schemas.openxmlformats.org/officeDocument/2006/relationships/hyperlink" Target="https://github.com/FractonicMind/TernaryLogic/blob/main/Governance/Ternary_Logic_as_Constitutional_Triadic_Governance_Architecture_for_High-Stakes_Automated_Decision-Making.md" TargetMode="External"/><Relationship Id="rId800" Type="http://schemas.openxmlformats.org/officeDocument/2006/relationships/hyperlink" Target="https://github.com/FractonicMind/TernaryLogic/blob/main/Governance/Ternary_Logic_as_Constitutional_Triadic_Governance_Architecture_for_High-Stakes_Automated_Decision-Making.md" TargetMode="External"/><Relationship Id="rId804" Type="http://schemas.openxmlformats.org/officeDocument/2006/relationships/hyperlink" Target="https://github.com/FractonicMind/TernaryLogic/blob/main/Governance/Ternary_Logic_as_Constitutional_Triadic_Governance_Architecture_for_High-Stakes_Automated_Decision-Making.md" TargetMode="External"/><Relationship Id="rId803" Type="http://schemas.openxmlformats.org/officeDocument/2006/relationships/hyperlink" Target="https://github.com/FractonicMind/TernaryLogic/blob/main/Governance/Ternary_Logic_as_Constitutional_Triadic_Governance_Architecture_for_High-Stakes_Automated_Decision-Making.md" TargetMode="External"/><Relationship Id="rId802" Type="http://schemas.openxmlformats.org/officeDocument/2006/relationships/hyperlink" Target="https://github.com/FractonicMind/TernaryLogic/blob/main/Governance/Ternary_Logic_as_Constitutional_Triadic_Governance_Architecture_for_High-Stakes_Automated_Decision-Making.md" TargetMode="External"/><Relationship Id="rId801" Type="http://schemas.openxmlformats.org/officeDocument/2006/relationships/hyperlink" Target="https://github.com/FractonicMind/TernaryLogic/blob/main/Governance/Ternary_Logic_as_Constitutional_Triadic_Governance_Architecture_for_High-Stakes_Automated_Decision-Making.md" TargetMode="External"/><Relationship Id="rId40" Type="http://schemas.openxmlformats.org/officeDocument/2006/relationships/hyperlink" Target="https://finance.yahoo.com/news/hidden-cost-aml-95-false-134601048.html" TargetMode="External"/><Relationship Id="rId42" Type="http://schemas.openxmlformats.org/officeDocument/2006/relationships/hyperlink" Target="https://consilient.com/aml-failures-and-lessons-learned" TargetMode="External"/><Relationship Id="rId41" Type="http://schemas.openxmlformats.org/officeDocument/2006/relationships/hyperlink" Target="https://finance.yahoo.com/news/hidden-cost-aml-95-false-134601048.html" TargetMode="External"/><Relationship Id="rId44" Type="http://schemas.openxmlformats.org/officeDocument/2006/relationships/hyperlink" Target="https://www.consultancy.eu/news/11237/the-eu-ai-act-the-impact-on-financial-services-institutions" TargetMode="External"/><Relationship Id="rId43" Type="http://schemas.openxmlformats.org/officeDocument/2006/relationships/hyperlink" Target="https://consilient.com/aml-failures-and-lessons-learned" TargetMode="External"/><Relationship Id="rId46" Type="http://schemas.openxmlformats.org/officeDocument/2006/relationships/hyperlink" Target="https://www.hoganlovells.com/en/publications/ai-regulation-in-financial-services-navigating-the-eu-ai-act-in-a-layered-regulatory-landscape" TargetMode="External"/><Relationship Id="rId45" Type="http://schemas.openxmlformats.org/officeDocument/2006/relationships/hyperlink" Target="https://www.consultancy.eu/news/11237/the-eu-ai-act-the-impact-on-financial-services-institutions" TargetMode="External"/><Relationship Id="rId509" Type="http://schemas.openxmlformats.org/officeDocument/2006/relationships/hyperlink" Target="https://finance.ec.europa.eu/news/commission-proposes-postpone-one-additional-year-market-risk-prudential-requirements-under-basel-iii-2025-06-12_en" TargetMode="External"/><Relationship Id="rId508" Type="http://schemas.openxmlformats.org/officeDocument/2006/relationships/hyperlink" Target="https://finance.ec.europa.eu/news/commission-proposes-postpone-one-additional-year-market-risk-prudential-requirements-under-basel-iii-2025-06-12_en" TargetMode="External"/><Relationship Id="rId503" Type="http://schemas.openxmlformats.org/officeDocument/2006/relationships/hyperlink" Target="https://github.com/FractonicMind/TernaryLogic/blob/main/API/Specification_Architecture.md" TargetMode="External"/><Relationship Id="rId745" Type="http://schemas.openxmlformats.org/officeDocument/2006/relationships/hyperlink" Target="https://github.com/FractonicMind/TernaryLogic/blob/main/Adversarial_Survivability/TL_Constitutional_Survivability_Under_Adversarial_Pressure.md" TargetMode="External"/><Relationship Id="rId987" Type="http://schemas.openxmlformats.org/officeDocument/2006/relationships/hyperlink" Target="https://github.com/FractonicMind/TernaryLogic/blob/main/Adversarial_Survivability/TL_Constitutional_Survivability_Under_Adversarial_Pressure.md" TargetMode="External"/><Relationship Id="rId502" Type="http://schemas.openxmlformats.org/officeDocument/2006/relationships/hyperlink" Target="https://github.com/FractonicMind/TernaryLogic/blob/main/API/Specification_Architecture.md" TargetMode="External"/><Relationship Id="rId744" Type="http://schemas.openxmlformats.org/officeDocument/2006/relationships/hyperlink" Target="https://github.com/FractonicMind/TernaryLogic/blob/main/Adversarial_Survivability/TL_Constitutional_Survivability_Under_Adversarial_Pressure.md" TargetMode="External"/><Relationship Id="rId986" Type="http://schemas.openxmlformats.org/officeDocument/2006/relationships/hyperlink" Target="https://github.com/FractonicMind/TernaryLogic/blob/main/Adversarial_Survivability/TL_Constitutional_Survivability_Under_Adversarial_Pressure.md" TargetMode="External"/><Relationship Id="rId501" Type="http://schemas.openxmlformats.org/officeDocument/2006/relationships/hyperlink" Target="https://github.com/FractonicMind/TernaryLogic/blob/main/Governance/Ternary_Logic_as_Constitutional_Triadic_Governance_Architecture_for_High-Stakes_Automated_Decision-Making.md" TargetMode="External"/><Relationship Id="rId743" Type="http://schemas.openxmlformats.org/officeDocument/2006/relationships/hyperlink" Target="https://github.com/FractonicMind/TernaryLogic/blob/main/Adversarial_Survivability/TL_Constitutional_Survivability_Under_Adversarial_Pressure.md" TargetMode="External"/><Relationship Id="rId985" Type="http://schemas.openxmlformats.org/officeDocument/2006/relationships/hyperlink" Target="https://github.com/FractonicMind/TernaryLogic/blob/main/Adversarial_Survivability/TL_Constitutional_Survivability_Under_Adversarial_Pressure.md" TargetMode="External"/><Relationship Id="rId500" Type="http://schemas.openxmlformats.org/officeDocument/2006/relationships/hyperlink" Target="https://github.com/FractonicMind/TernaryLogic/blob/main/Governance/Ternary_Logic_as_Constitutional_Triadic_Governance_Architecture_for_High-Stakes_Automated_Decision-Making.md" TargetMode="External"/><Relationship Id="rId742" Type="http://schemas.openxmlformats.org/officeDocument/2006/relationships/hyperlink" Target="https://github.com/FractonicMind/TernaryLogic/blob/main/Adversarial_Survivability/TL_Constitutional_Survivability_Under_Adversarial_Pressure.md" TargetMode="External"/><Relationship Id="rId984" Type="http://schemas.openxmlformats.org/officeDocument/2006/relationships/hyperlink" Target="https://github.com/FractonicMind/TernaryLogic/blob/main/Adversarial_Survivability/TL_Constitutional_Survivability_Under_Adversarial_Pressure.md" TargetMode="External"/><Relationship Id="rId507" Type="http://schemas.openxmlformats.org/officeDocument/2006/relationships/hyperlink" Target="https://github.com/FractonicMind/TernaryLogic/blob/main/API/Specification_Architecture.md" TargetMode="External"/><Relationship Id="rId749" Type="http://schemas.openxmlformats.org/officeDocument/2006/relationships/hyperlink" Target="https://github.com/FractonicMind/TernaryLogic/blob/main/The%20Architecture%20Of%20Assured%20Governance%20for%20Global%20Economic%20Systems.md" TargetMode="External"/><Relationship Id="rId506" Type="http://schemas.openxmlformats.org/officeDocument/2006/relationships/hyperlink" Target="https://github.com/FractonicMind/TernaryLogic/blob/main/API/Specification_Architecture.md" TargetMode="External"/><Relationship Id="rId748" Type="http://schemas.openxmlformats.org/officeDocument/2006/relationships/hyperlink" Target="https://github.com/FractonicMind/TernaryLogic/blob/main/The%20Architecture%20Of%20Assured%20Governance%20for%20Global%20Economic%20Systems.md" TargetMode="External"/><Relationship Id="rId505" Type="http://schemas.openxmlformats.org/officeDocument/2006/relationships/hyperlink" Target="https://github.com/FractonicMind/TernaryLogic/blob/main/The%20Architecture%20Of%20Assured%20Governance%20for%20Global%20Economic%20Systems.md" TargetMode="External"/><Relationship Id="rId747" Type="http://schemas.openxmlformats.org/officeDocument/2006/relationships/hyperlink" Target="https://github.com/FractonicMind/TernaryLogic/blob/main/MT_Hardware/MT_System_Architecture_and_Economics.md" TargetMode="External"/><Relationship Id="rId989" Type="http://schemas.openxmlformats.org/officeDocument/2006/relationships/hyperlink" Target="https://github.com/FractonicMind/TernaryLogic/blob/main/Adversarial_Survivability/TL_Constitutional_Survivability_Under_Adversarial_Pressure.md" TargetMode="External"/><Relationship Id="rId504" Type="http://schemas.openxmlformats.org/officeDocument/2006/relationships/hyperlink" Target="https://github.com/FractonicMind/TernaryLogic/blob/main/The%20Architecture%20Of%20Assured%20Governance%20for%20Global%20Economic%20Systems.md" TargetMode="External"/><Relationship Id="rId746" Type="http://schemas.openxmlformats.org/officeDocument/2006/relationships/hyperlink" Target="https://github.com/FractonicMind/TernaryLogic/blob/main/MT_Hardware/MT_System_Architecture_and_Economics.md" TargetMode="External"/><Relationship Id="rId988" Type="http://schemas.openxmlformats.org/officeDocument/2006/relationships/hyperlink" Target="https://github.com/FractonicMind/TernaryLogic/blob/main/Adversarial_Survivability/TL_Constitutional_Survivability_Under_Adversarial_Pressure.md" TargetMode="External"/><Relationship Id="rId48" Type="http://schemas.openxmlformats.org/officeDocument/2006/relationships/hyperlink" Target="https://chain.link/article/blockchain-gdpr-compliance-guide" TargetMode="External"/><Relationship Id="rId47" Type="http://schemas.openxmlformats.org/officeDocument/2006/relationships/hyperlink" Target="https://www.hoganlovells.com/en/publications/ai-regulation-in-financial-services-navigating-the-eu-ai-act-in-a-layered-regulatory-landscape" TargetMode="External"/><Relationship Id="rId49" Type="http://schemas.openxmlformats.org/officeDocument/2006/relationships/hyperlink" Target="https://chain.link/article/blockchain-gdpr-compliance-guide" TargetMode="External"/><Relationship Id="rId741" Type="http://schemas.openxmlformats.org/officeDocument/2006/relationships/hyperlink" Target="https://github.com/FractonicMind/TernaryLogic/blob/main/API/Specification_Architecture.md" TargetMode="External"/><Relationship Id="rId983" Type="http://schemas.openxmlformats.org/officeDocument/2006/relationships/hyperlink" Target="https://github.com/FractonicMind/TernaryLogic/blob/main/Adversarial_Survivability/TL_Constitutional_Survivability_Under_Adversarial_Pressure.md" TargetMode="External"/><Relationship Id="rId740" Type="http://schemas.openxmlformats.org/officeDocument/2006/relationships/hyperlink" Target="https://github.com/FractonicMind/TernaryLogic/blob/main/API/Specification_Architecture.md" TargetMode="External"/><Relationship Id="rId982" Type="http://schemas.openxmlformats.org/officeDocument/2006/relationships/hyperlink" Target="https://github.com/FractonicMind/TernaryLogic/blob/main/Adversarial_Survivability/TL_Constitutional_Survivability_Under_Adversarial_Pressure.md" TargetMode="External"/><Relationship Id="rId981" Type="http://schemas.openxmlformats.org/officeDocument/2006/relationships/hyperlink" Target="https://github.com/FractonicMind/TernaryLogic/blob/main/Adversarial_Survivability/TL_Constitutional_Survivability_Under_Adversarial_Pressure.md" TargetMode="External"/><Relationship Id="rId980" Type="http://schemas.openxmlformats.org/officeDocument/2006/relationships/hyperlink" Target="https://github.com/FractonicMind/TernaryLogic/blob/main/Adversarial_Survivability/TL_Constitutional_Survivability_Under_Adversarial_Pressure.md" TargetMode="External"/><Relationship Id="rId31" Type="http://schemas.openxmlformats.org/officeDocument/2006/relationships/hyperlink" Target="https://arxiv.org/pdf/1805.08454" TargetMode="External"/><Relationship Id="rId30" Type="http://schemas.openxmlformats.org/officeDocument/2006/relationships/hyperlink" Target="https://arxiv.org/pdf/1805.08454" TargetMode="External"/><Relationship Id="rId33" Type="http://schemas.openxmlformats.org/officeDocument/2006/relationships/hyperlink" Target="https://arxiv.org/pdf/1805.08454" TargetMode="External"/><Relationship Id="rId32" Type="http://schemas.openxmlformats.org/officeDocument/2006/relationships/hyperlink" Target="https://arxiv.org/pdf/1805.08454" TargetMode="External"/><Relationship Id="rId35" Type="http://schemas.openxmlformats.org/officeDocument/2006/relationships/hyperlink" Target="https://arxiv.org/pdf/1310.0057" TargetMode="External"/><Relationship Id="rId34" Type="http://schemas.openxmlformats.org/officeDocument/2006/relationships/hyperlink" Target="https://arxiv.org/pdf/1310.0057" TargetMode="External"/><Relationship Id="rId739" Type="http://schemas.openxmlformats.org/officeDocument/2006/relationships/hyperlink" Target="https://github.com/FractonicMind/TernaryLogic/blob/main/Adversarial_Survivability/TL_Constitutional_Survivability_Under_Adversarial_Pressure.md" TargetMode="External"/><Relationship Id="rId734" Type="http://schemas.openxmlformats.org/officeDocument/2006/relationships/hyperlink" Target="https://github.com/FractonicMind/TernaryLogic/blob/main/API/Specification_Architecture.md" TargetMode="External"/><Relationship Id="rId976" Type="http://schemas.openxmlformats.org/officeDocument/2006/relationships/hyperlink" Target="https://github.com/FractonicMind/TernaryLogic/blob/main/Adversarial_Survivability/TL_Constitutional_Survivability_Under_Adversarial_Pressure.md" TargetMode="External"/><Relationship Id="rId733" Type="http://schemas.openxmlformats.org/officeDocument/2006/relationships/hyperlink" Target="https://github.com/FractonicMind/TernaryLogic/blob/main/Adversarial_Survivability/TL_Constitutional_Survivability_Under_Adversarial_Pressure.md" TargetMode="External"/><Relationship Id="rId975" Type="http://schemas.openxmlformats.org/officeDocument/2006/relationships/hyperlink" Target="https://github.com/FractonicMind/TernaryLogic/blob/main/Adversarial_Survivability/TL_Constitutional_Survivability_Under_Adversarial_Pressure.md" TargetMode="External"/><Relationship Id="rId732" Type="http://schemas.openxmlformats.org/officeDocument/2006/relationships/hyperlink" Target="https://github.com/FractonicMind/TernaryLogic/blob/main/Adversarial_Survivability/TL_Constitutional_Survivability_Under_Adversarial_Pressure.md" TargetMode="External"/><Relationship Id="rId974" Type="http://schemas.openxmlformats.org/officeDocument/2006/relationships/hyperlink" Target="https://github.com/FractonicMind/TernaryLogic/blob/main/Adversarial_Survivability/TL_Constitutional_Survivability_Under_Adversarial_Pressure.md" TargetMode="External"/><Relationship Id="rId731" Type="http://schemas.openxmlformats.org/officeDocument/2006/relationships/hyperlink" Target="https://github.com/FractonicMind/TernaryLogic/blob/main/Adversarial_Survivability/TL_Constitutional_Survivability_Under_Adversarial_Pressure.md" TargetMode="External"/><Relationship Id="rId973" Type="http://schemas.openxmlformats.org/officeDocument/2006/relationships/hyperlink" Target="https://github.com/FractonicMind/TernaryLogic/blob/main/Adversarial_Survivability/TL_Constitutional_Survivability_Under_Adversarial_Pressure.md" TargetMode="External"/><Relationship Id="rId738" Type="http://schemas.openxmlformats.org/officeDocument/2006/relationships/hyperlink" Target="https://github.com/FractonicMind/TernaryLogic/blob/main/Adversarial_Survivability/TL_Constitutional_Survivability_Under_Adversarial_Pressure.md" TargetMode="External"/><Relationship Id="rId737" Type="http://schemas.openxmlformats.org/officeDocument/2006/relationships/hyperlink" Target="https://github.com/FractonicMind/TernaryLogic/blob/main/Adversarial_Survivability/TL_Constitutional_Survivability_Under_Adversarial_Pressure.md" TargetMode="External"/><Relationship Id="rId979" Type="http://schemas.openxmlformats.org/officeDocument/2006/relationships/hyperlink" Target="https://github.com/FractonicMind/TernaryLogic/blob/main/Adversarial_Survivability/TL_Constitutional_Survivability_Under_Adversarial_Pressure.md" TargetMode="External"/><Relationship Id="rId736" Type="http://schemas.openxmlformats.org/officeDocument/2006/relationships/hyperlink" Target="https://github.com/FractonicMind/TernaryLogic/blob/main/Adversarial_Survivability/TL_Constitutional_Survivability_Under_Adversarial_Pressure.md" TargetMode="External"/><Relationship Id="rId978" Type="http://schemas.openxmlformats.org/officeDocument/2006/relationships/hyperlink" Target="https://github.com/FractonicMind/TernaryLogic/blob/main/Adversarial_Survivability/TL_Constitutional_Survivability_Under_Adversarial_Pressure.md" TargetMode="External"/><Relationship Id="rId735" Type="http://schemas.openxmlformats.org/officeDocument/2006/relationships/hyperlink" Target="https://github.com/FractonicMind/TernaryLogic/blob/main/API/Specification_Architecture.md" TargetMode="External"/><Relationship Id="rId977" Type="http://schemas.openxmlformats.org/officeDocument/2006/relationships/hyperlink" Target="https://github.com/FractonicMind/TernaryLogic/blob/main/Adversarial_Survivability/TL_Constitutional_Survivability_Under_Adversarial_Pressure.md" TargetMode="External"/><Relationship Id="rId37" Type="http://schemas.openxmlformats.org/officeDocument/2006/relationships/hyperlink" Target="https://bpi.com/how-can-the-new-market-risk-capital-requirements-be-fixed/" TargetMode="External"/><Relationship Id="rId36" Type="http://schemas.openxmlformats.org/officeDocument/2006/relationships/hyperlink" Target="https://bpi.com/how-can-the-new-market-risk-capital-requirements-be-fixed/" TargetMode="External"/><Relationship Id="rId39" Type="http://schemas.openxmlformats.org/officeDocument/2006/relationships/hyperlink" Target="https://finance.ec.europa.eu/news/commission-proposes-postpone-one-additional-year-market-risk-prudential-requirements-under-basel-iii-2025-06-12_en" TargetMode="External"/><Relationship Id="rId38" Type="http://schemas.openxmlformats.org/officeDocument/2006/relationships/hyperlink" Target="https://finance.ec.europa.eu/news/commission-proposes-postpone-one-additional-year-market-risk-prudential-requirements-under-basel-iii-2025-06-12_en" TargetMode="External"/><Relationship Id="rId730" Type="http://schemas.openxmlformats.org/officeDocument/2006/relationships/hyperlink" Target="https://github.com/FractonicMind/TernaryLogic/blob/main/Adversarial_Survivability/TL_Constitutional_Survivability_Under_Adversarial_Pressure.md" TargetMode="External"/><Relationship Id="rId972" Type="http://schemas.openxmlformats.org/officeDocument/2006/relationships/hyperlink" Target="https://github.com/FractonicMind/TernaryLogic/blob/main/Adversarial_Survivability/TL_Constitutional_Survivability_Under_Adversarial_Pressure.md" TargetMode="External"/><Relationship Id="rId971" Type="http://schemas.openxmlformats.org/officeDocument/2006/relationships/hyperlink" Target="https://github.com/FractonicMind/TernaryLogic/blob/main/Adversarial_Survivability/TL_Constitutional_Survivability_Under_Adversarial_Pressure.md" TargetMode="External"/><Relationship Id="rId970" Type="http://schemas.openxmlformats.org/officeDocument/2006/relationships/hyperlink" Target="https://github.com/FractonicMind/TernaryLogic/blob/main/Adversarial_Survivability/TL_Constitutional_Survivability_Under_Adversarial_Pressure.md" TargetMode="External"/><Relationship Id="rId1114" Type="http://schemas.openxmlformats.org/officeDocument/2006/relationships/hyperlink" Target="https://github.com/FractonicMind/TernaryLogic/blob/main/The%20Architecture%20Of%20Assured%20Governance%20for%20Global%20Economic%20Systems.md" TargetMode="External"/><Relationship Id="rId1115" Type="http://schemas.openxmlformats.org/officeDocument/2006/relationships/hyperlink" Target="https://github.com/FractonicMind/TernaryLogic/blob/main/The%20Architecture%20Of%20Assured%20Governance%20for%20Global%20Economic%20Systems.md" TargetMode="External"/><Relationship Id="rId20" Type="http://schemas.openxmlformats.org/officeDocument/2006/relationships/hyperlink" Target="https://finance.ec.europa.eu/news/commission-proposes-postpone-one-additional-year-market-risk-prudential-requirements-under-basel-iii-2025-06-12_en" TargetMode="External"/><Relationship Id="rId1116" Type="http://schemas.openxmlformats.org/officeDocument/2006/relationships/hyperlink" Target="https://github.com/FractonicMind/TernaryLogic/blob/main/The%20Architecture%20Of%20Assured%20Governance%20for%20Global%20Economic%20Systems.md" TargetMode="External"/><Relationship Id="rId1117" Type="http://schemas.openxmlformats.org/officeDocument/2006/relationships/hyperlink" Target="https://github.com/FractonicMind/TernaryLogic/blob/main/The%20Architecture%20Of%20Assured%20Governance%20for%20Global%20Economic%20Systems.md" TargetMode="External"/><Relationship Id="rId22" Type="http://schemas.openxmlformats.org/officeDocument/2006/relationships/hyperlink" Target="https://journals.sagepub.com/doi/full/10.1177/03063127211048515" TargetMode="External"/><Relationship Id="rId1118" Type="http://schemas.openxmlformats.org/officeDocument/2006/relationships/hyperlink" Target="https://github.com/FractonicMind/TernaryLogic/blob/main/The%20Architecture%20Of%20Assured%20Governance%20for%20Global%20Economic%20Systems.md" TargetMode="External"/><Relationship Id="rId21" Type="http://schemas.openxmlformats.org/officeDocument/2006/relationships/hyperlink" Target="https://finance.ec.europa.eu/news/commission-proposes-postpone-one-additional-year-market-risk-prudential-requirements-under-basel-iii-2025-06-12_en" TargetMode="External"/><Relationship Id="rId1119" Type="http://schemas.openxmlformats.org/officeDocument/2006/relationships/hyperlink" Target="https://github.com/FractonicMind/TernaryLogic/blob/main/The%20Architecture%20Of%20Assured%20Governance%20for%20Global%20Economic%20Systems.md" TargetMode="External"/><Relationship Id="rId24" Type="http://schemas.openxmlformats.org/officeDocument/2006/relationships/hyperlink" Target="https://finance.yahoo.com/news/hidden-cost-aml-95-false-134601048.html" TargetMode="External"/><Relationship Id="rId23" Type="http://schemas.openxmlformats.org/officeDocument/2006/relationships/hyperlink" Target="https://journals.sagepub.com/doi/full/10.1177/03063127211048515" TargetMode="External"/><Relationship Id="rId525" Type="http://schemas.openxmlformats.org/officeDocument/2006/relationships/hyperlink" Target="https://www.iosco.org/library/pubdocs/pdf/IOSCOPD350.pdf" TargetMode="External"/><Relationship Id="rId767" Type="http://schemas.openxmlformats.org/officeDocument/2006/relationships/hyperlink" Target="https://github.com/FractonicMind/TernaryLogic/blob/main/Governance/Ternary_Logic_as_Constitutional_Triadic_Governance_Architecture_for_High-Stakes_Automated_Decision-Making.md" TargetMode="External"/><Relationship Id="rId524" Type="http://schemas.openxmlformats.org/officeDocument/2006/relationships/hyperlink" Target="https://www.iosco.org/library/pubdocs/pdf/IOSCOPD350.pdf" TargetMode="External"/><Relationship Id="rId766" Type="http://schemas.openxmlformats.org/officeDocument/2006/relationships/hyperlink" Target="https://github.com/FractonicMind/TernaryLogic/blob/main/Governance/Ternary_Logic_as_Constitutional_Triadic_Governance_Architecture_for_High-Stakes_Automated_Decision-Making.md" TargetMode="External"/><Relationship Id="rId523" Type="http://schemas.openxmlformats.org/officeDocument/2006/relationships/hyperlink" Target="https://github.com/FractonicMind/TernaryLogic/blob/main/The%20Architecture%20Of%20Assured%20Governance%20for%20Global%20Economic%20Systems.md" TargetMode="External"/><Relationship Id="rId765" Type="http://schemas.openxmlformats.org/officeDocument/2006/relationships/hyperlink" Target="https://github.com/FractonicMind/TernaryLogic/blob/main/Governance/Ternary_Logic_as_Constitutional_Triadic_Governance_Architecture_for_High-Stakes_Automated_Decision-Making.md" TargetMode="External"/><Relationship Id="rId522" Type="http://schemas.openxmlformats.org/officeDocument/2006/relationships/hyperlink" Target="https://github.com/FractonicMind/TernaryLogic/blob/main/The%20Architecture%20Of%20Assured%20Governance%20for%20Global%20Economic%20Systems.md" TargetMode="External"/><Relationship Id="rId764" Type="http://schemas.openxmlformats.org/officeDocument/2006/relationships/hyperlink" Target="https://github.com/FractonicMind/TernaryLogic/blob/main/Governance/Ternary_Logic_as_Constitutional_Triadic_Governance_Architecture_for_High-Stakes_Automated_Decision-Making.md" TargetMode="External"/><Relationship Id="rId529" Type="http://schemas.openxmlformats.org/officeDocument/2006/relationships/hyperlink" Target="https://github.com/FractonicMind/TernaryLogic/blob/main/Governance/Ternary_Logic_as_Constitutional_Triadic_Governance_Architecture_for_High-Stakes_Automated_Decision-Making.md" TargetMode="External"/><Relationship Id="rId528" Type="http://schemas.openxmlformats.org/officeDocument/2006/relationships/hyperlink" Target="https://github.com/FractonicMind/TernaryLogic/blob/main/Governance/Ternary_Logic_as_Constitutional_Triadic_Governance_Architecture_for_High-Stakes_Automated_Decision-Making.md" TargetMode="External"/><Relationship Id="rId527" Type="http://schemas.openxmlformats.org/officeDocument/2006/relationships/hyperlink" Target="https://github.com/FractonicMind/TernaryLogic/blob/main/The%20Architecture%20Of%20Assured%20Governance%20for%20Global%20Economic%20Systems.md" TargetMode="External"/><Relationship Id="rId769" Type="http://schemas.openxmlformats.org/officeDocument/2006/relationships/hyperlink" Target="https://github.com/FractonicMind/TernaryLogic/blob/main/Governance/Ternary_Logic_as_Constitutional_Triadic_Governance_Architecture_for_High-Stakes_Automated_Decision-Making.md" TargetMode="External"/><Relationship Id="rId526" Type="http://schemas.openxmlformats.org/officeDocument/2006/relationships/hyperlink" Target="https://github.com/FractonicMind/TernaryLogic/blob/main/The%20Architecture%20Of%20Assured%20Governance%20for%20Global%20Economic%20Systems.md" TargetMode="External"/><Relationship Id="rId768" Type="http://schemas.openxmlformats.org/officeDocument/2006/relationships/hyperlink" Target="https://github.com/FractonicMind/TernaryLogic/blob/main/Governance/Ternary_Logic_as_Constitutional_Triadic_Governance_Architecture_for_High-Stakes_Automated_Decision-Making.md" TargetMode="External"/><Relationship Id="rId26" Type="http://schemas.openxmlformats.org/officeDocument/2006/relationships/hyperlink" Target="https://csrc.nist.gov/projects/post-quantum-cryptography" TargetMode="External"/><Relationship Id="rId25" Type="http://schemas.openxmlformats.org/officeDocument/2006/relationships/hyperlink" Target="https://finance.yahoo.com/news/hidden-cost-aml-95-false-134601048.html" TargetMode="External"/><Relationship Id="rId28" Type="http://schemas.openxmlformats.org/officeDocument/2006/relationships/hyperlink" Target="https://journals.sagepub.com/doi/full/10.1177/03063127211048515" TargetMode="External"/><Relationship Id="rId27" Type="http://schemas.openxmlformats.org/officeDocument/2006/relationships/hyperlink" Target="https://csrc.nist.gov/projects/post-quantum-cryptography" TargetMode="External"/><Relationship Id="rId521" Type="http://schemas.openxmlformats.org/officeDocument/2006/relationships/hyperlink" Target="https://github.com/FractonicMind/TernaryLogic/blob/main/The%20Architecture%20Of%20Assured%20Governance%20for%20Global%20Economic%20Systems.md" TargetMode="External"/><Relationship Id="rId763" Type="http://schemas.openxmlformats.org/officeDocument/2006/relationships/hyperlink" Target="https://github.com/FractonicMind/TernaryLogic/blob/main/Governance/Ternary_Logic_as_Constitutional_Triadic_Governance_Architecture_for_High-Stakes_Automated_Decision-Making.md" TargetMode="External"/><Relationship Id="rId1110" Type="http://schemas.openxmlformats.org/officeDocument/2006/relationships/hyperlink" Target="https://github.com/FractonicMind/TernaryLogic/blob/main/The%20Architecture%20Of%20Assured%20Governance%20for%20Global%20Economic%20Systems.md" TargetMode="External"/><Relationship Id="rId29" Type="http://schemas.openxmlformats.org/officeDocument/2006/relationships/hyperlink" Target="https://journals.sagepub.com/doi/full/10.1177/03063127211048515" TargetMode="External"/><Relationship Id="rId520" Type="http://schemas.openxmlformats.org/officeDocument/2006/relationships/hyperlink" Target="https://github.com/FractonicMind/TernaryLogic/blob/main/The%20Architecture%20Of%20Assured%20Governance%20for%20Global%20Economic%20Systems.md" TargetMode="External"/><Relationship Id="rId762" Type="http://schemas.openxmlformats.org/officeDocument/2006/relationships/hyperlink" Target="https://github.com/FractonicMind/TernaryLogic/blob/main/Governance/Ternary_Logic_as_Constitutional_Triadic_Governance_Architecture_for_High-Stakes_Automated_Decision-Making.md" TargetMode="External"/><Relationship Id="rId1111" Type="http://schemas.openxmlformats.org/officeDocument/2006/relationships/hyperlink" Target="https://github.com/FractonicMind/TernaryLogic/blob/main/The%20Architecture%20Of%20Assured%20Governance%20for%20Global%20Economic%20Systems.md" TargetMode="External"/><Relationship Id="rId761" Type="http://schemas.openxmlformats.org/officeDocument/2006/relationships/hyperlink" Target="https://github.com/FractonicMind/TernaryLogic/blob/main/Governance/Ternary_Logic_as_Constitutional_Triadic_Governance_Architecture_for_High-Stakes_Automated_Decision-Making.md" TargetMode="External"/><Relationship Id="rId1112" Type="http://schemas.openxmlformats.org/officeDocument/2006/relationships/hyperlink" Target="https://github.com/FractonicMind/TernaryLogic/blob/main/The%20Architecture%20Of%20Assured%20Governance%20for%20Global%20Economic%20Systems.md" TargetMode="External"/><Relationship Id="rId760" Type="http://schemas.openxmlformats.org/officeDocument/2006/relationships/hyperlink" Target="https://github.com/FractonicMind/TernaryLogic/blob/main/Governance/Ternary_Logic_as_Constitutional_Triadic_Governance_Architecture_for_High-Stakes_Automated_Decision-Making.md" TargetMode="External"/><Relationship Id="rId1113" Type="http://schemas.openxmlformats.org/officeDocument/2006/relationships/hyperlink" Target="https://github.com/FractonicMind/TernaryLogic/blob/main/The%20Architecture%20Of%20Assured%20Governance%20for%20Global%20Economic%20Systems.md" TargetMode="External"/><Relationship Id="rId1103" Type="http://schemas.openxmlformats.org/officeDocument/2006/relationships/hyperlink" Target="https://github.com/FractonicMind/TernaryLogic/blob/main/MT_Hardware/MT_System_Architecture_and_Economics.md" TargetMode="External"/><Relationship Id="rId1104" Type="http://schemas.openxmlformats.org/officeDocument/2006/relationships/hyperlink" Target="https://github.com/FractonicMind/TernaryLogic/blob/main/MT_Hardware/MT_System_Architecture_and_Economics.md" TargetMode="External"/><Relationship Id="rId1105" Type="http://schemas.openxmlformats.org/officeDocument/2006/relationships/hyperlink" Target="https://github.com/FractonicMind/TernaryLogic/blob/main/MT_Hardware/MT_System_Architecture_and_Economics.md" TargetMode="External"/><Relationship Id="rId1106" Type="http://schemas.openxmlformats.org/officeDocument/2006/relationships/hyperlink" Target="https://github.com/FractonicMind/TernaryLogic/blob/main/MT_Hardware/MT_System_Architecture_and_Economics.md" TargetMode="External"/><Relationship Id="rId11" Type="http://schemas.openxmlformats.org/officeDocument/2006/relationships/hyperlink" Target="https://doi.org/10.1007/s43681-026-01124-0" TargetMode="External"/><Relationship Id="rId1107" Type="http://schemas.openxmlformats.org/officeDocument/2006/relationships/hyperlink" Target="https://github.com/FractonicMind/TernaryLogic/blob/main/MT_Hardware/MT_System_Architecture_and_Economics.md" TargetMode="External"/><Relationship Id="rId10" Type="http://schemas.openxmlformats.org/officeDocument/2006/relationships/hyperlink" Target="https://doi.org/10.1007/s43681-026-01124-0" TargetMode="External"/><Relationship Id="rId1108" Type="http://schemas.openxmlformats.org/officeDocument/2006/relationships/hyperlink" Target="https://github.com/FractonicMind/TernaryLogic/blob/main/The%20Architecture%20Of%20Assured%20Governance%20for%20Global%20Economic%20Systems.md" TargetMode="External"/><Relationship Id="rId13" Type="http://schemas.openxmlformats.org/officeDocument/2006/relationships/hyperlink" Target="https://journals.sagepub.com/doi/full/10.1177/03063127211048515" TargetMode="External"/><Relationship Id="rId1109" Type="http://schemas.openxmlformats.org/officeDocument/2006/relationships/hyperlink" Target="https://github.com/FractonicMind/TernaryLogic/blob/main/The%20Architecture%20Of%20Assured%20Governance%20for%20Global%20Economic%20Systems.md" TargetMode="External"/><Relationship Id="rId12" Type="http://schemas.openxmlformats.org/officeDocument/2006/relationships/hyperlink" Target="https://journals.sagepub.com/doi/full/10.1177/03063127211048515" TargetMode="External"/><Relationship Id="rId519" Type="http://schemas.openxmlformats.org/officeDocument/2006/relationships/hyperlink" Target="https://github.com/FractonicMind/TernaryLogic/blob/main/The%20Architecture%20Of%20Assured%20Governance%20for%20Global%20Economic%20Systems.md" TargetMode="External"/><Relationship Id="rId514" Type="http://schemas.openxmlformats.org/officeDocument/2006/relationships/hyperlink" Target="https://github.com/FractonicMind/TernaryLogic/blob/main/The%20Architecture%20Of%20Assured%20Governance%20for%20Global%20Economic%20Systems.md" TargetMode="External"/><Relationship Id="rId756" Type="http://schemas.openxmlformats.org/officeDocument/2006/relationships/hyperlink" Target="https://github.com/FractonicMind/TernaryLogic/blob/main/The%20Architecture%20Of%20Assured%20Governance%20for%20Global%20Economic%20Systems.md" TargetMode="External"/><Relationship Id="rId998" Type="http://schemas.openxmlformats.org/officeDocument/2006/relationships/hyperlink" Target="https://github.com/FractonicMind/TernaryLogic/blob/main/Adversarial_Survivability/TL_Constitutional_Survivability_Under_Adversarial_Pressure.md" TargetMode="External"/><Relationship Id="rId513" Type="http://schemas.openxmlformats.org/officeDocument/2006/relationships/hyperlink" Target="https://github.com/FractonicMind/TernaryLogic/blob/main/API/Specification_Architecture.md" TargetMode="External"/><Relationship Id="rId755" Type="http://schemas.openxmlformats.org/officeDocument/2006/relationships/hyperlink" Target="https://github.com/FractonicMind/TernaryLogic/blob/main/Governance/Ternary_Logic_as_Constitutional_Triadic_Governance_Architecture_for_High-Stakes_Automated_Decision-Making.md" TargetMode="External"/><Relationship Id="rId997" Type="http://schemas.openxmlformats.org/officeDocument/2006/relationships/hyperlink" Target="https://github.com/FractonicMind/TernaryLogic/blob/main/API/Specification_Architecture.md" TargetMode="External"/><Relationship Id="rId512" Type="http://schemas.openxmlformats.org/officeDocument/2006/relationships/hyperlink" Target="https://github.com/FractonicMind/TernaryLogic/blob/main/API/Specification_Architecture.md" TargetMode="External"/><Relationship Id="rId754" Type="http://schemas.openxmlformats.org/officeDocument/2006/relationships/hyperlink" Target="https://github.com/FractonicMind/TernaryLogic/blob/main/Governance/Ternary_Logic_as_Constitutional_Triadic_Governance_Architecture_for_High-Stakes_Automated_Decision-Making.md" TargetMode="External"/><Relationship Id="rId996" Type="http://schemas.openxmlformats.org/officeDocument/2006/relationships/hyperlink" Target="https://github.com/FractonicMind/TernaryLogic/blob/main/API/Specification_Architecture.md" TargetMode="External"/><Relationship Id="rId511" Type="http://schemas.openxmlformats.org/officeDocument/2006/relationships/hyperlink" Target="https://dart.deloitte.com/USDART/home/accounting/sec/rules-regulations/242-regulations-m-sho-ats-ac/242-regulation-sci-systems-compliance-integrity" TargetMode="External"/><Relationship Id="rId753" Type="http://schemas.openxmlformats.org/officeDocument/2006/relationships/hyperlink" Target="https://github.com/FractonicMind/TernaryLogic/blob/main/Governance/Ternary_Logic_as_Constitutional_Triadic_Governance_Architecture_for_High-Stakes_Automated_Decision-Making.md" TargetMode="External"/><Relationship Id="rId995" Type="http://schemas.openxmlformats.org/officeDocument/2006/relationships/hyperlink" Target="https://github.com/FractonicMind/TernaryLogic/blob/main/Adversarial_Survivability/TL_Constitutional_Survivability_Under_Adversarial_Pressure.md" TargetMode="External"/><Relationship Id="rId518" Type="http://schemas.openxmlformats.org/officeDocument/2006/relationships/hyperlink" Target="https://github.com/FractonicMind/TernaryLogic/blob/main/The%20Architecture%20Of%20Assured%20Governance%20for%20Global%20Economic%20Systems.md" TargetMode="External"/><Relationship Id="rId517" Type="http://schemas.openxmlformats.org/officeDocument/2006/relationships/hyperlink" Target="https://github.com/FractonicMind/TernaryLogic/blob/main/API/Specification_Architecture.md" TargetMode="External"/><Relationship Id="rId759" Type="http://schemas.openxmlformats.org/officeDocument/2006/relationships/hyperlink" Target="https://github.com/FractonicMind/TernaryLogic/blob/main/Governance/Ternary_Logic_as_Constitutional_Triadic_Governance_Architecture_for_High-Stakes_Automated_Decision-Making.md" TargetMode="External"/><Relationship Id="rId516" Type="http://schemas.openxmlformats.org/officeDocument/2006/relationships/hyperlink" Target="https://github.com/FractonicMind/TernaryLogic/blob/main/API/Specification_Architecture.md" TargetMode="External"/><Relationship Id="rId758" Type="http://schemas.openxmlformats.org/officeDocument/2006/relationships/hyperlink" Target="https://github.com/FractonicMind/TernaryLogic/blob/main/Governance/Ternary_Logic_as_Constitutional_Triadic_Governance_Architecture_for_High-Stakes_Automated_Decision-Making.md" TargetMode="External"/><Relationship Id="rId515" Type="http://schemas.openxmlformats.org/officeDocument/2006/relationships/hyperlink" Target="https://github.com/FractonicMind/TernaryLogic/blob/main/The%20Architecture%20Of%20Assured%20Governance%20for%20Global%20Economic%20Systems.md" TargetMode="External"/><Relationship Id="rId757" Type="http://schemas.openxmlformats.org/officeDocument/2006/relationships/hyperlink" Target="https://github.com/FractonicMind/TernaryLogic/blob/main/The%20Architecture%20Of%20Assured%20Governance%20for%20Global%20Economic%20Systems.md" TargetMode="External"/><Relationship Id="rId999" Type="http://schemas.openxmlformats.org/officeDocument/2006/relationships/hyperlink" Target="https://github.com/FractonicMind/TernaryLogic/blob/main/Adversarial_Survivability/TL_Constitutional_Survivability_Under_Adversarial_Pressure.md" TargetMode="External"/><Relationship Id="rId15" Type="http://schemas.openxmlformats.org/officeDocument/2006/relationships/hyperlink" Target="https://finance.yahoo.com/news/hidden-cost-aml-95-false-134601048.html" TargetMode="External"/><Relationship Id="rId990" Type="http://schemas.openxmlformats.org/officeDocument/2006/relationships/hyperlink" Target="https://github.com/FractonicMind/TernaryLogic/blob/main/Adversarial_Survivability/TL_Constitutional_Survivability_Under_Adversarial_Pressure.md" TargetMode="External"/><Relationship Id="rId14" Type="http://schemas.openxmlformats.org/officeDocument/2006/relationships/hyperlink" Target="https://finance.yahoo.com/news/hidden-cost-aml-95-false-134601048.html" TargetMode="External"/><Relationship Id="rId17" Type="http://schemas.openxmlformats.org/officeDocument/2006/relationships/hyperlink" Target="https://consilient.com/aml-failures-and-lessons-learned" TargetMode="External"/><Relationship Id="rId16" Type="http://schemas.openxmlformats.org/officeDocument/2006/relationships/hyperlink" Target="https://consilient.com/aml-failures-and-lessons-learned" TargetMode="External"/><Relationship Id="rId19" Type="http://schemas.openxmlformats.org/officeDocument/2006/relationships/hyperlink" Target="https://bpi.com/how-can-the-new-market-risk-capital-requirements-be-fixed/" TargetMode="External"/><Relationship Id="rId510" Type="http://schemas.openxmlformats.org/officeDocument/2006/relationships/hyperlink" Target="https://dart.deloitte.com/USDART/home/accounting/sec/rules-regulations/242-regulations-m-sho-ats-ac/242-regulation-sci-systems-compliance-integrity" TargetMode="External"/><Relationship Id="rId752" Type="http://schemas.openxmlformats.org/officeDocument/2006/relationships/hyperlink" Target="https://github.com/FractonicMind/TernaryLogic/blob/main/Governance/Ternary_Logic_as_Constitutional_Triadic_Governance_Architecture_for_High-Stakes_Automated_Decision-Making.md" TargetMode="External"/><Relationship Id="rId994" Type="http://schemas.openxmlformats.org/officeDocument/2006/relationships/hyperlink" Target="https://github.com/FractonicMind/TernaryLogic/blob/main/Adversarial_Survivability/TL_Constitutional_Survivability_Under_Adversarial_Pressure.md" TargetMode="External"/><Relationship Id="rId18" Type="http://schemas.openxmlformats.org/officeDocument/2006/relationships/hyperlink" Target="https://bpi.com/how-can-the-new-market-risk-capital-requirements-be-fixed/" TargetMode="External"/><Relationship Id="rId751" Type="http://schemas.openxmlformats.org/officeDocument/2006/relationships/hyperlink" Target="https://github.com/FractonicMind/TernaryLogic/blob/main/MT_Hardware/MT_System_Architecture_and_Economics.md" TargetMode="External"/><Relationship Id="rId993" Type="http://schemas.openxmlformats.org/officeDocument/2006/relationships/hyperlink" Target="https://github.com/FractonicMind/TernaryLogic/blob/main/Adversarial_Survivability/TL_Constitutional_Survivability_Under_Adversarial_Pressure.md" TargetMode="External"/><Relationship Id="rId1100" Type="http://schemas.openxmlformats.org/officeDocument/2006/relationships/hyperlink" Target="https://github.com/FractonicMind/TernaryLogic/blob/main/MT_Hardware/MT_System_Architecture_and_Economics.md" TargetMode="External"/><Relationship Id="rId750" Type="http://schemas.openxmlformats.org/officeDocument/2006/relationships/hyperlink" Target="https://github.com/FractonicMind/TernaryLogic/blob/main/MT_Hardware/MT_System_Architecture_and_Economics.md" TargetMode="External"/><Relationship Id="rId992" Type="http://schemas.openxmlformats.org/officeDocument/2006/relationships/hyperlink" Target="https://github.com/FractonicMind/TernaryLogic/blob/main/Adversarial_Survivability/TL_Constitutional_Survivability_Under_Adversarial_Pressure.md" TargetMode="External"/><Relationship Id="rId1101" Type="http://schemas.openxmlformats.org/officeDocument/2006/relationships/hyperlink" Target="https://github.com/FractonicMind/TernaryLogic/blob/main/MT_Hardware/MT_System_Architecture_and_Economics.md" TargetMode="External"/><Relationship Id="rId991" Type="http://schemas.openxmlformats.org/officeDocument/2006/relationships/hyperlink" Target="https://github.com/FractonicMind/TernaryLogic/blob/main/Adversarial_Survivability/TL_Constitutional_Survivability_Under_Adversarial_Pressure.md" TargetMode="External"/><Relationship Id="rId1102" Type="http://schemas.openxmlformats.org/officeDocument/2006/relationships/hyperlink" Target="https://github.com/FractonicMind/TernaryLogic/blob/main/MT_Hardware/MT_System_Architecture_and_Economics.md" TargetMode="External"/><Relationship Id="rId84" Type="http://schemas.openxmlformats.org/officeDocument/2006/relationships/hyperlink" Target="https://github.com/FractonicMind/TernaryLogic/blob/main/The%20Architecture%20Of%20Assured%20Governance%20for%20Global%20Economic%20Systems.md" TargetMode="External"/><Relationship Id="rId83" Type="http://schemas.openxmlformats.org/officeDocument/2006/relationships/hyperlink" Target="https://github.com/FractonicMind/TernaryLogic/blob/main/API/Specification_Architecture.md" TargetMode="External"/><Relationship Id="rId86" Type="http://schemas.openxmlformats.org/officeDocument/2006/relationships/hyperlink" Target="https://github.com/FractonicMind/TernaryLogic/blob/main/API/Specification_Architecture.md" TargetMode="External"/><Relationship Id="rId85" Type="http://schemas.openxmlformats.org/officeDocument/2006/relationships/hyperlink" Target="https://github.com/FractonicMind/TernaryLogic/blob/main/The%20Architecture%20Of%20Assured%20Governance%20for%20Global%20Economic%20Systems.md" TargetMode="External"/><Relationship Id="rId88" Type="http://schemas.openxmlformats.org/officeDocument/2006/relationships/hyperlink" Target="https://github.com/FractonicMind/TernaryLogic/blob/main/API/Specification_Architecture.md" TargetMode="External"/><Relationship Id="rId87" Type="http://schemas.openxmlformats.org/officeDocument/2006/relationships/hyperlink" Target="https://github.com/FractonicMind/TernaryLogic/blob/main/API/Specification_Architecture.md" TargetMode="External"/><Relationship Id="rId89" Type="http://schemas.openxmlformats.org/officeDocument/2006/relationships/hyperlink" Target="https://github.com/FractonicMind/TernaryLogic/blob/main/API/Specification_Architecture.md" TargetMode="External"/><Relationship Id="rId709" Type="http://schemas.openxmlformats.org/officeDocument/2006/relationships/hyperlink" Target="https://github.com/FractonicMind/TernaryLogic/blob/main/MT_Hardware/MT_System_Architecture_and_Economics.md" TargetMode="External"/><Relationship Id="rId708" Type="http://schemas.openxmlformats.org/officeDocument/2006/relationships/hyperlink" Target="https://github.com/FractonicMind/TernaryLogic/blob/main/MT_Hardware/MT_System_Architecture_and_Economics.md" TargetMode="External"/><Relationship Id="rId707" Type="http://schemas.openxmlformats.org/officeDocument/2006/relationships/hyperlink" Target="https://github.com/FractonicMind/TernaryLogic/blob/main/MT_Hardware/MT_System_Architecture_and_Economics.md" TargetMode="External"/><Relationship Id="rId949" Type="http://schemas.openxmlformats.org/officeDocument/2006/relationships/hyperlink" Target="https://github.com/FractonicMind/TernaryLogic/blob/main/Adversarial_Survivability/TL_Constitutional_Survivability_Under_Adversarial_Pressure.md" TargetMode="External"/><Relationship Id="rId706" Type="http://schemas.openxmlformats.org/officeDocument/2006/relationships/hyperlink" Target="https://github.com/FractonicMind/TernaryLogic/blob/main/MT_Hardware/MT_System_Architecture_and_Economics.md" TargetMode="External"/><Relationship Id="rId948" Type="http://schemas.openxmlformats.org/officeDocument/2006/relationships/hyperlink" Target="https://github.com/FractonicMind/TernaryLogic/blob/main/Adversarial_Survivability/TL_Constitutional_Survivability_Under_Adversarial_Pressure.md" TargetMode="External"/><Relationship Id="rId80" Type="http://schemas.openxmlformats.org/officeDocument/2006/relationships/hyperlink" Target="https://github.com/FractonicMind/TernaryLogic/blob/main/API/Specification_Architecture.md" TargetMode="External"/><Relationship Id="rId82" Type="http://schemas.openxmlformats.org/officeDocument/2006/relationships/hyperlink" Target="https://github.com/FractonicMind/TernaryLogic/blob/main/API/Specification_Architecture.md" TargetMode="External"/><Relationship Id="rId81" Type="http://schemas.openxmlformats.org/officeDocument/2006/relationships/hyperlink" Target="https://github.com/FractonicMind/TernaryLogic/blob/main/API/Specification_Architecture.md" TargetMode="External"/><Relationship Id="rId701" Type="http://schemas.openxmlformats.org/officeDocument/2006/relationships/hyperlink" Target="https://github.com/FractonicMind/TernaryLogic/blob/main/Adversarial_Survivability/TL_Constitutional_Survivability_Under_Adversarial_Pressure.md" TargetMode="External"/><Relationship Id="rId943" Type="http://schemas.openxmlformats.org/officeDocument/2006/relationships/hyperlink" Target="https://github.com/FractonicMind/TernaryLogic/blob/main/Adversarial_Survivability/TL_Constitutional_Survivability_Under_Adversarial_Pressure.md" TargetMode="External"/><Relationship Id="rId700" Type="http://schemas.openxmlformats.org/officeDocument/2006/relationships/hyperlink" Target="https://github.com/FractonicMind/TernaryLogic/blob/main/Adversarial_Survivability/TL_Constitutional_Survivability_Under_Adversarial_Pressure.md" TargetMode="External"/><Relationship Id="rId942" Type="http://schemas.openxmlformats.org/officeDocument/2006/relationships/hyperlink" Target="https://github.com/FractonicMind/TernaryLogic/blob/main/Adversarial_Survivability/TL_Constitutional_Survivability_Under_Adversarial_Pressure.md" TargetMode="External"/><Relationship Id="rId941" Type="http://schemas.openxmlformats.org/officeDocument/2006/relationships/hyperlink" Target="https://github.com/FractonicMind/TernaryLogic/blob/main/Adversarial_Survivability/TL_Constitutional_Survivability_Under_Adversarial_Pressure.md" TargetMode="External"/><Relationship Id="rId940" Type="http://schemas.openxmlformats.org/officeDocument/2006/relationships/hyperlink" Target="https://github.com/FractonicMind/TernaryLogic/blob/main/Adversarial_Survivability/TL_Constitutional_Survivability_Under_Adversarial_Pressure.md" TargetMode="External"/><Relationship Id="rId705" Type="http://schemas.openxmlformats.org/officeDocument/2006/relationships/hyperlink" Target="https://github.com/FractonicMind/TernaryLogic/blob/main/MT_Hardware/MT_System_Architecture_and_Economics.md" TargetMode="External"/><Relationship Id="rId947" Type="http://schemas.openxmlformats.org/officeDocument/2006/relationships/hyperlink" Target="https://github.com/FractonicMind/TernaryLogic/blob/main/Adversarial_Survivability/TL_Constitutional_Survivability_Under_Adversarial_Pressure.md" TargetMode="External"/><Relationship Id="rId704" Type="http://schemas.openxmlformats.org/officeDocument/2006/relationships/hyperlink" Target="https://github.com/FractonicMind/TernaryLogic/blob/main/MT_Hardware/MT_System_Architecture_and_Economics.md" TargetMode="External"/><Relationship Id="rId946" Type="http://schemas.openxmlformats.org/officeDocument/2006/relationships/hyperlink" Target="https://github.com/FractonicMind/TernaryLogic/blob/main/Adversarial_Survivability/TL_Constitutional_Survivability_Under_Adversarial_Pressure.md" TargetMode="External"/><Relationship Id="rId703" Type="http://schemas.openxmlformats.org/officeDocument/2006/relationships/hyperlink" Target="https://github.com/FractonicMind/TernaryLogic/blob/main/Adversarial_Survivability/TL_Constitutional_Survivability_Under_Adversarial_Pressure.md" TargetMode="External"/><Relationship Id="rId945" Type="http://schemas.openxmlformats.org/officeDocument/2006/relationships/hyperlink" Target="https://github.com/FractonicMind/TernaryLogic/blob/main/Adversarial_Survivability/TL_Constitutional_Survivability_Under_Adversarial_Pressure.md" TargetMode="External"/><Relationship Id="rId702" Type="http://schemas.openxmlformats.org/officeDocument/2006/relationships/hyperlink" Target="https://github.com/FractonicMind/TernaryLogic/blob/main/Adversarial_Survivability/TL_Constitutional_Survivability_Under_Adversarial_Pressure.md" TargetMode="External"/><Relationship Id="rId944" Type="http://schemas.openxmlformats.org/officeDocument/2006/relationships/hyperlink" Target="https://github.com/FractonicMind/TernaryLogic/blob/main/Adversarial_Survivability/TL_Constitutional_Survivability_Under_Adversarial_Pressure.md" TargetMode="External"/><Relationship Id="rId73" Type="http://schemas.openxmlformats.org/officeDocument/2006/relationships/hyperlink" Target="https://github.com/FractonicMind/TernaryLogic/blob/main/API/Specification_Architecture.md" TargetMode="External"/><Relationship Id="rId72" Type="http://schemas.openxmlformats.org/officeDocument/2006/relationships/hyperlink" Target="https://github.com/FractonicMind/TernaryLogic/blob/main/API/Specification_Architecture.md" TargetMode="External"/><Relationship Id="rId75" Type="http://schemas.openxmlformats.org/officeDocument/2006/relationships/hyperlink" Target="https://github.com/FractonicMind/TernaryLogic/blob/main/API/Specification_Architecture.md" TargetMode="External"/><Relationship Id="rId74" Type="http://schemas.openxmlformats.org/officeDocument/2006/relationships/hyperlink" Target="https://github.com/FractonicMind/TernaryLogic/blob/main/API/Specification_Architecture.md" TargetMode="External"/><Relationship Id="rId77" Type="http://schemas.openxmlformats.org/officeDocument/2006/relationships/hyperlink" Target="https://github.com/FractonicMind/TernaryLogic/blob/main/API/Specification_Architecture.md" TargetMode="External"/><Relationship Id="rId76" Type="http://schemas.openxmlformats.org/officeDocument/2006/relationships/hyperlink" Target="https://github.com/FractonicMind/TernaryLogic/blob/main/API/Specification_Architecture.md" TargetMode="External"/><Relationship Id="rId79" Type="http://schemas.openxmlformats.org/officeDocument/2006/relationships/hyperlink" Target="https://github.com/FractonicMind/TernaryLogic/blob/main/API/Specification_Architecture.md" TargetMode="External"/><Relationship Id="rId78" Type="http://schemas.openxmlformats.org/officeDocument/2006/relationships/hyperlink" Target="https://github.com/FractonicMind/TernaryLogic/blob/main/API/Specification_Architecture.md" TargetMode="External"/><Relationship Id="rId939" Type="http://schemas.openxmlformats.org/officeDocument/2006/relationships/hyperlink" Target="https://github.com/FractonicMind/TernaryLogic/blob/main/Adversarial_Survivability/TL_Constitutional_Survivability_Under_Adversarial_Pressure.md" TargetMode="External"/><Relationship Id="rId938" Type="http://schemas.openxmlformats.org/officeDocument/2006/relationships/hyperlink" Target="https://github.com/FractonicMind/TernaryLogic/blob/main/Adversarial_Survivability/TL_Constitutional_Survivability_Under_Adversarial_Pressure.md" TargetMode="External"/><Relationship Id="rId937" Type="http://schemas.openxmlformats.org/officeDocument/2006/relationships/hyperlink" Target="https://github.com/FractonicMind/TernaryLogic/blob/main/Adversarial_Survivability/TL_Constitutional_Survivability_Under_Adversarial_Pressure.md" TargetMode="External"/><Relationship Id="rId71" Type="http://schemas.openxmlformats.org/officeDocument/2006/relationships/hyperlink" Target="https://github.com/FractonicMind/TernaryLogic/blob/main/The%20Architecture%20Of%20Assured%20Governance%20for%20Global%20Economic%20Systems.md" TargetMode="External"/><Relationship Id="rId70" Type="http://schemas.openxmlformats.org/officeDocument/2006/relationships/hyperlink" Target="https://github.com/FractonicMind/TernaryLogic/blob/main/The%20Architecture%20Of%20Assured%20Governance%20for%20Global%20Economic%20Systems.md" TargetMode="External"/><Relationship Id="rId932" Type="http://schemas.openxmlformats.org/officeDocument/2006/relationships/hyperlink" Target="https://github.com/FractonicMind/TernaryLogic/blob/main/Adversarial_Survivability/TL_Constitutional_Survivability_Under_Adversarial_Pressure.md" TargetMode="External"/><Relationship Id="rId931" Type="http://schemas.openxmlformats.org/officeDocument/2006/relationships/hyperlink" Target="https://github.com/FractonicMind/TernaryLogic/blob/main/Adversarial_Survivability/TL_Constitutional_Survivability_Under_Adversarial_Pressure.md" TargetMode="External"/><Relationship Id="rId930" Type="http://schemas.openxmlformats.org/officeDocument/2006/relationships/hyperlink" Target="https://github.com/FractonicMind/TernaryLogic/blob/main/Adversarial_Survivability/TL_Constitutional_Survivability_Under_Adversarial_Pressure.md" TargetMode="External"/><Relationship Id="rId936" Type="http://schemas.openxmlformats.org/officeDocument/2006/relationships/hyperlink" Target="https://github.com/FractonicMind/TernaryLogic/blob/main/Adversarial_Survivability/TL_Constitutional_Survivability_Under_Adversarial_Pressure.md" TargetMode="External"/><Relationship Id="rId935" Type="http://schemas.openxmlformats.org/officeDocument/2006/relationships/hyperlink" Target="https://github.com/FractonicMind/TernaryLogic/blob/main/Adversarial_Survivability/TL_Constitutional_Survivability_Under_Adversarial_Pressure.md" TargetMode="External"/><Relationship Id="rId934" Type="http://schemas.openxmlformats.org/officeDocument/2006/relationships/hyperlink" Target="https://github.com/FractonicMind/TernaryLogic/blob/main/Adversarial_Survivability/TL_Constitutional_Survivability_Under_Adversarial_Pressure.md" TargetMode="External"/><Relationship Id="rId933" Type="http://schemas.openxmlformats.org/officeDocument/2006/relationships/hyperlink" Target="https://github.com/FractonicMind/TernaryLogic/blob/main/Adversarial_Survivability/TL_Constitutional_Survivability_Under_Adversarial_Pressure.md" TargetMode="External"/><Relationship Id="rId62" Type="http://schemas.openxmlformats.org/officeDocument/2006/relationships/hyperlink" Target="https://github.com/FractonicMind/TernaryLogic/blob/main/API/Specification_Architecture.md" TargetMode="External"/><Relationship Id="rId61" Type="http://schemas.openxmlformats.org/officeDocument/2006/relationships/hyperlink" Target="https://github.com/FractonicMind/TernaryLogic/blob/main/API/Specification_Architecture.md" TargetMode="External"/><Relationship Id="rId64" Type="http://schemas.openxmlformats.org/officeDocument/2006/relationships/hyperlink" Target="https://github.com/FractonicMind/TernaryLogic/blob/main/The%20Architecture%20Of%20Assured%20Governance%20for%20Global%20Economic%20Systems.md" TargetMode="External"/><Relationship Id="rId63" Type="http://schemas.openxmlformats.org/officeDocument/2006/relationships/hyperlink" Target="https://github.com/FractonicMind/TernaryLogic/blob/main/API/Specification_Architecture.md" TargetMode="External"/><Relationship Id="rId66" Type="http://schemas.openxmlformats.org/officeDocument/2006/relationships/hyperlink" Target="https://github.com/FractonicMind/TernaryLogic/blob/main/API/Specification_Architecture.md" TargetMode="External"/><Relationship Id="rId65" Type="http://schemas.openxmlformats.org/officeDocument/2006/relationships/hyperlink" Target="https://github.com/FractonicMind/TernaryLogic/blob/main/The%20Architecture%20Of%20Assured%20Governance%20for%20Global%20Economic%20Systems.md" TargetMode="External"/><Relationship Id="rId68" Type="http://schemas.openxmlformats.org/officeDocument/2006/relationships/hyperlink" Target="https://github.com/FractonicMind/TernaryLogic/blob/main/API/Specification_Architecture.md" TargetMode="External"/><Relationship Id="rId67" Type="http://schemas.openxmlformats.org/officeDocument/2006/relationships/hyperlink" Target="https://github.com/FractonicMind/TernaryLogic/blob/main/API/Specification_Architecture.md" TargetMode="External"/><Relationship Id="rId729" Type="http://schemas.openxmlformats.org/officeDocument/2006/relationships/hyperlink" Target="https://github.com/FractonicMind/TernaryLogic/blob/main/Adversarial_Survivability/TL_Constitutional_Survivability_Under_Adversarial_Pressure.md" TargetMode="External"/><Relationship Id="rId728" Type="http://schemas.openxmlformats.org/officeDocument/2006/relationships/hyperlink" Target="https://github.com/FractonicMind/TernaryLogic/blob/main/Adversarial_Survivability/TL_Constitutional_Survivability_Under_Adversarial_Pressure.md" TargetMode="External"/><Relationship Id="rId60" Type="http://schemas.openxmlformats.org/officeDocument/2006/relationships/hyperlink" Target="https://github.com/FractonicMind/TernaryLogic/blob/main/API/Specification_Architecture.md" TargetMode="External"/><Relationship Id="rId723" Type="http://schemas.openxmlformats.org/officeDocument/2006/relationships/hyperlink" Target="https://github.com/FractonicMind/TernaryLogic/blob/main/Adversarial_Survivability/TL_Constitutional_Survivability_Under_Adversarial_Pressure.md" TargetMode="External"/><Relationship Id="rId965" Type="http://schemas.openxmlformats.org/officeDocument/2006/relationships/hyperlink" Target="https://github.com/FractonicMind/TernaryLogic/blob/main/Adversarial_Survivability/TL_Constitutional_Survivability_Under_Adversarial_Pressure.md" TargetMode="External"/><Relationship Id="rId722" Type="http://schemas.openxmlformats.org/officeDocument/2006/relationships/hyperlink" Target="https://github.com/FractonicMind/TernaryLogic/blob/main/Adversarial_Survivability/TL_Constitutional_Survivability_Under_Adversarial_Pressure.md" TargetMode="External"/><Relationship Id="rId964" Type="http://schemas.openxmlformats.org/officeDocument/2006/relationships/hyperlink" Target="https://github.com/FractonicMind/TernaryLogic/blob/main/Adversarial_Survivability/TL_Constitutional_Survivability_Under_Adversarial_Pressure.md" TargetMode="External"/><Relationship Id="rId721" Type="http://schemas.openxmlformats.org/officeDocument/2006/relationships/hyperlink" Target="https://github.com/FractonicMind/TernaryLogic/blob/main/Adversarial_Survivability/TL_Constitutional_Survivability_Under_Adversarial_Pressure.md" TargetMode="External"/><Relationship Id="rId963" Type="http://schemas.openxmlformats.org/officeDocument/2006/relationships/hyperlink" Target="https://github.com/FractonicMind/TernaryLogic/blob/main/Adversarial_Survivability/TL_Constitutional_Survivability_Under_Adversarial_Pressure.md" TargetMode="External"/><Relationship Id="rId720" Type="http://schemas.openxmlformats.org/officeDocument/2006/relationships/hyperlink" Target="https://github.com/FractonicMind/TernaryLogic/blob/main/Adversarial_Survivability/TL_Constitutional_Survivability_Under_Adversarial_Pressure.md" TargetMode="External"/><Relationship Id="rId962" Type="http://schemas.openxmlformats.org/officeDocument/2006/relationships/hyperlink" Target="https://github.com/FractonicMind/TernaryLogic/blob/main/Adversarial_Survivability/TL_Constitutional_Survivability_Under_Adversarial_Pressure.md" TargetMode="External"/><Relationship Id="rId727" Type="http://schemas.openxmlformats.org/officeDocument/2006/relationships/hyperlink" Target="https://github.com/FractonicMind/TernaryLogic/blob/main/Adversarial_Survivability/TL_Constitutional_Survivability_Under_Adversarial_Pressure.md" TargetMode="External"/><Relationship Id="rId969" Type="http://schemas.openxmlformats.org/officeDocument/2006/relationships/hyperlink" Target="https://github.com/FractonicMind/TernaryLogic/blob/main/Adversarial_Survivability/TL_Constitutional_Survivability_Under_Adversarial_Pressure.md" TargetMode="External"/><Relationship Id="rId726" Type="http://schemas.openxmlformats.org/officeDocument/2006/relationships/hyperlink" Target="https://github.com/FractonicMind/TernaryLogic/blob/main/Adversarial_Survivability/TL_Constitutional_Survivability_Under_Adversarial_Pressure.md" TargetMode="External"/><Relationship Id="rId968" Type="http://schemas.openxmlformats.org/officeDocument/2006/relationships/hyperlink" Target="https://github.com/FractonicMind/TernaryLogic/blob/main/Adversarial_Survivability/TL_Constitutional_Survivability_Under_Adversarial_Pressure.md" TargetMode="External"/><Relationship Id="rId725" Type="http://schemas.openxmlformats.org/officeDocument/2006/relationships/hyperlink" Target="https://github.com/FractonicMind/TernaryLogic/blob/main/Adversarial_Survivability/TL_Constitutional_Survivability_Under_Adversarial_Pressure.md" TargetMode="External"/><Relationship Id="rId967" Type="http://schemas.openxmlformats.org/officeDocument/2006/relationships/hyperlink" Target="https://github.com/FractonicMind/TernaryLogic/blob/main/Adversarial_Survivability/TL_Constitutional_Survivability_Under_Adversarial_Pressure.md" TargetMode="External"/><Relationship Id="rId724" Type="http://schemas.openxmlformats.org/officeDocument/2006/relationships/hyperlink" Target="https://github.com/FractonicMind/TernaryLogic/blob/main/Adversarial_Survivability/TL_Constitutional_Survivability_Under_Adversarial_Pressure.md" TargetMode="External"/><Relationship Id="rId966" Type="http://schemas.openxmlformats.org/officeDocument/2006/relationships/hyperlink" Target="https://github.com/FractonicMind/TernaryLogic/blob/main/Adversarial_Survivability/TL_Constitutional_Survivability_Under_Adversarial_Pressure.md" TargetMode="External"/><Relationship Id="rId69" Type="http://schemas.openxmlformats.org/officeDocument/2006/relationships/hyperlink" Target="https://github.com/FractonicMind/TernaryLogic/blob/main/API/Specification_Architecture.md" TargetMode="External"/><Relationship Id="rId961" Type="http://schemas.openxmlformats.org/officeDocument/2006/relationships/hyperlink" Target="https://github.com/FractonicMind/TernaryLogic/blob/main/Adversarial_Survivability/TL_Constitutional_Survivability_Under_Adversarial_Pressure.md" TargetMode="External"/><Relationship Id="rId960" Type="http://schemas.openxmlformats.org/officeDocument/2006/relationships/hyperlink" Target="https://github.com/FractonicMind/TernaryLogic/blob/main/Adversarial_Survivability/TL_Constitutional_Survivability_Under_Adversarial_Pressure.md" TargetMode="External"/><Relationship Id="rId51" Type="http://schemas.openxmlformats.org/officeDocument/2006/relationships/hyperlink" Target="https://csrc.nist.gov/projects/post-quantum-cryptography" TargetMode="External"/><Relationship Id="rId1301" Type="http://schemas.openxmlformats.org/officeDocument/2006/relationships/hyperlink" Target="https://github.com/FractonicMind/TernaryLogic/blob/main/API/Specification_Architecture.md" TargetMode="External"/><Relationship Id="rId50" Type="http://schemas.openxmlformats.org/officeDocument/2006/relationships/hyperlink" Target="https://csrc.nist.gov/projects/post-quantum-cryptography" TargetMode="External"/><Relationship Id="rId1302" Type="http://schemas.openxmlformats.org/officeDocument/2006/relationships/hyperlink" Target="https://github.com/FractonicMind/TernaryLogic/blob/main/API/Specification_Architecture.md" TargetMode="External"/><Relationship Id="rId53" Type="http://schemas.openxmlformats.org/officeDocument/2006/relationships/hyperlink" Target="https://www.ncsc.gov.uk/guidance/pqc-migration-timelines" TargetMode="External"/><Relationship Id="rId1303" Type="http://schemas.openxmlformats.org/officeDocument/2006/relationships/hyperlink" Target="https://github.com/FractonicMind/TernaryLogic/blob/main/API/Specification_Architecture.md" TargetMode="External"/><Relationship Id="rId52" Type="http://schemas.openxmlformats.org/officeDocument/2006/relationships/hyperlink" Target="https://www.ncsc.gov.uk/guidance/pqc-migration-timelines" TargetMode="External"/><Relationship Id="rId1304" Type="http://schemas.openxmlformats.org/officeDocument/2006/relationships/hyperlink" Target="https://github.com/FractonicMind/TernaryLogic/blob/main/The%20Architecture%20Of%20Assured%20Governance%20for%20Global%20Economic%20Systems.md" TargetMode="External"/><Relationship Id="rId55" Type="http://schemas.openxmlformats.org/officeDocument/2006/relationships/hyperlink" Target="https://github.com/FractonicMind/TernaryLogic/blob/main/The%20Architecture%20Of%20Assured%20Governance%20for%20Global%20Economic%20Systems.md" TargetMode="External"/><Relationship Id="rId1305" Type="http://schemas.openxmlformats.org/officeDocument/2006/relationships/hyperlink" Target="https://github.com/FractonicMind/TernaryLogic/blob/main/The%20Architecture%20Of%20Assured%20Governance%20for%20Global%20Economic%20Systems.md" TargetMode="External"/><Relationship Id="rId54" Type="http://schemas.openxmlformats.org/officeDocument/2006/relationships/hyperlink" Target="https://github.com/FractonicMind/TernaryLogic/blob/main/The%20Architecture%20Of%20Assured%20Governance%20for%20Global%20Economic%20Systems.md" TargetMode="External"/><Relationship Id="rId1306" Type="http://schemas.openxmlformats.org/officeDocument/2006/relationships/footer" Target="footer1.xml"/><Relationship Id="rId57" Type="http://schemas.openxmlformats.org/officeDocument/2006/relationships/hyperlink" Target="https://github.com/FractonicMind/TernaryLogic/blob/main/The%20Architecture%20Of%20Assured%20Governance%20for%20Global%20Economic%20Systems.md" TargetMode="External"/><Relationship Id="rId1307" Type="http://schemas.openxmlformats.org/officeDocument/2006/relationships/footer" Target="footer2.xml"/><Relationship Id="rId56" Type="http://schemas.openxmlformats.org/officeDocument/2006/relationships/hyperlink" Target="https://github.com/FractonicMind/TernaryLogic/blob/main/The%20Architecture%20Of%20Assured%20Governance%20for%20Global%20Economic%20Systems.md" TargetMode="External"/><Relationship Id="rId719" Type="http://schemas.openxmlformats.org/officeDocument/2006/relationships/hyperlink" Target="https://github.com/FractonicMind/TernaryLogic/blob/main/Adversarial_Survivability/TL_Constitutional_Survivability_Under_Adversarial_Pressure.md" TargetMode="External"/><Relationship Id="rId718" Type="http://schemas.openxmlformats.org/officeDocument/2006/relationships/hyperlink" Target="https://github.com/FractonicMind/TernaryLogic/blob/main/Adversarial_Survivability/TL_Constitutional_Survivability_Under_Adversarial_Pressure.md" TargetMode="External"/><Relationship Id="rId717" Type="http://schemas.openxmlformats.org/officeDocument/2006/relationships/hyperlink" Target="https://github.com/FractonicMind/TernaryLogic/blob/main/MT_Hardware/MT_System_Architecture_and_Economics.md" TargetMode="External"/><Relationship Id="rId959" Type="http://schemas.openxmlformats.org/officeDocument/2006/relationships/hyperlink" Target="https://github.com/FractonicMind/TernaryLogic/blob/main/Adversarial_Survivability/TL_Constitutional_Survivability_Under_Adversarial_Pressure.md" TargetMode="External"/><Relationship Id="rId712" Type="http://schemas.openxmlformats.org/officeDocument/2006/relationships/hyperlink" Target="https://github.com/FractonicMind/TernaryLogic/blob/main/MT_Hardware/MT_System_Architecture_and_Economics.md" TargetMode="External"/><Relationship Id="rId954" Type="http://schemas.openxmlformats.org/officeDocument/2006/relationships/hyperlink" Target="https://github.com/FractonicMind/TernaryLogic/blob/main/Adversarial_Survivability/TL_Constitutional_Survivability_Under_Adversarial_Pressure.md" TargetMode="External"/><Relationship Id="rId711" Type="http://schemas.openxmlformats.org/officeDocument/2006/relationships/hyperlink" Target="https://github.com/FractonicMind/TernaryLogic/blob/main/MT_Hardware/MT_System_Architecture_and_Economics.md" TargetMode="External"/><Relationship Id="rId953" Type="http://schemas.openxmlformats.org/officeDocument/2006/relationships/hyperlink" Target="https://github.com/FractonicMind/TernaryLogic/blob/main/Adversarial_Survivability/TL_Constitutional_Survivability_Under_Adversarial_Pressure.md" TargetMode="External"/><Relationship Id="rId710" Type="http://schemas.openxmlformats.org/officeDocument/2006/relationships/hyperlink" Target="https://github.com/FractonicMind/TernaryLogic/blob/main/MT_Hardware/MT_System_Architecture_and_Economics.md" TargetMode="External"/><Relationship Id="rId952" Type="http://schemas.openxmlformats.org/officeDocument/2006/relationships/hyperlink" Target="https://github.com/FractonicMind/TernaryLogic/blob/main/Adversarial_Survivability/TL_Constitutional_Survivability_Under_Adversarial_Pressure.md" TargetMode="External"/><Relationship Id="rId951" Type="http://schemas.openxmlformats.org/officeDocument/2006/relationships/hyperlink" Target="https://github.com/FractonicMind/TernaryLogic/blob/main/Adversarial_Survivability/TL_Constitutional_Survivability_Under_Adversarial_Pressure.md" TargetMode="External"/><Relationship Id="rId716" Type="http://schemas.openxmlformats.org/officeDocument/2006/relationships/hyperlink" Target="https://github.com/FractonicMind/TernaryLogic/blob/main/MT_Hardware/MT_System_Architecture_and_Economics.md" TargetMode="External"/><Relationship Id="rId958" Type="http://schemas.openxmlformats.org/officeDocument/2006/relationships/hyperlink" Target="https://github.com/FractonicMind/TernaryLogic/blob/main/Adversarial_Survivability/TL_Constitutional_Survivability_Under_Adversarial_Pressure.md" TargetMode="External"/><Relationship Id="rId715" Type="http://schemas.openxmlformats.org/officeDocument/2006/relationships/hyperlink" Target="https://github.com/FractonicMind/TernaryLogic/blob/main/MT_Hardware/MT_System_Architecture_and_Economics.md" TargetMode="External"/><Relationship Id="rId957" Type="http://schemas.openxmlformats.org/officeDocument/2006/relationships/hyperlink" Target="https://github.com/FractonicMind/TernaryLogic/blob/main/Governance/Ternary_Logic_as_Constitutional_Triadic_Governance_Architecture_for_High-Stakes_Automated_Decision-Making.md" TargetMode="External"/><Relationship Id="rId714" Type="http://schemas.openxmlformats.org/officeDocument/2006/relationships/hyperlink" Target="https://github.com/FractonicMind/TernaryLogic/blob/main/MT_Hardware/MT_System_Architecture_and_Economics.md" TargetMode="External"/><Relationship Id="rId956" Type="http://schemas.openxmlformats.org/officeDocument/2006/relationships/hyperlink" Target="https://github.com/FractonicMind/TernaryLogic/blob/main/Governance/Ternary_Logic_as_Constitutional_Triadic_Governance_Architecture_for_High-Stakes_Automated_Decision-Making.md" TargetMode="External"/><Relationship Id="rId713" Type="http://schemas.openxmlformats.org/officeDocument/2006/relationships/hyperlink" Target="https://github.com/FractonicMind/TernaryLogic/blob/main/MT_Hardware/MT_System_Architecture_and_Economics.md" TargetMode="External"/><Relationship Id="rId955" Type="http://schemas.openxmlformats.org/officeDocument/2006/relationships/hyperlink" Target="https://github.com/FractonicMind/TernaryLogic/blob/main/Adversarial_Survivability/TL_Constitutional_Survivability_Under_Adversarial_Pressure.md" TargetMode="External"/><Relationship Id="rId59" Type="http://schemas.openxmlformats.org/officeDocument/2006/relationships/hyperlink" Target="https://github.com/FractonicMind/TernaryLogic/blob/main/API/Specification_Architecture.md" TargetMode="External"/><Relationship Id="rId58" Type="http://schemas.openxmlformats.org/officeDocument/2006/relationships/hyperlink" Target="https://github.com/FractonicMind/TernaryLogic/blob/main/API/Specification_Architecture.md" TargetMode="External"/><Relationship Id="rId950" Type="http://schemas.openxmlformats.org/officeDocument/2006/relationships/hyperlink" Target="https://github.com/FractonicMind/TernaryLogic/blob/main/Adversarial_Survivability/TL_Constitutional_Survivability_Under_Adversarial_Pressure.md" TargetMode="External"/><Relationship Id="rId1300" Type="http://schemas.openxmlformats.org/officeDocument/2006/relationships/hyperlink" Target="https://github.com/FractonicMind/TernaryLogic/blob/main/API/Specification_Architecture.md" TargetMode="External"/><Relationship Id="rId590" Type="http://schemas.openxmlformats.org/officeDocument/2006/relationships/hyperlink" Target="https://github.com/FractonicMind/TernaryLogic/blob/main/API/Specification_Architecture.md" TargetMode="External"/><Relationship Id="rId107" Type="http://schemas.openxmlformats.org/officeDocument/2006/relationships/hyperlink" Target="https://github.com/FractonicMind/TernaryLogic/blob/main/The%20Architecture%20Of%20Assured%20Governance%20for%20Global%20Economic%20Systems.md" TargetMode="External"/><Relationship Id="rId349" Type="http://schemas.openxmlformats.org/officeDocument/2006/relationships/hyperlink" Target="https://raw.githubusercontent.com/FractonicMind/TernaryLogic/refs/heads/main/No_Spy-No_Weapon/Universal_Scalability_of_TL_NoS-NoW_Prohibitions.md" TargetMode="External"/><Relationship Id="rId106" Type="http://schemas.openxmlformats.org/officeDocument/2006/relationships/hyperlink" Target="https://github.com/FractonicMind/TernaryLogic/blob/main/The%20Architecture%20Of%20Assured%20Governance%20for%20Global%20Economic%20Systems.md" TargetMode="External"/><Relationship Id="rId348" Type="http://schemas.openxmlformats.org/officeDocument/2006/relationships/hyperlink" Target="https://raw.githubusercontent.com/FractonicMind/TernaryLogic/refs/heads/main/No_Spy-No_Weapon/Universal_Scalability_of_TL_NoS-NoW_Prohibitions.md" TargetMode="External"/><Relationship Id="rId105" Type="http://schemas.openxmlformats.org/officeDocument/2006/relationships/hyperlink" Target="https://github.com/FractonicMind/TernaryLogic/blob/main/API/Specification_Architecture.md" TargetMode="External"/><Relationship Id="rId347" Type="http://schemas.openxmlformats.org/officeDocument/2006/relationships/hyperlink" Target="https://raw.githubusercontent.com/FractonicMind/TernaryLogic/refs/heads/main/No_Spy-No_Weapon/Universal_Scalability_of_TL_NoS-NoW_Prohibitions.md" TargetMode="External"/><Relationship Id="rId589" Type="http://schemas.openxmlformats.org/officeDocument/2006/relationships/hyperlink" Target="https://github.com/FractonicMind/TernaryLogic/blob/main/API/Specification_Architecture.md" TargetMode="External"/><Relationship Id="rId104" Type="http://schemas.openxmlformats.org/officeDocument/2006/relationships/hyperlink" Target="https://github.com/FractonicMind/TernaryLogic/blob/main/API/Specification_Architecture.md" TargetMode="External"/><Relationship Id="rId346" Type="http://schemas.openxmlformats.org/officeDocument/2006/relationships/hyperlink" Target="https://raw.githubusercontent.com/FractonicMind/TernaryLogic/refs/heads/main/No_Spy-No_Weapon/Universal_Scalability_of_TL_NoS-NoW_Prohibitions.md" TargetMode="External"/><Relationship Id="rId588" Type="http://schemas.openxmlformats.org/officeDocument/2006/relationships/hyperlink" Target="https://github.com/FractonicMind/TernaryLogic/blob/main/API/Specification_Architecture.md" TargetMode="External"/><Relationship Id="rId109" Type="http://schemas.openxmlformats.org/officeDocument/2006/relationships/hyperlink" Target="https://github.com/FractonicMind/TernaryLogic/blob/main/API/Specification_Architecture.md" TargetMode="External"/><Relationship Id="rId1170" Type="http://schemas.openxmlformats.org/officeDocument/2006/relationships/hyperlink" Target="https://github.com/FractonicMind/TernaryLogic/blob/main/Adversarial_Survivability/TL_Constitutional_Survivability_Under_Adversarial_Pressure.md" TargetMode="External"/><Relationship Id="rId108" Type="http://schemas.openxmlformats.org/officeDocument/2006/relationships/hyperlink" Target="https://github.com/FractonicMind/TernaryLogic/blob/main/API/Specification_Architecture.md" TargetMode="External"/><Relationship Id="rId1171" Type="http://schemas.openxmlformats.org/officeDocument/2006/relationships/hyperlink" Target="https://github.com/FractonicMind/TernaryLogic/blob/main/Adversarial_Survivability/TL_Constitutional_Survivability_Under_Adversarial_Pressure.md" TargetMode="External"/><Relationship Id="rId341" Type="http://schemas.openxmlformats.org/officeDocument/2006/relationships/hyperlink" Target="https://raw.githubusercontent.com/FractonicMind/TernaryLogic/refs/heads/main/No_Spy-No_Weapon/Universal_Scalability_of_TL_NoS-NoW_Prohibitions.md" TargetMode="External"/><Relationship Id="rId583" Type="http://schemas.openxmlformats.org/officeDocument/2006/relationships/hyperlink" Target="https://github.com/FractonicMind/TernaryLogic/blob/main/API/Specification_Architecture.md" TargetMode="External"/><Relationship Id="rId1172" Type="http://schemas.openxmlformats.org/officeDocument/2006/relationships/hyperlink" Target="https://github.com/FractonicMind/TernaryLogic/blob/main/Adversarial_Survivability/TL_Constitutional_Survivability_Under_Adversarial_Pressure.md" TargetMode="External"/><Relationship Id="rId340" Type="http://schemas.openxmlformats.org/officeDocument/2006/relationships/hyperlink" Target="https://raw.githubusercontent.com/FractonicMind/TernaryLogic/refs/heads/main/No_Spy-No_Weapon/Universal_Scalability_of_TL_NoS-NoW_Prohibitions.md" TargetMode="External"/><Relationship Id="rId582" Type="http://schemas.openxmlformats.org/officeDocument/2006/relationships/hyperlink" Target="https://github.com/FractonicMind/TernaryLogic/blob/main/API/Specification_Architecture.md" TargetMode="External"/><Relationship Id="rId1173" Type="http://schemas.openxmlformats.org/officeDocument/2006/relationships/hyperlink" Target="https://github.com/FractonicMind/TernaryLogic/blob/main/Adversarial_Survivability/TL_Constitutional_Survivability_Under_Adversarial_Pressure.md" TargetMode="External"/><Relationship Id="rId581" Type="http://schemas.openxmlformats.org/officeDocument/2006/relationships/hyperlink" Target="https://github.com/FractonicMind/TernaryLogic/blob/main/API/Specification_Architecture.md" TargetMode="External"/><Relationship Id="rId1174" Type="http://schemas.openxmlformats.org/officeDocument/2006/relationships/hyperlink" Target="https://github.com/FractonicMind/TernaryLogic/blob/main/Governance/Ternary_Logic_as_Constitutional_Triadic_Governance_Architecture_for_High-Stakes_Automated_Decision-Making.md" TargetMode="External"/><Relationship Id="rId580" Type="http://schemas.openxmlformats.org/officeDocument/2006/relationships/hyperlink" Target="https://github.com/FractonicMind/TernaryLogic/blob/main/API/Specification_Architecture.md" TargetMode="External"/><Relationship Id="rId1175" Type="http://schemas.openxmlformats.org/officeDocument/2006/relationships/hyperlink" Target="https://github.com/FractonicMind/TernaryLogic/blob/main/Governance/Ternary_Logic_as_Constitutional_Triadic_Governance_Architecture_for_High-Stakes_Automated_Decision-Making.md" TargetMode="External"/><Relationship Id="rId103" Type="http://schemas.openxmlformats.org/officeDocument/2006/relationships/hyperlink" Target="https://github.com/FractonicMind/TernaryLogic/blob/main/API/Specification_Architecture.md" TargetMode="External"/><Relationship Id="rId345" Type="http://schemas.openxmlformats.org/officeDocument/2006/relationships/hyperlink" Target="https://raw.githubusercontent.com/FractonicMind/TernaryLogic/refs/heads/main/No_Spy-No_Weapon/Universal_Scalability_of_TL_NoS-NoW_Prohibitions.md" TargetMode="External"/><Relationship Id="rId587" Type="http://schemas.openxmlformats.org/officeDocument/2006/relationships/hyperlink" Target="https://github.com/FractonicMind/TernaryLogic/blob/main/The%20Architecture%20Of%20Assured%20Governance%20for%20Global%20Economic%20Systems.md" TargetMode="External"/><Relationship Id="rId1176" Type="http://schemas.openxmlformats.org/officeDocument/2006/relationships/hyperlink" Target="https://github.com/FractonicMind/TernaryLogic/blob/main/Governance/Ternary_Logic_as_Constitutional_Triadic_Governance_Architecture_for_High-Stakes_Automated_Decision-Making.md" TargetMode="External"/><Relationship Id="rId102" Type="http://schemas.openxmlformats.org/officeDocument/2006/relationships/hyperlink" Target="https://github.com/FractonicMind/TernaryLogic/blob/main/API/Specification_Architecture.md" TargetMode="External"/><Relationship Id="rId344" Type="http://schemas.openxmlformats.org/officeDocument/2006/relationships/hyperlink" Target="https://raw.githubusercontent.com/FractonicMind/TernaryLogic/refs/heads/main/No_Spy-No_Weapon/Universal_Scalability_of_TL_NoS-NoW_Prohibitions.md" TargetMode="External"/><Relationship Id="rId586" Type="http://schemas.openxmlformats.org/officeDocument/2006/relationships/hyperlink" Target="https://github.com/FractonicMind/TernaryLogic/blob/main/The%20Architecture%20Of%20Assured%20Governance%20for%20Global%20Economic%20Systems.md" TargetMode="External"/><Relationship Id="rId1177" Type="http://schemas.openxmlformats.org/officeDocument/2006/relationships/hyperlink" Target="https://github.com/FractonicMind/TernaryLogic/blob/main/Governance/Ternary_Logic_as_Constitutional_Triadic_Governance_Architecture_for_High-Stakes_Automated_Decision-Making.md" TargetMode="External"/><Relationship Id="rId101" Type="http://schemas.openxmlformats.org/officeDocument/2006/relationships/hyperlink" Target="https://github.com/FractonicMind/TernaryLogic/blob/main/MT_Hardware/MT_System_Architecture_and_Economics.md" TargetMode="External"/><Relationship Id="rId343" Type="http://schemas.openxmlformats.org/officeDocument/2006/relationships/hyperlink" Target="https://raw.githubusercontent.com/FractonicMind/TernaryLogic/refs/heads/main/No_Spy-No_Weapon/Universal_Scalability_of_TL_NoS-NoW_Prohibitions.md" TargetMode="External"/><Relationship Id="rId585" Type="http://schemas.openxmlformats.org/officeDocument/2006/relationships/hyperlink" Target="https://github.com/FractonicMind/TernaryLogic/blob/main/The%20Architecture%20Of%20Assured%20Governance%20for%20Global%20Economic%20Systems.md" TargetMode="External"/><Relationship Id="rId1178" Type="http://schemas.openxmlformats.org/officeDocument/2006/relationships/hyperlink" Target="https://github.com/FractonicMind/TernaryLogic/blob/main/API/Specification_Architecture.md" TargetMode="External"/><Relationship Id="rId100" Type="http://schemas.openxmlformats.org/officeDocument/2006/relationships/hyperlink" Target="https://github.com/FractonicMind/TernaryLogic/blob/main/MT_Hardware/MT_System_Architecture_and_Economics.md" TargetMode="External"/><Relationship Id="rId342" Type="http://schemas.openxmlformats.org/officeDocument/2006/relationships/hyperlink" Target="https://raw.githubusercontent.com/FractonicMind/TernaryLogic/refs/heads/main/No_Spy-No_Weapon/Universal_Scalability_of_TL_NoS-NoW_Prohibitions.md" TargetMode="External"/><Relationship Id="rId584" Type="http://schemas.openxmlformats.org/officeDocument/2006/relationships/hyperlink" Target="https://github.com/FractonicMind/TernaryLogic/blob/main/The%20Architecture%20Of%20Assured%20Governance%20for%20Global%20Economic%20Systems.md" TargetMode="External"/><Relationship Id="rId1179" Type="http://schemas.openxmlformats.org/officeDocument/2006/relationships/hyperlink" Target="https://github.com/FractonicMind/TernaryLogic/blob/main/API/Specification_Architecture.md" TargetMode="External"/><Relationship Id="rId1169" Type="http://schemas.openxmlformats.org/officeDocument/2006/relationships/hyperlink" Target="https://github.com/FractonicMind/TernaryLogic/blob/main/Adversarial_Survivability/TL_Constitutional_Survivability_Under_Adversarial_Pressure.md" TargetMode="External"/><Relationship Id="rId338" Type="http://schemas.openxmlformats.org/officeDocument/2006/relationships/hyperlink" Target="https://raw.githubusercontent.com/FractonicMind/TernaryLogic/refs/heads/main/No_Spy-No_Weapon/Universal_Scalability_of_TL_NoS-NoW_Prohibitions.md" TargetMode="External"/><Relationship Id="rId337" Type="http://schemas.openxmlformats.org/officeDocument/2006/relationships/hyperlink" Target="https://raw.githubusercontent.com/FractonicMind/TernaryLogic/refs/heads/main/No_Spy-No_Weapon/Universal_Scalability_of_TL_NoS-NoW_Prohibitions.md" TargetMode="External"/><Relationship Id="rId579" Type="http://schemas.openxmlformats.org/officeDocument/2006/relationships/hyperlink" Target="https://github.com/FractonicMind/TernaryLogic/blob/main/API/Specification_Architecture.md" TargetMode="External"/><Relationship Id="rId336" Type="http://schemas.openxmlformats.org/officeDocument/2006/relationships/hyperlink" Target="https://raw.githubusercontent.com/FractonicMind/TernaryLogic/refs/heads/main/No_Spy-No_Weapon/Universal_Scalability_of_TL_NoS-NoW_Prohibitions.md" TargetMode="External"/><Relationship Id="rId578" Type="http://schemas.openxmlformats.org/officeDocument/2006/relationships/hyperlink" Target="https://github.com/FractonicMind/TernaryLogic/blob/main/API/Specification_Architecture.md" TargetMode="External"/><Relationship Id="rId335" Type="http://schemas.openxmlformats.org/officeDocument/2006/relationships/hyperlink" Target="https://github.com/FractonicMind/TernaryLogic/blob/main/The%20Architecture%20Of%20Assured%20Governance%20for%20Global%20Economic%20Systems.md" TargetMode="External"/><Relationship Id="rId577" Type="http://schemas.openxmlformats.org/officeDocument/2006/relationships/hyperlink" Target="https://github.com/FractonicMind/TernaryLogic/blob/main/API/Specification_Architecture.md" TargetMode="External"/><Relationship Id="rId339" Type="http://schemas.openxmlformats.org/officeDocument/2006/relationships/hyperlink" Target="https://raw.githubusercontent.com/FractonicMind/TernaryLogic/refs/heads/main/No_Spy-No_Weapon/Universal_Scalability_of_TL_NoS-NoW_Prohibitions.md" TargetMode="External"/><Relationship Id="rId1160" Type="http://schemas.openxmlformats.org/officeDocument/2006/relationships/hyperlink" Target="https://github.com/FractonicMind/TernaryLogic/blob/main/Governance/Ternary_Logic_as_Constitutional_Triadic_Governance_Architecture_for_High-Stakes_Automated_Decision-Making.md" TargetMode="External"/><Relationship Id="rId330" Type="http://schemas.openxmlformats.org/officeDocument/2006/relationships/hyperlink" Target="https://github.com/FractonicMind/TernaryLogic/blob/main/Governance/Ternary_Logic_as_Constitutional_Triadic_Governance_Architecture_for_High-Stakes_Automated_Decision-Making.md" TargetMode="External"/><Relationship Id="rId572" Type="http://schemas.openxmlformats.org/officeDocument/2006/relationships/hyperlink" Target="https://finance.yahoo.com/news/hidden-cost-aml-95-false-134601048.html" TargetMode="External"/><Relationship Id="rId1161" Type="http://schemas.openxmlformats.org/officeDocument/2006/relationships/hyperlink" Target="https://github.com/FractonicMind/TernaryLogic/blob/main/Governance/Ternary_Logic_as_Constitutional_Triadic_Governance_Architecture_for_High-Stakes_Automated_Decision-Making.md" TargetMode="External"/><Relationship Id="rId571" Type="http://schemas.openxmlformats.org/officeDocument/2006/relationships/hyperlink" Target="https://github.com/FractonicMind/TernaryLogic/blob/main/The%20Architecture%20Of%20Assured%20Governance%20for%20Global%20Economic%20Systems.md" TargetMode="External"/><Relationship Id="rId1162" Type="http://schemas.openxmlformats.org/officeDocument/2006/relationships/hyperlink" Target="https://github.com/FractonicMind/TernaryLogic/blob/main/API/Specification_Architecture.md" TargetMode="External"/><Relationship Id="rId570" Type="http://schemas.openxmlformats.org/officeDocument/2006/relationships/hyperlink" Target="https://github.com/FractonicMind/TernaryLogic/blob/main/The%20Architecture%20Of%20Assured%20Governance%20for%20Global%20Economic%20Systems.md" TargetMode="External"/><Relationship Id="rId1163" Type="http://schemas.openxmlformats.org/officeDocument/2006/relationships/hyperlink" Target="https://github.com/FractonicMind/TernaryLogic/blob/main/API/Specification_Architecture.md" TargetMode="External"/><Relationship Id="rId1164" Type="http://schemas.openxmlformats.org/officeDocument/2006/relationships/hyperlink" Target="https://github.com/FractonicMind/TernaryLogic/blob/main/API/Specification_Architecture.md" TargetMode="External"/><Relationship Id="rId334" Type="http://schemas.openxmlformats.org/officeDocument/2006/relationships/hyperlink" Target="https://github.com/FractonicMind/TernaryLogic/blob/main/The%20Architecture%20Of%20Assured%20Governance%20for%20Global%20Economic%20Systems.md" TargetMode="External"/><Relationship Id="rId576" Type="http://schemas.openxmlformats.org/officeDocument/2006/relationships/hyperlink" Target="https://github.com/FractonicMind/TernaryLogic/blob/main/API/Specification_Architecture.md" TargetMode="External"/><Relationship Id="rId1165" Type="http://schemas.openxmlformats.org/officeDocument/2006/relationships/hyperlink" Target="https://github.com/FractonicMind/TernaryLogic/blob/main/API/Specification_Architecture.md" TargetMode="External"/><Relationship Id="rId333" Type="http://schemas.openxmlformats.org/officeDocument/2006/relationships/hyperlink" Target="https://github.com/FractonicMind/TernaryLogic/blob/main/API/Specification_Architecture.md" TargetMode="External"/><Relationship Id="rId575" Type="http://schemas.openxmlformats.org/officeDocument/2006/relationships/hyperlink" Target="https://consilient.com/aml-failures-and-lessons-learned" TargetMode="External"/><Relationship Id="rId1166" Type="http://schemas.openxmlformats.org/officeDocument/2006/relationships/hyperlink" Target="https://github.com/FractonicMind/TernaryLogic/blob/main/Adversarial_Survivability/TL_Constitutional_Survivability_Under_Adversarial_Pressure.md" TargetMode="External"/><Relationship Id="rId332" Type="http://schemas.openxmlformats.org/officeDocument/2006/relationships/hyperlink" Target="https://github.com/FractonicMind/TernaryLogic/blob/main/API/Specification_Architecture.md" TargetMode="External"/><Relationship Id="rId574" Type="http://schemas.openxmlformats.org/officeDocument/2006/relationships/hyperlink" Target="https://consilient.com/aml-failures-and-lessons-learned" TargetMode="External"/><Relationship Id="rId1167" Type="http://schemas.openxmlformats.org/officeDocument/2006/relationships/hyperlink" Target="https://github.com/FractonicMind/TernaryLogic/blob/main/Adversarial_Survivability/TL_Constitutional_Survivability_Under_Adversarial_Pressure.md" TargetMode="External"/><Relationship Id="rId331" Type="http://schemas.openxmlformats.org/officeDocument/2006/relationships/hyperlink" Target="https://github.com/FractonicMind/TernaryLogic/blob/main/Governance/Ternary_Logic_as_Constitutional_Triadic_Governance_Architecture_for_High-Stakes_Automated_Decision-Making.md" TargetMode="External"/><Relationship Id="rId573" Type="http://schemas.openxmlformats.org/officeDocument/2006/relationships/hyperlink" Target="https://finance.yahoo.com/news/hidden-cost-aml-95-false-134601048.html" TargetMode="External"/><Relationship Id="rId1168" Type="http://schemas.openxmlformats.org/officeDocument/2006/relationships/hyperlink" Target="https://github.com/FractonicMind/TernaryLogic/blob/main/Adversarial_Survivability/TL_Constitutional_Survivability_Under_Adversarial_Pressure.md" TargetMode="External"/><Relationship Id="rId370" Type="http://schemas.openxmlformats.org/officeDocument/2006/relationships/hyperlink" Target="https://raw.githubusercontent.com/FractonicMind/TernaryLogic/refs/heads/main/No_Spy-No_Weapon/Universal_Scalability_of_TL_NoS-NoW_Prohibitions.md" TargetMode="External"/><Relationship Id="rId129" Type="http://schemas.openxmlformats.org/officeDocument/2006/relationships/hyperlink" Target="https://github.com/FractonicMind/TernaryLogic/blob/main/API/Specification_Architecture.md" TargetMode="External"/><Relationship Id="rId128" Type="http://schemas.openxmlformats.org/officeDocument/2006/relationships/hyperlink" Target="https://github.com/FractonicMind/TernaryLogic/blob/main/API/Specification_Architecture.md" TargetMode="External"/><Relationship Id="rId127" Type="http://schemas.openxmlformats.org/officeDocument/2006/relationships/hyperlink" Target="https://github.com/FractonicMind/TernaryLogic/blob/main/API/Specification_Architecture.md" TargetMode="External"/><Relationship Id="rId369" Type="http://schemas.openxmlformats.org/officeDocument/2006/relationships/hyperlink" Target="https://raw.githubusercontent.com/FractonicMind/TernaryLogic/refs/heads/main/No_Spy-No_Weapon/Universal_Scalability_of_TL_NoS-NoW_Prohibitions.md" TargetMode="External"/><Relationship Id="rId126" Type="http://schemas.openxmlformats.org/officeDocument/2006/relationships/hyperlink" Target="https://github.com/FractonicMind/TernaryLogic/blob/main/API/Specification_Architecture.md" TargetMode="External"/><Relationship Id="rId368" Type="http://schemas.openxmlformats.org/officeDocument/2006/relationships/hyperlink" Target="https://raw.githubusercontent.com/FractonicMind/TernaryLogic/refs/heads/main/No_Spy-No_Weapon/Universal_Scalability_of_TL_NoS-NoW_Prohibitions.md" TargetMode="External"/><Relationship Id="rId1190" Type="http://schemas.openxmlformats.org/officeDocument/2006/relationships/hyperlink" Target="https://github.com/FractonicMind/TernaryLogic/blob/main/API/Specification_Architecture.md" TargetMode="External"/><Relationship Id="rId1191" Type="http://schemas.openxmlformats.org/officeDocument/2006/relationships/hyperlink" Target="https://github.com/FractonicMind/TernaryLogic/blob/main/API/Specification_Architecture.md" TargetMode="External"/><Relationship Id="rId1192" Type="http://schemas.openxmlformats.org/officeDocument/2006/relationships/hyperlink" Target="https://github.com/FractonicMind/TernaryLogic/blob/main/Adversarial_Survivability/TL_Constitutional_Survivability_Under_Adversarial_Pressure.md" TargetMode="External"/><Relationship Id="rId1193" Type="http://schemas.openxmlformats.org/officeDocument/2006/relationships/hyperlink" Target="https://github.com/FractonicMind/TernaryLogic/blob/main/Adversarial_Survivability/TL_Constitutional_Survivability_Under_Adversarial_Pressure.md" TargetMode="External"/><Relationship Id="rId121" Type="http://schemas.openxmlformats.org/officeDocument/2006/relationships/hyperlink" Target="https://github.com/FractonicMind/TernaryLogic/blob/main/API/Specification_Architecture.md" TargetMode="External"/><Relationship Id="rId363" Type="http://schemas.openxmlformats.org/officeDocument/2006/relationships/hyperlink" Target="https://raw.githubusercontent.com/FractonicMind/TernaryLogic/refs/heads/main/No_Spy-No_Weapon/Universal_Scalability_of_TL_NoS-NoW_Prohibitions.md" TargetMode="External"/><Relationship Id="rId1194" Type="http://schemas.openxmlformats.org/officeDocument/2006/relationships/hyperlink" Target="https://github.com/FractonicMind/TernaryLogic/blob/main/API/Specification_Architecture.md" TargetMode="External"/><Relationship Id="rId120" Type="http://schemas.openxmlformats.org/officeDocument/2006/relationships/hyperlink" Target="https://github.com/FractonicMind/TernaryLogic/blob/main/API/Specification_Architecture.md" TargetMode="External"/><Relationship Id="rId362" Type="http://schemas.openxmlformats.org/officeDocument/2006/relationships/hyperlink" Target="https://raw.githubusercontent.com/FractonicMind/TernaryLogic/refs/heads/main/No_Spy-No_Weapon/Universal_Scalability_of_TL_NoS-NoW_Prohibitions.md" TargetMode="External"/><Relationship Id="rId1195" Type="http://schemas.openxmlformats.org/officeDocument/2006/relationships/hyperlink" Target="https://github.com/FractonicMind/TernaryLogic/blob/main/API/Specification_Architecture.md" TargetMode="External"/><Relationship Id="rId361" Type="http://schemas.openxmlformats.org/officeDocument/2006/relationships/hyperlink" Target="https://raw.githubusercontent.com/FractonicMind/TernaryLogic/refs/heads/main/No_Spy-No_Weapon/Universal_Scalability_of_TL_NoS-NoW_Prohibitions.md" TargetMode="External"/><Relationship Id="rId1196" Type="http://schemas.openxmlformats.org/officeDocument/2006/relationships/hyperlink" Target="https://github.com/FractonicMind/TernaryLogic/blob/main/Adversarial_Survivability/TL_Constitutional_Survivability_Under_Adversarial_Pressure.md" TargetMode="External"/><Relationship Id="rId360" Type="http://schemas.openxmlformats.org/officeDocument/2006/relationships/hyperlink" Target="https://raw.githubusercontent.com/FractonicMind/TernaryLogic/refs/heads/main/No_Spy-No_Weapon/Universal_Scalability_of_TL_NoS-NoW_Prohibitions.md" TargetMode="External"/><Relationship Id="rId1197" Type="http://schemas.openxmlformats.org/officeDocument/2006/relationships/hyperlink" Target="https://github.com/FractonicMind/TernaryLogic/blob/main/Adversarial_Survivability/TL_Constitutional_Survivability_Under_Adversarial_Pressure.md" TargetMode="External"/><Relationship Id="rId125" Type="http://schemas.openxmlformats.org/officeDocument/2006/relationships/hyperlink" Target="https://github.com/FractonicMind/TernaryLogic/blob/main/API/Specification_Architecture.md" TargetMode="External"/><Relationship Id="rId367" Type="http://schemas.openxmlformats.org/officeDocument/2006/relationships/hyperlink" Target="https://raw.githubusercontent.com/FractonicMind/TernaryLogic/refs/heads/main/No_Spy-No_Weapon/Universal_Scalability_of_TL_NoS-NoW_Prohibitions.md" TargetMode="External"/><Relationship Id="rId1198" Type="http://schemas.openxmlformats.org/officeDocument/2006/relationships/hyperlink" Target="https://github.com/FractonicMind/TernaryLogic/blob/main/Adversarial_Survivability/TL_Constitutional_Survivability_Under_Adversarial_Pressure.md" TargetMode="External"/><Relationship Id="rId124" Type="http://schemas.openxmlformats.org/officeDocument/2006/relationships/hyperlink" Target="https://github.com/FractonicMind/TernaryLogic/blob/main/API/Specification_Architecture.md" TargetMode="External"/><Relationship Id="rId366" Type="http://schemas.openxmlformats.org/officeDocument/2006/relationships/hyperlink" Target="https://raw.githubusercontent.com/FractonicMind/TernaryLogic/refs/heads/main/No_Spy-No_Weapon/Universal_Scalability_of_TL_NoS-NoW_Prohibitions.md" TargetMode="External"/><Relationship Id="rId1199" Type="http://schemas.openxmlformats.org/officeDocument/2006/relationships/hyperlink" Target="https://github.com/FractonicMind/TernaryLogic/blob/main/Adversarial_Survivability/TL_Constitutional_Survivability_Under_Adversarial_Pressure.md" TargetMode="External"/><Relationship Id="rId123" Type="http://schemas.openxmlformats.org/officeDocument/2006/relationships/hyperlink" Target="https://github.com/FractonicMind/TernaryLogic/blob/main/API/Specification_Architecture.md" TargetMode="External"/><Relationship Id="rId365" Type="http://schemas.openxmlformats.org/officeDocument/2006/relationships/hyperlink" Target="https://raw.githubusercontent.com/FractonicMind/TernaryLogic/refs/heads/main/No_Spy-No_Weapon/Universal_Scalability_of_TL_NoS-NoW_Prohibitions.md" TargetMode="External"/><Relationship Id="rId122" Type="http://schemas.openxmlformats.org/officeDocument/2006/relationships/hyperlink" Target="https://github.com/FractonicMind/TernaryLogic/blob/main/API/Specification_Architecture.md" TargetMode="External"/><Relationship Id="rId364" Type="http://schemas.openxmlformats.org/officeDocument/2006/relationships/hyperlink" Target="https://raw.githubusercontent.com/FractonicMind/TernaryLogic/refs/heads/main/No_Spy-No_Weapon/Universal_Scalability_of_TL_NoS-NoW_Prohibitions.md" TargetMode="External"/><Relationship Id="rId95" Type="http://schemas.openxmlformats.org/officeDocument/2006/relationships/hyperlink" Target="https://github.com/FractonicMind/TernaryLogic/blob/main/API/Specification_Architecture.md" TargetMode="External"/><Relationship Id="rId94" Type="http://schemas.openxmlformats.org/officeDocument/2006/relationships/hyperlink" Target="https://github.com/FractonicMind/TernaryLogic/blob/main/API/Specification_Architecture.md" TargetMode="External"/><Relationship Id="rId97" Type="http://schemas.openxmlformats.org/officeDocument/2006/relationships/hyperlink" Target="https://github.com/FractonicMind/TernaryLogic/blob/main/API/Specification_Architecture.md" TargetMode="External"/><Relationship Id="rId96" Type="http://schemas.openxmlformats.org/officeDocument/2006/relationships/hyperlink" Target="https://github.com/FractonicMind/TernaryLogic/blob/main/API/Specification_Architecture.md" TargetMode="External"/><Relationship Id="rId99" Type="http://schemas.openxmlformats.org/officeDocument/2006/relationships/hyperlink" Target="https://github.com/FractonicMind/TernaryLogic/blob/main/API/Specification_Architecture.md" TargetMode="External"/><Relationship Id="rId98" Type="http://schemas.openxmlformats.org/officeDocument/2006/relationships/hyperlink" Target="https://github.com/FractonicMind/TernaryLogic/blob/main/API/Specification_Architecture.md" TargetMode="External"/><Relationship Id="rId91" Type="http://schemas.openxmlformats.org/officeDocument/2006/relationships/hyperlink" Target="https://github.com/FractonicMind/TernaryLogic/blob/main/API/Specification_Architecture.md" TargetMode="External"/><Relationship Id="rId90" Type="http://schemas.openxmlformats.org/officeDocument/2006/relationships/hyperlink" Target="https://github.com/FractonicMind/TernaryLogic/blob/main/API/Specification_Architecture.md" TargetMode="External"/><Relationship Id="rId93" Type="http://schemas.openxmlformats.org/officeDocument/2006/relationships/hyperlink" Target="https://github.com/FractonicMind/TernaryLogic/blob/main/API/Specification_Architecture.md" TargetMode="External"/><Relationship Id="rId92" Type="http://schemas.openxmlformats.org/officeDocument/2006/relationships/hyperlink" Target="https://github.com/FractonicMind/TernaryLogic/blob/main/API/Specification_Architecture.md" TargetMode="External"/><Relationship Id="rId118" Type="http://schemas.openxmlformats.org/officeDocument/2006/relationships/hyperlink" Target="https://github.com/FractonicMind/TernaryLogic/blob/main/API/Specification_Architecture.md" TargetMode="External"/><Relationship Id="rId117" Type="http://schemas.openxmlformats.org/officeDocument/2006/relationships/hyperlink" Target="https://github.com/FractonicMind/TernaryLogic/blob/main/API/Specification_Architecture.md" TargetMode="External"/><Relationship Id="rId359" Type="http://schemas.openxmlformats.org/officeDocument/2006/relationships/hyperlink" Target="https://github.com/FractonicMind/TernaryLogic/blob/main/API/Specification_Architecture.md" TargetMode="External"/><Relationship Id="rId116" Type="http://schemas.openxmlformats.org/officeDocument/2006/relationships/hyperlink" Target="https://github.com/FractonicMind/TernaryLogic/blob/main/API/Specification_Architecture.md" TargetMode="External"/><Relationship Id="rId358" Type="http://schemas.openxmlformats.org/officeDocument/2006/relationships/hyperlink" Target="https://github.com/FractonicMind/TernaryLogic/blob/main/API/Specification_Architecture.md" TargetMode="External"/><Relationship Id="rId115" Type="http://schemas.openxmlformats.org/officeDocument/2006/relationships/hyperlink" Target="https://github.com/FractonicMind/TernaryLogic/blob/main/API/Specification_Architecture.md" TargetMode="External"/><Relationship Id="rId357" Type="http://schemas.openxmlformats.org/officeDocument/2006/relationships/hyperlink" Target="https://raw.githubusercontent.com/FractonicMind/TernaryLogic/refs/heads/main/No_Spy-No_Weapon/Universal_Scalability_of_TL_NoS-NoW_Prohibitions.md" TargetMode="External"/><Relationship Id="rId599" Type="http://schemas.openxmlformats.org/officeDocument/2006/relationships/hyperlink" Target="https://github.com/FractonicMind/TernaryLogic/blob/main/Adversarial_Survivability/TL_Constitutional_Survivability_Under_Adversarial_Pressure.md" TargetMode="External"/><Relationship Id="rId1180" Type="http://schemas.openxmlformats.org/officeDocument/2006/relationships/hyperlink" Target="https://github.com/FractonicMind/TernaryLogic/blob/main/API/Specification_Architecture.md" TargetMode="External"/><Relationship Id="rId1181" Type="http://schemas.openxmlformats.org/officeDocument/2006/relationships/hyperlink" Target="https://github.com/FractonicMind/TernaryLogic/blob/main/API/Specification_Architecture.md" TargetMode="External"/><Relationship Id="rId119" Type="http://schemas.openxmlformats.org/officeDocument/2006/relationships/hyperlink" Target="https://github.com/FractonicMind/TernaryLogic/blob/main/API/Specification_Architecture.md" TargetMode="External"/><Relationship Id="rId1182" Type="http://schemas.openxmlformats.org/officeDocument/2006/relationships/hyperlink" Target="https://github.com/FractonicMind/TernaryLogic/blob/main/Governance/Ternary_Logic_as_Constitutional_Triadic_Governance_Architecture_for_High-Stakes_Automated_Decision-Making.md" TargetMode="External"/><Relationship Id="rId110" Type="http://schemas.openxmlformats.org/officeDocument/2006/relationships/hyperlink" Target="https://github.com/FractonicMind/TernaryLogic/blob/main/Governance/Ternary_Logic_as_Constitutional_Triadic_Governance_Architecture_for_High-Stakes_Automated_Decision-Making.md" TargetMode="External"/><Relationship Id="rId352" Type="http://schemas.openxmlformats.org/officeDocument/2006/relationships/hyperlink" Target="https://raw.githubusercontent.com/FractonicMind/TernaryLogic/refs/heads/main/No_Spy-No_Weapon/Universal_Scalability_of_TL_NoS-NoW_Prohibitions.md" TargetMode="External"/><Relationship Id="rId594" Type="http://schemas.openxmlformats.org/officeDocument/2006/relationships/hyperlink" Target="https://github.com/FractonicMind/TernaryLogic/blob/main/Governance/Governance_Complete.md" TargetMode="External"/><Relationship Id="rId1183" Type="http://schemas.openxmlformats.org/officeDocument/2006/relationships/hyperlink" Target="https://github.com/FractonicMind/TernaryLogic/blob/main/Governance/Ternary_Logic_as_Constitutional_Triadic_Governance_Architecture_for_High-Stakes_Automated_Decision-Making.md" TargetMode="External"/><Relationship Id="rId351" Type="http://schemas.openxmlformats.org/officeDocument/2006/relationships/hyperlink" Target="https://raw.githubusercontent.com/FractonicMind/TernaryLogic/refs/heads/main/No_Spy-No_Weapon/Universal_Scalability_of_TL_NoS-NoW_Prohibitions.md" TargetMode="External"/><Relationship Id="rId593" Type="http://schemas.openxmlformats.org/officeDocument/2006/relationships/hyperlink" Target="https://github.com/FractonicMind/TernaryLogic/blob/main/Adversarial_Survivability/TL_Constitutional_Survivability_Under_Adversarial_Pressure.md" TargetMode="External"/><Relationship Id="rId1184" Type="http://schemas.openxmlformats.org/officeDocument/2006/relationships/hyperlink" Target="https://github.com/FractonicMind/TernaryLogic/blob/main/Governance/Ternary_Logic_as_Constitutional_Triadic_Governance_Architecture_for_High-Stakes_Automated_Decision-Making.md" TargetMode="External"/><Relationship Id="rId350" Type="http://schemas.openxmlformats.org/officeDocument/2006/relationships/hyperlink" Target="https://raw.githubusercontent.com/FractonicMind/TernaryLogic/refs/heads/main/No_Spy-No_Weapon/Universal_Scalability_of_TL_NoS-NoW_Prohibitions.md" TargetMode="External"/><Relationship Id="rId592" Type="http://schemas.openxmlformats.org/officeDocument/2006/relationships/hyperlink" Target="https://github.com/FractonicMind/TernaryLogic/blob/main/Adversarial_Survivability/TL_Constitutional_Survivability_Under_Adversarial_Pressure.md" TargetMode="External"/><Relationship Id="rId1185" Type="http://schemas.openxmlformats.org/officeDocument/2006/relationships/hyperlink" Target="https://github.com/FractonicMind/TernaryLogic/blob/main/Governance/Ternary_Logic_as_Constitutional_Triadic_Governance_Architecture_for_High-Stakes_Automated_Decision-Making.md" TargetMode="External"/><Relationship Id="rId591" Type="http://schemas.openxmlformats.org/officeDocument/2006/relationships/hyperlink" Target="https://github.com/FractonicMind/TernaryLogic/blob/main/API/Specification_Architecture.md" TargetMode="External"/><Relationship Id="rId1186" Type="http://schemas.openxmlformats.org/officeDocument/2006/relationships/hyperlink" Target="https://github.com/FractonicMind/TernaryLogic/blob/main/Adversarial_Survivability/TL_Constitutional_Survivability_Under_Adversarial_Pressure.md" TargetMode="External"/><Relationship Id="rId114" Type="http://schemas.openxmlformats.org/officeDocument/2006/relationships/hyperlink" Target="https://github.com/FractonicMind/TernaryLogic/blob/main/API/Specification_Architecture.md" TargetMode="External"/><Relationship Id="rId356" Type="http://schemas.openxmlformats.org/officeDocument/2006/relationships/hyperlink" Target="https://raw.githubusercontent.com/FractonicMind/TernaryLogic/refs/heads/main/No_Spy-No_Weapon/Universal_Scalability_of_TL_NoS-NoW_Prohibitions.md" TargetMode="External"/><Relationship Id="rId598" Type="http://schemas.openxmlformats.org/officeDocument/2006/relationships/hyperlink" Target="https://github.com/FractonicMind/TernaryLogic/blob/main/Adversarial_Survivability/TL_Constitutional_Survivability_Under_Adversarial_Pressure.md" TargetMode="External"/><Relationship Id="rId1187" Type="http://schemas.openxmlformats.org/officeDocument/2006/relationships/hyperlink" Target="https://github.com/FractonicMind/TernaryLogic/blob/main/Adversarial_Survivability/TL_Constitutional_Survivability_Under_Adversarial_Pressure.md" TargetMode="External"/><Relationship Id="rId113" Type="http://schemas.openxmlformats.org/officeDocument/2006/relationships/hyperlink" Target="https://github.com/FractonicMind/TernaryLogic/blob/main/MT_Hardware/MT_System_Architecture_and_Economics.md" TargetMode="External"/><Relationship Id="rId355" Type="http://schemas.openxmlformats.org/officeDocument/2006/relationships/hyperlink" Target="https://raw.githubusercontent.com/FractonicMind/TernaryLogic/refs/heads/main/No_Spy-No_Weapon/Universal_Scalability_of_TL_NoS-NoW_Prohibitions.md" TargetMode="External"/><Relationship Id="rId597" Type="http://schemas.openxmlformats.org/officeDocument/2006/relationships/hyperlink" Target="https://github.com/FractonicMind/TernaryLogic/blob/main/MT_Hardware/MT_System_Architecture_and_Economics.md" TargetMode="External"/><Relationship Id="rId1188" Type="http://schemas.openxmlformats.org/officeDocument/2006/relationships/hyperlink" Target="https://github.com/FractonicMind/TernaryLogic/blob/main/Adversarial_Survivability/TL_Constitutional_Survivability_Under_Adversarial_Pressure.md" TargetMode="External"/><Relationship Id="rId112" Type="http://schemas.openxmlformats.org/officeDocument/2006/relationships/hyperlink" Target="https://github.com/FractonicMind/TernaryLogic/blob/main/MT_Hardware/MT_System_Architecture_and_Economics.md" TargetMode="External"/><Relationship Id="rId354" Type="http://schemas.openxmlformats.org/officeDocument/2006/relationships/hyperlink" Target="https://raw.githubusercontent.com/FractonicMind/TernaryLogic/refs/heads/main/No_Spy-No_Weapon/Universal_Scalability_of_TL_NoS-NoW_Prohibitions.md" TargetMode="External"/><Relationship Id="rId596" Type="http://schemas.openxmlformats.org/officeDocument/2006/relationships/hyperlink" Target="https://github.com/FractonicMind/TernaryLogic/blob/main/MT_Hardware/MT_System_Architecture_and_Economics.md" TargetMode="External"/><Relationship Id="rId1189" Type="http://schemas.openxmlformats.org/officeDocument/2006/relationships/hyperlink" Target="https://github.com/FractonicMind/TernaryLogic/blob/main/Adversarial_Survivability/TL_Constitutional_Survivability_Under_Adversarial_Pressure.md" TargetMode="External"/><Relationship Id="rId111" Type="http://schemas.openxmlformats.org/officeDocument/2006/relationships/hyperlink" Target="https://github.com/FractonicMind/TernaryLogic/blob/main/Governance/Ternary_Logic_as_Constitutional_Triadic_Governance_Architecture_for_High-Stakes_Automated_Decision-Making.md" TargetMode="External"/><Relationship Id="rId353" Type="http://schemas.openxmlformats.org/officeDocument/2006/relationships/hyperlink" Target="https://raw.githubusercontent.com/FractonicMind/TernaryLogic/refs/heads/main/No_Spy-No_Weapon/Universal_Scalability_of_TL_NoS-NoW_Prohibitions.md" TargetMode="External"/><Relationship Id="rId595" Type="http://schemas.openxmlformats.org/officeDocument/2006/relationships/hyperlink" Target="https://github.com/FractonicMind/TernaryLogic/blob/main/Governance/Governance_Complete.md" TargetMode="External"/><Relationship Id="rId1136" Type="http://schemas.openxmlformats.org/officeDocument/2006/relationships/hyperlink" Target="https://github.com/FractonicMind/TernaryLogic/blob/main/The%20Architecture%20Of%20Assured%20Governance%20for%20Global%20Economic%20Systems.md" TargetMode="External"/><Relationship Id="rId1137" Type="http://schemas.openxmlformats.org/officeDocument/2006/relationships/hyperlink" Target="https://github.com/FractonicMind/TernaryLogic/blob/main/The%20Architecture%20Of%20Assured%20Governance%20for%20Global%20Economic%20Systems.md" TargetMode="External"/><Relationship Id="rId1138" Type="http://schemas.openxmlformats.org/officeDocument/2006/relationships/hyperlink" Target="https://github.com/FractonicMind/TernaryLogic/blob/main/The%20Architecture%20Of%20Assured%20Governance%20for%20Global%20Economic%20Systems.md" TargetMode="External"/><Relationship Id="rId1139" Type="http://schemas.openxmlformats.org/officeDocument/2006/relationships/hyperlink" Target="https://github.com/FractonicMind/TernaryLogic/blob/main/The%20Architecture%20Of%20Assured%20Governance%20for%20Global%20Economic%20Systems.md" TargetMode="External"/><Relationship Id="rId305" Type="http://schemas.openxmlformats.org/officeDocument/2006/relationships/hyperlink" Target="https://github.com/FractonicMind/TernaryLogic/blob/main/The%20Architecture%20Of%20Assured%20Governance%20for%20Global%20Economic%20Systems.md" TargetMode="External"/><Relationship Id="rId547" Type="http://schemas.openxmlformats.org/officeDocument/2006/relationships/hyperlink" Target="https://github.com/FractonicMind/TernaryLogic/blob/main/The%20Architecture%20Of%20Assured%20Governance%20for%20Global%20Economic%20Systems.md" TargetMode="External"/><Relationship Id="rId789" Type="http://schemas.openxmlformats.org/officeDocument/2006/relationships/hyperlink" Target="https://github.com/FractonicMind/TernaryLogic/blob/main/Governance/Ternary_Logic_as_Constitutional_Triadic_Governance_Architecture_for_High-Stakes_Automated_Decision-Making.md" TargetMode="External"/><Relationship Id="rId304" Type="http://schemas.openxmlformats.org/officeDocument/2006/relationships/hyperlink" Target="https://github.com/FractonicMind/TernaryLogic/blob/main/The%20Architecture%20Of%20Assured%20Governance%20for%20Global%20Economic%20Systems.md" TargetMode="External"/><Relationship Id="rId546" Type="http://schemas.openxmlformats.org/officeDocument/2006/relationships/hyperlink" Target="https://github.com/FractonicMind/TernaryLogic/blob/main/The%20Architecture%20Of%20Assured%20Governance%20for%20Global%20Economic%20Systems.md" TargetMode="External"/><Relationship Id="rId788" Type="http://schemas.openxmlformats.org/officeDocument/2006/relationships/hyperlink" Target="https://github.com/FractonicMind/TernaryLogic/blob/main/Governance/Ternary_Logic_as_Constitutional_Triadic_Governance_Architecture_for_High-Stakes_Automated_Decision-Making.md" TargetMode="External"/><Relationship Id="rId303" Type="http://schemas.openxmlformats.org/officeDocument/2006/relationships/hyperlink" Target="https://github.com/FractonicMind/TernaryLogic/blob/main/API/Specification_Architecture.md" TargetMode="External"/><Relationship Id="rId545" Type="http://schemas.openxmlformats.org/officeDocument/2006/relationships/hyperlink" Target="https://github.com/FractonicMind/TernaryLogic/blob/main/The%20Architecture%20Of%20Assured%20Governance%20for%20Global%20Economic%20Systems.md" TargetMode="External"/><Relationship Id="rId787" Type="http://schemas.openxmlformats.org/officeDocument/2006/relationships/hyperlink" Target="https://github.com/FractonicMind/TernaryLogic/blob/main/Governance/Ternary_Logic_as_Constitutional_Triadic_Governance_Architecture_for_High-Stakes_Automated_Decision-Making.md" TargetMode="External"/><Relationship Id="rId302" Type="http://schemas.openxmlformats.org/officeDocument/2006/relationships/hyperlink" Target="https://github.com/FractonicMind/TernaryLogic/blob/main/API/Specification_Architecture.md" TargetMode="External"/><Relationship Id="rId544" Type="http://schemas.openxmlformats.org/officeDocument/2006/relationships/hyperlink" Target="https://github.com/FractonicMind/TernaryLogic/blob/main/The%20Architecture%20Of%20Assured%20Governance%20for%20Global%20Economic%20Systems.md" TargetMode="External"/><Relationship Id="rId786" Type="http://schemas.openxmlformats.org/officeDocument/2006/relationships/hyperlink" Target="https://github.com/FractonicMind/TernaryLogic/blob/main/Governance/Ternary_Logic_as_Constitutional_Triadic_Governance_Architecture_for_High-Stakes_Automated_Decision-Making.md" TargetMode="External"/><Relationship Id="rId309" Type="http://schemas.openxmlformats.org/officeDocument/2006/relationships/hyperlink" Target="https://github.com/FractonicMind/TernaryLogic/blob/main/API/Specification_Architecture.md" TargetMode="External"/><Relationship Id="rId308" Type="http://schemas.openxmlformats.org/officeDocument/2006/relationships/hyperlink" Target="https://github.com/FractonicMind/TernaryLogic/blob/main/API/Specification_Architecture.md" TargetMode="External"/><Relationship Id="rId307" Type="http://schemas.openxmlformats.org/officeDocument/2006/relationships/hyperlink" Target="https://github.com/FractonicMind/TernaryLogic/blob/main/The%20Architecture%20Of%20Assured%20Governance%20for%20Global%20Economic%20Systems.md" TargetMode="External"/><Relationship Id="rId549" Type="http://schemas.openxmlformats.org/officeDocument/2006/relationships/hyperlink" Target="https://github.com/FractonicMind/TernaryLogic/blob/main/The%20Architecture%20Of%20Assured%20Governance%20for%20Global%20Economic%20Systems.md" TargetMode="External"/><Relationship Id="rId306" Type="http://schemas.openxmlformats.org/officeDocument/2006/relationships/hyperlink" Target="https://github.com/FractonicMind/TernaryLogic/blob/main/The%20Architecture%20Of%20Assured%20Governance%20for%20Global%20Economic%20Systems.md" TargetMode="External"/><Relationship Id="rId548" Type="http://schemas.openxmlformats.org/officeDocument/2006/relationships/hyperlink" Target="https://github.com/FractonicMind/TernaryLogic/blob/main/The%20Architecture%20Of%20Assured%20Governance%20for%20Global%20Economic%20Systems.md" TargetMode="External"/><Relationship Id="rId781" Type="http://schemas.openxmlformats.org/officeDocument/2006/relationships/hyperlink" Target="https://github.com/FractonicMind/TernaryLogic/blob/main/Governance/Ternary_Logic_as_Constitutional_Triadic_Governance_Architecture_for_High-Stakes_Automated_Decision-Making.md" TargetMode="External"/><Relationship Id="rId780" Type="http://schemas.openxmlformats.org/officeDocument/2006/relationships/hyperlink" Target="https://github.com/FractonicMind/TernaryLogic/blob/main/Governance/Ternary_Logic_as_Constitutional_Triadic_Governance_Architecture_for_High-Stakes_Automated_Decision-Making.md" TargetMode="External"/><Relationship Id="rId1130" Type="http://schemas.openxmlformats.org/officeDocument/2006/relationships/hyperlink" Target="https://github.com/FractonicMind/TernaryLogic/blob/main/MT_Hardware/MT_System_Architecture_and_Economics.md" TargetMode="External"/><Relationship Id="rId1131" Type="http://schemas.openxmlformats.org/officeDocument/2006/relationships/hyperlink" Target="https://github.com/FractonicMind/TernaryLogic/blob/main/MT_Hardware/MT_System_Architecture_and_Economics.md" TargetMode="External"/><Relationship Id="rId301" Type="http://schemas.openxmlformats.org/officeDocument/2006/relationships/hyperlink" Target="https://github.com/FractonicMind/TernaryLogic/blob/main/API/Specification_Architecture.md" TargetMode="External"/><Relationship Id="rId543" Type="http://schemas.openxmlformats.org/officeDocument/2006/relationships/hyperlink" Target="https://www.imf.org/en/publications/policy-papers/issues/2024/11/08/central-bank-digital-currency-progress-and-further-considerations-557194" TargetMode="External"/><Relationship Id="rId785" Type="http://schemas.openxmlformats.org/officeDocument/2006/relationships/hyperlink" Target="https://github.com/FractonicMind/TernaryLogic/blob/main/Governance/Ternary_Logic_as_Constitutional_Triadic_Governance_Architecture_for_High-Stakes_Automated_Decision-Making.md" TargetMode="External"/><Relationship Id="rId1132" Type="http://schemas.openxmlformats.org/officeDocument/2006/relationships/hyperlink" Target="https://github.com/FractonicMind/TernaryLogic/blob/main/Governance/Ternary_Logic_as_Constitutional_Triadic_Governance_Architecture_for_High-Stakes_Automated_Decision-Making.md" TargetMode="External"/><Relationship Id="rId300" Type="http://schemas.openxmlformats.org/officeDocument/2006/relationships/hyperlink" Target="https://github.com/FractonicMind/TernaryLogic/blob/main/API/Specification_Architecture.md" TargetMode="External"/><Relationship Id="rId542" Type="http://schemas.openxmlformats.org/officeDocument/2006/relationships/hyperlink" Target="https://www.imf.org/en/publications/policy-papers/issues/2024/11/08/central-bank-digital-currency-progress-and-further-considerations-557194" TargetMode="External"/><Relationship Id="rId784" Type="http://schemas.openxmlformats.org/officeDocument/2006/relationships/hyperlink" Target="https://github.com/FractonicMind/TernaryLogic/blob/main/Governance/Ternary_Logic_as_Constitutional_Triadic_Governance_Architecture_for_High-Stakes_Automated_Decision-Making.md" TargetMode="External"/><Relationship Id="rId1133" Type="http://schemas.openxmlformats.org/officeDocument/2006/relationships/hyperlink" Target="https://github.com/FractonicMind/TernaryLogic/blob/main/Governance/Ternary_Logic_as_Constitutional_Triadic_Governance_Architecture_for_High-Stakes_Automated_Decision-Making.md" TargetMode="External"/><Relationship Id="rId541" Type="http://schemas.openxmlformats.org/officeDocument/2006/relationships/hyperlink" Target="https://github.com/FractonicMind/TernaryLogic/blob/main/The%20Architecture%20Of%20Assured%20Governance%20for%20Global%20Economic%20Systems.md" TargetMode="External"/><Relationship Id="rId783" Type="http://schemas.openxmlformats.org/officeDocument/2006/relationships/hyperlink" Target="https://github.com/FractonicMind/TernaryLogic/blob/main/Governance/Ternary_Logic_as_Constitutional_Triadic_Governance_Architecture_for_High-Stakes_Automated_Decision-Making.md" TargetMode="External"/><Relationship Id="rId1134" Type="http://schemas.openxmlformats.org/officeDocument/2006/relationships/hyperlink" Target="https://github.com/FractonicMind/TernaryLogic/blob/main/The%20Architecture%20Of%20Assured%20Governance%20for%20Global%20Economic%20Systems.md" TargetMode="External"/><Relationship Id="rId540" Type="http://schemas.openxmlformats.org/officeDocument/2006/relationships/hyperlink" Target="https://github.com/FractonicMind/TernaryLogic/blob/main/The%20Architecture%20Of%20Assured%20Governance%20for%20Global%20Economic%20Systems.md" TargetMode="External"/><Relationship Id="rId782" Type="http://schemas.openxmlformats.org/officeDocument/2006/relationships/hyperlink" Target="https://github.com/FractonicMind/TernaryLogic/blob/main/Governance/Ternary_Logic_as_Constitutional_Triadic_Governance_Architecture_for_High-Stakes_Automated_Decision-Making.md" TargetMode="External"/><Relationship Id="rId1135" Type="http://schemas.openxmlformats.org/officeDocument/2006/relationships/hyperlink" Target="https://github.com/FractonicMind/TernaryLogic/blob/main/The%20Architecture%20Of%20Assured%20Governance%20for%20Global%20Economic%20Systems.md" TargetMode="External"/><Relationship Id="rId1125" Type="http://schemas.openxmlformats.org/officeDocument/2006/relationships/hyperlink" Target="https://github.com/FractonicMind/TernaryLogic/blob/main/The%20Architecture%20Of%20Assured%20Governance%20for%20Global%20Economic%20Systems.md" TargetMode="External"/><Relationship Id="rId1126" Type="http://schemas.openxmlformats.org/officeDocument/2006/relationships/hyperlink" Target="https://github.com/FractonicMind/TernaryLogic/blob/main/MT_Hardware/MT_System_Architecture_and_Economics.md" TargetMode="External"/><Relationship Id="rId1127" Type="http://schemas.openxmlformats.org/officeDocument/2006/relationships/hyperlink" Target="https://github.com/FractonicMind/TernaryLogic/blob/main/MT_Hardware/MT_System_Architecture_and_Economics.md" TargetMode="External"/><Relationship Id="rId1128" Type="http://schemas.openxmlformats.org/officeDocument/2006/relationships/hyperlink" Target="https://github.com/FractonicMind/TernaryLogic/blob/main/MT_Hardware/MT_System_Architecture_and_Economics.md" TargetMode="External"/><Relationship Id="rId1129" Type="http://schemas.openxmlformats.org/officeDocument/2006/relationships/hyperlink" Target="https://github.com/FractonicMind/TernaryLogic/blob/main/MT_Hardware/MT_System_Architecture_and_Economics.md" TargetMode="External"/><Relationship Id="rId536" Type="http://schemas.openxmlformats.org/officeDocument/2006/relationships/hyperlink" Target="https://github.com/FractonicMind/TernaryLogic/blob/main/The%20Architecture%20Of%20Assured%20Governance%20for%20Global%20Economic%20Systems.md" TargetMode="External"/><Relationship Id="rId778" Type="http://schemas.openxmlformats.org/officeDocument/2006/relationships/hyperlink" Target="https://github.com/FractonicMind/TernaryLogic/blob/main/Governance/Ternary_Logic_as_Constitutional_Triadic_Governance_Architecture_for_High-Stakes_Automated_Decision-Making.md" TargetMode="External"/><Relationship Id="rId535" Type="http://schemas.openxmlformats.org/officeDocument/2006/relationships/hyperlink" Target="https://github.com/FractonicMind/TernaryLogic/blob/main/MT_Hardware/MT_System_Architecture_and_Economics.md" TargetMode="External"/><Relationship Id="rId777" Type="http://schemas.openxmlformats.org/officeDocument/2006/relationships/hyperlink" Target="https://github.com/FractonicMind/TernaryLogic/blob/main/Governance/Ternary_Logic_as_Constitutional_Triadic_Governance_Architecture_for_High-Stakes_Automated_Decision-Making.md" TargetMode="External"/><Relationship Id="rId534" Type="http://schemas.openxmlformats.org/officeDocument/2006/relationships/hyperlink" Target="https://github.com/FractonicMind/TernaryLogic/blob/main/MT_Hardware/MT_System_Architecture_and_Economics.md" TargetMode="External"/><Relationship Id="rId776" Type="http://schemas.openxmlformats.org/officeDocument/2006/relationships/hyperlink" Target="https://github.com/FractonicMind/TernaryLogic/blob/main/Governance/Ternary_Logic_as_Constitutional_Triadic_Governance_Architecture_for_High-Stakes_Automated_Decision-Making.md" TargetMode="External"/><Relationship Id="rId533" Type="http://schemas.openxmlformats.org/officeDocument/2006/relationships/hyperlink" Target="https://github.com/FractonicMind/TernaryLogic/blob/main/The%20Architecture%20Of%20Assured%20Governance%20for%20Global%20Economic%20Systems.md" TargetMode="External"/><Relationship Id="rId775" Type="http://schemas.openxmlformats.org/officeDocument/2006/relationships/hyperlink" Target="https://github.com/FractonicMind/TernaryLogic/blob/main/Governance/Ternary_Logic_as_Constitutional_Triadic_Governance_Architecture_for_High-Stakes_Automated_Decision-Making.md" TargetMode="External"/><Relationship Id="rId539" Type="http://schemas.openxmlformats.org/officeDocument/2006/relationships/hyperlink" Target="https://github.com/FractonicMind/TernaryLogic/blob/main/API/Specification_Architecture.md" TargetMode="External"/><Relationship Id="rId538" Type="http://schemas.openxmlformats.org/officeDocument/2006/relationships/hyperlink" Target="https://github.com/FractonicMind/TernaryLogic/blob/main/API/Specification_Architecture.md" TargetMode="External"/><Relationship Id="rId537" Type="http://schemas.openxmlformats.org/officeDocument/2006/relationships/hyperlink" Target="https://github.com/FractonicMind/TernaryLogic/blob/main/The%20Architecture%20Of%20Assured%20Governance%20for%20Global%20Economic%20Systems.md" TargetMode="External"/><Relationship Id="rId779" Type="http://schemas.openxmlformats.org/officeDocument/2006/relationships/hyperlink" Target="https://github.com/FractonicMind/TernaryLogic/blob/main/Governance/Ternary_Logic_as_Constitutional_Triadic_Governance_Architecture_for_High-Stakes_Automated_Decision-Making.md" TargetMode="External"/><Relationship Id="rId770" Type="http://schemas.openxmlformats.org/officeDocument/2006/relationships/hyperlink" Target="https://github.com/FractonicMind/TernaryLogic/blob/main/Governance/Ternary_Logic_as_Constitutional_Triadic_Governance_Architecture_for_High-Stakes_Automated_Decision-Making.md" TargetMode="External"/><Relationship Id="rId1120" Type="http://schemas.openxmlformats.org/officeDocument/2006/relationships/hyperlink" Target="https://github.com/FractonicMind/TernaryLogic/blob/main/The%20Architecture%20Of%20Assured%20Governance%20for%20Global%20Economic%20Systems.md" TargetMode="External"/><Relationship Id="rId532" Type="http://schemas.openxmlformats.org/officeDocument/2006/relationships/hyperlink" Target="https://github.com/FractonicMind/TernaryLogic/blob/main/The%20Architecture%20Of%20Assured%20Governance%20for%20Global%20Economic%20Systems.md" TargetMode="External"/><Relationship Id="rId774" Type="http://schemas.openxmlformats.org/officeDocument/2006/relationships/hyperlink" Target="https://github.com/FractonicMind/TernaryLogic/blob/main/Governance/Ternary_Logic_as_Constitutional_Triadic_Governance_Architecture_for_High-Stakes_Automated_Decision-Making.md" TargetMode="External"/><Relationship Id="rId1121" Type="http://schemas.openxmlformats.org/officeDocument/2006/relationships/hyperlink" Target="https://github.com/FractonicMind/TernaryLogic/blob/main/The%20Architecture%20Of%20Assured%20Governance%20for%20Global%20Economic%20Systems.md" TargetMode="External"/><Relationship Id="rId531" Type="http://schemas.openxmlformats.org/officeDocument/2006/relationships/hyperlink" Target="https://github.com/FractonicMind/TernaryLogic/blob/main/API/Specification_Architecture.md" TargetMode="External"/><Relationship Id="rId773" Type="http://schemas.openxmlformats.org/officeDocument/2006/relationships/hyperlink" Target="https://github.com/FractonicMind/TernaryLogic/blob/main/Governance/Ternary_Logic_as_Constitutional_Triadic_Governance_Architecture_for_High-Stakes_Automated_Decision-Making.md" TargetMode="External"/><Relationship Id="rId1122" Type="http://schemas.openxmlformats.org/officeDocument/2006/relationships/hyperlink" Target="https://github.com/FractonicMind/TernaryLogic/blob/main/MT_Hardware/MT_System_Architecture_and_Economics.md" TargetMode="External"/><Relationship Id="rId530" Type="http://schemas.openxmlformats.org/officeDocument/2006/relationships/hyperlink" Target="https://github.com/FractonicMind/TernaryLogic/blob/main/API/Specification_Architecture.md" TargetMode="External"/><Relationship Id="rId772" Type="http://schemas.openxmlformats.org/officeDocument/2006/relationships/hyperlink" Target="https://github.com/FractonicMind/TernaryLogic/blob/main/Governance/Ternary_Logic_as_Constitutional_Triadic_Governance_Architecture_for_High-Stakes_Automated_Decision-Making.md" TargetMode="External"/><Relationship Id="rId1123" Type="http://schemas.openxmlformats.org/officeDocument/2006/relationships/hyperlink" Target="https://github.com/FractonicMind/TernaryLogic/blob/main/MT_Hardware/MT_System_Architecture_and_Economics.md" TargetMode="External"/><Relationship Id="rId771" Type="http://schemas.openxmlformats.org/officeDocument/2006/relationships/hyperlink" Target="https://github.com/FractonicMind/TernaryLogic/blob/main/Governance/Ternary_Logic_as_Constitutional_Triadic_Governance_Architecture_for_High-Stakes_Automated_Decision-Making.md" TargetMode="External"/><Relationship Id="rId1124" Type="http://schemas.openxmlformats.org/officeDocument/2006/relationships/hyperlink" Target="https://github.com/FractonicMind/TernaryLogic/blob/main/The%20Architecture%20Of%20Assured%20Governance%20for%20Global%20Economic%20Systems.md" TargetMode="External"/><Relationship Id="rId1158" Type="http://schemas.openxmlformats.org/officeDocument/2006/relationships/hyperlink" Target="https://github.com/FractonicMind/TernaryLogic/blob/main/Adversarial_Survivability/TL_Constitutional_Survivability_Under_Adversarial_Pressure.md" TargetMode="External"/><Relationship Id="rId1159" Type="http://schemas.openxmlformats.org/officeDocument/2006/relationships/hyperlink" Target="https://github.com/FractonicMind/TernaryLogic/blob/main/Adversarial_Survivability/TL_Constitutional_Survivability_Under_Adversarial_Pressure.md" TargetMode="External"/><Relationship Id="rId327" Type="http://schemas.openxmlformats.org/officeDocument/2006/relationships/hyperlink" Target="https://github.com/FractonicMind/TernaryLogic/blob/main/API/Specification_Architecture.md" TargetMode="External"/><Relationship Id="rId569" Type="http://schemas.openxmlformats.org/officeDocument/2006/relationships/hyperlink" Target="https://github.com/FractonicMind/TernaryLogic/blob/main/API/Specification_Architecture.md" TargetMode="External"/><Relationship Id="rId326" Type="http://schemas.openxmlformats.org/officeDocument/2006/relationships/hyperlink" Target="https://github.com/FractonicMind/TernaryLogic/blob/main/API/Specification_Architecture.md" TargetMode="External"/><Relationship Id="rId568" Type="http://schemas.openxmlformats.org/officeDocument/2006/relationships/hyperlink" Target="https://github.com/FractonicMind/TernaryLogic/blob/main/API/Specification_Architecture.md" TargetMode="External"/><Relationship Id="rId325" Type="http://schemas.openxmlformats.org/officeDocument/2006/relationships/hyperlink" Target="https://github.com/FractonicMind/TernaryLogic/blob/main/Governance/Ternary_Logic_as_Constitutional_Triadic_Governance_Architecture_for_High-Stakes_Automated_Decision-Making.md" TargetMode="External"/><Relationship Id="rId567" Type="http://schemas.openxmlformats.org/officeDocument/2006/relationships/hyperlink" Target="https://www.consultancy.eu/news/11237/the-eu-ai-act-the-impact-on-financial-services-institutions" TargetMode="External"/><Relationship Id="rId324" Type="http://schemas.openxmlformats.org/officeDocument/2006/relationships/hyperlink" Target="https://github.com/FractonicMind/TernaryLogic/blob/main/Governance/Ternary_Logic_as_Constitutional_Triadic_Governance_Architecture_for_High-Stakes_Automated_Decision-Making.md" TargetMode="External"/><Relationship Id="rId566" Type="http://schemas.openxmlformats.org/officeDocument/2006/relationships/hyperlink" Target="https://www.consultancy.eu/news/11237/the-eu-ai-act-the-impact-on-financial-services-institutions" TargetMode="External"/><Relationship Id="rId329" Type="http://schemas.openxmlformats.org/officeDocument/2006/relationships/hyperlink" Target="https://github.com/FractonicMind/TernaryLogic/blob/main/API/Specification_Architecture.md" TargetMode="External"/><Relationship Id="rId328" Type="http://schemas.openxmlformats.org/officeDocument/2006/relationships/hyperlink" Target="https://github.com/FractonicMind/TernaryLogic/blob/main/API/Specification_Architecture.md" TargetMode="External"/><Relationship Id="rId561" Type="http://schemas.openxmlformats.org/officeDocument/2006/relationships/hyperlink" Target="https://ec.europa.eu/digital-building-blocks/sites/spaces/DIGITAL/pages/880312429/eSignature+FAQ" TargetMode="External"/><Relationship Id="rId1150" Type="http://schemas.openxmlformats.org/officeDocument/2006/relationships/hyperlink" Target="https://raw.githubusercontent.com/FractonicMind/TernaryLogic/refs/heads/main/No_Spy-No_Weapon/Universal_Scalability_of_TL_Under_the_NoS-NoW_Mandate.md" TargetMode="External"/><Relationship Id="rId560" Type="http://schemas.openxmlformats.org/officeDocument/2006/relationships/hyperlink" Target="https://ec.europa.eu/digital-building-blocks/sites/spaces/DIGITAL/pages/880312429/eSignature+FAQ" TargetMode="External"/><Relationship Id="rId1151" Type="http://schemas.openxmlformats.org/officeDocument/2006/relationships/hyperlink" Target="https://raw.githubusercontent.com/FractonicMind/TernaryLogic/refs/heads/main/No_Spy-No_Weapon/Universal_Scalability_of_TL_Under_the_NoS-NoW_Mandate.md" TargetMode="External"/><Relationship Id="rId1152" Type="http://schemas.openxmlformats.org/officeDocument/2006/relationships/hyperlink" Target="https://github.com/FractonicMind/TernaryLogic/blob/main/MT_Hardware/MT_System_Architecture_and_Economics.md" TargetMode="External"/><Relationship Id="rId1153" Type="http://schemas.openxmlformats.org/officeDocument/2006/relationships/hyperlink" Target="https://github.com/FractonicMind/TernaryLogic/blob/main/MT_Hardware/MT_System_Architecture_and_Economics.md" TargetMode="External"/><Relationship Id="rId323" Type="http://schemas.openxmlformats.org/officeDocument/2006/relationships/hyperlink" Target="https://github.com/FractonicMind/TernaryLogic/blob/main/The%20Architecture%20Of%20Assured%20Governance%20for%20Global%20Economic%20Systems.md" TargetMode="External"/><Relationship Id="rId565" Type="http://schemas.openxmlformats.org/officeDocument/2006/relationships/hyperlink" Target="https://github.com/FractonicMind/TernaryLogic/blob/main/API/Specification_Architecture.md" TargetMode="External"/><Relationship Id="rId1154" Type="http://schemas.openxmlformats.org/officeDocument/2006/relationships/hyperlink" Target="https://github.com/FractonicMind/TernaryLogic/blob/main/The%20Architecture%20Of%20Assured%20Governance%20for%20Global%20Economic%20Systems.md" TargetMode="External"/><Relationship Id="rId322" Type="http://schemas.openxmlformats.org/officeDocument/2006/relationships/hyperlink" Target="https://github.com/FractonicMind/TernaryLogic/blob/main/The%20Architecture%20Of%20Assured%20Governance%20for%20Global%20Economic%20Systems.md" TargetMode="External"/><Relationship Id="rId564" Type="http://schemas.openxmlformats.org/officeDocument/2006/relationships/hyperlink" Target="https://github.com/FractonicMind/TernaryLogic/blob/main/API/Specification_Architecture.md" TargetMode="External"/><Relationship Id="rId1155" Type="http://schemas.openxmlformats.org/officeDocument/2006/relationships/hyperlink" Target="https://github.com/FractonicMind/TernaryLogic/blob/main/The%20Architecture%20Of%20Assured%20Governance%20for%20Global%20Economic%20Systems.md" TargetMode="External"/><Relationship Id="rId321" Type="http://schemas.openxmlformats.org/officeDocument/2006/relationships/hyperlink" Target="https://github.com/FractonicMind/TernaryLogic/blob/main/API/Specification_Architecture.md" TargetMode="External"/><Relationship Id="rId563" Type="http://schemas.openxmlformats.org/officeDocument/2006/relationships/hyperlink" Target="https://github.com/FractonicMind/TernaryLogic/blob/main/API/Specification_Architecture.md" TargetMode="External"/><Relationship Id="rId1156" Type="http://schemas.openxmlformats.org/officeDocument/2006/relationships/hyperlink" Target="https://github.com/FractonicMind/TernaryLogic/blob/main/Adversarial_Survivability/TL_Constitutional_Survivability_Under_Adversarial_Pressure.md" TargetMode="External"/><Relationship Id="rId320" Type="http://schemas.openxmlformats.org/officeDocument/2006/relationships/hyperlink" Target="https://github.com/FractonicMind/TernaryLogic/blob/main/API/Specification_Architecture.md" TargetMode="External"/><Relationship Id="rId562" Type="http://schemas.openxmlformats.org/officeDocument/2006/relationships/hyperlink" Target="https://github.com/FractonicMind/TernaryLogic/blob/main/API/Specification_Architecture.md" TargetMode="External"/><Relationship Id="rId1157" Type="http://schemas.openxmlformats.org/officeDocument/2006/relationships/hyperlink" Target="https://github.com/FractonicMind/TernaryLogic/blob/main/Adversarial_Survivability/TL_Constitutional_Survivability_Under_Adversarial_Pressure.md" TargetMode="External"/><Relationship Id="rId1147" Type="http://schemas.openxmlformats.org/officeDocument/2006/relationships/hyperlink" Target="https://github.com/FractonicMind/TernaryLogic/blob/main/The%20Architecture%20Of%20Assured%20Governance%20for%20Global%20Economic%20Systems.md" TargetMode="External"/><Relationship Id="rId1148" Type="http://schemas.openxmlformats.org/officeDocument/2006/relationships/hyperlink" Target="https://raw.githubusercontent.com/FractonicMind/TernaryLogic/refs/heads/main/No_Spy-No_Weapon/Universal_Scalability_of_TL_Under_the_NoS-NoW_Mandate.md" TargetMode="External"/><Relationship Id="rId1149" Type="http://schemas.openxmlformats.org/officeDocument/2006/relationships/hyperlink" Target="https://raw.githubusercontent.com/FractonicMind/TernaryLogic/refs/heads/main/No_Spy-No_Weapon/Universal_Scalability_of_TL_Under_the_NoS-NoW_Mandate.md" TargetMode="External"/><Relationship Id="rId316" Type="http://schemas.openxmlformats.org/officeDocument/2006/relationships/hyperlink" Target="https://github.com/FractonicMind/TernaryLogic/blob/main/API/Specification_Architecture.md" TargetMode="External"/><Relationship Id="rId558" Type="http://schemas.openxmlformats.org/officeDocument/2006/relationships/hyperlink" Target="https://github.com/FractonicMind/TernaryLogic/blob/main/The%20Architecture%20Of%20Assured%20Governance%20for%20Global%20Economic%20Systems.md" TargetMode="External"/><Relationship Id="rId315" Type="http://schemas.openxmlformats.org/officeDocument/2006/relationships/hyperlink" Target="https://github.com/FractonicMind/TernaryLogic/blob/main/The%20Architecture%20Of%20Assured%20Governance%20for%20Global%20Economic%20Systems.md" TargetMode="External"/><Relationship Id="rId557" Type="http://schemas.openxmlformats.org/officeDocument/2006/relationships/hyperlink" Target="https://github.com/FractonicMind/TernaryLogic/blob/main/API/Specification_Architecture.md" TargetMode="External"/><Relationship Id="rId799" Type="http://schemas.openxmlformats.org/officeDocument/2006/relationships/hyperlink" Target="https://github.com/FractonicMind/TernaryLogic/blob/main/Governance/Ternary_Logic_as_Constitutional_Triadic_Governance_Architecture_for_High-Stakes_Automated_Decision-Making.md" TargetMode="External"/><Relationship Id="rId314" Type="http://schemas.openxmlformats.org/officeDocument/2006/relationships/hyperlink" Target="https://github.com/FractonicMind/TernaryLogic/blob/main/The%20Architecture%20Of%20Assured%20Governance%20for%20Global%20Economic%20Systems.md" TargetMode="External"/><Relationship Id="rId556" Type="http://schemas.openxmlformats.org/officeDocument/2006/relationships/hyperlink" Target="https://github.com/FractonicMind/TernaryLogic/blob/main/API/Specification_Architecture.md" TargetMode="External"/><Relationship Id="rId798" Type="http://schemas.openxmlformats.org/officeDocument/2006/relationships/hyperlink" Target="https://github.com/FractonicMind/TernaryLogic/blob/main/Governance/Ternary_Logic_as_Constitutional_Triadic_Governance_Architecture_for_High-Stakes_Automated_Decision-Making.md" TargetMode="External"/><Relationship Id="rId313" Type="http://schemas.openxmlformats.org/officeDocument/2006/relationships/hyperlink" Target="https://github.com/FractonicMind/TernaryLogic/blob/main/The%20Architecture%20Of%20Assured%20Governance%20for%20Global%20Economic%20Systems.md" TargetMode="External"/><Relationship Id="rId555" Type="http://schemas.openxmlformats.org/officeDocument/2006/relationships/hyperlink" Target="https://www.frontiersin.org/journals/blockchain/articles/10.3389/fbloc.2026.1783805/full" TargetMode="External"/><Relationship Id="rId797" Type="http://schemas.openxmlformats.org/officeDocument/2006/relationships/hyperlink" Target="https://github.com/FractonicMind/TernaryLogic/blob/main/Governance/Ternary_Logic_as_Constitutional_Triadic_Governance_Architecture_for_High-Stakes_Automated_Decision-Making.md" TargetMode="External"/><Relationship Id="rId319" Type="http://schemas.openxmlformats.org/officeDocument/2006/relationships/hyperlink" Target="https://github.com/FractonicMind/TernaryLogic/blob/main/The%20Architecture%20Of%20Assured%20Governance%20for%20Global%20Economic%20Systems.md" TargetMode="External"/><Relationship Id="rId318" Type="http://schemas.openxmlformats.org/officeDocument/2006/relationships/hyperlink" Target="https://github.com/FractonicMind/TernaryLogic/blob/main/The%20Architecture%20Of%20Assured%20Governance%20for%20Global%20Economic%20Systems.md" TargetMode="External"/><Relationship Id="rId317" Type="http://schemas.openxmlformats.org/officeDocument/2006/relationships/hyperlink" Target="https://github.com/FractonicMind/TernaryLogic/blob/main/API/Specification_Architecture.md" TargetMode="External"/><Relationship Id="rId559" Type="http://schemas.openxmlformats.org/officeDocument/2006/relationships/hyperlink" Target="https://github.com/FractonicMind/TernaryLogic/blob/main/The%20Architecture%20Of%20Assured%20Governance%20for%20Global%20Economic%20Systems.md" TargetMode="External"/><Relationship Id="rId550" Type="http://schemas.openxmlformats.org/officeDocument/2006/relationships/hyperlink" Target="https://github.com/FractonicMind/TernaryLogic/blob/main/The%20Architecture%20Of%20Assured%20Governance%20for%20Global%20Economic%20Systems.md" TargetMode="External"/><Relationship Id="rId792" Type="http://schemas.openxmlformats.org/officeDocument/2006/relationships/hyperlink" Target="https://github.com/FractonicMind/TernaryLogic/blob/main/Governance/Ternary_Logic_as_Constitutional_Triadic_Governance_Architecture_for_High-Stakes_Automated_Decision-Making.md" TargetMode="External"/><Relationship Id="rId791" Type="http://schemas.openxmlformats.org/officeDocument/2006/relationships/hyperlink" Target="https://github.com/FractonicMind/TernaryLogic/blob/main/Governance/Ternary_Logic_as_Constitutional_Triadic_Governance_Architecture_for_High-Stakes_Automated_Decision-Making.md" TargetMode="External"/><Relationship Id="rId1140" Type="http://schemas.openxmlformats.org/officeDocument/2006/relationships/hyperlink" Target="https://github.com/FractonicMind/TernaryLogic/blob/main/The%20Architecture%20Of%20Assured%20Governance%20for%20Global%20Economic%20Systems.md" TargetMode="External"/><Relationship Id="rId790" Type="http://schemas.openxmlformats.org/officeDocument/2006/relationships/hyperlink" Target="https://github.com/FractonicMind/TernaryLogic/blob/main/Governance/Ternary_Logic_as_Constitutional_Triadic_Governance_Architecture_for_High-Stakes_Automated_Decision-Making.md" TargetMode="External"/><Relationship Id="rId1141" Type="http://schemas.openxmlformats.org/officeDocument/2006/relationships/hyperlink" Target="https://github.com/FractonicMind/TernaryLogic/blob/main/The%20Architecture%20Of%20Assured%20Governance%20for%20Global%20Economic%20Systems.md" TargetMode="External"/><Relationship Id="rId1142" Type="http://schemas.openxmlformats.org/officeDocument/2006/relationships/hyperlink" Target="https://github.com/FractonicMind/TernaryLogic/blob/main/The%20Architecture%20Of%20Assured%20Governance%20for%20Global%20Economic%20Systems.md" TargetMode="External"/><Relationship Id="rId312" Type="http://schemas.openxmlformats.org/officeDocument/2006/relationships/hyperlink" Target="https://github.com/FractonicMind/TernaryLogic/blob/main/The%20Architecture%20Of%20Assured%20Governance%20for%20Global%20Economic%20Systems.md" TargetMode="External"/><Relationship Id="rId554" Type="http://schemas.openxmlformats.org/officeDocument/2006/relationships/hyperlink" Target="https://www.frontiersin.org/journals/blockchain/articles/10.3389/fbloc.2026.1783805/full" TargetMode="External"/><Relationship Id="rId796" Type="http://schemas.openxmlformats.org/officeDocument/2006/relationships/hyperlink" Target="https://github.com/FractonicMind/TernaryLogic/blob/main/Governance/Ternary_Logic_as_Constitutional_Triadic_Governance_Architecture_for_High-Stakes_Automated_Decision-Making.md" TargetMode="External"/><Relationship Id="rId1143" Type="http://schemas.openxmlformats.org/officeDocument/2006/relationships/hyperlink" Target="https://github.com/FractonicMind/TernaryLogic/blob/main/The%20Architecture%20Of%20Assured%20Governance%20for%20Global%20Economic%20Systems.md" TargetMode="External"/><Relationship Id="rId311" Type="http://schemas.openxmlformats.org/officeDocument/2006/relationships/hyperlink" Target="https://github.com/FractonicMind/TernaryLogic/blob/main/API/Specification_Architecture.md" TargetMode="External"/><Relationship Id="rId553" Type="http://schemas.openxmlformats.org/officeDocument/2006/relationships/hyperlink" Target="https://github.com/FractonicMind/TernaryLogic/blob/main/The%20Architecture%20Of%20Assured%20Governance%20for%20Global%20Economic%20Systems.md" TargetMode="External"/><Relationship Id="rId795" Type="http://schemas.openxmlformats.org/officeDocument/2006/relationships/hyperlink" Target="https://github.com/FractonicMind/TernaryLogic/blob/main/Governance/Ternary_Logic_as_Constitutional_Triadic_Governance_Architecture_for_High-Stakes_Automated_Decision-Making.md" TargetMode="External"/><Relationship Id="rId1144" Type="http://schemas.openxmlformats.org/officeDocument/2006/relationships/hyperlink" Target="https://github.com/FractonicMind/TernaryLogic/blob/main/The%20Architecture%20Of%20Assured%20Governance%20for%20Global%20Economic%20Systems.md" TargetMode="External"/><Relationship Id="rId310" Type="http://schemas.openxmlformats.org/officeDocument/2006/relationships/hyperlink" Target="https://github.com/FractonicMind/TernaryLogic/blob/main/API/Specification_Architecture.md" TargetMode="External"/><Relationship Id="rId552" Type="http://schemas.openxmlformats.org/officeDocument/2006/relationships/hyperlink" Target="https://github.com/FractonicMind/TernaryLogic/blob/main/The%20Architecture%20Of%20Assured%20Governance%20for%20Global%20Economic%20Systems.md" TargetMode="External"/><Relationship Id="rId794" Type="http://schemas.openxmlformats.org/officeDocument/2006/relationships/hyperlink" Target="https://github.com/FractonicMind/TernaryLogic/blob/main/Governance/Ternary_Logic_as_Constitutional_Triadic_Governance_Architecture_for_High-Stakes_Automated_Decision-Making.md" TargetMode="External"/><Relationship Id="rId1145" Type="http://schemas.openxmlformats.org/officeDocument/2006/relationships/hyperlink" Target="https://github.com/FractonicMind/TernaryLogic/blob/main/The%20Architecture%20Of%20Assured%20Governance%20for%20Global%20Economic%20Systems.md" TargetMode="External"/><Relationship Id="rId551" Type="http://schemas.openxmlformats.org/officeDocument/2006/relationships/hyperlink" Target="https://github.com/FractonicMind/TernaryLogic/blob/main/The%20Architecture%20Of%20Assured%20Governance%20for%20Global%20Economic%20Systems.md" TargetMode="External"/><Relationship Id="rId793" Type="http://schemas.openxmlformats.org/officeDocument/2006/relationships/hyperlink" Target="https://github.com/FractonicMind/TernaryLogic/blob/main/Governance/Ternary_Logic_as_Constitutional_Triadic_Governance_Architecture_for_High-Stakes_Automated_Decision-Making.md" TargetMode="External"/><Relationship Id="rId1146" Type="http://schemas.openxmlformats.org/officeDocument/2006/relationships/hyperlink" Target="https://github.com/FractonicMind/TernaryLogic/blob/main/The%20Architecture%20Of%20Assured%20Governance%20for%20Global%20Economic%20Systems.md" TargetMode="External"/><Relationship Id="rId297" Type="http://schemas.openxmlformats.org/officeDocument/2006/relationships/hyperlink" Target="https://github.com/FractonicMind/TernaryLogic/blob/main/The%20Architecture%20Of%20Assured%20Governance%20for%20Global%20Economic%20Systems.md" TargetMode="External"/><Relationship Id="rId296" Type="http://schemas.openxmlformats.org/officeDocument/2006/relationships/hyperlink" Target="https://github.com/FractonicMind/TernaryLogic/blob/main/The%20Architecture%20Of%20Assured%20Governance%20for%20Global%20Economic%20Systems.md" TargetMode="External"/><Relationship Id="rId295" Type="http://schemas.openxmlformats.org/officeDocument/2006/relationships/hyperlink" Target="https://github.com/FractonicMind/TernaryLogic/blob/main/API/Specification_Architecture.md" TargetMode="External"/><Relationship Id="rId294" Type="http://schemas.openxmlformats.org/officeDocument/2006/relationships/hyperlink" Target="https://github.com/FractonicMind/TernaryLogic/blob/main/API/Specification_Architecture.md" TargetMode="External"/><Relationship Id="rId299" Type="http://schemas.openxmlformats.org/officeDocument/2006/relationships/hyperlink" Target="https://github.com/FractonicMind/TernaryLogic/blob/main/The%20Architecture%20Of%20Assured%20Governance%20for%20Global%20Economic%20Systems.md" TargetMode="External"/><Relationship Id="rId298" Type="http://schemas.openxmlformats.org/officeDocument/2006/relationships/hyperlink" Target="https://github.com/FractonicMind/TernaryLogic/blob/main/The%20Architecture%20Of%20Assured%20Governance%20for%20Global%20Economic%20Systems.md" TargetMode="External"/><Relationship Id="rId271" Type="http://schemas.openxmlformats.org/officeDocument/2006/relationships/hyperlink" Target="https://github.com/FractonicMind/TernaryLogic/blob/main/The%20Architecture%20Of%20Assured%20Governance%20for%20Global%20Economic%20Systems.md" TargetMode="External"/><Relationship Id="rId270" Type="http://schemas.openxmlformats.org/officeDocument/2006/relationships/hyperlink" Target="https://github.com/FractonicMind/TernaryLogic/blob/main/The%20Architecture%20Of%20Assured%20Governance%20for%20Global%20Economic%20Systems.md" TargetMode="External"/><Relationship Id="rId269" Type="http://schemas.openxmlformats.org/officeDocument/2006/relationships/hyperlink" Target="https://github.com/FractonicMind/TernaryLogic/blob/main/The%20Architecture%20Of%20Assured%20Governance%20for%20Global%20Economic%20Systems.md" TargetMode="External"/><Relationship Id="rId264" Type="http://schemas.openxmlformats.org/officeDocument/2006/relationships/hyperlink" Target="https://github.com/FractonicMind/TernaryLogic/blob/main/Governance/Ternary_Logic_as_Constitutional_Triadic_Governance_Architecture_for_High-Stakes_Automated_Decision-Making.md" TargetMode="External"/><Relationship Id="rId263" Type="http://schemas.openxmlformats.org/officeDocument/2006/relationships/hyperlink" Target="https://github.com/FractonicMind/TernaryLogic/blob/main/API/Specification_Architecture.md" TargetMode="External"/><Relationship Id="rId262" Type="http://schemas.openxmlformats.org/officeDocument/2006/relationships/hyperlink" Target="https://github.com/FractonicMind/TernaryLogic/blob/main/API/Specification_Architecture.md" TargetMode="External"/><Relationship Id="rId261" Type="http://schemas.openxmlformats.org/officeDocument/2006/relationships/hyperlink" Target="https://github.com/FractonicMind/TernaryLogic/blob/main/The%20Architecture%20Of%20Assured%20Governance%20for%20Global%20Economic%20Systems.md" TargetMode="External"/><Relationship Id="rId268" Type="http://schemas.openxmlformats.org/officeDocument/2006/relationships/hyperlink" Target="https://github.com/FractonicMind/TernaryLogic/blob/main/The%20Architecture%20Of%20Assured%20Governance%20for%20Global%20Economic%20Systems.md" TargetMode="External"/><Relationship Id="rId267" Type="http://schemas.openxmlformats.org/officeDocument/2006/relationships/hyperlink" Target="https://github.com/FractonicMind/TernaryLogic/blob/main/API/Specification_Architecture.md" TargetMode="External"/><Relationship Id="rId266" Type="http://schemas.openxmlformats.org/officeDocument/2006/relationships/hyperlink" Target="https://github.com/FractonicMind/TernaryLogic/blob/main/API/Specification_Architecture.md" TargetMode="External"/><Relationship Id="rId265" Type="http://schemas.openxmlformats.org/officeDocument/2006/relationships/hyperlink" Target="https://github.com/FractonicMind/TernaryLogic/blob/main/Governance/Ternary_Logic_as_Constitutional_Triadic_Governance_Architecture_for_High-Stakes_Automated_Decision-Making.md" TargetMode="External"/><Relationship Id="rId260" Type="http://schemas.openxmlformats.org/officeDocument/2006/relationships/hyperlink" Target="https://github.com/FractonicMind/TernaryLogic/blob/main/The%20Architecture%20Of%20Assured%20Governance%20for%20Global%20Economic%20Systems.md" TargetMode="External"/><Relationship Id="rId259" Type="http://schemas.openxmlformats.org/officeDocument/2006/relationships/hyperlink" Target="https://github.com/FractonicMind/TernaryLogic/blob/main/The%20Architecture%20Of%20Assured%20Governance%20for%20Global%20Economic%20Systems.md" TargetMode="External"/><Relationship Id="rId258" Type="http://schemas.openxmlformats.org/officeDocument/2006/relationships/hyperlink" Target="https://github.com/FractonicMind/TernaryLogic/blob/main/The%20Architecture%20Of%20Assured%20Governance%20for%20Global%20Economic%20Systems.md" TargetMode="External"/><Relationship Id="rId253" Type="http://schemas.openxmlformats.org/officeDocument/2006/relationships/hyperlink" Target="https://github.com/FractonicMind/TernaryLogic/blob/main/API/Specification_Architecture.md" TargetMode="External"/><Relationship Id="rId495" Type="http://schemas.openxmlformats.org/officeDocument/2006/relationships/hyperlink" Target="https://github.com/FractonicMind/TernaryLogic/blob/main/API/Specification_Architecture.md" TargetMode="External"/><Relationship Id="rId252" Type="http://schemas.openxmlformats.org/officeDocument/2006/relationships/hyperlink" Target="https://github.com/FractonicMind/TernaryLogic/blob/main/API/Specification_Architecture.md" TargetMode="External"/><Relationship Id="rId494" Type="http://schemas.openxmlformats.org/officeDocument/2006/relationships/hyperlink" Target="https://github.com/FractonicMind/TernaryLogic/blob/main/API/Specification_Architecture.md" TargetMode="External"/><Relationship Id="rId251" Type="http://schemas.openxmlformats.org/officeDocument/2006/relationships/hyperlink" Target="https://github.com/FractonicMind/TernaryLogic/blob/main/API/Specification_Architecture.md" TargetMode="External"/><Relationship Id="rId493" Type="http://schemas.openxmlformats.org/officeDocument/2006/relationships/hyperlink" Target="https://github.com/FractonicMind/TernaryLogic/blob/main/The%20Architecture%20Of%20Assured%20Governance%20for%20Global%20Economic%20Systems.md" TargetMode="External"/><Relationship Id="rId250" Type="http://schemas.openxmlformats.org/officeDocument/2006/relationships/hyperlink" Target="https://github.com/FractonicMind/TernaryLogic/blob/main/API/Specification_Architecture.md" TargetMode="External"/><Relationship Id="rId492" Type="http://schemas.openxmlformats.org/officeDocument/2006/relationships/hyperlink" Target="https://github.com/FractonicMind/TernaryLogic/blob/main/The%20Architecture%20Of%20Assured%20Governance%20for%20Global%20Economic%20Systems.md" TargetMode="External"/><Relationship Id="rId257" Type="http://schemas.openxmlformats.org/officeDocument/2006/relationships/hyperlink" Target="https://github.com/FractonicMind/TernaryLogic/blob/main/API/Specification_Architecture.md" TargetMode="External"/><Relationship Id="rId499" Type="http://schemas.openxmlformats.org/officeDocument/2006/relationships/hyperlink" Target="https://github.com/FractonicMind/TernaryLogic/blob/main/API/Specification_Architecture.md" TargetMode="External"/><Relationship Id="rId256" Type="http://schemas.openxmlformats.org/officeDocument/2006/relationships/hyperlink" Target="https://github.com/FractonicMind/TernaryLogic/blob/main/API/Specification_Architecture.md" TargetMode="External"/><Relationship Id="rId498" Type="http://schemas.openxmlformats.org/officeDocument/2006/relationships/hyperlink" Target="https://github.com/FractonicMind/TernaryLogic/blob/main/API/Specification_Architecture.md" TargetMode="External"/><Relationship Id="rId255" Type="http://schemas.openxmlformats.org/officeDocument/2006/relationships/hyperlink" Target="https://github.com/FractonicMind/TernaryLogic/blob/main/API/Specification_Architecture.md" TargetMode="External"/><Relationship Id="rId497" Type="http://schemas.openxmlformats.org/officeDocument/2006/relationships/hyperlink" Target="https://github.com/FractonicMind/TernaryLogic/blob/main/The%20Architecture%20Of%20Assured%20Governance%20for%20Global%20Economic%20Systems.md" TargetMode="External"/><Relationship Id="rId254" Type="http://schemas.openxmlformats.org/officeDocument/2006/relationships/hyperlink" Target="https://github.com/FractonicMind/TernaryLogic/blob/main/API/Specification_Architecture.md" TargetMode="External"/><Relationship Id="rId496" Type="http://schemas.openxmlformats.org/officeDocument/2006/relationships/hyperlink" Target="https://github.com/FractonicMind/TernaryLogic/blob/main/The%20Architecture%20Of%20Assured%20Governance%20for%20Global%20Economic%20Systems.md" TargetMode="External"/><Relationship Id="rId293" Type="http://schemas.openxmlformats.org/officeDocument/2006/relationships/hyperlink" Target="https://github.com/FractonicMind/TernaryLogic/blob/main/API/Specification_Architecture.md" TargetMode="External"/><Relationship Id="rId292" Type="http://schemas.openxmlformats.org/officeDocument/2006/relationships/hyperlink" Target="https://github.com/FractonicMind/TernaryLogic/blob/main/API/Specification_Architecture.md" TargetMode="External"/><Relationship Id="rId291" Type="http://schemas.openxmlformats.org/officeDocument/2006/relationships/hyperlink" Target="https://github.com/FractonicMind/TernaryLogic/blob/main/Governance/Ternary_Logic_as_Constitutional_Triadic_Governance_Architecture_for_High-Stakes_Automated_Decision-Making.md" TargetMode="External"/><Relationship Id="rId290" Type="http://schemas.openxmlformats.org/officeDocument/2006/relationships/hyperlink" Target="https://github.com/FractonicMind/TernaryLogic/blob/main/Governance/Ternary_Logic_as_Constitutional_Triadic_Governance_Architecture_for_High-Stakes_Automated_Decision-Making.md" TargetMode="External"/><Relationship Id="rId286" Type="http://schemas.openxmlformats.org/officeDocument/2006/relationships/hyperlink" Target="https://github.com/FractonicMind/TernaryLogic/blob/main/The%20Architecture%20Of%20Assured%20Governance%20for%20Global%20Economic%20Systems.md" TargetMode="External"/><Relationship Id="rId285" Type="http://schemas.openxmlformats.org/officeDocument/2006/relationships/hyperlink" Target="https://github.com/FractonicMind/TernaryLogic/blob/main/The%20Architecture%20Of%20Assured%20Governance%20for%20Global%20Economic%20Systems.md" TargetMode="External"/><Relationship Id="rId284" Type="http://schemas.openxmlformats.org/officeDocument/2006/relationships/hyperlink" Target="https://github.com/FractonicMind/TernaryLogic/blob/main/The%20Architecture%20Of%20Assured%20Governance%20for%20Global%20Economic%20Systems.md" TargetMode="External"/><Relationship Id="rId283" Type="http://schemas.openxmlformats.org/officeDocument/2006/relationships/hyperlink" Target="https://github.com/FractonicMind/TernaryLogic/blob/main/API/Specification_Architecture.md" TargetMode="External"/><Relationship Id="rId289" Type="http://schemas.openxmlformats.org/officeDocument/2006/relationships/hyperlink" Target="https://github.com/FractonicMind/TernaryLogic/blob/main/API/Specification_Architecture.md" TargetMode="External"/><Relationship Id="rId288" Type="http://schemas.openxmlformats.org/officeDocument/2006/relationships/hyperlink" Target="https://github.com/FractonicMind/TernaryLogic/blob/main/API/Specification_Architecture.md" TargetMode="External"/><Relationship Id="rId287" Type="http://schemas.openxmlformats.org/officeDocument/2006/relationships/hyperlink" Target="https://github.com/FractonicMind/TernaryLogic/blob/main/The%20Architecture%20Of%20Assured%20Governance%20for%20Global%20Economic%20Systems.md" TargetMode="External"/><Relationship Id="rId282" Type="http://schemas.openxmlformats.org/officeDocument/2006/relationships/hyperlink" Target="https://github.com/FractonicMind/TernaryLogic/blob/main/API/Specification_Architecture.md" TargetMode="External"/><Relationship Id="rId281" Type="http://schemas.openxmlformats.org/officeDocument/2006/relationships/hyperlink" Target="https://github.com/FractonicMind/TernaryLogic/blob/main/API/Specification_Architecture.md" TargetMode="External"/><Relationship Id="rId280" Type="http://schemas.openxmlformats.org/officeDocument/2006/relationships/hyperlink" Target="https://github.com/FractonicMind/TernaryLogic/blob/main/API/Specification_Architecture.md" TargetMode="External"/><Relationship Id="rId275" Type="http://schemas.openxmlformats.org/officeDocument/2006/relationships/hyperlink" Target="https://github.com/FractonicMind/TernaryLogic/blob/main/API/Specification_Architecture.md" TargetMode="External"/><Relationship Id="rId274" Type="http://schemas.openxmlformats.org/officeDocument/2006/relationships/hyperlink" Target="https://github.com/FractonicMind/TernaryLogic/blob/main/API/Specification_Architecture.md" TargetMode="External"/><Relationship Id="rId273" Type="http://schemas.openxmlformats.org/officeDocument/2006/relationships/hyperlink" Target="https://github.com/FractonicMind/TernaryLogic/blob/main/API/Specification_Architecture.md" TargetMode="External"/><Relationship Id="rId272" Type="http://schemas.openxmlformats.org/officeDocument/2006/relationships/hyperlink" Target="https://github.com/FractonicMind/TernaryLogic/blob/main/API/Specification_Architecture.md" TargetMode="External"/><Relationship Id="rId279" Type="http://schemas.openxmlformats.org/officeDocument/2006/relationships/hyperlink" Target="https://github.com/FractonicMind/TernaryLogic/blob/main/API/Specification_Architecture.md" TargetMode="External"/><Relationship Id="rId278" Type="http://schemas.openxmlformats.org/officeDocument/2006/relationships/hyperlink" Target="https://github.com/FractonicMind/TernaryLogic/blob/main/API/Specification_Architecture.md" TargetMode="External"/><Relationship Id="rId277" Type="http://schemas.openxmlformats.org/officeDocument/2006/relationships/hyperlink" Target="https://github.com/FractonicMind/TernaryLogic/blob/main/API/Specification_Architecture.md" TargetMode="External"/><Relationship Id="rId276" Type="http://schemas.openxmlformats.org/officeDocument/2006/relationships/hyperlink" Target="https://github.com/FractonicMind/TernaryLogic/blob/main/API/Specification_Architecture.md" TargetMode="External"/><Relationship Id="rId907" Type="http://schemas.openxmlformats.org/officeDocument/2006/relationships/hyperlink" Target="https://github.com/FractonicMind/TernaryLogic/blob/main/Adversarial_Survivability/TL_Constitutional_Survivability_Under_Adversarial_Pressure.md" TargetMode="External"/><Relationship Id="rId906" Type="http://schemas.openxmlformats.org/officeDocument/2006/relationships/hyperlink" Target="https://github.com/FractonicMind/TernaryLogic/blob/main/Adversarial_Survivability/TL_Constitutional_Survivability_Under_Adversarial_Pressure.md" TargetMode="External"/><Relationship Id="rId905" Type="http://schemas.openxmlformats.org/officeDocument/2006/relationships/hyperlink" Target="https://github.com/FractonicMind/TernaryLogic/blob/main/Adversarial_Survivability/TL_Constitutional_Survivability_Under_Adversarial_Pressure.md" TargetMode="External"/><Relationship Id="rId904" Type="http://schemas.openxmlformats.org/officeDocument/2006/relationships/hyperlink" Target="https://github.com/FractonicMind/TernaryLogic/blob/main/Adversarial_Survivability/TL_Constitutional_Survivability_Under_Adversarial_Pressure.md" TargetMode="External"/><Relationship Id="rId909" Type="http://schemas.openxmlformats.org/officeDocument/2006/relationships/hyperlink" Target="https://github.com/FractonicMind/TernaryLogic/blob/main/Adversarial_Survivability/TL_Constitutional_Survivability_Under_Adversarial_Pressure.md" TargetMode="External"/><Relationship Id="rId908" Type="http://schemas.openxmlformats.org/officeDocument/2006/relationships/hyperlink" Target="https://github.com/FractonicMind/TernaryLogic/blob/main/Adversarial_Survivability/TL_Constitutional_Survivability_Under_Adversarial_Pressure.md" TargetMode="External"/><Relationship Id="rId903" Type="http://schemas.openxmlformats.org/officeDocument/2006/relationships/hyperlink" Target="https://github.com/FractonicMind/TernaryLogic/blob/main/Adversarial_Survivability/TL_Constitutional_Survivability_Under_Adversarial_Pressure.md" TargetMode="External"/><Relationship Id="rId902" Type="http://schemas.openxmlformats.org/officeDocument/2006/relationships/hyperlink" Target="https://github.com/FractonicMind/TernaryLogic/blob/main/Adversarial_Survivability/TL_Constitutional_Survivability_Under_Adversarial_Pressure.md" TargetMode="External"/><Relationship Id="rId901" Type="http://schemas.openxmlformats.org/officeDocument/2006/relationships/hyperlink" Target="https://github.com/FractonicMind/TernaryLogic/blob/main/Adversarial_Survivability/TL_Constitutional_Survivability_Under_Adversarial_Pressure.md" TargetMode="External"/><Relationship Id="rId900" Type="http://schemas.openxmlformats.org/officeDocument/2006/relationships/hyperlink" Target="https://github.com/FractonicMind/TernaryLogic/blob/main/Adversarial_Survivability/TL_Constitutional_Survivability_Under_Adversarial_Pressure.md" TargetMode="External"/><Relationship Id="rId929" Type="http://schemas.openxmlformats.org/officeDocument/2006/relationships/hyperlink" Target="https://github.com/FractonicMind/TernaryLogic/blob/main/Adversarial_Survivability/TL_Constitutional_Survivability_Under_Adversarial_Pressure.md" TargetMode="External"/><Relationship Id="rId928" Type="http://schemas.openxmlformats.org/officeDocument/2006/relationships/hyperlink" Target="https://github.com/FractonicMind/TernaryLogic/blob/main/Adversarial_Survivability/TL_Constitutional_Survivability_Under_Adversarial_Pressure.md" TargetMode="External"/><Relationship Id="rId927" Type="http://schemas.openxmlformats.org/officeDocument/2006/relationships/hyperlink" Target="https://github.com/FractonicMind/TernaryLogic/blob/main/Adversarial_Survivability/TL_Constitutional_Survivability_Under_Adversarial_Pressure.md" TargetMode="External"/><Relationship Id="rId926" Type="http://schemas.openxmlformats.org/officeDocument/2006/relationships/hyperlink" Target="https://github.com/FractonicMind/TernaryLogic/blob/main/Adversarial_Survivability/TL_Constitutional_Survivability_Under_Adversarial_Pressure.md" TargetMode="External"/><Relationship Id="rId921" Type="http://schemas.openxmlformats.org/officeDocument/2006/relationships/hyperlink" Target="https://github.com/FractonicMind/TernaryLogic/blob/main/Adversarial_Survivability/TL_Constitutional_Survivability_Under_Adversarial_Pressure.md" TargetMode="External"/><Relationship Id="rId920" Type="http://schemas.openxmlformats.org/officeDocument/2006/relationships/hyperlink" Target="https://github.com/FractonicMind/TernaryLogic/blob/main/Adversarial_Survivability/TL_Constitutional_Survivability_Under_Adversarial_Pressure.md" TargetMode="External"/><Relationship Id="rId925" Type="http://schemas.openxmlformats.org/officeDocument/2006/relationships/hyperlink" Target="https://github.com/FractonicMind/TernaryLogic/blob/main/Adversarial_Survivability/TL_Constitutional_Survivability_Under_Adversarial_Pressure.md" TargetMode="External"/><Relationship Id="rId924" Type="http://schemas.openxmlformats.org/officeDocument/2006/relationships/hyperlink" Target="https://github.com/FractonicMind/TernaryLogic/blob/main/Adversarial_Survivability/TL_Constitutional_Survivability_Under_Adversarial_Pressure.md" TargetMode="External"/><Relationship Id="rId923" Type="http://schemas.openxmlformats.org/officeDocument/2006/relationships/hyperlink" Target="https://github.com/FractonicMind/TernaryLogic/blob/main/Adversarial_Survivability/TL_Constitutional_Survivability_Under_Adversarial_Pressure.md" TargetMode="External"/><Relationship Id="rId922" Type="http://schemas.openxmlformats.org/officeDocument/2006/relationships/hyperlink" Target="https://github.com/FractonicMind/TernaryLogic/blob/main/Adversarial_Survivability/TL_Constitutional_Survivability_Under_Adversarial_Pressure.md" TargetMode="External"/><Relationship Id="rId918" Type="http://schemas.openxmlformats.org/officeDocument/2006/relationships/hyperlink" Target="https://github.com/FractonicMind/TernaryLogic/blob/main/Adversarial_Survivability/TL_Constitutional_Survivability_Under_Adversarial_Pressure.md" TargetMode="External"/><Relationship Id="rId917" Type="http://schemas.openxmlformats.org/officeDocument/2006/relationships/hyperlink" Target="https://github.com/FractonicMind/TernaryLogic/blob/main/Adversarial_Survivability/TL_Constitutional_Survivability_Under_Adversarial_Pressure.md" TargetMode="External"/><Relationship Id="rId916" Type="http://schemas.openxmlformats.org/officeDocument/2006/relationships/hyperlink" Target="https://github.com/FractonicMind/TernaryLogic/blob/main/Adversarial_Survivability/TL_Constitutional_Survivability_Under_Adversarial_Pressure.md" TargetMode="External"/><Relationship Id="rId915" Type="http://schemas.openxmlformats.org/officeDocument/2006/relationships/hyperlink" Target="https://github.com/FractonicMind/TernaryLogic/blob/main/Adversarial_Survivability/TL_Constitutional_Survivability_Under_Adversarial_Pressure.md" TargetMode="External"/><Relationship Id="rId919" Type="http://schemas.openxmlformats.org/officeDocument/2006/relationships/hyperlink" Target="https://github.com/FractonicMind/TernaryLogic/blob/main/Adversarial_Survivability/TL_Constitutional_Survivability_Under_Adversarial_Pressure.md" TargetMode="External"/><Relationship Id="rId910" Type="http://schemas.openxmlformats.org/officeDocument/2006/relationships/hyperlink" Target="https://github.com/FractonicMind/TernaryLogic/blob/main/Adversarial_Survivability/TL_Constitutional_Survivability_Under_Adversarial_Pressure.md" TargetMode="External"/><Relationship Id="rId914" Type="http://schemas.openxmlformats.org/officeDocument/2006/relationships/hyperlink" Target="https://github.com/FractonicMind/TernaryLogic/blob/main/Adversarial_Survivability/TL_Constitutional_Survivability_Under_Adversarial_Pressure.md" TargetMode="External"/><Relationship Id="rId913" Type="http://schemas.openxmlformats.org/officeDocument/2006/relationships/hyperlink" Target="https://github.com/FractonicMind/TernaryLogic/blob/main/API/Specification_Architecture.md" TargetMode="External"/><Relationship Id="rId912" Type="http://schemas.openxmlformats.org/officeDocument/2006/relationships/hyperlink" Target="https://github.com/FractonicMind/TernaryLogic/blob/main/API/Specification_Architecture.md" TargetMode="External"/><Relationship Id="rId911" Type="http://schemas.openxmlformats.org/officeDocument/2006/relationships/hyperlink" Target="https://github.com/FractonicMind/TernaryLogic/blob/main/Adversarial_Survivability/TL_Constitutional_Survivability_Under_Adversarial_Pressure.md" TargetMode="External"/><Relationship Id="rId1213" Type="http://schemas.openxmlformats.org/officeDocument/2006/relationships/hyperlink" Target="https://github.com/FractonicMind/TernaryLogic/blob/main/API/Specification_Architecture.md" TargetMode="External"/><Relationship Id="rId1214" Type="http://schemas.openxmlformats.org/officeDocument/2006/relationships/hyperlink" Target="https://github.com/FractonicMind/TernaryLogic/blob/main/Governance/Ternary_Logic_as_Constitutional_Triadic_Governance_Architecture_for_High-Stakes_Automated_Decision-Making.md" TargetMode="External"/><Relationship Id="rId1215" Type="http://schemas.openxmlformats.org/officeDocument/2006/relationships/hyperlink" Target="https://github.com/FractonicMind/TernaryLogic/blob/main/Governance/Ternary_Logic_as_Constitutional_Triadic_Governance_Architecture_for_High-Stakes_Automated_Decision-Making.md" TargetMode="External"/><Relationship Id="rId1216" Type="http://schemas.openxmlformats.org/officeDocument/2006/relationships/hyperlink" Target="https://github.com/FractonicMind/TernaryLogic/blob/main/Governance/Ternary_Logic_as_Constitutional_Triadic_Governance_Architecture_for_High-Stakes_Automated_Decision-Making.md" TargetMode="External"/><Relationship Id="rId1217" Type="http://schemas.openxmlformats.org/officeDocument/2006/relationships/hyperlink" Target="https://github.com/FractonicMind/TernaryLogic/blob/main/Governance/Ternary_Logic_as_Constitutional_Triadic_Governance_Architecture_for_High-Stakes_Automated_Decision-Making.md" TargetMode="External"/><Relationship Id="rId1218" Type="http://schemas.openxmlformats.org/officeDocument/2006/relationships/hyperlink" Target="https://github.com/FractonicMind/TernaryLogic/blob/main/API/Specification_Architecture.md" TargetMode="External"/><Relationship Id="rId1219" Type="http://schemas.openxmlformats.org/officeDocument/2006/relationships/hyperlink" Target="https://github.com/FractonicMind/TernaryLogic/blob/main/API/Specification_Architecture.md" TargetMode="External"/><Relationship Id="rId629" Type="http://schemas.openxmlformats.org/officeDocument/2006/relationships/hyperlink" Target="https://github.com/FractonicMind/TernaryLogic/blob/main/MT_Hardware/MT_System_Architecture_and_Economics.md" TargetMode="External"/><Relationship Id="rId624" Type="http://schemas.openxmlformats.org/officeDocument/2006/relationships/hyperlink" Target="https://github.com/FractonicMind/TernaryLogic/blob/main/Adversarial_Survivability/TL_Constitutional_Survivability_Under_Adversarial_Pressure.md" TargetMode="External"/><Relationship Id="rId866" Type="http://schemas.openxmlformats.org/officeDocument/2006/relationships/hyperlink" Target="https://github.com/FractonicMind/TernaryLogic/blob/main/Governance/Ternary_Logic_as_Constitutional_Triadic_Governance_Architecture_for_High-Stakes_Automated_Decision-Making.md" TargetMode="External"/><Relationship Id="rId623" Type="http://schemas.openxmlformats.org/officeDocument/2006/relationships/hyperlink" Target="https://github.com/FractonicMind/TernaryLogic/blob/main/Adversarial_Survivability/TL_Constitutional_Survivability_Under_Adversarial_Pressure.md" TargetMode="External"/><Relationship Id="rId865" Type="http://schemas.openxmlformats.org/officeDocument/2006/relationships/hyperlink" Target="https://github.com/FractonicMind/TernaryLogic/blob/main/Adversarial_Survivability/TL_Constitutional_Survivability_Under_Adversarial_Pressure.md" TargetMode="External"/><Relationship Id="rId622" Type="http://schemas.openxmlformats.org/officeDocument/2006/relationships/hyperlink" Target="https://github.com/FractonicMind/TernaryLogic/blob/main/Adversarial_Survivability/TL_Constitutional_Survivability_Under_Adversarial_Pressure.md" TargetMode="External"/><Relationship Id="rId864" Type="http://schemas.openxmlformats.org/officeDocument/2006/relationships/hyperlink" Target="https://github.com/FractonicMind/TernaryLogic/blob/main/Adversarial_Survivability/TL_Constitutional_Survivability_Under_Adversarial_Pressure.md" TargetMode="External"/><Relationship Id="rId621" Type="http://schemas.openxmlformats.org/officeDocument/2006/relationships/hyperlink" Target="https://github.com/FractonicMind/TernaryLogic/blob/main/Adversarial_Survivability/TL_Constitutional_Survivability_Under_Adversarial_Pressure.md" TargetMode="External"/><Relationship Id="rId863" Type="http://schemas.openxmlformats.org/officeDocument/2006/relationships/hyperlink" Target="https://github.com/FractonicMind/TernaryLogic/blob/main/Adversarial_Survivability/TL_Constitutional_Survivability_Under_Adversarial_Pressure.md" TargetMode="External"/><Relationship Id="rId628" Type="http://schemas.openxmlformats.org/officeDocument/2006/relationships/hyperlink" Target="https://github.com/FractonicMind/TernaryLogic/blob/main/MT_Hardware/MT_System_Architecture_and_Economics.md" TargetMode="External"/><Relationship Id="rId627" Type="http://schemas.openxmlformats.org/officeDocument/2006/relationships/hyperlink" Target="https://github.com/FractonicMind/TernaryLogic/blob/main/MT_Hardware/MT_System_Architecture_and_Economics.md" TargetMode="External"/><Relationship Id="rId869" Type="http://schemas.openxmlformats.org/officeDocument/2006/relationships/hyperlink" Target="https://github.com/FractonicMind/TernaryLogic/blob/main/Governance/Ternary_Logic_as_Constitutional_Triadic_Governance_Architecture_for_High-Stakes_Automated_Decision-Making.md" TargetMode="External"/><Relationship Id="rId626" Type="http://schemas.openxmlformats.org/officeDocument/2006/relationships/hyperlink" Target="https://github.com/FractonicMind/TernaryLogic/blob/main/MT_Hardware/MT_System_Architecture_and_Economics.md" TargetMode="External"/><Relationship Id="rId868" Type="http://schemas.openxmlformats.org/officeDocument/2006/relationships/hyperlink" Target="https://github.com/FractonicMind/TernaryLogic/blob/main/Governance/Ternary_Logic_as_Constitutional_Triadic_Governance_Architecture_for_High-Stakes_Automated_Decision-Making.md" TargetMode="External"/><Relationship Id="rId625" Type="http://schemas.openxmlformats.org/officeDocument/2006/relationships/hyperlink" Target="https://github.com/FractonicMind/TernaryLogic/blob/main/Adversarial_Survivability/TL_Constitutional_Survivability_Under_Adversarial_Pressure.md" TargetMode="External"/><Relationship Id="rId867" Type="http://schemas.openxmlformats.org/officeDocument/2006/relationships/hyperlink" Target="https://github.com/FractonicMind/TernaryLogic/blob/main/Governance/Ternary_Logic_as_Constitutional_Triadic_Governance_Architecture_for_High-Stakes_Automated_Decision-Making.md" TargetMode="External"/><Relationship Id="rId620" Type="http://schemas.openxmlformats.org/officeDocument/2006/relationships/hyperlink" Target="https://github.com/FractonicMind/TernaryLogic/blob/main/Adversarial_Survivability/TL_Constitutional_Survivability_Under_Adversarial_Pressure.md" TargetMode="External"/><Relationship Id="rId862" Type="http://schemas.openxmlformats.org/officeDocument/2006/relationships/hyperlink" Target="https://github.com/FractonicMind/TernaryLogic/blob/main/Adversarial_Survivability/TL_Constitutional_Survivability_Under_Adversarial_Pressure.md" TargetMode="External"/><Relationship Id="rId861" Type="http://schemas.openxmlformats.org/officeDocument/2006/relationships/hyperlink" Target="https://github.com/FractonicMind/TernaryLogic/blob/main/Adversarial_Survivability/TL_Constitutional_Survivability_Under_Adversarial_Pressure.md" TargetMode="External"/><Relationship Id="rId1210" Type="http://schemas.openxmlformats.org/officeDocument/2006/relationships/hyperlink" Target="https://github.com/FractonicMind/TernaryLogic/blob/main/API/Specification_Architecture.md" TargetMode="External"/><Relationship Id="rId860" Type="http://schemas.openxmlformats.org/officeDocument/2006/relationships/hyperlink" Target="https://github.com/FractonicMind/TernaryLogic/blob/main/Adversarial_Survivability/TL_Constitutional_Survivability_Under_Adversarial_Pressure.md" TargetMode="External"/><Relationship Id="rId1211" Type="http://schemas.openxmlformats.org/officeDocument/2006/relationships/hyperlink" Target="https://github.com/FractonicMind/TernaryLogic/blob/main/API/Specification_Architecture.md" TargetMode="External"/><Relationship Id="rId1212" Type="http://schemas.openxmlformats.org/officeDocument/2006/relationships/hyperlink" Target="https://github.com/FractonicMind/TernaryLogic/blob/main/API/Specification_Architecture.md" TargetMode="External"/><Relationship Id="rId1202" Type="http://schemas.openxmlformats.org/officeDocument/2006/relationships/hyperlink" Target="https://github.com/FractonicMind/TernaryLogic/blob/main/Adversarial_Survivability/TL_Constitutional_Survivability_Under_Adversarial_Pressure.md" TargetMode="External"/><Relationship Id="rId1203" Type="http://schemas.openxmlformats.org/officeDocument/2006/relationships/hyperlink" Target="https://github.com/FractonicMind/TernaryLogic/blob/main/Adversarial_Survivability/TL_Constitutional_Survivability_Under_Adversarial_Pressure.md" TargetMode="External"/><Relationship Id="rId1204" Type="http://schemas.openxmlformats.org/officeDocument/2006/relationships/hyperlink" Target="https://github.com/FractonicMind/TernaryLogic/blob/main/API/Specification_Architecture.md" TargetMode="External"/><Relationship Id="rId1205" Type="http://schemas.openxmlformats.org/officeDocument/2006/relationships/hyperlink" Target="https://github.com/FractonicMind/TernaryLogic/blob/main/API/Specification_Architecture.md" TargetMode="External"/><Relationship Id="rId1206" Type="http://schemas.openxmlformats.org/officeDocument/2006/relationships/hyperlink" Target="https://github.com/FractonicMind/TernaryLogic/blob/main/API/Specification_Architecture.md" TargetMode="External"/><Relationship Id="rId1207" Type="http://schemas.openxmlformats.org/officeDocument/2006/relationships/hyperlink" Target="https://github.com/FractonicMind/TernaryLogic/blob/main/API/Specification_Architecture.md" TargetMode="External"/><Relationship Id="rId1208" Type="http://schemas.openxmlformats.org/officeDocument/2006/relationships/hyperlink" Target="https://github.com/FractonicMind/TernaryLogic/blob/main/Adversarial_Survivability/TL_Constitutional_Survivability_Under_Adversarial_Pressure.md" TargetMode="External"/><Relationship Id="rId1209" Type="http://schemas.openxmlformats.org/officeDocument/2006/relationships/hyperlink" Target="https://github.com/FractonicMind/TernaryLogic/blob/main/Adversarial_Survivability/TL_Constitutional_Survivability_Under_Adversarial_Pressure.md" TargetMode="External"/><Relationship Id="rId619" Type="http://schemas.openxmlformats.org/officeDocument/2006/relationships/hyperlink" Target="https://github.com/FractonicMind/TernaryLogic/blob/main/MT_Hardware/MT_System_Architecture_and_Economics.md" TargetMode="External"/><Relationship Id="rId618" Type="http://schemas.openxmlformats.org/officeDocument/2006/relationships/hyperlink" Target="https://github.com/FractonicMind/TernaryLogic/blob/main/MT_Hardware/MT_System_Architecture_and_Economics.md" TargetMode="External"/><Relationship Id="rId613" Type="http://schemas.openxmlformats.org/officeDocument/2006/relationships/hyperlink" Target="https://github.com/FractonicMind/TernaryLogic/blob/main/MT_Hardware/MT_System_Architecture_and_Economics.md" TargetMode="External"/><Relationship Id="rId855" Type="http://schemas.openxmlformats.org/officeDocument/2006/relationships/hyperlink" Target="https://github.com/FractonicMind/TernaryLogic/blob/main/API/Specification_Architecture.md" TargetMode="External"/><Relationship Id="rId612" Type="http://schemas.openxmlformats.org/officeDocument/2006/relationships/hyperlink" Target="https://github.com/FractonicMind/TernaryLogic/blob/main/MT_Hardware/MT_System_Architecture_and_Economics.md" TargetMode="External"/><Relationship Id="rId854" Type="http://schemas.openxmlformats.org/officeDocument/2006/relationships/hyperlink" Target="https://github.com/FractonicMind/TernaryLogic/blob/main/API/Specification_Architecture.md" TargetMode="External"/><Relationship Id="rId611" Type="http://schemas.openxmlformats.org/officeDocument/2006/relationships/hyperlink" Target="https://github.com/FractonicMind/TernaryLogic/blob/main/Adversarial_Survivability/TL_Constitutional_Survivability_Under_Adversarial_Pressure.md" TargetMode="External"/><Relationship Id="rId853" Type="http://schemas.openxmlformats.org/officeDocument/2006/relationships/hyperlink" Target="https://github.com/FractonicMind/TernaryLogic/blob/main/Governance/Ternary_Logic_as_Constitutional_Triadic_Governance_Architecture_for_High-Stakes_Automated_Decision-Making.md" TargetMode="External"/><Relationship Id="rId610" Type="http://schemas.openxmlformats.org/officeDocument/2006/relationships/hyperlink" Target="https://github.com/FractonicMind/TernaryLogic/blob/main/Adversarial_Survivability/TL_Constitutional_Survivability_Under_Adversarial_Pressure.md" TargetMode="External"/><Relationship Id="rId852" Type="http://schemas.openxmlformats.org/officeDocument/2006/relationships/hyperlink" Target="https://github.com/FractonicMind/TernaryLogic/blob/main/Governance/Ternary_Logic_as_Constitutional_Triadic_Governance_Architecture_for_High-Stakes_Automated_Decision-Making.md" TargetMode="External"/><Relationship Id="rId617" Type="http://schemas.openxmlformats.org/officeDocument/2006/relationships/hyperlink" Target="https://github.com/FractonicMind/TernaryLogic/blob/main/MT_Hardware/MT_System_Architecture_and_Economics.md" TargetMode="External"/><Relationship Id="rId859" Type="http://schemas.openxmlformats.org/officeDocument/2006/relationships/hyperlink" Target="https://github.com/FractonicMind/TernaryLogic/blob/main/Adversarial_Survivability/TL_Constitutional_Survivability_Under_Adversarial_Pressure.md" TargetMode="External"/><Relationship Id="rId616" Type="http://schemas.openxmlformats.org/officeDocument/2006/relationships/hyperlink" Target="https://github.com/FractonicMind/TernaryLogic/blob/main/MT_Hardware/MT_System_Architecture_and_Economics.md" TargetMode="External"/><Relationship Id="rId858" Type="http://schemas.openxmlformats.org/officeDocument/2006/relationships/hyperlink" Target="https://github.com/FractonicMind/TernaryLogic/blob/main/Adversarial_Survivability/TL_Constitutional_Survivability_Under_Adversarial_Pressure.md" TargetMode="External"/><Relationship Id="rId615" Type="http://schemas.openxmlformats.org/officeDocument/2006/relationships/hyperlink" Target="https://github.com/FractonicMind/TernaryLogic/blob/main/MT_Hardware/MT_System_Architecture_and_Economics.md" TargetMode="External"/><Relationship Id="rId857" Type="http://schemas.openxmlformats.org/officeDocument/2006/relationships/hyperlink" Target="https://github.com/FractonicMind/TernaryLogic/blob/main/Adversarial_Survivability/TL_Constitutional_Survivability_Under_Adversarial_Pressure.md" TargetMode="External"/><Relationship Id="rId614" Type="http://schemas.openxmlformats.org/officeDocument/2006/relationships/hyperlink" Target="https://github.com/FractonicMind/TernaryLogic/blob/main/MT_Hardware/MT_System_Architecture_and_Economics.md" TargetMode="External"/><Relationship Id="rId856" Type="http://schemas.openxmlformats.org/officeDocument/2006/relationships/hyperlink" Target="https://github.com/FractonicMind/TernaryLogic/blob/main/Adversarial_Survivability/TL_Constitutional_Survivability_Under_Adversarial_Pressure.md" TargetMode="External"/><Relationship Id="rId851" Type="http://schemas.openxmlformats.org/officeDocument/2006/relationships/hyperlink" Target="https://github.com/FractonicMind/TernaryLogic/blob/main/Governance/Ternary_Logic_as_Constitutional_Triadic_Governance_Architecture_for_High-Stakes_Automated_Decision-Making.md" TargetMode="External"/><Relationship Id="rId850" Type="http://schemas.openxmlformats.org/officeDocument/2006/relationships/hyperlink" Target="https://github.com/FractonicMind/TernaryLogic/blob/main/Governance/Ternary_Logic_as_Constitutional_Triadic_Governance_Architecture_for_High-Stakes_Automated_Decision-Making.md" TargetMode="External"/><Relationship Id="rId1200" Type="http://schemas.openxmlformats.org/officeDocument/2006/relationships/hyperlink" Target="https://github.com/FractonicMind/TernaryLogic/blob/main/API/Specification_Architecture.md" TargetMode="External"/><Relationship Id="rId1201" Type="http://schemas.openxmlformats.org/officeDocument/2006/relationships/hyperlink" Target="https://github.com/FractonicMind/TernaryLogic/blob/main/API/Specification_Architecture.md" TargetMode="External"/><Relationship Id="rId1235" Type="http://schemas.openxmlformats.org/officeDocument/2006/relationships/hyperlink" Target="https://github.com/FractonicMind/TernaryLogic/tree/main" TargetMode="External"/><Relationship Id="rId1236" Type="http://schemas.openxmlformats.org/officeDocument/2006/relationships/hyperlink" Target="https://github.com/FractonicMind/TernaryLogic/blob/main/Adversarial_Survivability/TL_Constitutional_Survivability_Under_Adversarial_Pressure.md" TargetMode="External"/><Relationship Id="rId1237" Type="http://schemas.openxmlformats.org/officeDocument/2006/relationships/hyperlink" Target="https://github.com/FractonicMind/TernaryLogic/blob/main/Adversarial_Survivability/TL_Constitutional_Survivability_Under_Adversarial_Pressure.md" TargetMode="External"/><Relationship Id="rId1238" Type="http://schemas.openxmlformats.org/officeDocument/2006/relationships/hyperlink" Target="https://github.com/FractonicMind/TernaryLogic/blob/main/API/Specification_Architecture.md" TargetMode="External"/><Relationship Id="rId1239" Type="http://schemas.openxmlformats.org/officeDocument/2006/relationships/hyperlink" Target="https://github.com/FractonicMind/TernaryLogic/blob/main/API/Specification_Architecture.md" TargetMode="External"/><Relationship Id="rId409" Type="http://schemas.openxmlformats.org/officeDocument/2006/relationships/hyperlink" Target="https://raw.githubusercontent.com/FractonicMind/TernaryLogic/refs/heads/main/No_Spy-No_Weapon/Universal_Scalability_of_TL_Under_the_NoS-NoW_Mandate.md" TargetMode="External"/><Relationship Id="rId404" Type="http://schemas.openxmlformats.org/officeDocument/2006/relationships/hyperlink" Target="https://github.com/FractonicMind/TernaryLogic/blob/main/API/Specification_Architecture.md" TargetMode="External"/><Relationship Id="rId646" Type="http://schemas.openxmlformats.org/officeDocument/2006/relationships/hyperlink" Target="https://github.com/FractonicMind/TernaryLogic/blob/main/Adversarial_Survivability/TL_Constitutional_Survivability_Under_Adversarial_Pressure.md" TargetMode="External"/><Relationship Id="rId888" Type="http://schemas.openxmlformats.org/officeDocument/2006/relationships/hyperlink" Target="https://github.com/FractonicMind/TernaryLogic/blob/main/Adversarial_Survivability/TL_Constitutional_Survivability_Under_Adversarial_Pressure.md" TargetMode="External"/><Relationship Id="rId403" Type="http://schemas.openxmlformats.org/officeDocument/2006/relationships/hyperlink" Target="https://raw.githubusercontent.com/FractonicMind/TernaryLogic/refs/heads/main/No_Spy-No_Weapon/Universal_Scalability_of_TL_Under_the_NoS-NoW_Mandate.md" TargetMode="External"/><Relationship Id="rId645" Type="http://schemas.openxmlformats.org/officeDocument/2006/relationships/hyperlink" Target="https://github.com/FractonicMind/TernaryLogic/blob/main/Adversarial_Survivability/TL_Constitutional_Survivability_Under_Adversarial_Pressure.md" TargetMode="External"/><Relationship Id="rId887" Type="http://schemas.openxmlformats.org/officeDocument/2006/relationships/hyperlink" Target="https://github.com/FractonicMind/TernaryLogic/blob/main/Adversarial_Survivability/TL_Constitutional_Survivability_Under_Adversarial_Pressure.md" TargetMode="External"/><Relationship Id="rId402" Type="http://schemas.openxmlformats.org/officeDocument/2006/relationships/hyperlink" Target="https://raw.githubusercontent.com/FractonicMind/TernaryLogic/refs/heads/main/No_Spy-No_Weapon/Universal_Scalability_of_TL_Under_the_NoS-NoW_Mandate.md" TargetMode="External"/><Relationship Id="rId644" Type="http://schemas.openxmlformats.org/officeDocument/2006/relationships/hyperlink" Target="https://github.com/FractonicMind/TernaryLogic/blob/main/Adversarial_Survivability/TL_Constitutional_Survivability_Under_Adversarial_Pressure.md" TargetMode="External"/><Relationship Id="rId886" Type="http://schemas.openxmlformats.org/officeDocument/2006/relationships/hyperlink" Target="https://github.com/FractonicMind/TernaryLogic/blob/main/Adversarial_Survivability/TL_Constitutional_Survivability_Under_Adversarial_Pressure.md" TargetMode="External"/><Relationship Id="rId401" Type="http://schemas.openxmlformats.org/officeDocument/2006/relationships/hyperlink" Target="https://github.com/FractonicMind/TernaryLogic/blob/main/MT_Hardware/MT_System_Architecture_and_Economics.md" TargetMode="External"/><Relationship Id="rId643" Type="http://schemas.openxmlformats.org/officeDocument/2006/relationships/hyperlink" Target="https://github.com/FractonicMind/TernaryLogic/blob/main/Adversarial_Survivability/TL_Constitutional_Survivability_Under_Adversarial_Pressure.md" TargetMode="External"/><Relationship Id="rId885" Type="http://schemas.openxmlformats.org/officeDocument/2006/relationships/hyperlink" Target="https://github.com/FractonicMind/TernaryLogic/blob/main/Adversarial_Survivability/TL_Constitutional_Survivability_Under_Adversarial_Pressure.md" TargetMode="External"/><Relationship Id="rId408" Type="http://schemas.openxmlformats.org/officeDocument/2006/relationships/hyperlink" Target="https://raw.githubusercontent.com/FractonicMind/TernaryLogic/refs/heads/main/No_Spy-No_Weapon/Universal_Scalability_of_TL_Under_the_NoS-NoW_Mandate.md" TargetMode="External"/><Relationship Id="rId407" Type="http://schemas.openxmlformats.org/officeDocument/2006/relationships/hyperlink" Target="https://raw.githubusercontent.com/FractonicMind/TernaryLogic/refs/heads/main/No_Spy-No_Weapon/Universal_Scalability_of_TL_Under_the_NoS-NoW_Mandate.md" TargetMode="External"/><Relationship Id="rId649" Type="http://schemas.openxmlformats.org/officeDocument/2006/relationships/hyperlink" Target="https://github.com/FractonicMind/TernaryLogic/blob/main/MT_Hardware/MT_System_Architecture_and_Economics.md" TargetMode="External"/><Relationship Id="rId406" Type="http://schemas.openxmlformats.org/officeDocument/2006/relationships/hyperlink" Target="https://raw.githubusercontent.com/FractonicMind/TernaryLogic/refs/heads/main/No_Spy-No_Weapon/Universal_Scalability_of_TL_Under_the_NoS-NoW_Mandate.md" TargetMode="External"/><Relationship Id="rId648" Type="http://schemas.openxmlformats.org/officeDocument/2006/relationships/hyperlink" Target="https://github.com/FractonicMind/TernaryLogic/blob/main/MT_Hardware/MT_System_Architecture_and_Economics.md" TargetMode="External"/><Relationship Id="rId405" Type="http://schemas.openxmlformats.org/officeDocument/2006/relationships/hyperlink" Target="https://github.com/FractonicMind/TernaryLogic/blob/main/API/Specification_Architecture.md" TargetMode="External"/><Relationship Id="rId647" Type="http://schemas.openxmlformats.org/officeDocument/2006/relationships/hyperlink" Target="https://github.com/FractonicMind/TernaryLogic/blob/main/Adversarial_Survivability/TL_Constitutional_Survivability_Under_Adversarial_Pressure.md" TargetMode="External"/><Relationship Id="rId889" Type="http://schemas.openxmlformats.org/officeDocument/2006/relationships/hyperlink" Target="https://github.com/FractonicMind/TernaryLogic/blob/main/Adversarial_Survivability/TL_Constitutional_Survivability_Under_Adversarial_Pressure.md" TargetMode="External"/><Relationship Id="rId880" Type="http://schemas.openxmlformats.org/officeDocument/2006/relationships/hyperlink" Target="https://github.com/FractonicMind/TernaryLogic/blob/main/Adversarial_Survivability/TL_Constitutional_Survivability_Under_Adversarial_Pressure.md" TargetMode="External"/><Relationship Id="rId1230" Type="http://schemas.openxmlformats.org/officeDocument/2006/relationships/hyperlink" Target="https://github.com/FractonicMind/TernaryLogic/blob/main/Governance/Ternary_Logic_as_Constitutional_Triadic_Governance_Architecture_for_High-Stakes_Automated_Decision-Making.md" TargetMode="External"/><Relationship Id="rId400" Type="http://schemas.openxmlformats.org/officeDocument/2006/relationships/hyperlink" Target="https://github.com/FractonicMind/TernaryLogic/blob/main/MT_Hardware/MT_System_Architecture_and_Economics.md" TargetMode="External"/><Relationship Id="rId642" Type="http://schemas.openxmlformats.org/officeDocument/2006/relationships/hyperlink" Target="https://github.com/FractonicMind/TernaryLogic/blob/main/Adversarial_Survivability/TL_Constitutional_Survivability_Under_Adversarial_Pressure.md" TargetMode="External"/><Relationship Id="rId884" Type="http://schemas.openxmlformats.org/officeDocument/2006/relationships/hyperlink" Target="https://github.com/FractonicMind/TernaryLogic/blob/main/Adversarial_Survivability/TL_Constitutional_Survivability_Under_Adversarial_Pressure.md" TargetMode="External"/><Relationship Id="rId1231" Type="http://schemas.openxmlformats.org/officeDocument/2006/relationships/hyperlink" Target="https://github.com/FractonicMind/TernaryLogic/blob/main/Governance/Ternary_Logic_as_Constitutional_Triadic_Governance_Architecture_for_High-Stakes_Automated_Decision-Making.md" TargetMode="External"/><Relationship Id="rId641" Type="http://schemas.openxmlformats.org/officeDocument/2006/relationships/hyperlink" Target="https://github.com/FractonicMind/TernaryLogic/blob/main/Adversarial_Survivability/TL_Constitutional_Survivability_Under_Adversarial_Pressure.md" TargetMode="External"/><Relationship Id="rId883" Type="http://schemas.openxmlformats.org/officeDocument/2006/relationships/hyperlink" Target="https://github.com/FractonicMind/TernaryLogic/blob/main/Adversarial_Survivability/TL_Constitutional_Survivability_Under_Adversarial_Pressure.md" TargetMode="External"/><Relationship Id="rId1232" Type="http://schemas.openxmlformats.org/officeDocument/2006/relationships/hyperlink" Target="https://doi.org/10.1007/s43681-026-01124-0" TargetMode="External"/><Relationship Id="rId640" Type="http://schemas.openxmlformats.org/officeDocument/2006/relationships/hyperlink" Target="https://github.com/FractonicMind/TernaryLogic/blob/main/Adversarial_Survivability/TL_Constitutional_Survivability_Under_Adversarial_Pressure.md" TargetMode="External"/><Relationship Id="rId882" Type="http://schemas.openxmlformats.org/officeDocument/2006/relationships/hyperlink" Target="https://github.com/FractonicMind/TernaryLogic/blob/main/Adversarial_Survivability/TL_Constitutional_Survivability_Under_Adversarial_Pressure.md" TargetMode="External"/><Relationship Id="rId1233" Type="http://schemas.openxmlformats.org/officeDocument/2006/relationships/hyperlink" Target="https://doi.org/10.1007/s43681-026-01124-0" TargetMode="External"/><Relationship Id="rId881" Type="http://schemas.openxmlformats.org/officeDocument/2006/relationships/hyperlink" Target="https://github.com/FractonicMind/TernaryLogic/blob/main/Adversarial_Survivability/TL_Constitutional_Survivability_Under_Adversarial_Pressure.md" TargetMode="External"/><Relationship Id="rId1234" Type="http://schemas.openxmlformats.org/officeDocument/2006/relationships/hyperlink" Target="https://github.com/FractonicMind/TernaryLogic/tree/main" TargetMode="External"/><Relationship Id="rId1224" Type="http://schemas.openxmlformats.org/officeDocument/2006/relationships/hyperlink" Target="https://github.com/FractonicMind/TernaryLogic/blob/main/API/Specification_Architecture.md" TargetMode="External"/><Relationship Id="rId1225" Type="http://schemas.openxmlformats.org/officeDocument/2006/relationships/hyperlink" Target="https://github.com/FractonicMind/TernaryLogic/blob/main/API/Specification_Architecture.md" TargetMode="External"/><Relationship Id="rId1226" Type="http://schemas.openxmlformats.org/officeDocument/2006/relationships/hyperlink" Target="https://github.com/FractonicMind/TernaryLogic/blob/main/API/Specification_Architecture.md" TargetMode="External"/><Relationship Id="rId1227" Type="http://schemas.openxmlformats.org/officeDocument/2006/relationships/hyperlink" Target="https://github.com/FractonicMind/TernaryLogic/blob/main/API/Specification_Architecture.md" TargetMode="External"/><Relationship Id="rId1228" Type="http://schemas.openxmlformats.org/officeDocument/2006/relationships/hyperlink" Target="https://github.com/FractonicMind/TernaryLogic/blob/main/The%20Architecture%20Of%20Assured%20Governance%20for%20Global%20Economic%20Systems.md" TargetMode="External"/><Relationship Id="rId1229" Type="http://schemas.openxmlformats.org/officeDocument/2006/relationships/hyperlink" Target="https://github.com/FractonicMind/TernaryLogic/blob/main/The%20Architecture%20Of%20Assured%20Governance%20for%20Global%20Economic%20Systems.md" TargetMode="External"/><Relationship Id="rId635" Type="http://schemas.openxmlformats.org/officeDocument/2006/relationships/hyperlink" Target="https://github.com/FractonicMind/TernaryLogic/blob/main/Adversarial_Survivability/TL_Constitutional_Survivability_Under_Adversarial_Pressure.md" TargetMode="External"/><Relationship Id="rId877" Type="http://schemas.openxmlformats.org/officeDocument/2006/relationships/hyperlink" Target="https://github.com/FractonicMind/TernaryLogic/blob/main/Adversarial_Survivability/TL_Constitutional_Survivability_Under_Adversarial_Pressure.md" TargetMode="External"/><Relationship Id="rId634" Type="http://schemas.openxmlformats.org/officeDocument/2006/relationships/hyperlink" Target="https://github.com/FractonicMind/TernaryLogic/blob/main/Adversarial_Survivability/TL_Constitutional_Survivability_Under_Adversarial_Pressure.md" TargetMode="External"/><Relationship Id="rId876" Type="http://schemas.openxmlformats.org/officeDocument/2006/relationships/hyperlink" Target="https://github.com/FractonicMind/TernaryLogic/blob/main/Adversarial_Survivability/TL_Constitutional_Survivability_Under_Adversarial_Pressure.md" TargetMode="External"/><Relationship Id="rId633" Type="http://schemas.openxmlformats.org/officeDocument/2006/relationships/hyperlink" Target="https://github.com/FractonicMind/TernaryLogic/blob/main/Adversarial_Survivability/TL_Constitutional_Survivability_Under_Adversarial_Pressure.md" TargetMode="External"/><Relationship Id="rId875" Type="http://schemas.openxmlformats.org/officeDocument/2006/relationships/hyperlink" Target="https://github.com/FractonicMind/TernaryLogic/blob/main/Adversarial_Survivability/TL_Constitutional_Survivability_Under_Adversarial_Pressure.md" TargetMode="External"/><Relationship Id="rId632" Type="http://schemas.openxmlformats.org/officeDocument/2006/relationships/hyperlink" Target="https://github.com/FractonicMind/TernaryLogic/blob/main/Adversarial_Survivability/TL_Constitutional_Survivability_Under_Adversarial_Pressure.md" TargetMode="External"/><Relationship Id="rId874" Type="http://schemas.openxmlformats.org/officeDocument/2006/relationships/hyperlink" Target="https://github.com/FractonicMind/TernaryLogic/blob/main/Adversarial_Survivability/TL_Constitutional_Survivability_Under_Adversarial_Pressure.md" TargetMode="External"/><Relationship Id="rId639" Type="http://schemas.openxmlformats.org/officeDocument/2006/relationships/hyperlink" Target="https://github.com/FractonicMind/TernaryLogic/blob/main/MT_Hardware/MT_System_Architecture_and_Economics.md" TargetMode="External"/><Relationship Id="rId638" Type="http://schemas.openxmlformats.org/officeDocument/2006/relationships/hyperlink" Target="https://github.com/FractonicMind/TernaryLogic/blob/main/MT_Hardware/MT_System_Architecture_and_Economics.md" TargetMode="External"/><Relationship Id="rId637" Type="http://schemas.openxmlformats.org/officeDocument/2006/relationships/hyperlink" Target="https://github.com/FractonicMind/TernaryLogic/blob/main/MT_Hardware/MT_System_Architecture_and_Economics.md" TargetMode="External"/><Relationship Id="rId879" Type="http://schemas.openxmlformats.org/officeDocument/2006/relationships/hyperlink" Target="https://github.com/FractonicMind/TernaryLogic/blob/main/Adversarial_Survivability/TL_Constitutional_Survivability_Under_Adversarial_Pressure.md" TargetMode="External"/><Relationship Id="rId636" Type="http://schemas.openxmlformats.org/officeDocument/2006/relationships/hyperlink" Target="https://github.com/FractonicMind/TernaryLogic/blob/main/MT_Hardware/MT_System_Architecture_and_Economics.md" TargetMode="External"/><Relationship Id="rId878" Type="http://schemas.openxmlformats.org/officeDocument/2006/relationships/hyperlink" Target="https://github.com/FractonicMind/TernaryLogic/blob/main/Adversarial_Survivability/TL_Constitutional_Survivability_Under_Adversarial_Pressure.md" TargetMode="External"/><Relationship Id="rId631" Type="http://schemas.openxmlformats.org/officeDocument/2006/relationships/hyperlink" Target="https://github.com/FractonicMind/TernaryLogic/blob/main/Adversarial_Survivability/TL_Constitutional_Survivability_Under_Adversarial_Pressure.md" TargetMode="External"/><Relationship Id="rId873" Type="http://schemas.openxmlformats.org/officeDocument/2006/relationships/hyperlink" Target="https://github.com/FractonicMind/TernaryLogic/blob/main/Adversarial_Survivability/TL_Constitutional_Survivability_Under_Adversarial_Pressure.md" TargetMode="External"/><Relationship Id="rId1220" Type="http://schemas.openxmlformats.org/officeDocument/2006/relationships/hyperlink" Target="https://github.com/FractonicMind/TernaryLogic/blob/main/The%20Architecture%20Of%20Assured%20Governance%20for%20Global%20Economic%20Systems.md" TargetMode="External"/><Relationship Id="rId630" Type="http://schemas.openxmlformats.org/officeDocument/2006/relationships/hyperlink" Target="https://github.com/FractonicMind/TernaryLogic/blob/main/Adversarial_Survivability/TL_Constitutional_Survivability_Under_Adversarial_Pressure.md" TargetMode="External"/><Relationship Id="rId872" Type="http://schemas.openxmlformats.org/officeDocument/2006/relationships/hyperlink" Target="https://github.com/FractonicMind/TernaryLogic/blob/main/Adversarial_Survivability/TL_Constitutional_Survivability_Under_Adversarial_Pressure.md" TargetMode="External"/><Relationship Id="rId1221" Type="http://schemas.openxmlformats.org/officeDocument/2006/relationships/hyperlink" Target="https://github.com/FractonicMind/TernaryLogic/blob/main/The%20Architecture%20Of%20Assured%20Governance%20for%20Global%20Economic%20Systems.md" TargetMode="External"/><Relationship Id="rId871" Type="http://schemas.openxmlformats.org/officeDocument/2006/relationships/hyperlink" Target="https://github.com/FractonicMind/TernaryLogic/blob/main/Governance/Ternary_Logic_as_Constitutional_Triadic_Governance_Architecture_for_High-Stakes_Automated_Decision-Making.md" TargetMode="External"/><Relationship Id="rId1222" Type="http://schemas.openxmlformats.org/officeDocument/2006/relationships/hyperlink" Target="https://github.com/FractonicMind/TernaryLogic/blob/main/The%20Architecture%20Of%20Assured%20Governance%20for%20Global%20Economic%20Systems.md" TargetMode="External"/><Relationship Id="rId870" Type="http://schemas.openxmlformats.org/officeDocument/2006/relationships/hyperlink" Target="https://github.com/FractonicMind/TernaryLogic/blob/main/Governance/Ternary_Logic_as_Constitutional_Triadic_Governance_Architecture_for_High-Stakes_Automated_Decision-Making.md" TargetMode="External"/><Relationship Id="rId1223" Type="http://schemas.openxmlformats.org/officeDocument/2006/relationships/hyperlink" Target="https://github.com/FractonicMind/TernaryLogic/blob/main/The%20Architecture%20Of%20Assured%20Governance%20for%20Global%20Economic%20Systems.md" TargetMode="External"/><Relationship Id="rId829" Type="http://schemas.openxmlformats.org/officeDocument/2006/relationships/hyperlink" Target="https://github.com/FractonicMind/TernaryLogic/blob/main/Governance/Ternary_Logic_as_Constitutional_Triadic_Governance_Architecture_for_High-Stakes_Automated_Decision-Making.md" TargetMode="External"/><Relationship Id="rId828" Type="http://schemas.openxmlformats.org/officeDocument/2006/relationships/hyperlink" Target="https://github.com/FractonicMind/TernaryLogic/blob/main/Governance/Ternary_Logic_as_Constitutional_Triadic_Governance_Architecture_for_High-Stakes_Automated_Decision-Making.md" TargetMode="External"/><Relationship Id="rId827" Type="http://schemas.openxmlformats.org/officeDocument/2006/relationships/hyperlink" Target="https://github.com/FractonicMind/TernaryLogic/blob/main/Governance/Ternary_Logic_as_Constitutional_Triadic_Governance_Architecture_for_High-Stakes_Automated_Decision-Making.md" TargetMode="External"/><Relationship Id="rId822" Type="http://schemas.openxmlformats.org/officeDocument/2006/relationships/hyperlink" Target="https://github.com/FractonicMind/TernaryLogic/blob/main/Governance/Ternary_Logic_as_Constitutional_Triadic_Governance_Architecture_for_High-Stakes_Automated_Decision-Making.md" TargetMode="External"/><Relationship Id="rId821" Type="http://schemas.openxmlformats.org/officeDocument/2006/relationships/hyperlink" Target="https://github.com/FractonicMind/TernaryLogic/blob/main/Governance/Ternary_Logic_as_Constitutional_Triadic_Governance_Architecture_for_High-Stakes_Automated_Decision-Making.md" TargetMode="External"/><Relationship Id="rId820" Type="http://schemas.openxmlformats.org/officeDocument/2006/relationships/hyperlink" Target="https://github.com/FractonicMind/TernaryLogic/blob/main/Governance/Ternary_Logic_as_Constitutional_Triadic_Governance_Architecture_for_High-Stakes_Automated_Decision-Making.md" TargetMode="External"/><Relationship Id="rId826" Type="http://schemas.openxmlformats.org/officeDocument/2006/relationships/hyperlink" Target="https://github.com/FractonicMind/TernaryLogic/blob/main/Governance/Ternary_Logic_as_Constitutional_Triadic_Governance_Architecture_for_High-Stakes_Automated_Decision-Making.md" TargetMode="External"/><Relationship Id="rId825" Type="http://schemas.openxmlformats.org/officeDocument/2006/relationships/hyperlink" Target="https://github.com/FractonicMind/TernaryLogic/blob/main/The%20Architecture%20Of%20Assured%20Governance%20for%20Global%20Economic%20Systems.md" TargetMode="External"/><Relationship Id="rId824" Type="http://schemas.openxmlformats.org/officeDocument/2006/relationships/hyperlink" Target="https://github.com/FractonicMind/TernaryLogic/blob/main/The%20Architecture%20Of%20Assured%20Governance%20for%20Global%20Economic%20Systems.md" TargetMode="External"/><Relationship Id="rId823" Type="http://schemas.openxmlformats.org/officeDocument/2006/relationships/hyperlink" Target="https://github.com/FractonicMind/TernaryLogic/blob/main/Governance/Ternary_Logic_as_Constitutional_Triadic_Governance_Architecture_for_High-Stakes_Automated_Decision-Making.md" TargetMode="External"/><Relationship Id="rId819" Type="http://schemas.openxmlformats.org/officeDocument/2006/relationships/hyperlink" Target="https://github.com/FractonicMind/TernaryLogic/blob/main/Governance/Ternary_Logic_as_Constitutional_Triadic_Governance_Architecture_for_High-Stakes_Automated_Decision-Making.md" TargetMode="External"/><Relationship Id="rId818" Type="http://schemas.openxmlformats.org/officeDocument/2006/relationships/hyperlink" Target="https://github.com/FractonicMind/TernaryLogic/blob/main/Governance/Ternary_Logic_as_Constitutional_Triadic_Governance_Architecture_for_High-Stakes_Automated_Decision-Making.md" TargetMode="External"/><Relationship Id="rId817" Type="http://schemas.openxmlformats.org/officeDocument/2006/relationships/hyperlink" Target="https://github.com/FractonicMind/TernaryLogic/blob/main/The%20Architecture%20Of%20Assured%20Governance%20for%20Global%20Economic%20Systems.md" TargetMode="External"/><Relationship Id="rId816" Type="http://schemas.openxmlformats.org/officeDocument/2006/relationships/hyperlink" Target="https://github.com/FractonicMind/TernaryLogic/blob/main/The%20Architecture%20Of%20Assured%20Governance%20for%20Global%20Economic%20Systems.md" TargetMode="External"/><Relationship Id="rId811" Type="http://schemas.openxmlformats.org/officeDocument/2006/relationships/hyperlink" Target="https://github.com/FractonicMind/TernaryLogic/blob/main/Governance/Ternary_Logic_as_Constitutional_Triadic_Governance_Architecture_for_High-Stakes_Automated_Decision-Making.md" TargetMode="External"/><Relationship Id="rId810" Type="http://schemas.openxmlformats.org/officeDocument/2006/relationships/hyperlink" Target="https://github.com/FractonicMind/TernaryLogic/blob/main/Governance/Ternary_Logic_as_Constitutional_Triadic_Governance_Architecture_for_High-Stakes_Automated_Decision-Making.md" TargetMode="External"/><Relationship Id="rId815" Type="http://schemas.openxmlformats.org/officeDocument/2006/relationships/hyperlink" Target="https://github.com/FractonicMind/TernaryLogic/blob/main/API/Specification_Architecture.md" TargetMode="External"/><Relationship Id="rId814" Type="http://schemas.openxmlformats.org/officeDocument/2006/relationships/hyperlink" Target="https://github.com/FractonicMind/TernaryLogic/blob/main/API/Specification_Architecture.md" TargetMode="External"/><Relationship Id="rId813" Type="http://schemas.openxmlformats.org/officeDocument/2006/relationships/hyperlink" Target="https://github.com/FractonicMind/TernaryLogic/blob/main/Governance/Ternary_Logic_as_Constitutional_Triadic_Governance_Architecture_for_High-Stakes_Automated_Decision-Making.md" TargetMode="External"/><Relationship Id="rId812" Type="http://schemas.openxmlformats.org/officeDocument/2006/relationships/hyperlink" Target="https://github.com/FractonicMind/TernaryLogic/blob/main/Governance/Ternary_Logic_as_Constitutional_Triadic_Governance_Architecture_for_High-Stakes_Automated_Decision-Making.md" TargetMode="External"/><Relationship Id="rId609" Type="http://schemas.openxmlformats.org/officeDocument/2006/relationships/hyperlink" Target="https://github.com/FractonicMind/TernaryLogic/blob/main/MT_Hardware/MT_System_Architecture_and_Economics.md" TargetMode="External"/><Relationship Id="rId608" Type="http://schemas.openxmlformats.org/officeDocument/2006/relationships/hyperlink" Target="https://github.com/FractonicMind/TernaryLogic/blob/main/MT_Hardware/MT_System_Architecture_and_Economics.md" TargetMode="External"/><Relationship Id="rId607" Type="http://schemas.openxmlformats.org/officeDocument/2006/relationships/hyperlink" Target="https://github.com/FractonicMind/TernaryLogic/blob/main/MT_Hardware/MT_System_Architecture_and_Economics.md" TargetMode="External"/><Relationship Id="rId849" Type="http://schemas.openxmlformats.org/officeDocument/2006/relationships/hyperlink" Target="https://github.com/FractonicMind/TernaryLogic/blob/main/Governance/Ternary_Logic_as_Constitutional_Triadic_Governance_Architecture_for_High-Stakes_Automated_Decision-Making.md" TargetMode="External"/><Relationship Id="rId602" Type="http://schemas.openxmlformats.org/officeDocument/2006/relationships/hyperlink" Target="https://github.com/FractonicMind/TernaryLogic/blob/main/Adversarial_Survivability/TL_Constitutional_Survivability_Under_Adversarial_Pressure.md" TargetMode="External"/><Relationship Id="rId844" Type="http://schemas.openxmlformats.org/officeDocument/2006/relationships/hyperlink" Target="https://github.com/FractonicMind/TernaryLogic/blob/main/API/Specification_Architecture.md" TargetMode="External"/><Relationship Id="rId601" Type="http://schemas.openxmlformats.org/officeDocument/2006/relationships/hyperlink" Target="https://github.com/FractonicMind/TernaryLogic/blob/main/Adversarial_Survivability/TL_Constitutional_Survivability_Under_Adversarial_Pressure.md" TargetMode="External"/><Relationship Id="rId843" Type="http://schemas.openxmlformats.org/officeDocument/2006/relationships/hyperlink" Target="https://github.com/FractonicMind/TernaryLogic/blob/main/Governance/Ternary_Logic_as_Constitutional_Triadic_Governance_Architecture_for_High-Stakes_Automated_Decision-Making.md" TargetMode="External"/><Relationship Id="rId600" Type="http://schemas.openxmlformats.org/officeDocument/2006/relationships/hyperlink" Target="https://github.com/FractonicMind/TernaryLogic/blob/main/Adversarial_Survivability/TL_Constitutional_Survivability_Under_Adversarial_Pressure.md" TargetMode="External"/><Relationship Id="rId842" Type="http://schemas.openxmlformats.org/officeDocument/2006/relationships/hyperlink" Target="https://github.com/FractonicMind/TernaryLogic/blob/main/Governance/Ternary_Logic_as_Constitutional_Triadic_Governance_Architecture_for_High-Stakes_Automated_Decision-Making.md" TargetMode="External"/><Relationship Id="rId841" Type="http://schemas.openxmlformats.org/officeDocument/2006/relationships/hyperlink" Target="https://github.com/FractonicMind/TernaryLogic/blob/main/API/Specification_Architecture.md" TargetMode="External"/><Relationship Id="rId606" Type="http://schemas.openxmlformats.org/officeDocument/2006/relationships/hyperlink" Target="https://github.com/FractonicMind/TernaryLogic/blob/main/MT_Hardware/MT_System_Architecture_and_Economics.md" TargetMode="External"/><Relationship Id="rId848" Type="http://schemas.openxmlformats.org/officeDocument/2006/relationships/hyperlink" Target="https://github.com/FractonicMind/TernaryLogic/blob/main/Governance/Ternary_Logic_as_Constitutional_Triadic_Governance_Architecture_for_High-Stakes_Automated_Decision-Making.md" TargetMode="External"/><Relationship Id="rId605" Type="http://schemas.openxmlformats.org/officeDocument/2006/relationships/hyperlink" Target="https://github.com/FractonicMind/TernaryLogic/blob/main/Adversarial_Survivability/TL_Constitutional_Survivability_Under_Adversarial_Pressure.md" TargetMode="External"/><Relationship Id="rId847" Type="http://schemas.openxmlformats.org/officeDocument/2006/relationships/hyperlink" Target="https://github.com/FractonicMind/TernaryLogic/blob/main/Governance/Ternary_Logic_as_Constitutional_Triadic_Governance_Architecture_for_High-Stakes_Automated_Decision-Making.md" TargetMode="External"/><Relationship Id="rId604" Type="http://schemas.openxmlformats.org/officeDocument/2006/relationships/hyperlink" Target="https://github.com/FractonicMind/TernaryLogic/blob/main/Adversarial_Survivability/TL_Constitutional_Survivability_Under_Adversarial_Pressure.md" TargetMode="External"/><Relationship Id="rId846" Type="http://schemas.openxmlformats.org/officeDocument/2006/relationships/hyperlink" Target="https://github.com/FractonicMind/TernaryLogic/blob/main/Governance/Ternary_Logic_as_Constitutional_Triadic_Governance_Architecture_for_High-Stakes_Automated_Decision-Making.md" TargetMode="External"/><Relationship Id="rId603" Type="http://schemas.openxmlformats.org/officeDocument/2006/relationships/hyperlink" Target="https://github.com/FractonicMind/TernaryLogic/blob/main/Adversarial_Survivability/TL_Constitutional_Survivability_Under_Adversarial_Pressure.md" TargetMode="External"/><Relationship Id="rId845" Type="http://schemas.openxmlformats.org/officeDocument/2006/relationships/hyperlink" Target="https://github.com/FractonicMind/TernaryLogic/blob/main/API/Specification_Architecture.md" TargetMode="External"/><Relationship Id="rId840" Type="http://schemas.openxmlformats.org/officeDocument/2006/relationships/hyperlink" Target="https://github.com/FractonicMind/TernaryLogic/blob/main/API/Specification_Architecture.md" TargetMode="External"/><Relationship Id="rId839" Type="http://schemas.openxmlformats.org/officeDocument/2006/relationships/hyperlink" Target="https://github.com/FractonicMind/TernaryLogic/blob/main/API/Specification_Architecture.md" TargetMode="External"/><Relationship Id="rId838" Type="http://schemas.openxmlformats.org/officeDocument/2006/relationships/hyperlink" Target="https://github.com/FractonicMind/TernaryLogic/blob/main/API/Specification_Architecture.md" TargetMode="External"/><Relationship Id="rId833" Type="http://schemas.openxmlformats.org/officeDocument/2006/relationships/hyperlink" Target="https://github.com/FractonicMind/TernaryLogic/blob/main/API/Specification_Architecture.md" TargetMode="External"/><Relationship Id="rId832" Type="http://schemas.openxmlformats.org/officeDocument/2006/relationships/hyperlink" Target="https://github.com/FractonicMind/TernaryLogic/blob/main/API/Specification_Architecture.md" TargetMode="External"/><Relationship Id="rId831" Type="http://schemas.openxmlformats.org/officeDocument/2006/relationships/hyperlink" Target="https://github.com/FractonicMind/TernaryLogic/blob/main/Governance/Ternary_Logic_as_Constitutional_Triadic_Governance_Architecture_for_High-Stakes_Automated_Decision-Making.md" TargetMode="External"/><Relationship Id="rId830" Type="http://schemas.openxmlformats.org/officeDocument/2006/relationships/hyperlink" Target="https://github.com/FractonicMind/TernaryLogic/blob/main/Governance/Ternary_Logic_as_Constitutional_Triadic_Governance_Architecture_for_High-Stakes_Automated_Decision-Making.md" TargetMode="External"/><Relationship Id="rId837" Type="http://schemas.openxmlformats.org/officeDocument/2006/relationships/hyperlink" Target="https://github.com/FractonicMind/TernaryLogic/blob/main/Governance/Ternary_Logic_as_Constitutional_Triadic_Governance_Architecture_for_High-Stakes_Automated_Decision-Making.md" TargetMode="External"/><Relationship Id="rId836" Type="http://schemas.openxmlformats.org/officeDocument/2006/relationships/hyperlink" Target="https://github.com/FractonicMind/TernaryLogic/blob/main/Governance/Ternary_Logic_as_Constitutional_Triadic_Governance_Architecture_for_High-Stakes_Automated_Decision-Making.md" TargetMode="External"/><Relationship Id="rId835" Type="http://schemas.openxmlformats.org/officeDocument/2006/relationships/hyperlink" Target="https://github.com/FractonicMind/TernaryLogic/blob/main/API/Specification_Architecture.md" TargetMode="External"/><Relationship Id="rId834" Type="http://schemas.openxmlformats.org/officeDocument/2006/relationships/hyperlink" Target="https://github.com/FractonicMind/TernaryLogic/blob/main/API/Specification_Architecture.md" TargetMode="External"/><Relationship Id="rId1059" Type="http://schemas.openxmlformats.org/officeDocument/2006/relationships/hyperlink" Target="https://github.com/FractonicMind/TernaryLogic/blob/main/API/Specification_Architecture.md" TargetMode="External"/><Relationship Id="rId228" Type="http://schemas.openxmlformats.org/officeDocument/2006/relationships/hyperlink" Target="https://github.com/FractonicMind/TernaryLogic/blob/main/API/Specification_Architecture.md" TargetMode="External"/><Relationship Id="rId227" Type="http://schemas.openxmlformats.org/officeDocument/2006/relationships/hyperlink" Target="https://github.com/FractonicMind/TernaryLogic/blob/main/API/Specification_Architecture.md" TargetMode="External"/><Relationship Id="rId469" Type="http://schemas.openxmlformats.org/officeDocument/2006/relationships/hyperlink" Target="https://github.com/FractonicMind/TernaryLogic/blob/main/API/Specification_Architecture.md" TargetMode="External"/><Relationship Id="rId226" Type="http://schemas.openxmlformats.org/officeDocument/2006/relationships/hyperlink" Target="https://github.com/FractonicMind/TernaryLogic/blob/main/API/Specification_Architecture.md" TargetMode="External"/><Relationship Id="rId468" Type="http://schemas.openxmlformats.org/officeDocument/2006/relationships/hyperlink" Target="https://github.com/FractonicMind/TernaryLogic/blob/main/API/Specification_Architecture.md" TargetMode="External"/><Relationship Id="rId225" Type="http://schemas.openxmlformats.org/officeDocument/2006/relationships/hyperlink" Target="https://github.com/FractonicMind/TernaryLogic/blob/main/API/Specification_Architecture.md" TargetMode="External"/><Relationship Id="rId467" Type="http://schemas.openxmlformats.org/officeDocument/2006/relationships/hyperlink" Target="https://github.com/FractonicMind/TernaryLogic/blob/main/API/Specification_Architecture.md" TargetMode="External"/><Relationship Id="rId1290" Type="http://schemas.openxmlformats.org/officeDocument/2006/relationships/hyperlink" Target="https://github.com/FractonicMind/TernaryLogic/blob/main/Adversarial_Survivability/TL_Constitutional_Survivability_Under_Adversarial_Pressure.md" TargetMode="External"/><Relationship Id="rId1291" Type="http://schemas.openxmlformats.org/officeDocument/2006/relationships/hyperlink" Target="https://github.com/FractonicMind/TernaryLogic/blob/main/Adversarial_Survivability/TL_Constitutional_Survivability_Under_Adversarial_Pressure.md" TargetMode="External"/><Relationship Id="rId229" Type="http://schemas.openxmlformats.org/officeDocument/2006/relationships/hyperlink" Target="https://github.com/FractonicMind/TernaryLogic/blob/main/API/Specification_Architecture.md" TargetMode="External"/><Relationship Id="rId1050" Type="http://schemas.openxmlformats.org/officeDocument/2006/relationships/hyperlink" Target="https://github.com/FractonicMind/TernaryLogic/blob/main/API/Specification_Architecture.md" TargetMode="External"/><Relationship Id="rId1292" Type="http://schemas.openxmlformats.org/officeDocument/2006/relationships/hyperlink" Target="https://raw.githubusercontent.com/FractonicMind/TernaryLogic/refs/heads/main/No_Spy-No_Weapon/Universal_Scalability_of_TL_Under_the_NoS-NoW_Mandate.md" TargetMode="External"/><Relationship Id="rId220" Type="http://schemas.openxmlformats.org/officeDocument/2006/relationships/hyperlink" Target="https://github.com/FractonicMind/TernaryLogic/blob/main/API/Specification_Architecture.md" TargetMode="External"/><Relationship Id="rId462" Type="http://schemas.openxmlformats.org/officeDocument/2006/relationships/hyperlink" Target="https://github.com/FractonicMind/TernaryLogic/blob/main/The%20Architecture%20Of%20Assured%20Governance%20for%20Global%20Economic%20Systems.md" TargetMode="External"/><Relationship Id="rId1051" Type="http://schemas.openxmlformats.org/officeDocument/2006/relationships/hyperlink" Target="https://github.com/FractonicMind/TernaryLogic/blob/main/API/Specification_Architecture.md" TargetMode="External"/><Relationship Id="rId1293" Type="http://schemas.openxmlformats.org/officeDocument/2006/relationships/hyperlink" Target="https://raw.githubusercontent.com/FractonicMind/TernaryLogic/refs/heads/main/No_Spy-No_Weapon/Universal_Scalability_of_TL_Under_the_NoS-NoW_Mandate.md" TargetMode="External"/><Relationship Id="rId461" Type="http://schemas.openxmlformats.org/officeDocument/2006/relationships/hyperlink" Target="https://github.com/FractonicMind/TernaryLogic/blob/main/The%20Architecture%20Of%20Assured%20Governance%20for%20Global%20Economic%20Systems.md" TargetMode="External"/><Relationship Id="rId1052" Type="http://schemas.openxmlformats.org/officeDocument/2006/relationships/hyperlink" Target="https://github.com/FractonicMind/TernaryLogic/blob/main/Adversarial_Survivability/TL_Constitutional_Survivability_Under_Adversarial_Pressure.md" TargetMode="External"/><Relationship Id="rId1294" Type="http://schemas.openxmlformats.org/officeDocument/2006/relationships/hyperlink" Target="https://github.com/FractonicMind/TernaryLogic/blob/main/The%20Architecture%20Of%20Assured%20Governance%20for%20Global%20Economic%20Systems.md" TargetMode="External"/><Relationship Id="rId460" Type="http://schemas.openxmlformats.org/officeDocument/2006/relationships/hyperlink" Target="https://github.com/FractonicMind/TernaryLogic/blob/main/The%20Architecture%20Of%20Assured%20Governance%20for%20Global%20Economic%20Systems.md" TargetMode="External"/><Relationship Id="rId1053" Type="http://schemas.openxmlformats.org/officeDocument/2006/relationships/hyperlink" Target="https://github.com/FractonicMind/TernaryLogic/blob/main/Adversarial_Survivability/TL_Constitutional_Survivability_Under_Adversarial_Pressure.md" TargetMode="External"/><Relationship Id="rId1295" Type="http://schemas.openxmlformats.org/officeDocument/2006/relationships/hyperlink" Target="https://github.com/FractonicMind/TernaryLogic/blob/main/The%20Architecture%20Of%20Assured%20Governance%20for%20Global%20Economic%20Systems.md" TargetMode="External"/><Relationship Id="rId1054" Type="http://schemas.openxmlformats.org/officeDocument/2006/relationships/hyperlink" Target="https://github.com/FractonicMind/TernaryLogic/blob/main/Adversarial_Survivability/TL_Constitutional_Survivability_Under_Adversarial_Pressure.md" TargetMode="External"/><Relationship Id="rId1296" Type="http://schemas.openxmlformats.org/officeDocument/2006/relationships/hyperlink" Target="https://github.com/FractonicMind/TernaryLogic/blob/main/The%20Architecture%20Of%20Assured%20Governance%20for%20Global%20Economic%20Systems.md" TargetMode="External"/><Relationship Id="rId224" Type="http://schemas.openxmlformats.org/officeDocument/2006/relationships/hyperlink" Target="https://github.com/FractonicMind/TernaryLogic/blob/main/API/Specification_Architecture.md" TargetMode="External"/><Relationship Id="rId466" Type="http://schemas.openxmlformats.org/officeDocument/2006/relationships/hyperlink" Target="https://github.com/FractonicMind/TernaryLogic/blob/main/API/Specification_Architecture.md" TargetMode="External"/><Relationship Id="rId1055" Type="http://schemas.openxmlformats.org/officeDocument/2006/relationships/hyperlink" Target="https://github.com/FractonicMind/TernaryLogic/blob/main/Adversarial_Survivability/TL_Constitutional_Survivability_Under_Adversarial_Pressure.md" TargetMode="External"/><Relationship Id="rId1297" Type="http://schemas.openxmlformats.org/officeDocument/2006/relationships/hyperlink" Target="https://github.com/FractonicMind/TernaryLogic/blob/main/The%20Architecture%20Of%20Assured%20Governance%20for%20Global%20Economic%20Systems.md" TargetMode="External"/><Relationship Id="rId223" Type="http://schemas.openxmlformats.org/officeDocument/2006/relationships/hyperlink" Target="https://github.com/FractonicMind/TernaryLogic/blob/main/MT_Hardware/MT_System_Architecture_and_Economics.md" TargetMode="External"/><Relationship Id="rId465" Type="http://schemas.openxmlformats.org/officeDocument/2006/relationships/hyperlink" Target="https://github.com/FractonicMind/TernaryLogic/blob/main/API/Specification_Architecture.md" TargetMode="External"/><Relationship Id="rId1056" Type="http://schemas.openxmlformats.org/officeDocument/2006/relationships/hyperlink" Target="https://github.com/FractonicMind/TernaryLogic/blob/main/Adversarial_Survivability/TL_Constitutional_Survivability_Under_Adversarial_Pressure.md" TargetMode="External"/><Relationship Id="rId1298" Type="http://schemas.openxmlformats.org/officeDocument/2006/relationships/hyperlink" Target="https://github.com/FractonicMind/TernaryLogic/blob/main/Governance/Governance_Complete.md" TargetMode="External"/><Relationship Id="rId222" Type="http://schemas.openxmlformats.org/officeDocument/2006/relationships/hyperlink" Target="https://github.com/FractonicMind/TernaryLogic/blob/main/MT_Hardware/MT_System_Architecture_and_Economics.md" TargetMode="External"/><Relationship Id="rId464" Type="http://schemas.openxmlformats.org/officeDocument/2006/relationships/hyperlink" Target="https://github.com/FractonicMind/TernaryLogic/blob/main/API/Specification_Architecture.md" TargetMode="External"/><Relationship Id="rId1057" Type="http://schemas.openxmlformats.org/officeDocument/2006/relationships/hyperlink" Target="https://github.com/FractonicMind/TernaryLogic/blob/main/Adversarial_Survivability/TL_Constitutional_Survivability_Under_Adversarial_Pressure.md" TargetMode="External"/><Relationship Id="rId1299" Type="http://schemas.openxmlformats.org/officeDocument/2006/relationships/hyperlink" Target="https://github.com/FractonicMind/TernaryLogic/blob/main/Governance/Governance_Complete.md" TargetMode="External"/><Relationship Id="rId221" Type="http://schemas.openxmlformats.org/officeDocument/2006/relationships/hyperlink" Target="https://github.com/FractonicMind/TernaryLogic/blob/main/API/Specification_Architecture.md" TargetMode="External"/><Relationship Id="rId463" Type="http://schemas.openxmlformats.org/officeDocument/2006/relationships/hyperlink" Target="https://github.com/FractonicMind/TernaryLogic/blob/main/The%20Architecture%20Of%20Assured%20Governance%20for%20Global%20Economic%20Systems.md" TargetMode="External"/><Relationship Id="rId1058" Type="http://schemas.openxmlformats.org/officeDocument/2006/relationships/hyperlink" Target="https://github.com/FractonicMind/TernaryLogic/blob/main/API/Specification_Architecture.md" TargetMode="External"/><Relationship Id="rId1048" Type="http://schemas.openxmlformats.org/officeDocument/2006/relationships/hyperlink" Target="https://github.com/FractonicMind/TernaryLogic/blob/main/API/Specification_Architecture.md" TargetMode="External"/><Relationship Id="rId1049" Type="http://schemas.openxmlformats.org/officeDocument/2006/relationships/hyperlink" Target="https://github.com/FractonicMind/TernaryLogic/blob/main/API/Specification_Architecture.md" TargetMode="External"/><Relationship Id="rId217" Type="http://schemas.openxmlformats.org/officeDocument/2006/relationships/hyperlink" Target="https://github.com/FractonicMind/TernaryLogic/blob/main/PPT/05_Research/Governor_Independence_Note.md" TargetMode="External"/><Relationship Id="rId459" Type="http://schemas.openxmlformats.org/officeDocument/2006/relationships/hyperlink" Target="https://github.com/FractonicMind/TernaryLogic/blob/main/The%20Architecture%20Of%20Assured%20Governance%20for%20Global%20Economic%20Systems.md" TargetMode="External"/><Relationship Id="rId216" Type="http://schemas.openxmlformats.org/officeDocument/2006/relationships/hyperlink" Target="https://github.com/FractonicMind/TernaryLogic/blob/main/PPT/05_Research/Governor_Independence_Note.md" TargetMode="External"/><Relationship Id="rId458" Type="http://schemas.openxmlformats.org/officeDocument/2006/relationships/hyperlink" Target="https://github.com/FractonicMind/TernaryLogic/blob/main/The%20Architecture%20Of%20Assured%20Governance%20for%20Global%20Economic%20Systems.md" TargetMode="External"/><Relationship Id="rId215" Type="http://schemas.openxmlformats.org/officeDocument/2006/relationships/hyperlink" Target="https://github.com/FractonicMind/TernaryLogic/blob/main/PPT/05_Research/Governor_Independence_Note.md" TargetMode="External"/><Relationship Id="rId457" Type="http://schemas.openxmlformats.org/officeDocument/2006/relationships/hyperlink" Target="https://github.com/FractonicMind/TernaryLogic/blob/main/API/Specification_Architecture.md" TargetMode="External"/><Relationship Id="rId699" Type="http://schemas.openxmlformats.org/officeDocument/2006/relationships/hyperlink" Target="https://github.com/FractonicMind/TernaryLogic/blob/main/Adversarial_Survivability/TL_Constitutional_Survivability_Under_Adversarial_Pressure.md" TargetMode="External"/><Relationship Id="rId214" Type="http://schemas.openxmlformats.org/officeDocument/2006/relationships/hyperlink" Target="https://github.com/FractonicMind/TernaryLogic/blob/main/PPT/05_Research/Governor_Independence_Note.md" TargetMode="External"/><Relationship Id="rId456" Type="http://schemas.openxmlformats.org/officeDocument/2006/relationships/hyperlink" Target="https://github.com/FractonicMind/TernaryLogic/blob/main/API/Specification_Architecture.md" TargetMode="External"/><Relationship Id="rId698" Type="http://schemas.openxmlformats.org/officeDocument/2006/relationships/hyperlink" Target="https://github.com/FractonicMind/TernaryLogic/blob/main/Adversarial_Survivability/TL_Constitutional_Survivability_Under_Adversarial_Pressure.md" TargetMode="External"/><Relationship Id="rId219" Type="http://schemas.openxmlformats.org/officeDocument/2006/relationships/hyperlink" Target="https://github.com/FractonicMind/TernaryLogic/blob/main/API/Specification_Architecture.md" TargetMode="External"/><Relationship Id="rId1280" Type="http://schemas.openxmlformats.org/officeDocument/2006/relationships/hyperlink" Target="https://github.com/FractonicMind/TernaryLogic/blob/main/The%20Architecture%20Of%20Assured%20Governance%20for%20Global%20Economic%20Systems.md" TargetMode="External"/><Relationship Id="rId218" Type="http://schemas.openxmlformats.org/officeDocument/2006/relationships/hyperlink" Target="https://github.com/FractonicMind/TernaryLogic/blob/main/API/Specification_Architecture.md" TargetMode="External"/><Relationship Id="rId1281" Type="http://schemas.openxmlformats.org/officeDocument/2006/relationships/hyperlink" Target="https://github.com/FractonicMind/TernaryLogic/blob/main/The%20Architecture%20Of%20Assured%20Governance%20for%20Global%20Economic%20Systems.md" TargetMode="External"/><Relationship Id="rId451" Type="http://schemas.openxmlformats.org/officeDocument/2006/relationships/hyperlink" Target="https://github.com/FractonicMind/TernaryLogic/blob/main/The%20Architecture%20Of%20Assured%20Governance%20for%20Global%20Economic%20Systems.md" TargetMode="External"/><Relationship Id="rId693" Type="http://schemas.openxmlformats.org/officeDocument/2006/relationships/hyperlink" Target="https://github.com/FractonicMind/TernaryLogic/blob/main/Adversarial_Survivability/TL_Constitutional_Survivability_Under_Adversarial_Pressure.md" TargetMode="External"/><Relationship Id="rId1040" Type="http://schemas.openxmlformats.org/officeDocument/2006/relationships/hyperlink" Target="https://github.com/FractonicMind/TernaryLogic/blob/main/Adversarial_Survivability/TL_Constitutional_Survivability_Under_Adversarial_Pressure.md" TargetMode="External"/><Relationship Id="rId1282" Type="http://schemas.openxmlformats.org/officeDocument/2006/relationships/hyperlink" Target="https://github.com/FractonicMind/TernaryLogic/blob/main/API/Specification_Architecture.md" TargetMode="External"/><Relationship Id="rId450" Type="http://schemas.openxmlformats.org/officeDocument/2006/relationships/hyperlink" Target="https://github.com/FractonicMind/TernaryLogic/blob/main/The%20Architecture%20Of%20Assured%20Governance%20for%20Global%20Economic%20Systems.md" TargetMode="External"/><Relationship Id="rId692" Type="http://schemas.openxmlformats.org/officeDocument/2006/relationships/hyperlink" Target="https://github.com/FractonicMind/TernaryLogic/blob/main/Adversarial_Survivability/TL_Constitutional_Survivability_Under_Adversarial_Pressure.md" TargetMode="External"/><Relationship Id="rId1041" Type="http://schemas.openxmlformats.org/officeDocument/2006/relationships/hyperlink" Target="https://github.com/FractonicMind/TernaryLogic/blob/main/Adversarial_Survivability/TL_Constitutional_Survivability_Under_Adversarial_Pressure.md" TargetMode="External"/><Relationship Id="rId1283" Type="http://schemas.openxmlformats.org/officeDocument/2006/relationships/hyperlink" Target="https://github.com/FractonicMind/TernaryLogic/blob/main/API/Specification_Architecture.md" TargetMode="External"/><Relationship Id="rId691" Type="http://schemas.openxmlformats.org/officeDocument/2006/relationships/hyperlink" Target="https://github.com/FractonicMind/TernaryLogic/blob/main/Adversarial_Survivability/TL_Constitutional_Survivability_Under_Adversarial_Pressure.md" TargetMode="External"/><Relationship Id="rId1042" Type="http://schemas.openxmlformats.org/officeDocument/2006/relationships/hyperlink" Target="https://github.com/FractonicMind/TernaryLogic/blob/main/Adversarial_Survivability/TL_Constitutional_Survivability_Under_Adversarial_Pressure.md" TargetMode="External"/><Relationship Id="rId1284" Type="http://schemas.openxmlformats.org/officeDocument/2006/relationships/hyperlink" Target="https://github.com/FractonicMind/TernaryLogic/blob/main/The%20Architecture%20Of%20Assured%20Governance%20for%20Global%20Economic%20Systems.md" TargetMode="External"/><Relationship Id="rId690" Type="http://schemas.openxmlformats.org/officeDocument/2006/relationships/hyperlink" Target="https://github.com/FractonicMind/TernaryLogic/blob/main/Adversarial_Survivability/TL_Constitutional_Survivability_Under_Adversarial_Pressure.md" TargetMode="External"/><Relationship Id="rId1043" Type="http://schemas.openxmlformats.org/officeDocument/2006/relationships/hyperlink" Target="https://github.com/FractonicMind/TernaryLogic/blob/main/Adversarial_Survivability/TL_Constitutional_Survivability_Under_Adversarial_Pressure.md" TargetMode="External"/><Relationship Id="rId1285" Type="http://schemas.openxmlformats.org/officeDocument/2006/relationships/hyperlink" Target="https://github.com/FractonicMind/TernaryLogic/blob/main/The%20Architecture%20Of%20Assured%20Governance%20for%20Global%20Economic%20Systems.md" TargetMode="External"/><Relationship Id="rId213" Type="http://schemas.openxmlformats.org/officeDocument/2006/relationships/hyperlink" Target="https://github.com/FractonicMind/TernaryLogic/blob/main/MT_Hardware/MT_System_Architecture_and_Economics.md" TargetMode="External"/><Relationship Id="rId455" Type="http://schemas.openxmlformats.org/officeDocument/2006/relationships/hyperlink" Target="https://github.com/FractonicMind/TernaryLogic/blob/main/API/Specification_Architecture.md" TargetMode="External"/><Relationship Id="rId697" Type="http://schemas.openxmlformats.org/officeDocument/2006/relationships/hyperlink" Target="https://github.com/FractonicMind/TernaryLogic/blob/main/Adversarial_Survivability/TL_Constitutional_Survivability_Under_Adversarial_Pressure.md" TargetMode="External"/><Relationship Id="rId1044" Type="http://schemas.openxmlformats.org/officeDocument/2006/relationships/hyperlink" Target="https://github.com/FractonicMind/TernaryLogic/blob/main/Adversarial_Survivability/TL_Constitutional_Survivability_Under_Adversarial_Pressure.md" TargetMode="External"/><Relationship Id="rId1286" Type="http://schemas.openxmlformats.org/officeDocument/2006/relationships/hyperlink" Target="https://github.com/FractonicMind/TernaryLogic/blob/main/Adversarial_Survivability/TL_Constitutional_Survivability_Under_Adversarial_Pressure.md" TargetMode="External"/><Relationship Id="rId212" Type="http://schemas.openxmlformats.org/officeDocument/2006/relationships/hyperlink" Target="https://github.com/FractonicMind/TernaryLogic/blob/main/MT_Hardware/MT_System_Architecture_and_Economics.md" TargetMode="External"/><Relationship Id="rId454" Type="http://schemas.openxmlformats.org/officeDocument/2006/relationships/hyperlink" Target="https://github.com/FractonicMind/TernaryLogic/blob/main/API/Specification_Architecture.md" TargetMode="External"/><Relationship Id="rId696" Type="http://schemas.openxmlformats.org/officeDocument/2006/relationships/hyperlink" Target="https://github.com/FractonicMind/TernaryLogic/blob/main/Adversarial_Survivability/TL_Constitutional_Survivability_Under_Adversarial_Pressure.md" TargetMode="External"/><Relationship Id="rId1045" Type="http://schemas.openxmlformats.org/officeDocument/2006/relationships/hyperlink" Target="https://github.com/FractonicMind/TernaryLogic/blob/main/Adversarial_Survivability/TL_Constitutional_Survivability_Under_Adversarial_Pressure.md" TargetMode="External"/><Relationship Id="rId1287" Type="http://schemas.openxmlformats.org/officeDocument/2006/relationships/hyperlink" Target="https://github.com/FractonicMind/TernaryLogic/blob/main/Adversarial_Survivability/TL_Constitutional_Survivability_Under_Adversarial_Pressure.md" TargetMode="External"/><Relationship Id="rId211" Type="http://schemas.openxmlformats.org/officeDocument/2006/relationships/hyperlink" Target="https://github.com/FractonicMind/TernaryLogic/blob/main/API/Specification_Architecture.md" TargetMode="External"/><Relationship Id="rId453" Type="http://schemas.openxmlformats.org/officeDocument/2006/relationships/hyperlink" Target="https://github.com/FractonicMind/TernaryLogic/blob/main/API/Specification_Architecture.md" TargetMode="External"/><Relationship Id="rId695" Type="http://schemas.openxmlformats.org/officeDocument/2006/relationships/hyperlink" Target="https://github.com/FractonicMind/TernaryLogic/blob/main/Adversarial_Survivability/TL_Constitutional_Survivability_Under_Adversarial_Pressure.md" TargetMode="External"/><Relationship Id="rId1046" Type="http://schemas.openxmlformats.org/officeDocument/2006/relationships/hyperlink" Target="https://github.com/FractonicMind/TernaryLogic/blob/main/Adversarial_Survivability/TL_Constitutional_Survivability_Under_Adversarial_Pressure.md" TargetMode="External"/><Relationship Id="rId1288" Type="http://schemas.openxmlformats.org/officeDocument/2006/relationships/hyperlink" Target="https://github.com/FractonicMind/TernaryLogic/blob/main/Adversarial_Survivability/TL_Constitutional_Survivability_Under_Adversarial_Pressure.md" TargetMode="External"/><Relationship Id="rId210" Type="http://schemas.openxmlformats.org/officeDocument/2006/relationships/hyperlink" Target="https://github.com/FractonicMind/TernaryLogic/blob/main/API/Specification_Architecture.md" TargetMode="External"/><Relationship Id="rId452" Type="http://schemas.openxmlformats.org/officeDocument/2006/relationships/hyperlink" Target="https://github.com/FractonicMind/TernaryLogic/blob/main/API/Specification_Architecture.md" TargetMode="External"/><Relationship Id="rId694" Type="http://schemas.openxmlformats.org/officeDocument/2006/relationships/hyperlink" Target="https://github.com/FractonicMind/TernaryLogic/blob/main/Adversarial_Survivability/TL_Constitutional_Survivability_Under_Adversarial_Pressure.md" TargetMode="External"/><Relationship Id="rId1047" Type="http://schemas.openxmlformats.org/officeDocument/2006/relationships/hyperlink" Target="https://github.com/FractonicMind/TernaryLogic/blob/main/Adversarial_Survivability/TL_Constitutional_Survivability_Under_Adversarial_Pressure.md" TargetMode="External"/><Relationship Id="rId1289" Type="http://schemas.openxmlformats.org/officeDocument/2006/relationships/hyperlink" Target="https://github.com/FractonicMind/TernaryLogic/blob/main/Adversarial_Survivability/TL_Constitutional_Survivability_Under_Adversarial_Pressure.md" TargetMode="External"/><Relationship Id="rId491" Type="http://schemas.openxmlformats.org/officeDocument/2006/relationships/hyperlink" Target="https://github.com/FractonicMind/TernaryLogic/blob/main/API/Specification_Architecture.md" TargetMode="External"/><Relationship Id="rId490" Type="http://schemas.openxmlformats.org/officeDocument/2006/relationships/hyperlink" Target="https://github.com/FractonicMind/TernaryLogic/blob/main/API/Specification_Architecture.md" TargetMode="External"/><Relationship Id="rId249" Type="http://schemas.openxmlformats.org/officeDocument/2006/relationships/hyperlink" Target="https://github.com/FractonicMind/TernaryLogic/blob/main/The%20Architecture%20Of%20Assured%20Governance%20for%20Global%20Economic%20Systems.md" TargetMode="External"/><Relationship Id="rId248" Type="http://schemas.openxmlformats.org/officeDocument/2006/relationships/hyperlink" Target="https://github.com/FractonicMind/TernaryLogic/blob/main/The%20Architecture%20Of%20Assured%20Governance%20for%20Global%20Economic%20Systems.md" TargetMode="External"/><Relationship Id="rId247" Type="http://schemas.openxmlformats.org/officeDocument/2006/relationships/hyperlink" Target="https://github.com/FractonicMind/TernaryLogic/blob/main/API/Specification_Architecture.md" TargetMode="External"/><Relationship Id="rId489" Type="http://schemas.openxmlformats.org/officeDocument/2006/relationships/hyperlink" Target="https://github.com/FractonicMind/TernaryLogic/blob/main/Governance/Ternary_Logic_as_Constitutional_Triadic_Governance_Architecture_for_High-Stakes_Automated_Decision-Making.md" TargetMode="External"/><Relationship Id="rId1070" Type="http://schemas.openxmlformats.org/officeDocument/2006/relationships/hyperlink" Target="https://github.com/FractonicMind/TernaryLogic/blob/main/API/Specification_Architecture.md" TargetMode="External"/><Relationship Id="rId1071" Type="http://schemas.openxmlformats.org/officeDocument/2006/relationships/hyperlink" Target="https://github.com/FractonicMind/TernaryLogic/blob/main/API/Specification_Architecture.md" TargetMode="External"/><Relationship Id="rId1072" Type="http://schemas.openxmlformats.org/officeDocument/2006/relationships/hyperlink" Target="https://github.com/FractonicMind/TernaryLogic/blob/main/Adversarial_Survivability/TL_Constitutional_Survivability_Under_Adversarial_Pressure.md" TargetMode="External"/><Relationship Id="rId242" Type="http://schemas.openxmlformats.org/officeDocument/2006/relationships/hyperlink" Target="https://github.com/FractonicMind/TernaryLogic/blob/main/Governance/Ternary_Logic_as_Constitutional_Triadic_Governance_Architecture_for_High-Stakes_Automated_Decision-Making.md" TargetMode="External"/><Relationship Id="rId484" Type="http://schemas.openxmlformats.org/officeDocument/2006/relationships/hyperlink" Target="https://github.com/FractonicMind/TernaryLogic/blob/main/Governance/Ternary_Logic_as_Constitutional_Triadic_Governance_Architecture_for_High-Stakes_Automated_Decision-Making.md" TargetMode="External"/><Relationship Id="rId1073" Type="http://schemas.openxmlformats.org/officeDocument/2006/relationships/hyperlink" Target="https://github.com/FractonicMind/TernaryLogic/blob/main/Adversarial_Survivability/TL_Constitutional_Survivability_Under_Adversarial_Pressure.md" TargetMode="External"/><Relationship Id="rId241" Type="http://schemas.openxmlformats.org/officeDocument/2006/relationships/hyperlink" Target="https://github.com/FractonicMind/TernaryLogic/blob/main/Governance/Ternary_Logic_as_Constitutional_Triadic_Governance_Architecture_for_High-Stakes_Automated_Decision-Making.md" TargetMode="External"/><Relationship Id="rId483" Type="http://schemas.openxmlformats.org/officeDocument/2006/relationships/hyperlink" Target="https://github.com/FractonicMind/TernaryLogic/blob/main/API/Specification_Architecture.md" TargetMode="External"/><Relationship Id="rId1074" Type="http://schemas.openxmlformats.org/officeDocument/2006/relationships/hyperlink" Target="https://github.com/FractonicMind/TernaryLogic/blob/main/The%20Architecture%20Of%20Assured%20Governance%20for%20Global%20Economic%20Systems.md" TargetMode="External"/><Relationship Id="rId240" Type="http://schemas.openxmlformats.org/officeDocument/2006/relationships/hyperlink" Target="https://github.com/FractonicMind/TernaryLogic/blob/main/Governance/Ternary_Logic_as_Constitutional_Triadic_Governance_Architecture_for_High-Stakes_Automated_Decision-Making.md" TargetMode="External"/><Relationship Id="rId482" Type="http://schemas.openxmlformats.org/officeDocument/2006/relationships/hyperlink" Target="https://github.com/FractonicMind/TernaryLogic/blob/main/API/Specification_Architecture.md" TargetMode="External"/><Relationship Id="rId1075" Type="http://schemas.openxmlformats.org/officeDocument/2006/relationships/hyperlink" Target="https://github.com/FractonicMind/TernaryLogic/blob/main/The%20Architecture%20Of%20Assured%20Governance%20for%20Global%20Economic%20Systems.md" TargetMode="External"/><Relationship Id="rId481" Type="http://schemas.openxmlformats.org/officeDocument/2006/relationships/hyperlink" Target="https://github.com/FractonicMind/TernaryLogic/blob/main/API/Specification_Architecture.md" TargetMode="External"/><Relationship Id="rId1076" Type="http://schemas.openxmlformats.org/officeDocument/2006/relationships/hyperlink" Target="https://github.com/FractonicMind/TernaryLogic/blob/main/The%20Architecture%20Of%20Assured%20Governance%20for%20Global%20Economic%20Systems.md" TargetMode="External"/><Relationship Id="rId246" Type="http://schemas.openxmlformats.org/officeDocument/2006/relationships/hyperlink" Target="https://github.com/FractonicMind/TernaryLogic/blob/main/API/Specification_Architecture.md" TargetMode="External"/><Relationship Id="rId488" Type="http://schemas.openxmlformats.org/officeDocument/2006/relationships/hyperlink" Target="https://github.com/FractonicMind/TernaryLogic/blob/main/Governance/Ternary_Logic_as_Constitutional_Triadic_Governance_Architecture_for_High-Stakes_Automated_Decision-Making.md" TargetMode="External"/><Relationship Id="rId1077" Type="http://schemas.openxmlformats.org/officeDocument/2006/relationships/hyperlink" Target="https://github.com/FractonicMind/TernaryLogic/blob/main/The%20Architecture%20Of%20Assured%20Governance%20for%20Global%20Economic%20Systems.md" TargetMode="External"/><Relationship Id="rId245" Type="http://schemas.openxmlformats.org/officeDocument/2006/relationships/hyperlink" Target="https://github.com/FractonicMind/TernaryLogic/blob/main/Governance/Ternary_Logic_as_Constitutional_Triadic_Governance_Architecture_for_High-Stakes_Automated_Decision-Making.md" TargetMode="External"/><Relationship Id="rId487" Type="http://schemas.openxmlformats.org/officeDocument/2006/relationships/hyperlink" Target="https://github.com/FractonicMind/TernaryLogic/blob/main/Governance/Ternary_Logic_as_Constitutional_Triadic_Governance_Architecture_for_High-Stakes_Automated_Decision-Making.md" TargetMode="External"/><Relationship Id="rId1078" Type="http://schemas.openxmlformats.org/officeDocument/2006/relationships/hyperlink" Target="https://github.com/FractonicMind/TernaryLogic/blob/main/The%20Architecture%20Of%20Assured%20Governance%20for%20Global%20Economic%20Systems.md" TargetMode="External"/><Relationship Id="rId244" Type="http://schemas.openxmlformats.org/officeDocument/2006/relationships/hyperlink" Target="https://github.com/FractonicMind/TernaryLogic/blob/main/Governance/Ternary_Logic_as_Constitutional_Triadic_Governance_Architecture_for_High-Stakes_Automated_Decision-Making.md" TargetMode="External"/><Relationship Id="rId486" Type="http://schemas.openxmlformats.org/officeDocument/2006/relationships/hyperlink" Target="https://github.com/FractonicMind/TernaryLogic/blob/main/Governance/Ternary_Logic_as_Constitutional_Triadic_Governance_Architecture_for_High-Stakes_Automated_Decision-Making.md" TargetMode="External"/><Relationship Id="rId1079" Type="http://schemas.openxmlformats.org/officeDocument/2006/relationships/hyperlink" Target="https://github.com/FractonicMind/TernaryLogic/blob/main/The%20Architecture%20Of%20Assured%20Governance%20for%20Global%20Economic%20Systems.md" TargetMode="External"/><Relationship Id="rId243" Type="http://schemas.openxmlformats.org/officeDocument/2006/relationships/hyperlink" Target="https://github.com/FractonicMind/TernaryLogic/blob/main/Governance/Ternary_Logic_as_Constitutional_Triadic_Governance_Architecture_for_High-Stakes_Automated_Decision-Making.md" TargetMode="External"/><Relationship Id="rId485" Type="http://schemas.openxmlformats.org/officeDocument/2006/relationships/hyperlink" Target="https://github.com/FractonicMind/TernaryLogic/blob/main/Governance/Ternary_Logic_as_Constitutional_Triadic_Governance_Architecture_for_High-Stakes_Automated_Decision-Making.md" TargetMode="External"/><Relationship Id="rId480" Type="http://schemas.openxmlformats.org/officeDocument/2006/relationships/hyperlink" Target="https://github.com/FractonicMind/TernaryLogic/blob/main/API/Specification_Architecture.md" TargetMode="External"/><Relationship Id="rId239" Type="http://schemas.openxmlformats.org/officeDocument/2006/relationships/hyperlink" Target="https://github.com/FractonicMind/TernaryLogic/blob/main/API/Specification_Architecture.md" TargetMode="External"/><Relationship Id="rId238" Type="http://schemas.openxmlformats.org/officeDocument/2006/relationships/hyperlink" Target="https://github.com/FractonicMind/TernaryLogic/blob/main/API/Specification_Architecture.md" TargetMode="External"/><Relationship Id="rId237" Type="http://schemas.openxmlformats.org/officeDocument/2006/relationships/hyperlink" Target="https://github.com/FractonicMind/TernaryLogic/blob/main/Governance/Ternary_Logic_as_Constitutional_Triadic_Governance_Architecture_for_High-Stakes_Automated_Decision-Making.md" TargetMode="External"/><Relationship Id="rId479" Type="http://schemas.openxmlformats.org/officeDocument/2006/relationships/hyperlink" Target="https://github.com/FractonicMind/TernaryLogic/blob/main/API/Specification_Architecture.md" TargetMode="External"/><Relationship Id="rId236" Type="http://schemas.openxmlformats.org/officeDocument/2006/relationships/hyperlink" Target="https://github.com/FractonicMind/TernaryLogic/blob/main/Governance/Ternary_Logic_as_Constitutional_Triadic_Governance_Architecture_for_High-Stakes_Automated_Decision-Making.md" TargetMode="External"/><Relationship Id="rId478" Type="http://schemas.openxmlformats.org/officeDocument/2006/relationships/hyperlink" Target="https://github.com/FractonicMind/TernaryLogic/blob/main/API/Specification_Architecture.md" TargetMode="External"/><Relationship Id="rId1060" Type="http://schemas.openxmlformats.org/officeDocument/2006/relationships/hyperlink" Target="https://github.com/FractonicMind/TernaryLogic/blob/main/Governance/Ternary_Logic_as_Constitutional_Triadic_Governance_Architecture_for_High-Stakes_Automated_Decision-Making.md" TargetMode="External"/><Relationship Id="rId1061" Type="http://schemas.openxmlformats.org/officeDocument/2006/relationships/hyperlink" Target="https://github.com/FractonicMind/TernaryLogic/blob/main/Governance/Ternary_Logic_as_Constitutional_Triadic_Governance_Architecture_for_High-Stakes_Automated_Decision-Making.md" TargetMode="External"/><Relationship Id="rId231" Type="http://schemas.openxmlformats.org/officeDocument/2006/relationships/hyperlink" Target="https://github.com/FractonicMind/TernaryLogic/blob/main/API/Specification_Architecture.md" TargetMode="External"/><Relationship Id="rId473" Type="http://schemas.openxmlformats.org/officeDocument/2006/relationships/hyperlink" Target="https://github.com/FractonicMind/TernaryLogic/blob/main/API/Specification_Architecture.md" TargetMode="External"/><Relationship Id="rId1062" Type="http://schemas.openxmlformats.org/officeDocument/2006/relationships/hyperlink" Target="https://github.com/FractonicMind/TernaryLogic/blob/main/Governance/Ternary_Logic_as_Constitutional_Triadic_Governance_Architecture_for_High-Stakes_Automated_Decision-Making.md" TargetMode="External"/><Relationship Id="rId230" Type="http://schemas.openxmlformats.org/officeDocument/2006/relationships/hyperlink" Target="https://github.com/FractonicMind/TernaryLogic/blob/main/API/Specification_Architecture.md" TargetMode="External"/><Relationship Id="rId472" Type="http://schemas.openxmlformats.org/officeDocument/2006/relationships/hyperlink" Target="https://github.com/FractonicMind/TernaryLogic/blob/main/API/Specification_Architecture.md" TargetMode="External"/><Relationship Id="rId1063" Type="http://schemas.openxmlformats.org/officeDocument/2006/relationships/hyperlink" Target="https://github.com/FractonicMind/TernaryLogic/blob/main/Governance/Ternary_Logic_as_Constitutional_Triadic_Governance_Architecture_for_High-Stakes_Automated_Decision-Making.md" TargetMode="External"/><Relationship Id="rId471" Type="http://schemas.openxmlformats.org/officeDocument/2006/relationships/hyperlink" Target="https://github.com/FractonicMind/TernaryLogic/blob/main/API/Specification_Architecture.md" TargetMode="External"/><Relationship Id="rId1064" Type="http://schemas.openxmlformats.org/officeDocument/2006/relationships/hyperlink" Target="https://github.com/FractonicMind/TernaryLogic/blob/main/Governance/Ternary_Logic_as_Constitutional_Triadic_Governance_Architecture_for_High-Stakes_Automated_Decision-Making.md" TargetMode="External"/><Relationship Id="rId470" Type="http://schemas.openxmlformats.org/officeDocument/2006/relationships/hyperlink" Target="https://github.com/FractonicMind/TernaryLogic/blob/main/API/Specification_Architecture.md" TargetMode="External"/><Relationship Id="rId1065" Type="http://schemas.openxmlformats.org/officeDocument/2006/relationships/hyperlink" Target="https://github.com/FractonicMind/TernaryLogic/blob/main/Governance/Ternary_Logic_as_Constitutional_Triadic_Governance_Architecture_for_High-Stakes_Automated_Decision-Making.md" TargetMode="External"/><Relationship Id="rId235" Type="http://schemas.openxmlformats.org/officeDocument/2006/relationships/hyperlink" Target="https://github.com/FractonicMind/TernaryLogic/blob/main/MT_Hardware/MT_System_Architecture_and_Economics.md" TargetMode="External"/><Relationship Id="rId477" Type="http://schemas.openxmlformats.org/officeDocument/2006/relationships/hyperlink" Target="https://github.com/FractonicMind/TernaryLogic/blob/main/API/Specification_Architecture.md" TargetMode="External"/><Relationship Id="rId1066" Type="http://schemas.openxmlformats.org/officeDocument/2006/relationships/hyperlink" Target="https://github.com/FractonicMind/TernaryLogic/blob/main/API/Specification_Architecture.md" TargetMode="External"/><Relationship Id="rId234" Type="http://schemas.openxmlformats.org/officeDocument/2006/relationships/hyperlink" Target="https://github.com/FractonicMind/TernaryLogic/blob/main/MT_Hardware/MT_System_Architecture_and_Economics.md" TargetMode="External"/><Relationship Id="rId476" Type="http://schemas.openxmlformats.org/officeDocument/2006/relationships/hyperlink" Target="https://github.com/FractonicMind/TernaryLogic/blob/main/API/Specification_Architecture.md" TargetMode="External"/><Relationship Id="rId1067" Type="http://schemas.openxmlformats.org/officeDocument/2006/relationships/hyperlink" Target="https://github.com/FractonicMind/TernaryLogic/blob/main/API/Specification_Architecture.md" TargetMode="External"/><Relationship Id="rId233" Type="http://schemas.openxmlformats.org/officeDocument/2006/relationships/hyperlink" Target="https://github.com/FractonicMind/TernaryLogic/blob/main/API/Specification_Architecture.md" TargetMode="External"/><Relationship Id="rId475" Type="http://schemas.openxmlformats.org/officeDocument/2006/relationships/hyperlink" Target="https://github.com/FractonicMind/TernaryLogic/blob/main/API/Specification_Architecture.md" TargetMode="External"/><Relationship Id="rId1068" Type="http://schemas.openxmlformats.org/officeDocument/2006/relationships/hyperlink" Target="https://github.com/FractonicMind/TernaryLogic/blob/main/Adversarial_Survivability/TL_Constitutional_Survivability_Under_Adversarial_Pressure.md" TargetMode="External"/><Relationship Id="rId232" Type="http://schemas.openxmlformats.org/officeDocument/2006/relationships/hyperlink" Target="https://github.com/FractonicMind/TernaryLogic/blob/main/API/Specification_Architecture.md" TargetMode="External"/><Relationship Id="rId474" Type="http://schemas.openxmlformats.org/officeDocument/2006/relationships/hyperlink" Target="https://github.com/FractonicMind/TernaryLogic/blob/main/API/Specification_Architecture.md" TargetMode="External"/><Relationship Id="rId1069" Type="http://schemas.openxmlformats.org/officeDocument/2006/relationships/hyperlink" Target="https://github.com/FractonicMind/TernaryLogic/blob/main/Adversarial_Survivability/TL_Constitutional_Survivability_Under_Adversarial_Pressure.md" TargetMode="External"/><Relationship Id="rId1015" Type="http://schemas.openxmlformats.org/officeDocument/2006/relationships/hyperlink" Target="https://github.com/FractonicMind/TernaryLogic/blob/main/Adversarial_Survivability/TL_Constitutional_Survivability_Under_Adversarial_Pressure.md" TargetMode="External"/><Relationship Id="rId1257" Type="http://schemas.openxmlformats.org/officeDocument/2006/relationships/hyperlink" Target="https://github.com/FractonicMind/TernaryLogic/blob/main/API/Specification_Architecture.md" TargetMode="External"/><Relationship Id="rId1016" Type="http://schemas.openxmlformats.org/officeDocument/2006/relationships/hyperlink" Target="https://github.com/FractonicMind/TernaryLogic/blob/main/Adversarial_Survivability/TL_Constitutional_Survivability_Under_Adversarial_Pressure.md" TargetMode="External"/><Relationship Id="rId1258" Type="http://schemas.openxmlformats.org/officeDocument/2006/relationships/hyperlink" Target="https://github.com/FractonicMind/TernaryLogic/blob/main/The%20Architecture%20Of%20Assured%20Governance%20for%20Global%20Economic%20Systems.md" TargetMode="External"/><Relationship Id="rId1017" Type="http://schemas.openxmlformats.org/officeDocument/2006/relationships/hyperlink" Target="https://github.com/FractonicMind/TernaryLogic/blob/main/Adversarial_Survivability/TL_Constitutional_Survivability_Under_Adversarial_Pressure.md" TargetMode="External"/><Relationship Id="rId1259" Type="http://schemas.openxmlformats.org/officeDocument/2006/relationships/hyperlink" Target="https://github.com/FractonicMind/TernaryLogic/blob/main/The%20Architecture%20Of%20Assured%20Governance%20for%20Global%20Economic%20Systems.md" TargetMode="External"/><Relationship Id="rId1018" Type="http://schemas.openxmlformats.org/officeDocument/2006/relationships/hyperlink" Target="https://github.com/FractonicMind/TernaryLogic/blob/main/Adversarial_Survivability/TL_Constitutional_Survivability_Under_Adversarial_Pressure.md" TargetMode="External"/><Relationship Id="rId1019" Type="http://schemas.openxmlformats.org/officeDocument/2006/relationships/hyperlink" Target="https://github.com/FractonicMind/TernaryLogic/blob/main/Adversarial_Survivability/TL_Constitutional_Survivability_Under_Adversarial_Pressure.md" TargetMode="External"/><Relationship Id="rId426" Type="http://schemas.openxmlformats.org/officeDocument/2006/relationships/hyperlink" Target="https://github.com/FractonicMind/TernaryLogic/blob/main/API/Specification_Architecture.md" TargetMode="External"/><Relationship Id="rId668" Type="http://schemas.openxmlformats.org/officeDocument/2006/relationships/hyperlink" Target="https://github.com/FractonicMind/TernaryLogic/blob/main/MT_Hardware/MT_System_Architecture_and_Economics.md" TargetMode="External"/><Relationship Id="rId425" Type="http://schemas.openxmlformats.org/officeDocument/2006/relationships/hyperlink" Target="https://chain.link/article/blockchain-gdpr-compliance-guide" TargetMode="External"/><Relationship Id="rId667" Type="http://schemas.openxmlformats.org/officeDocument/2006/relationships/hyperlink" Target="https://github.com/FractonicMind/TernaryLogic/blob/main/MT_Hardware/MT_System_Architecture_and_Economics.md" TargetMode="External"/><Relationship Id="rId424" Type="http://schemas.openxmlformats.org/officeDocument/2006/relationships/hyperlink" Target="https://chain.link/article/blockchain-gdpr-compliance-guide" TargetMode="External"/><Relationship Id="rId666" Type="http://schemas.openxmlformats.org/officeDocument/2006/relationships/hyperlink" Target="https://github.com/FractonicMind/TernaryLogic/blob/main/MT_Hardware/MT_System_Architecture_and_Economics.md" TargetMode="External"/><Relationship Id="rId423" Type="http://schemas.openxmlformats.org/officeDocument/2006/relationships/hyperlink" Target="https://github.com/FractonicMind/TernaryLogic/blob/main/API/Specification_Architecture.md" TargetMode="External"/><Relationship Id="rId665" Type="http://schemas.openxmlformats.org/officeDocument/2006/relationships/hyperlink" Target="https://github.com/FractonicMind/TernaryLogic/blob/main/MT_Hardware/MT_System_Architecture_and_Economics.md" TargetMode="External"/><Relationship Id="rId429" Type="http://schemas.openxmlformats.org/officeDocument/2006/relationships/hyperlink" Target="https://github.com/FractonicMind/TernaryLogic/blob/main/API/Specification_Architecture.md" TargetMode="External"/><Relationship Id="rId428" Type="http://schemas.openxmlformats.org/officeDocument/2006/relationships/hyperlink" Target="https://github.com/FractonicMind/TernaryLogic/blob/main/API/Specification_Architecture.md" TargetMode="External"/><Relationship Id="rId427" Type="http://schemas.openxmlformats.org/officeDocument/2006/relationships/hyperlink" Target="https://github.com/FractonicMind/TernaryLogic/blob/main/API/Specification_Architecture.md" TargetMode="External"/><Relationship Id="rId669" Type="http://schemas.openxmlformats.org/officeDocument/2006/relationships/hyperlink" Target="https://github.com/FractonicMind/TernaryLogic/blob/main/MT_Hardware/MT_System_Architecture_and_Economics.md" TargetMode="External"/><Relationship Id="rId660" Type="http://schemas.openxmlformats.org/officeDocument/2006/relationships/hyperlink" Target="https://github.com/FractonicMind/TernaryLogic/blob/main/MT_Hardware/MT_System_Architecture_and_Economics.md" TargetMode="External"/><Relationship Id="rId1250" Type="http://schemas.openxmlformats.org/officeDocument/2006/relationships/hyperlink" Target="https://github.com/FractonicMind/TernaryLogic/blob/main/API/Specification_Architecture.md" TargetMode="External"/><Relationship Id="rId1251" Type="http://schemas.openxmlformats.org/officeDocument/2006/relationships/hyperlink" Target="https://github.com/FractonicMind/TernaryLogic/blob/main/API/Specification_Architecture.md" TargetMode="External"/><Relationship Id="rId1010" Type="http://schemas.openxmlformats.org/officeDocument/2006/relationships/hyperlink" Target="https://github.com/FractonicMind/TernaryLogic/blob/main/Adversarial_Survivability/TL_Constitutional_Survivability_Under_Adversarial_Pressure.md" TargetMode="External"/><Relationship Id="rId1252" Type="http://schemas.openxmlformats.org/officeDocument/2006/relationships/hyperlink" Target="https://github.com/FractonicMind/TernaryLogic/blob/main/Adversarial_Survivability/TL_Constitutional_Survivability_Under_Adversarial_Pressure.md" TargetMode="External"/><Relationship Id="rId422" Type="http://schemas.openxmlformats.org/officeDocument/2006/relationships/hyperlink" Target="https://github.com/FractonicMind/TernaryLogic/blob/main/API/Specification_Architecture.md" TargetMode="External"/><Relationship Id="rId664" Type="http://schemas.openxmlformats.org/officeDocument/2006/relationships/hyperlink" Target="https://github.com/FractonicMind/TernaryLogic/blob/main/MT_Hardware/MT_System_Architecture_and_Economics.md" TargetMode="External"/><Relationship Id="rId1011" Type="http://schemas.openxmlformats.org/officeDocument/2006/relationships/hyperlink" Target="https://github.com/FractonicMind/TernaryLogic/blob/main/Adversarial_Survivability/TL_Constitutional_Survivability_Under_Adversarial_Pressure.md" TargetMode="External"/><Relationship Id="rId1253" Type="http://schemas.openxmlformats.org/officeDocument/2006/relationships/hyperlink" Target="https://github.com/FractonicMind/TernaryLogic/blob/main/Adversarial_Survivability/TL_Constitutional_Survivability_Under_Adversarial_Pressure.md" TargetMode="External"/><Relationship Id="rId421" Type="http://schemas.openxmlformats.org/officeDocument/2006/relationships/hyperlink" Target="https://github.com/FractonicMind/TernaryLogic/blob/main/The%20Architecture%20Of%20Assured%20Governance%20for%20Global%20Economic%20Systems.md" TargetMode="External"/><Relationship Id="rId663" Type="http://schemas.openxmlformats.org/officeDocument/2006/relationships/hyperlink" Target="https://github.com/FractonicMind/TernaryLogic/blob/main/MT_Hardware/MT_System_Architecture_and_Economics.md" TargetMode="External"/><Relationship Id="rId1012" Type="http://schemas.openxmlformats.org/officeDocument/2006/relationships/hyperlink" Target="https://github.com/FractonicMind/TernaryLogic/blob/main/API/Specification_Architecture.md" TargetMode="External"/><Relationship Id="rId1254" Type="http://schemas.openxmlformats.org/officeDocument/2006/relationships/hyperlink" Target="https://raw.githubusercontent.com/FractonicMind/TernaryLogic/refs/heads/main/No_Spy-No_Weapon/Universal_Scalability_of_TL_NoS-NoW_Prohibitions.md" TargetMode="External"/><Relationship Id="rId420" Type="http://schemas.openxmlformats.org/officeDocument/2006/relationships/hyperlink" Target="https://github.com/FractonicMind/TernaryLogic/blob/main/The%20Architecture%20Of%20Assured%20Governance%20for%20Global%20Economic%20Systems.md" TargetMode="External"/><Relationship Id="rId662" Type="http://schemas.openxmlformats.org/officeDocument/2006/relationships/hyperlink" Target="https://github.com/FractonicMind/TernaryLogic/blob/main/MT_Hardware/MT_System_Architecture_and_Economics.md" TargetMode="External"/><Relationship Id="rId1013" Type="http://schemas.openxmlformats.org/officeDocument/2006/relationships/hyperlink" Target="https://github.com/FractonicMind/TernaryLogic/blob/main/API/Specification_Architecture.md" TargetMode="External"/><Relationship Id="rId1255" Type="http://schemas.openxmlformats.org/officeDocument/2006/relationships/hyperlink" Target="https://raw.githubusercontent.com/FractonicMind/TernaryLogic/refs/heads/main/No_Spy-No_Weapon/Universal_Scalability_of_TL_NoS-NoW_Prohibitions.md" TargetMode="External"/><Relationship Id="rId661" Type="http://schemas.openxmlformats.org/officeDocument/2006/relationships/hyperlink" Target="https://github.com/FractonicMind/TernaryLogic/blob/main/MT_Hardware/MT_System_Architecture_and_Economics.md" TargetMode="External"/><Relationship Id="rId1014" Type="http://schemas.openxmlformats.org/officeDocument/2006/relationships/hyperlink" Target="https://github.com/FractonicMind/TernaryLogic/blob/main/Adversarial_Survivability/TL_Constitutional_Survivability_Under_Adversarial_Pressure.md" TargetMode="External"/><Relationship Id="rId1256" Type="http://schemas.openxmlformats.org/officeDocument/2006/relationships/hyperlink" Target="https://github.com/FractonicMind/TernaryLogic/blob/main/API/Specification_Architecture.md" TargetMode="External"/><Relationship Id="rId1004" Type="http://schemas.openxmlformats.org/officeDocument/2006/relationships/hyperlink" Target="https://github.com/FractonicMind/TernaryLogic/blob/main/Adversarial_Survivability/TL_Constitutional_Survivability_Under_Adversarial_Pressure.md" TargetMode="External"/><Relationship Id="rId1246" Type="http://schemas.openxmlformats.org/officeDocument/2006/relationships/hyperlink" Target="https://github.com/FractonicMind/TernaryLogic/blob/main/The%20Architecture%20Of%20Assured%20Governance%20for%20Global%20Economic%20Systems.md" TargetMode="External"/><Relationship Id="rId1005" Type="http://schemas.openxmlformats.org/officeDocument/2006/relationships/hyperlink" Target="https://github.com/FractonicMind/TernaryLogic/blob/main/Adversarial_Survivability/TL_Constitutional_Survivability_Under_Adversarial_Pressure.md" TargetMode="External"/><Relationship Id="rId1247" Type="http://schemas.openxmlformats.org/officeDocument/2006/relationships/hyperlink" Target="https://github.com/FractonicMind/TernaryLogic/blob/main/The%20Architecture%20Of%20Assured%20Governance%20for%20Global%20Economic%20Systems.md" TargetMode="External"/><Relationship Id="rId1006" Type="http://schemas.openxmlformats.org/officeDocument/2006/relationships/hyperlink" Target="https://github.com/FractonicMind/TernaryLogic/blob/main/API/Specification_Architecture.md" TargetMode="External"/><Relationship Id="rId1248" Type="http://schemas.openxmlformats.org/officeDocument/2006/relationships/hyperlink" Target="https://github.com/FractonicMind/TernaryLogic/blob/main/API/Specification_Architecture.md" TargetMode="External"/><Relationship Id="rId1007" Type="http://schemas.openxmlformats.org/officeDocument/2006/relationships/hyperlink" Target="https://github.com/FractonicMind/TernaryLogic/blob/main/API/Specification_Architecture.md" TargetMode="External"/><Relationship Id="rId1249" Type="http://schemas.openxmlformats.org/officeDocument/2006/relationships/hyperlink" Target="https://github.com/FractonicMind/TernaryLogic/blob/main/API/Specification_Architecture.md" TargetMode="External"/><Relationship Id="rId1008" Type="http://schemas.openxmlformats.org/officeDocument/2006/relationships/hyperlink" Target="https://github.com/FractonicMind/TernaryLogic/blob/main/Adversarial_Survivability/TL_Constitutional_Survivability_Under_Adversarial_Pressure.md" TargetMode="External"/><Relationship Id="rId1009" Type="http://schemas.openxmlformats.org/officeDocument/2006/relationships/hyperlink" Target="https://github.com/FractonicMind/TernaryLogic/blob/main/Adversarial_Survivability/TL_Constitutional_Survivability_Under_Adversarial_Pressure.md" TargetMode="External"/><Relationship Id="rId415" Type="http://schemas.openxmlformats.org/officeDocument/2006/relationships/hyperlink" Target="https://raw.githubusercontent.com/FractonicMind/TernaryLogic/refs/heads/main/No_Spy-No_Weapon/Universal_Scalability_of_TL_Under_the_NoS-NoW_Mandate.md" TargetMode="External"/><Relationship Id="rId657" Type="http://schemas.openxmlformats.org/officeDocument/2006/relationships/hyperlink" Target="https://github.com/FractonicMind/TernaryLogic/blob/main/MT_Hardware/MT_System_Architecture_and_Economics.md" TargetMode="External"/><Relationship Id="rId899" Type="http://schemas.openxmlformats.org/officeDocument/2006/relationships/hyperlink" Target="https://github.com/FractonicMind/TernaryLogic/blob/main/Adversarial_Survivability/TL_Constitutional_Survivability_Under_Adversarial_Pressure.md" TargetMode="External"/><Relationship Id="rId414" Type="http://schemas.openxmlformats.org/officeDocument/2006/relationships/hyperlink" Target="https://raw.githubusercontent.com/FractonicMind/TernaryLogic/refs/heads/main/No_Spy-No_Weapon/Universal_Scalability_of_TL_Under_the_NoS-NoW_Mandate.md" TargetMode="External"/><Relationship Id="rId656" Type="http://schemas.openxmlformats.org/officeDocument/2006/relationships/hyperlink" Target="https://github.com/FractonicMind/TernaryLogic/blob/main/MT_Hardware/MT_System_Architecture_and_Economics.md" TargetMode="External"/><Relationship Id="rId898" Type="http://schemas.openxmlformats.org/officeDocument/2006/relationships/hyperlink" Target="https://github.com/FractonicMind/TernaryLogic/blob/main/Adversarial_Survivability/TL_Constitutional_Survivability_Under_Adversarial_Pressure.md" TargetMode="External"/><Relationship Id="rId413" Type="http://schemas.openxmlformats.org/officeDocument/2006/relationships/hyperlink" Target="https://raw.githubusercontent.com/FractonicMind/TernaryLogic/refs/heads/main/No_Spy-No_Weapon/Universal_Scalability_of_TL_Under_the_NoS-NoW_Mandate.md" TargetMode="External"/><Relationship Id="rId655" Type="http://schemas.openxmlformats.org/officeDocument/2006/relationships/hyperlink" Target="https://github.com/FractonicMind/TernaryLogic/blob/main/MT_Hardware/MT_System_Architecture_and_Economics.md" TargetMode="External"/><Relationship Id="rId897" Type="http://schemas.openxmlformats.org/officeDocument/2006/relationships/hyperlink" Target="https://github.com/FractonicMind/TernaryLogic/blob/main/Adversarial_Survivability/TL_Constitutional_Survivability_Under_Adversarial_Pressure.md" TargetMode="External"/><Relationship Id="rId412" Type="http://schemas.openxmlformats.org/officeDocument/2006/relationships/hyperlink" Target="https://raw.githubusercontent.com/FractonicMind/TernaryLogic/refs/heads/main/No_Spy-No_Weapon/Universal_Scalability_of_TL_Under_the_NoS-NoW_Mandate.md" TargetMode="External"/><Relationship Id="rId654" Type="http://schemas.openxmlformats.org/officeDocument/2006/relationships/hyperlink" Target="https://github.com/FractonicMind/TernaryLogic/blob/main/MT_Hardware/MT_System_Architecture_and_Economics.md" TargetMode="External"/><Relationship Id="rId896" Type="http://schemas.openxmlformats.org/officeDocument/2006/relationships/hyperlink" Target="https://github.com/FractonicMind/TernaryLogic/blob/main/Adversarial_Survivability/TL_Constitutional_Survivability_Under_Adversarial_Pressure.md" TargetMode="External"/><Relationship Id="rId419" Type="http://schemas.openxmlformats.org/officeDocument/2006/relationships/hyperlink" Target="https://github.com/FractonicMind/TernaryLogic/blob/main/Governance/Ternary_Logic_as_Constitutional_Triadic_Governance_Architecture_for_High-Stakes_Automated_Decision-Making.md" TargetMode="External"/><Relationship Id="rId418" Type="http://schemas.openxmlformats.org/officeDocument/2006/relationships/hyperlink" Target="https://github.com/FractonicMind/TernaryLogic/blob/main/Governance/Ternary_Logic_as_Constitutional_Triadic_Governance_Architecture_for_High-Stakes_Automated_Decision-Making.md" TargetMode="External"/><Relationship Id="rId417" Type="http://schemas.openxmlformats.org/officeDocument/2006/relationships/hyperlink" Target="https://github.com/FractonicMind/TernaryLogic/blob/main/API/Specification_Architecture.md" TargetMode="External"/><Relationship Id="rId659" Type="http://schemas.openxmlformats.org/officeDocument/2006/relationships/hyperlink" Target="https://github.com/FractonicMind/TernaryLogic/blob/main/MT_Hardware/MT_System_Architecture_and_Economics.md" TargetMode="External"/><Relationship Id="rId416" Type="http://schemas.openxmlformats.org/officeDocument/2006/relationships/hyperlink" Target="https://github.com/FractonicMind/TernaryLogic/blob/main/API/Specification_Architecture.md" TargetMode="External"/><Relationship Id="rId658" Type="http://schemas.openxmlformats.org/officeDocument/2006/relationships/hyperlink" Target="https://github.com/FractonicMind/TernaryLogic/blob/main/MT_Hardware/MT_System_Architecture_and_Economics.md" TargetMode="External"/><Relationship Id="rId891" Type="http://schemas.openxmlformats.org/officeDocument/2006/relationships/hyperlink" Target="https://github.com/FractonicMind/TernaryLogic/blob/main/Adversarial_Survivability/TL_Constitutional_Survivability_Under_Adversarial_Pressure.md" TargetMode="External"/><Relationship Id="rId890" Type="http://schemas.openxmlformats.org/officeDocument/2006/relationships/hyperlink" Target="https://github.com/FractonicMind/TernaryLogic/blob/main/Adversarial_Survivability/TL_Constitutional_Survivability_Under_Adversarial_Pressure.md" TargetMode="External"/><Relationship Id="rId1240" Type="http://schemas.openxmlformats.org/officeDocument/2006/relationships/hyperlink" Target="https://github.com/FractonicMind/TernaryLogic/blob/main/API/Specification_Architecture.md" TargetMode="External"/><Relationship Id="rId1241" Type="http://schemas.openxmlformats.org/officeDocument/2006/relationships/hyperlink" Target="https://github.com/FractonicMind/TernaryLogic/blob/main/API/Specification_Architecture.md" TargetMode="External"/><Relationship Id="rId411" Type="http://schemas.openxmlformats.org/officeDocument/2006/relationships/hyperlink" Target="https://github.com/FractonicMind/TernaryLogic/blob/main/API/Specification_Architecture.md" TargetMode="External"/><Relationship Id="rId653" Type="http://schemas.openxmlformats.org/officeDocument/2006/relationships/hyperlink" Target="https://github.com/FractonicMind/TernaryLogic/blob/main/API/Specification_Architecture.md" TargetMode="External"/><Relationship Id="rId895" Type="http://schemas.openxmlformats.org/officeDocument/2006/relationships/hyperlink" Target="https://github.com/FractonicMind/TernaryLogic/blob/main/Adversarial_Survivability/TL_Constitutional_Survivability_Under_Adversarial_Pressure.md" TargetMode="External"/><Relationship Id="rId1000" Type="http://schemas.openxmlformats.org/officeDocument/2006/relationships/hyperlink" Target="https://github.com/FractonicMind/TernaryLogic/blob/main/Adversarial_Survivability/TL_Constitutional_Survivability_Under_Adversarial_Pressure.md" TargetMode="External"/><Relationship Id="rId1242" Type="http://schemas.openxmlformats.org/officeDocument/2006/relationships/hyperlink" Target="https://github.com/FractonicMind/TernaryLogic/blob/main/The%20Architecture%20Of%20Assured%20Governance%20for%20Global%20Economic%20Systems.md" TargetMode="External"/><Relationship Id="rId410" Type="http://schemas.openxmlformats.org/officeDocument/2006/relationships/hyperlink" Target="https://github.com/FractonicMind/TernaryLogic/blob/main/API/Specification_Architecture.md" TargetMode="External"/><Relationship Id="rId652" Type="http://schemas.openxmlformats.org/officeDocument/2006/relationships/hyperlink" Target="https://github.com/FractonicMind/TernaryLogic/blob/main/API/Specification_Architecture.md" TargetMode="External"/><Relationship Id="rId894" Type="http://schemas.openxmlformats.org/officeDocument/2006/relationships/hyperlink" Target="https://github.com/FractonicMind/TernaryLogic/blob/main/Adversarial_Survivability/TL_Constitutional_Survivability_Under_Adversarial_Pressure.md" TargetMode="External"/><Relationship Id="rId1001" Type="http://schemas.openxmlformats.org/officeDocument/2006/relationships/hyperlink" Target="https://github.com/FractonicMind/TernaryLogic/blob/main/Adversarial_Survivability/TL_Constitutional_Survivability_Under_Adversarial_Pressure.md" TargetMode="External"/><Relationship Id="rId1243" Type="http://schemas.openxmlformats.org/officeDocument/2006/relationships/hyperlink" Target="https://github.com/FractonicMind/TernaryLogic/blob/main/The%20Architecture%20Of%20Assured%20Governance%20for%20Global%20Economic%20Systems.md" TargetMode="External"/><Relationship Id="rId651" Type="http://schemas.openxmlformats.org/officeDocument/2006/relationships/hyperlink" Target="https://github.com/FractonicMind/TernaryLogic/blob/main/MT_Hardware/MT_System_Architecture_and_Economics.md" TargetMode="External"/><Relationship Id="rId893" Type="http://schemas.openxmlformats.org/officeDocument/2006/relationships/hyperlink" Target="https://github.com/FractonicMind/TernaryLogic/blob/main/Adversarial_Survivability/TL_Constitutional_Survivability_Under_Adversarial_Pressure.md" TargetMode="External"/><Relationship Id="rId1002" Type="http://schemas.openxmlformats.org/officeDocument/2006/relationships/hyperlink" Target="https://github.com/FractonicMind/TernaryLogic/blob/main/Adversarial_Survivability/TL_Constitutional_Survivability_Under_Adversarial_Pressure.md" TargetMode="External"/><Relationship Id="rId1244" Type="http://schemas.openxmlformats.org/officeDocument/2006/relationships/hyperlink" Target="https://finance.yahoo.com/news/hidden-cost-aml-95-false-134601048.html" TargetMode="External"/><Relationship Id="rId650" Type="http://schemas.openxmlformats.org/officeDocument/2006/relationships/hyperlink" Target="https://github.com/FractonicMind/TernaryLogic/blob/main/MT_Hardware/MT_System_Architecture_and_Economics.md" TargetMode="External"/><Relationship Id="rId892" Type="http://schemas.openxmlformats.org/officeDocument/2006/relationships/hyperlink" Target="https://github.com/FractonicMind/TernaryLogic/blob/main/Adversarial_Survivability/TL_Constitutional_Survivability_Under_Adversarial_Pressure.md" TargetMode="External"/><Relationship Id="rId1003" Type="http://schemas.openxmlformats.org/officeDocument/2006/relationships/hyperlink" Target="https://github.com/FractonicMind/TernaryLogic/blob/main/Adversarial_Survivability/TL_Constitutional_Survivability_Under_Adversarial_Pressure.md" TargetMode="External"/><Relationship Id="rId1245" Type="http://schemas.openxmlformats.org/officeDocument/2006/relationships/hyperlink" Target="https://finance.yahoo.com/news/hidden-cost-aml-95-false-134601048.html" TargetMode="External"/><Relationship Id="rId1037" Type="http://schemas.openxmlformats.org/officeDocument/2006/relationships/hyperlink" Target="https://github.com/FractonicMind/TernaryLogic/blob/main/API/Specification_Architecture.md" TargetMode="External"/><Relationship Id="rId1279" Type="http://schemas.openxmlformats.org/officeDocument/2006/relationships/hyperlink" Target="https://raw.githubusercontent.com/FractonicMind/TernaryLogic/refs/heads/main/No_Spy-No_Weapon/Universal_Scalability_of_TL_NoS-NoW_Prohibitions.md" TargetMode="External"/><Relationship Id="rId1038" Type="http://schemas.openxmlformats.org/officeDocument/2006/relationships/hyperlink" Target="https://github.com/FractonicMind/TernaryLogic/blob/main/Adversarial_Survivability/TL_Constitutional_Survivability_Under_Adversarial_Pressure.md" TargetMode="External"/><Relationship Id="rId1039" Type="http://schemas.openxmlformats.org/officeDocument/2006/relationships/hyperlink" Target="https://github.com/FractonicMind/TernaryLogic/blob/main/Adversarial_Survivability/TL_Constitutional_Survivability_Under_Adversarial_Pressure.md" TargetMode="External"/><Relationship Id="rId206" Type="http://schemas.openxmlformats.org/officeDocument/2006/relationships/hyperlink" Target="https://github.com/FractonicMind/TernaryLogic/blob/main/MT_Hardware/MT_System_Architecture_and_Economics.md" TargetMode="External"/><Relationship Id="rId448" Type="http://schemas.openxmlformats.org/officeDocument/2006/relationships/hyperlink" Target="https://github.com/FractonicMind/TernaryLogic/blob/main/The%20Architecture%20Of%20Assured%20Governance%20for%20Global%20Economic%20Systems.md" TargetMode="External"/><Relationship Id="rId205" Type="http://schemas.openxmlformats.org/officeDocument/2006/relationships/hyperlink" Target="https://github.com/FractonicMind/TernaryLogic/blob/main/API/Specification_Architecture.md" TargetMode="External"/><Relationship Id="rId447" Type="http://schemas.openxmlformats.org/officeDocument/2006/relationships/hyperlink" Target="https://github.com/FractonicMind/TernaryLogic/blob/main/API/Specification_Architecture.md" TargetMode="External"/><Relationship Id="rId689" Type="http://schemas.openxmlformats.org/officeDocument/2006/relationships/hyperlink" Target="https://github.com/FractonicMind/TernaryLogic/blob/main/Adversarial_Survivability/TL_Constitutional_Survivability_Under_Adversarial_Pressure.md" TargetMode="External"/><Relationship Id="rId204" Type="http://schemas.openxmlformats.org/officeDocument/2006/relationships/hyperlink" Target="https://github.com/FractonicMind/TernaryLogic/blob/main/API/Specification_Architecture.md" TargetMode="External"/><Relationship Id="rId446" Type="http://schemas.openxmlformats.org/officeDocument/2006/relationships/hyperlink" Target="https://github.com/FractonicMind/TernaryLogic/blob/main/API/Specification_Architecture.md" TargetMode="External"/><Relationship Id="rId688" Type="http://schemas.openxmlformats.org/officeDocument/2006/relationships/hyperlink" Target="https://github.com/FractonicMind/TernaryLogic/blob/main/Adversarial_Survivability/TL_Constitutional_Survivability_Under_Adversarial_Pressure.md" TargetMode="External"/><Relationship Id="rId203" Type="http://schemas.openxmlformats.org/officeDocument/2006/relationships/hyperlink" Target="https://github.com/FractonicMind/TernaryLogic/blob/main/Governance/Ternary_Logic_as_Constitutional_Triadic_Governance_Architecture_for_High-Stakes_Automated_Decision-Making.md" TargetMode="External"/><Relationship Id="rId445" Type="http://schemas.openxmlformats.org/officeDocument/2006/relationships/hyperlink" Target="https://github.com/FractonicMind/TernaryLogic/blob/main/API/Specification_Architecture.md" TargetMode="External"/><Relationship Id="rId687" Type="http://schemas.openxmlformats.org/officeDocument/2006/relationships/hyperlink" Target="https://github.com/FractonicMind/TernaryLogic/blob/main/Adversarial_Survivability/TL_Constitutional_Survivability_Under_Adversarial_Pressure.md" TargetMode="External"/><Relationship Id="rId209" Type="http://schemas.openxmlformats.org/officeDocument/2006/relationships/hyperlink" Target="https://github.com/FractonicMind/TernaryLogic/blob/main/API/Specification_Architecture.md" TargetMode="External"/><Relationship Id="rId208" Type="http://schemas.openxmlformats.org/officeDocument/2006/relationships/hyperlink" Target="https://github.com/FractonicMind/TernaryLogic/blob/main/API/Specification_Architecture.md" TargetMode="External"/><Relationship Id="rId207" Type="http://schemas.openxmlformats.org/officeDocument/2006/relationships/hyperlink" Target="https://github.com/FractonicMind/TernaryLogic/blob/main/MT_Hardware/MT_System_Architecture_and_Economics.md" TargetMode="External"/><Relationship Id="rId449" Type="http://schemas.openxmlformats.org/officeDocument/2006/relationships/hyperlink" Target="https://github.com/FractonicMind/TernaryLogic/blob/main/The%20Architecture%20Of%20Assured%20Governance%20for%20Global%20Economic%20Systems.md" TargetMode="External"/><Relationship Id="rId1270" Type="http://schemas.openxmlformats.org/officeDocument/2006/relationships/hyperlink" Target="https://github.com/FractonicMind/TernaryLogic/blob/main/API/Specification_Architecture.md" TargetMode="External"/><Relationship Id="rId440" Type="http://schemas.openxmlformats.org/officeDocument/2006/relationships/hyperlink" Target="https://github.com/FractonicMind/TernaryLogic/blob/main/API/Specification_Architecture.md" TargetMode="External"/><Relationship Id="rId682" Type="http://schemas.openxmlformats.org/officeDocument/2006/relationships/hyperlink" Target="https://github.com/FractonicMind/TernaryLogic/blob/main/Adversarial_Survivability/TL_Constitutional_Survivability_Under_Adversarial_Pressure.md" TargetMode="External"/><Relationship Id="rId1271" Type="http://schemas.openxmlformats.org/officeDocument/2006/relationships/hyperlink" Target="https://github.com/FractonicMind/TernaryLogic/blob/main/API/Specification_Architecture.md" TargetMode="External"/><Relationship Id="rId681" Type="http://schemas.openxmlformats.org/officeDocument/2006/relationships/hyperlink" Target="https://github.com/FractonicMind/TernaryLogic/blob/main/Adversarial_Survivability/TL_Constitutional_Survivability_Under_Adversarial_Pressure.md" TargetMode="External"/><Relationship Id="rId1030" Type="http://schemas.openxmlformats.org/officeDocument/2006/relationships/hyperlink" Target="https://github.com/FractonicMind/TernaryLogic/blob/main/Adversarial_Survivability/TL_Constitutional_Survivability_Under_Adversarial_Pressure.md" TargetMode="External"/><Relationship Id="rId1272" Type="http://schemas.openxmlformats.org/officeDocument/2006/relationships/hyperlink" Target="https://github.com/FractonicMind/TernaryLogic/blob/main/API/Specification_Architecture.md" TargetMode="External"/><Relationship Id="rId680" Type="http://schemas.openxmlformats.org/officeDocument/2006/relationships/hyperlink" Target="https://github.com/FractonicMind/TernaryLogic/blob/main/Adversarial_Survivability/TL_Constitutional_Survivability_Under_Adversarial_Pressure.md" TargetMode="External"/><Relationship Id="rId1031" Type="http://schemas.openxmlformats.org/officeDocument/2006/relationships/hyperlink" Target="https://github.com/FractonicMind/TernaryLogic/blob/main/Adversarial_Survivability/TL_Constitutional_Survivability_Under_Adversarial_Pressure.md" TargetMode="External"/><Relationship Id="rId1273" Type="http://schemas.openxmlformats.org/officeDocument/2006/relationships/hyperlink" Target="https://github.com/FractonicMind/TernaryLogic/blob/main/API/Specification_Architecture.md" TargetMode="External"/><Relationship Id="rId1032" Type="http://schemas.openxmlformats.org/officeDocument/2006/relationships/hyperlink" Target="https://github.com/FractonicMind/TernaryLogic/blob/main/Adversarial_Survivability/TL_Constitutional_Survivability_Under_Adversarial_Pressure.md" TargetMode="External"/><Relationship Id="rId1274" Type="http://schemas.openxmlformats.org/officeDocument/2006/relationships/hyperlink" Target="https://github.com/FractonicMind/TernaryLogic/blob/main/API/Specification_Architecture.md" TargetMode="External"/><Relationship Id="rId202" Type="http://schemas.openxmlformats.org/officeDocument/2006/relationships/hyperlink" Target="https://github.com/FractonicMind/TernaryLogic/blob/main/Governance/Ternary_Logic_as_Constitutional_Triadic_Governance_Architecture_for_High-Stakes_Automated_Decision-Making.md" TargetMode="External"/><Relationship Id="rId444" Type="http://schemas.openxmlformats.org/officeDocument/2006/relationships/hyperlink" Target="https://github.com/FractonicMind/TernaryLogic/blob/main/API/Specification_Architecture.md" TargetMode="External"/><Relationship Id="rId686" Type="http://schemas.openxmlformats.org/officeDocument/2006/relationships/hyperlink" Target="https://github.com/FractonicMind/TernaryLogic/blob/main/Adversarial_Survivability/TL_Constitutional_Survivability_Under_Adversarial_Pressure.md" TargetMode="External"/><Relationship Id="rId1033" Type="http://schemas.openxmlformats.org/officeDocument/2006/relationships/hyperlink" Target="https://github.com/FractonicMind/TernaryLogic/blob/main/Adversarial_Survivability/TL_Constitutional_Survivability_Under_Adversarial_Pressure.md" TargetMode="External"/><Relationship Id="rId1275" Type="http://schemas.openxmlformats.org/officeDocument/2006/relationships/hyperlink" Target="https://github.com/FractonicMind/TernaryLogic/blob/main/API/Specification_Architecture.md" TargetMode="External"/><Relationship Id="rId201" Type="http://schemas.openxmlformats.org/officeDocument/2006/relationships/hyperlink" Target="https://github.com/FractonicMind/TernaryLogic/blob/main/MT_Hardware/MT_System_Architecture_and_Economics.md" TargetMode="External"/><Relationship Id="rId443" Type="http://schemas.openxmlformats.org/officeDocument/2006/relationships/hyperlink" Target="https://github.com/FractonicMind/TernaryLogic/blob/main/API/Specification_Architecture.md" TargetMode="External"/><Relationship Id="rId685" Type="http://schemas.openxmlformats.org/officeDocument/2006/relationships/hyperlink" Target="https://github.com/FractonicMind/TernaryLogic/blob/main/Adversarial_Survivability/TL_Constitutional_Survivability_Under_Adversarial_Pressure.md" TargetMode="External"/><Relationship Id="rId1034" Type="http://schemas.openxmlformats.org/officeDocument/2006/relationships/hyperlink" Target="https://github.com/FractonicMind/TernaryLogic/blob/main/Adversarial_Survivability/TL_Constitutional_Survivability_Under_Adversarial_Pressure.md" TargetMode="External"/><Relationship Id="rId1276" Type="http://schemas.openxmlformats.org/officeDocument/2006/relationships/hyperlink" Target="https://github.com/FractonicMind/TernaryLogic/blob/main/API/Specification_Architecture.md" TargetMode="External"/><Relationship Id="rId200" Type="http://schemas.openxmlformats.org/officeDocument/2006/relationships/hyperlink" Target="https://github.com/FractonicMind/TernaryLogic/blob/main/MT_Hardware/MT_System_Architecture_and_Economics.md" TargetMode="External"/><Relationship Id="rId442" Type="http://schemas.openxmlformats.org/officeDocument/2006/relationships/hyperlink" Target="https://github.com/FractonicMind/TernaryLogic/blob/main/API/Specification_Architecture.md" TargetMode="External"/><Relationship Id="rId684" Type="http://schemas.openxmlformats.org/officeDocument/2006/relationships/hyperlink" Target="https://github.com/FractonicMind/TernaryLogic/blob/main/Adversarial_Survivability/TL_Constitutional_Survivability_Under_Adversarial_Pressure.md" TargetMode="External"/><Relationship Id="rId1035" Type="http://schemas.openxmlformats.org/officeDocument/2006/relationships/hyperlink" Target="https://github.com/FractonicMind/TernaryLogic/blob/main/Adversarial_Survivability/TL_Constitutional_Survivability_Under_Adversarial_Pressure.md" TargetMode="External"/><Relationship Id="rId1277" Type="http://schemas.openxmlformats.org/officeDocument/2006/relationships/hyperlink" Target="https://github.com/FractonicMind/TernaryLogic/blob/main/API/Specification_Architecture.md" TargetMode="External"/><Relationship Id="rId441" Type="http://schemas.openxmlformats.org/officeDocument/2006/relationships/hyperlink" Target="https://github.com/FractonicMind/TernaryLogic/blob/main/API/Specification_Architecture.md" TargetMode="External"/><Relationship Id="rId683" Type="http://schemas.openxmlformats.org/officeDocument/2006/relationships/hyperlink" Target="https://github.com/FractonicMind/TernaryLogic/blob/main/Adversarial_Survivability/TL_Constitutional_Survivability_Under_Adversarial_Pressure.md" TargetMode="External"/><Relationship Id="rId1036" Type="http://schemas.openxmlformats.org/officeDocument/2006/relationships/hyperlink" Target="https://github.com/FractonicMind/TernaryLogic/blob/main/API/Specification_Architecture.md" TargetMode="External"/><Relationship Id="rId1278" Type="http://schemas.openxmlformats.org/officeDocument/2006/relationships/hyperlink" Target="https://raw.githubusercontent.com/FractonicMind/TernaryLogic/refs/heads/main/No_Spy-No_Weapon/Universal_Scalability_of_TL_NoS-NoW_Prohibitions.md" TargetMode="External"/><Relationship Id="rId1026" Type="http://schemas.openxmlformats.org/officeDocument/2006/relationships/hyperlink" Target="https://github.com/FractonicMind/TernaryLogic/blob/main/API/Specification_Architecture.md" TargetMode="External"/><Relationship Id="rId1268" Type="http://schemas.openxmlformats.org/officeDocument/2006/relationships/hyperlink" Target="https://github.com/FractonicMind/TernaryLogic/blob/main/MT_Hardware/MT_System_Architecture_and_Economics.md" TargetMode="External"/><Relationship Id="rId1027" Type="http://schemas.openxmlformats.org/officeDocument/2006/relationships/hyperlink" Target="https://github.com/FractonicMind/TernaryLogic/blob/main/API/Specification_Architecture.md" TargetMode="External"/><Relationship Id="rId1269" Type="http://schemas.openxmlformats.org/officeDocument/2006/relationships/hyperlink" Target="https://github.com/FractonicMind/TernaryLogic/blob/main/MT_Hardware/MT_System_Architecture_and_Economics.md" TargetMode="External"/><Relationship Id="rId1028" Type="http://schemas.openxmlformats.org/officeDocument/2006/relationships/hyperlink" Target="https://github.com/FractonicMind/TernaryLogic/blob/main/Adversarial_Survivability/TL_Constitutional_Survivability_Under_Adversarial_Pressure.md" TargetMode="External"/><Relationship Id="rId1029" Type="http://schemas.openxmlformats.org/officeDocument/2006/relationships/hyperlink" Target="https://github.com/FractonicMind/TernaryLogic/blob/main/Adversarial_Survivability/TL_Constitutional_Survivability_Under_Adversarial_Pressure.md" TargetMode="External"/><Relationship Id="rId437" Type="http://schemas.openxmlformats.org/officeDocument/2006/relationships/hyperlink" Target="https://github.com/FractonicMind/TernaryLogic/blob/main/API/Specification_Architecture.md" TargetMode="External"/><Relationship Id="rId679" Type="http://schemas.openxmlformats.org/officeDocument/2006/relationships/hyperlink" Target="https://github.com/FractonicMind/TernaryLogic/blob/main/Adversarial_Survivability/TL_Constitutional_Survivability_Under_Adversarial_Pressure.md" TargetMode="External"/><Relationship Id="rId436" Type="http://schemas.openxmlformats.org/officeDocument/2006/relationships/hyperlink" Target="https://github.com/FractonicMind/TernaryLogic/blob/main/API/Specification_Architecture.md" TargetMode="External"/><Relationship Id="rId678" Type="http://schemas.openxmlformats.org/officeDocument/2006/relationships/hyperlink" Target="https://github.com/FractonicMind/TernaryLogic/blob/main/Adversarial_Survivability/TL_Constitutional_Survivability_Under_Adversarial_Pressure.md" TargetMode="External"/><Relationship Id="rId435" Type="http://schemas.openxmlformats.org/officeDocument/2006/relationships/hyperlink" Target="https://github.com/FractonicMind/TernaryLogic/blob/main/API/Specification_Architecture.md" TargetMode="External"/><Relationship Id="rId677" Type="http://schemas.openxmlformats.org/officeDocument/2006/relationships/hyperlink" Target="https://github.com/FractonicMind/TernaryLogic/blob/main/Adversarial_Survivability/TL_Constitutional_Survivability_Under_Adversarial_Pressure.md" TargetMode="External"/><Relationship Id="rId434" Type="http://schemas.openxmlformats.org/officeDocument/2006/relationships/hyperlink" Target="https://github.com/FractonicMind/TernaryLogic/blob/main/API/Specification_Architecture.md" TargetMode="External"/><Relationship Id="rId676" Type="http://schemas.openxmlformats.org/officeDocument/2006/relationships/hyperlink" Target="https://github.com/FractonicMind/TernaryLogic/blob/main/Adversarial_Survivability/TL_Constitutional_Survivability_Under_Adversarial_Pressure.md" TargetMode="External"/><Relationship Id="rId439" Type="http://schemas.openxmlformats.org/officeDocument/2006/relationships/hyperlink" Target="https://github.com/FractonicMind/TernaryLogic/blob/main/API/Specification_Architecture.md" TargetMode="External"/><Relationship Id="rId438" Type="http://schemas.openxmlformats.org/officeDocument/2006/relationships/hyperlink" Target="https://github.com/FractonicMind/TernaryLogic/blob/main/API/Specification_Architecture.md" TargetMode="External"/><Relationship Id="rId671" Type="http://schemas.openxmlformats.org/officeDocument/2006/relationships/hyperlink" Target="https://github.com/FractonicMind/TernaryLogic/blob/main/MT_Hardware/MT_System_Architecture_and_Economics.md" TargetMode="External"/><Relationship Id="rId1260" Type="http://schemas.openxmlformats.org/officeDocument/2006/relationships/hyperlink" Target="https://github.com/FractonicMind/TernaryLogic/blob/main/MT_Hardware/MT_System_Architecture_and_Economics.md" TargetMode="External"/><Relationship Id="rId670" Type="http://schemas.openxmlformats.org/officeDocument/2006/relationships/hyperlink" Target="https://github.com/FractonicMind/TernaryLogic/blob/main/MT_Hardware/MT_System_Architecture_and_Economics.md" TargetMode="External"/><Relationship Id="rId1261" Type="http://schemas.openxmlformats.org/officeDocument/2006/relationships/hyperlink" Target="https://github.com/FractonicMind/TernaryLogic/blob/main/MT_Hardware/MT_System_Architecture_and_Economics.md" TargetMode="External"/><Relationship Id="rId1020" Type="http://schemas.openxmlformats.org/officeDocument/2006/relationships/hyperlink" Target="https://github.com/FractonicMind/TernaryLogic/blob/main/API/Specification_Architecture.md" TargetMode="External"/><Relationship Id="rId1262" Type="http://schemas.openxmlformats.org/officeDocument/2006/relationships/hyperlink" Target="https://github.com/FractonicMind/TernaryLogic/blob/main/Governance/Ternary_Logic_as_Constitutional_Triadic_Governance_Architecture_for_High-Stakes_Automated_Decision-Making.md" TargetMode="External"/><Relationship Id="rId1021" Type="http://schemas.openxmlformats.org/officeDocument/2006/relationships/hyperlink" Target="https://github.com/FractonicMind/TernaryLogic/blob/main/API/Specification_Architecture.md" TargetMode="External"/><Relationship Id="rId1263" Type="http://schemas.openxmlformats.org/officeDocument/2006/relationships/hyperlink" Target="https://github.com/FractonicMind/TernaryLogic/blob/main/Governance/Ternary_Logic_as_Constitutional_Triadic_Governance_Architecture_for_High-Stakes_Automated_Decision-Making.md" TargetMode="External"/><Relationship Id="rId433" Type="http://schemas.openxmlformats.org/officeDocument/2006/relationships/hyperlink" Target="https://github.com/FractonicMind/TernaryLogic/blob/main/API/Specification_Architecture.md" TargetMode="External"/><Relationship Id="rId675" Type="http://schemas.openxmlformats.org/officeDocument/2006/relationships/hyperlink" Target="https://github.com/FractonicMind/TernaryLogic/blob/main/Adversarial_Survivability/TL_Constitutional_Survivability_Under_Adversarial_Pressure.md" TargetMode="External"/><Relationship Id="rId1022" Type="http://schemas.openxmlformats.org/officeDocument/2006/relationships/hyperlink" Target="https://github.com/FractonicMind/TernaryLogic/blob/main/Adversarial_Survivability/TL_Constitutional_Survivability_Under_Adversarial_Pressure.md" TargetMode="External"/><Relationship Id="rId1264" Type="http://schemas.openxmlformats.org/officeDocument/2006/relationships/hyperlink" Target="https://github.com/FractonicMind/TernaryLogic/blob/main/Adversarial_Survivability/TL_Constitutional_Survivability_Under_Adversarial_Pressure.md" TargetMode="External"/><Relationship Id="rId432" Type="http://schemas.openxmlformats.org/officeDocument/2006/relationships/hyperlink" Target="https://github.com/FractonicMind/TernaryLogic/blob/main/API/Specification_Architecture.md" TargetMode="External"/><Relationship Id="rId674" Type="http://schemas.openxmlformats.org/officeDocument/2006/relationships/hyperlink" Target="https://github.com/FractonicMind/TernaryLogic/blob/main/Adversarial_Survivability/TL_Constitutional_Survivability_Under_Adversarial_Pressure.md" TargetMode="External"/><Relationship Id="rId1023" Type="http://schemas.openxmlformats.org/officeDocument/2006/relationships/hyperlink" Target="https://github.com/FractonicMind/TernaryLogic/blob/main/Adversarial_Survivability/TL_Constitutional_Survivability_Under_Adversarial_Pressure.md" TargetMode="External"/><Relationship Id="rId1265" Type="http://schemas.openxmlformats.org/officeDocument/2006/relationships/hyperlink" Target="https://github.com/FractonicMind/TernaryLogic/blob/main/Adversarial_Survivability/TL_Constitutional_Survivability_Under_Adversarial_Pressure.md" TargetMode="External"/><Relationship Id="rId431" Type="http://schemas.openxmlformats.org/officeDocument/2006/relationships/hyperlink" Target="https://github.com/FractonicMind/TernaryLogic/blob/main/API/Specification_Architecture.md" TargetMode="External"/><Relationship Id="rId673" Type="http://schemas.openxmlformats.org/officeDocument/2006/relationships/hyperlink" Target="https://github.com/FractonicMind/TernaryLogic/blob/main/MT_Hardware/MT_System_Architecture_and_Economics.md" TargetMode="External"/><Relationship Id="rId1024" Type="http://schemas.openxmlformats.org/officeDocument/2006/relationships/hyperlink" Target="https://github.com/FractonicMind/TernaryLogic/blob/main/Adversarial_Survivability/TL_Constitutional_Survivability_Under_Adversarial_Pressure.md" TargetMode="External"/><Relationship Id="rId1266" Type="http://schemas.openxmlformats.org/officeDocument/2006/relationships/hyperlink" Target="https://github.com/FractonicMind/TernaryLogic/blob/main/Adversarial_Survivability/TL_Constitutional_Survivability_Under_Adversarial_Pressure.md" TargetMode="External"/><Relationship Id="rId430" Type="http://schemas.openxmlformats.org/officeDocument/2006/relationships/hyperlink" Target="https://github.com/FractonicMind/TernaryLogic/blob/main/API/Specification_Architecture.md" TargetMode="External"/><Relationship Id="rId672" Type="http://schemas.openxmlformats.org/officeDocument/2006/relationships/hyperlink" Target="https://github.com/FractonicMind/TernaryLogic/blob/main/MT_Hardware/MT_System_Architecture_and_Economics.md" TargetMode="External"/><Relationship Id="rId1025" Type="http://schemas.openxmlformats.org/officeDocument/2006/relationships/hyperlink" Target="https://github.com/FractonicMind/TernaryLogic/blob/main/Adversarial_Survivability/TL_Constitutional_Survivability_Under_Adversarial_Pressure.md" TargetMode="External"/><Relationship Id="rId1267" Type="http://schemas.openxmlformats.org/officeDocument/2006/relationships/hyperlink" Target="https://github.com/FractonicMind/TernaryLogic/blob/main/Adversarial_Survivability/TL_Constitutional_Survivability_Under_Adversarial_Pressure.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