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xgg20qnoewn7" w:id="0"/>
      <w:bookmarkEnd w:id="0"/>
      <w:r w:rsidDel="00000000" w:rsidR="00000000" w:rsidRPr="00000000">
        <w:rPr>
          <w:b w:val="1"/>
          <w:bCs w:val="1"/>
          <w:rtl w:val="0"/>
        </w:rPr>
        <w:t xml:space="preserve">THE CONSTITUTIONAL ARCHITECTURE OF ASSURED GOVERNANCE</w:t>
      </w:r>
    </w:p>
    <w:p w:rsidR="00000000" w:rsidDel="00000000" w:rsidP="00000000" w:rsidRDefault="00000000" w:rsidRPr="00000000" w14:paraId="00000002">
      <w:pPr>
        <w:pStyle w:val="Heading2"/>
        <w:jc w:val="center"/>
        <w:rPr>
          <w:b w:val="1"/>
          <w:bCs w:val="1"/>
          <w:sz w:val="20"/>
          <w:szCs w:val="20"/>
        </w:rPr>
      </w:pPr>
      <w:bookmarkStart w:colFirst="0" w:colLast="0" w:name="_xkc4hlhx83w9" w:id="1"/>
      <w:bookmarkEnd w:id="1"/>
      <w:r w:rsidDel="00000000" w:rsidR="00000000" w:rsidRPr="00000000">
        <w:rPr>
          <w:b w:val="1"/>
          <w:bCs w:val="1"/>
          <w:sz w:val="20"/>
          <w:szCs w:val="20"/>
          <w:rtl w:val="0"/>
        </w:rPr>
        <w:t xml:space="preserve">Ternary Logic as a Sovereign, Evidentiary Triadic Framework for Global Economic Systems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jc w:val="center"/>
        <w:rPr>
          <w:b w:val="1"/>
          <w:bCs w:val="1"/>
        </w:rPr>
      </w:pPr>
      <w:bookmarkStart w:colFirst="0" w:colLast="0" w:name="_h2pa9c23rgx9" w:id="2"/>
      <w:bookmarkEnd w:id="2"/>
      <w:r w:rsidDel="00000000" w:rsidR="00000000" w:rsidRPr="00000000">
        <w:rPr>
          <w:b w:val="1"/>
          <w:bCs w:val="1"/>
          <w:rtl w:val="0"/>
        </w:rPr>
        <w:t xml:space="preserve">TECHNICAL STANDARD &amp; RESEARCH MONOGRAPH</w:t>
      </w:r>
    </w:p>
    <w:p w:rsidR="00000000" w:rsidDel="00000000" w:rsidP="00000000" w:rsidRDefault="00000000" w:rsidRPr="00000000" w14:paraId="00000005">
      <w:pPr>
        <w:pStyle w:val="Heading3"/>
        <w:jc w:val="center"/>
        <w:rPr>
          <w:sz w:val="24"/>
          <w:szCs w:val="24"/>
        </w:rPr>
      </w:pPr>
      <w:bookmarkStart w:colFirst="0" w:colLast="0" w:name="_4gxn26wdh0ng" w:id="3"/>
      <w:bookmarkEnd w:id="3"/>
      <w:r w:rsidDel="00000000" w:rsidR="00000000" w:rsidRPr="00000000">
        <w:rPr>
          <w:b w:val="1"/>
          <w:bCs w:val="1"/>
          <w:sz w:val="24"/>
          <w:szCs w:val="24"/>
          <w:rtl w:val="0"/>
        </w:rPr>
        <w:t xml:space="preserve">Version 1.0</w:t>
      </w:r>
      <w:r w:rsidDel="00000000" w:rsidR="00000000" w:rsidRPr="00000000">
        <w:rPr>
          <w:rtl w:val="0"/>
        </w:rPr>
      </w:r>
    </w:p>
    <w:p w:rsidR="00000000" w:rsidDel="00000000" w:rsidP="00000000" w:rsidRDefault="00000000" w:rsidRPr="00000000" w14:paraId="00000006">
      <w:pPr>
        <w:pStyle w:val="Heading3"/>
        <w:jc w:val="center"/>
        <w:rPr>
          <w:sz w:val="24"/>
          <w:szCs w:val="24"/>
        </w:rPr>
      </w:pPr>
      <w:bookmarkStart w:colFirst="0" w:colLast="0" w:name="_9bgrctkbsdop" w:id="4"/>
      <w:bookmarkEnd w:id="4"/>
      <w:r w:rsidDel="00000000" w:rsidR="00000000" w:rsidRPr="00000000">
        <w:rPr>
          <w:b w:val="1"/>
          <w:bCs w:val="1"/>
          <w:sz w:val="24"/>
          <w:szCs w:val="24"/>
          <w:rtl w:val="0"/>
        </w:rPr>
        <w:t xml:space="preserve">April 2026</w:t>
      </w:r>
      <w:r w:rsidDel="00000000" w:rsidR="00000000" w:rsidRPr="00000000">
        <w:rPr>
          <w:rtl w:val="0"/>
        </w:rPr>
      </w:r>
    </w:p>
    <w:p w:rsidR="00000000" w:rsidDel="00000000" w:rsidP="00000000" w:rsidRDefault="00000000" w:rsidRPr="00000000" w14:paraId="00000007">
      <w:pPr>
        <w:pStyle w:val="Heading3"/>
        <w:jc w:val="center"/>
        <w:rPr>
          <w:sz w:val="24"/>
          <w:szCs w:val="24"/>
        </w:rPr>
      </w:pPr>
      <w:bookmarkStart w:colFirst="0" w:colLast="0" w:name="_v8vodhxx3zr1" w:id="5"/>
      <w:bookmarkEnd w:id="5"/>
      <w:r w:rsidDel="00000000" w:rsidR="00000000" w:rsidRPr="00000000">
        <w:rPr>
          <w:b w:val="1"/>
          <w:bCs w:val="1"/>
          <w:sz w:val="24"/>
          <w:szCs w:val="24"/>
          <w:rtl w:val="0"/>
        </w:rPr>
        <w:t xml:space="preserve">Author: Lev Goukassian</w:t>
      </w:r>
      <w:r w:rsidDel="00000000" w:rsidR="00000000" w:rsidRPr="00000000">
        <w:rPr>
          <w:rtl w:val="0"/>
        </w:rPr>
      </w:r>
    </w:p>
    <w:p w:rsidR="00000000" w:rsidDel="00000000" w:rsidP="00000000" w:rsidRDefault="00000000" w:rsidRPr="00000000" w14:paraId="00000008">
      <w:pPr>
        <w:pStyle w:val="Heading3"/>
        <w:jc w:val="center"/>
        <w:rPr>
          <w:sz w:val="24"/>
          <w:szCs w:val="24"/>
        </w:rPr>
      </w:pPr>
      <w:bookmarkStart w:colFirst="0" w:colLast="0" w:name="_8rxc4pz2vhfn" w:id="6"/>
      <w:bookmarkEnd w:id="6"/>
      <w:r w:rsidDel="00000000" w:rsidR="00000000" w:rsidRPr="00000000">
        <w:rPr>
          <w:b w:val="1"/>
          <w:bCs w:val="1"/>
          <w:sz w:val="24"/>
          <w:szCs w:val="24"/>
          <w:rtl w:val="0"/>
        </w:rPr>
        <w:t xml:space="preserve">ORCID: </w:t>
      </w:r>
      <w:hyperlink r:id="rId6">
        <w:r w:rsidDel="00000000" w:rsidR="00000000" w:rsidRPr="00000000">
          <w:rPr>
            <w:b w:val="1"/>
            <w:bCs w:val="1"/>
            <w:color w:val="1155cc"/>
            <w:sz w:val="24"/>
            <w:szCs w:val="24"/>
            <w:u w:val="single"/>
            <w:rtl w:val="0"/>
          </w:rPr>
          <w:t xml:space="preserve">0009-0006-5966-1243</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Repository: </w:t>
      </w:r>
      <w:hyperlink r:id="rId7">
        <w:r w:rsidDel="00000000" w:rsidR="00000000" w:rsidRPr="00000000">
          <w:rPr>
            <w:b w:val="1"/>
            <w:bCs w:val="1"/>
            <w:color w:val="1155cc"/>
            <w:u w:val="single"/>
            <w:rtl w:val="0"/>
          </w:rPr>
          <w:t xml:space="preserve">FractonicMind/TernaryLogic</w:t>
        </w:r>
      </w:hyperlink>
      <w:r w:rsidDel="00000000" w:rsidR="00000000" w:rsidRPr="00000000">
        <w:rPr>
          <w:rtl w:val="0"/>
        </w:rPr>
      </w:r>
    </w:p>
    <w:p w:rsidR="00000000" w:rsidDel="00000000" w:rsidP="00000000" w:rsidRDefault="00000000" w:rsidRPr="00000000" w14:paraId="0000000B">
      <w:pPr>
        <w:rPr>
          <w:b w:val="1"/>
          <w:bCs w:val="1"/>
          <w:sz w:val="18"/>
          <w:szCs w:val="18"/>
        </w:rPr>
      </w:pPr>
      <w:r w:rsidDel="00000000" w:rsidR="00000000" w:rsidRPr="00000000">
        <w:rPr>
          <w:rtl w:val="0"/>
        </w:rPr>
      </w:r>
    </w:p>
    <w:p w:rsidR="00000000" w:rsidDel="00000000" w:rsidP="00000000" w:rsidRDefault="00000000" w:rsidRPr="00000000" w14:paraId="0000000C">
      <w:pPr>
        <w:spacing w:before="0" w:lineRule="auto"/>
        <w:jc w:val="center"/>
        <w:rPr>
          <w:b w:val="1"/>
          <w:bCs w:val="1"/>
        </w:rPr>
      </w:pPr>
      <w:r w:rsidDel="00000000" w:rsidR="00000000" w:rsidRPr="00000000">
        <w:rPr>
          <w:b w:val="1"/>
          <w:bCs w:val="1"/>
          <w:rtl w:val="0"/>
        </w:rPr>
        <w:t xml:space="preserve">DOI 1: </w:t>
      </w:r>
      <w:hyperlink r:id="rId8">
        <w:r w:rsidDel="00000000" w:rsidR="00000000" w:rsidRPr="00000000">
          <w:rPr>
            <w:b w:val="1"/>
            <w:bCs w:val="1"/>
            <w:color w:val="1155cc"/>
            <w:u w:val="single"/>
            <w:rtl w:val="0"/>
          </w:rPr>
          <w:t xml:space="preserve">10.1007/s43681-025-00910-6</w:t>
        </w:r>
      </w:hyperlink>
      <w:r w:rsidDel="00000000" w:rsidR="00000000" w:rsidRPr="00000000">
        <w:rPr>
          <w:rtl w:val="0"/>
        </w:rPr>
      </w:r>
    </w:p>
    <w:p w:rsidR="00000000" w:rsidDel="00000000" w:rsidP="00000000" w:rsidRDefault="00000000" w:rsidRPr="00000000" w14:paraId="0000000D">
      <w:pPr>
        <w:spacing w:before="0" w:lineRule="auto"/>
        <w:jc w:val="center"/>
        <w:rPr>
          <w:b w:val="1"/>
          <w:bCs w:val="1"/>
        </w:rPr>
      </w:pPr>
      <w:r w:rsidDel="00000000" w:rsidR="00000000" w:rsidRPr="00000000">
        <w:rPr>
          <w:b w:val="1"/>
          <w:bCs w:val="1"/>
          <w:rtl w:val="0"/>
        </w:rPr>
        <w:t xml:space="preserve">DOI 2: </w:t>
      </w:r>
      <w:hyperlink r:id="rId9">
        <w:r w:rsidDel="00000000" w:rsidR="00000000" w:rsidRPr="00000000">
          <w:rPr>
            <w:b w:val="1"/>
            <w:bCs w:val="1"/>
            <w:color w:val="1155cc"/>
            <w:u w:val="single"/>
            <w:rtl w:val="0"/>
          </w:rPr>
          <w:t xml:space="preserve">10.1007/s43681-026-01124-0</w:t>
        </w:r>
      </w:hyperlink>
      <w:r w:rsidDel="00000000" w:rsidR="00000000" w:rsidRPr="00000000">
        <w:rPr>
          <w:b w:val="1"/>
          <w:bCs w:val="1"/>
          <w:rtl w:val="0"/>
        </w:rPr>
        <w:t xml:space="preserve"> </w:t>
      </w:r>
      <w:r w:rsidDel="00000000" w:rsidR="00000000" w:rsidRPr="00000000">
        <w:rPr>
          <w:b w:val="1"/>
          <w:bCs w:val="1"/>
          <w:i w:val="1"/>
          <w:iCs w:val="1"/>
          <w:rtl w:val="0"/>
        </w:rPr>
        <w:t xml:space="preserve">(in proofs, publication pending)</w:t>
      </w:r>
      <w:r w:rsidDel="00000000" w:rsidR="00000000" w:rsidRPr="00000000">
        <w:rPr>
          <w:rtl w:val="0"/>
        </w:rPr>
      </w:r>
    </w:p>
    <w:p w:rsidR="00000000" w:rsidDel="00000000" w:rsidP="00000000" w:rsidRDefault="00000000" w:rsidRPr="00000000" w14:paraId="0000000E">
      <w:pPr>
        <w:spacing w:before="0" w:lineRule="auto"/>
        <w:jc w:val="center"/>
        <w:rPr>
          <w:b w:val="1"/>
          <w:bCs w:val="1"/>
        </w:rPr>
      </w:pPr>
      <w:r w:rsidDel="00000000" w:rsidR="00000000" w:rsidRPr="00000000">
        <w:rPr>
          <w:b w:val="1"/>
          <w:bCs w:val="1"/>
          <w:rtl w:val="0"/>
        </w:rPr>
        <w:t xml:space="preserve">DOI 3: </w:t>
      </w:r>
      <w:hyperlink r:id="rId10">
        <w:r w:rsidDel="00000000" w:rsidR="00000000" w:rsidRPr="00000000">
          <w:rPr>
            <w:b w:val="1"/>
            <w:bCs w:val="1"/>
            <w:color w:val="1155cc"/>
            <w:u w:val="single"/>
            <w:rtl w:val="0"/>
          </w:rPr>
          <w:t xml:space="preserve">10.5281/zenodo.17860332</w:t>
        </w:r>
      </w:hyperlink>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rtl w:val="0"/>
        </w:rPr>
        <w:t xml:space="preserve">Document Classification:</w:t>
      </w:r>
      <w:r w:rsidDel="00000000" w:rsidR="00000000" w:rsidRPr="00000000">
        <w:rPr>
          <w:rtl w:val="0"/>
        </w:rPr>
        <w:t xml:space="preserve"> Sovereign-Grade Governance Specification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bCs w:val="1"/>
          <w:rtl w:val="0"/>
        </w:rPr>
        <w:t xml:space="preserve">Framework:</w:t>
      </w:r>
      <w:r w:rsidDel="00000000" w:rsidR="00000000" w:rsidRPr="00000000">
        <w:rPr>
          <w:rtl w:val="0"/>
        </w:rPr>
        <w:t xml:space="preserve"> Ternary Logic (TL)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b w:val="1"/>
          <w:bCs w:val="1"/>
          <w:rtl w:val="0"/>
        </w:rPr>
        <w:t xml:space="preserve">Build:</w:t>
      </w:r>
      <w:r w:rsidDel="00000000" w:rsidR="00000000" w:rsidRPr="00000000">
        <w:rPr>
          <w:rtl w:val="0"/>
        </w:rPr>
        <w:t xml:space="preserve"> 1.0.0-tl-monograph-2026</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pStyle w:val="Heading5"/>
        <w:spacing w:after="0" w:before="0" w:lineRule="auto"/>
        <w:jc w:val="center"/>
        <w:rPr/>
      </w:pPr>
      <w:bookmarkStart w:colFirst="0" w:colLast="0" w:name="_akg7umercr1m" w:id="7"/>
      <w:bookmarkEnd w:id="7"/>
      <w:r w:rsidDel="00000000" w:rsidR="00000000" w:rsidRPr="00000000">
        <w:rPr>
          <w:rtl w:val="0"/>
        </w:rPr>
        <w:t xml:space="preserve">Pause when truth is uncertain. </w:t>
      </w:r>
    </w:p>
    <w:p w:rsidR="00000000" w:rsidDel="00000000" w:rsidP="00000000" w:rsidRDefault="00000000" w:rsidRPr="00000000" w14:paraId="00000018">
      <w:pPr>
        <w:pStyle w:val="Heading5"/>
        <w:spacing w:after="0" w:before="0" w:line="240" w:lineRule="auto"/>
        <w:jc w:val="center"/>
        <w:rPr/>
      </w:pPr>
      <w:bookmarkStart w:colFirst="0" w:colLast="0" w:name="_i5fsqwypd1i0" w:id="8"/>
      <w:bookmarkEnd w:id="8"/>
      <w:r w:rsidDel="00000000" w:rsidR="00000000" w:rsidRPr="00000000">
        <w:rPr>
          <w:rtl w:val="0"/>
        </w:rPr>
        <w:t xml:space="preserve">Refuse when harm is clear. </w:t>
      </w:r>
    </w:p>
    <w:p w:rsidR="00000000" w:rsidDel="00000000" w:rsidP="00000000" w:rsidRDefault="00000000" w:rsidRPr="00000000" w14:paraId="00000019">
      <w:pPr>
        <w:pStyle w:val="Heading5"/>
        <w:spacing w:after="0" w:before="0" w:line="240" w:lineRule="auto"/>
        <w:jc w:val="center"/>
        <w:rPr>
          <w:sz w:val="20"/>
          <w:szCs w:val="20"/>
        </w:rPr>
      </w:pPr>
      <w:bookmarkStart w:colFirst="0" w:colLast="0" w:name="_8tgcz07zwl41" w:id="9"/>
      <w:bookmarkEnd w:id="9"/>
      <w:r w:rsidDel="00000000" w:rsidR="00000000" w:rsidRPr="00000000">
        <w:rPr>
          <w:rtl w:val="0"/>
        </w:rPr>
        <w:t xml:space="preserve">Proceed where truth is.</w:t>
      </w:r>
      <w:r w:rsidDel="00000000" w:rsidR="00000000" w:rsidRPr="00000000">
        <w:rPr>
          <w:rtl w:val="0"/>
        </w:rPr>
      </w:r>
    </w:p>
    <w:p w:rsidR="00000000" w:rsidDel="00000000" w:rsidP="00000000" w:rsidRDefault="00000000" w:rsidRPr="00000000" w14:paraId="0000001A">
      <w:pPr>
        <w:pStyle w:val="Heading2"/>
        <w:jc w:val="center"/>
        <w:rPr>
          <w:sz w:val="20"/>
          <w:szCs w:val="20"/>
        </w:rPr>
      </w:pPr>
      <w:bookmarkStart w:colFirst="0" w:colLast="0" w:name="_svp94w96dj9r" w:id="10"/>
      <w:bookmarkEnd w:id="10"/>
      <w:r w:rsidDel="00000000" w:rsidR="00000000" w:rsidRPr="00000000">
        <w:rPr>
          <w:rtl w:val="0"/>
        </w:rPr>
      </w:r>
    </w:p>
    <w:p w:rsidR="00000000" w:rsidDel="00000000" w:rsidP="00000000" w:rsidRDefault="00000000" w:rsidRPr="00000000" w14:paraId="0000001B">
      <w:pPr>
        <w:pStyle w:val="Heading2"/>
        <w:rPr/>
      </w:pPr>
      <w:bookmarkStart w:colFirst="0" w:colLast="0" w:name="_6ks2r92towjz" w:id="11"/>
      <w:bookmarkEnd w:id="1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pPr>
      <w:bookmarkStart w:colFirst="0" w:colLast="0" w:name="_pjrc3n1sbvvw" w:id="12"/>
      <w:bookmarkEnd w:id="12"/>
      <w:r w:rsidDel="00000000" w:rsidR="00000000" w:rsidRPr="00000000">
        <w:rPr>
          <w:rtl w:val="0"/>
        </w:rPr>
        <w:t xml:space="preserve">Policymaker's Abstract: The Architecture of Assured Governance</w:t>
      </w:r>
    </w:p>
    <w:p w:rsidR="00000000" w:rsidDel="00000000" w:rsidP="00000000" w:rsidRDefault="00000000" w:rsidRPr="00000000" w14:paraId="0000001D">
      <w:pPr>
        <w:rPr/>
      </w:pPr>
      <w:r w:rsidDel="00000000" w:rsidR="00000000" w:rsidRPr="00000000">
        <w:rPr>
          <w:b w:val="1"/>
          <w:bCs w:val="1"/>
          <w:rtl w:val="0"/>
        </w:rPr>
        <w:t xml:space="preserve">To: Regulators, General Counsels, and Legislative Bodies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Subject: Moving from "Compliance by Trust" to "Compliance by Architecture"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The Governance Gap</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Current financial regulation faces a critical enforcement crisis. It relies on ex-post forensic reconstruction. When an algorithm fails or a market manipulation event occurs, regulators and legal teams must reconstruct intent and causation from fragmented, often self-reported logs. This creates massive legal ambiguity, prolonged discovery phases, and a reliance on the good faith of the institutions being supervised.[</w:t>
      </w:r>
      <w:hyperlink r:id="rId11">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The Solution: Ternary Logic</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Ternary Logic is not merely a software update. It is a constitutional layer for economic systems. It replaces the passive reporting of compliance with the active architectural enforcement of law. TL operates on a non-negotiable legal covenant: NL=NA. No Log equals No Action. No financial transaction, whether a trade, a loan, a settlement, or a central bank liquidity injection, can computationally execute unless it has first generated a secured, immutable Decision Log proving it adheres to regulatory standards. [</w:t>
      </w:r>
      <w:hyperlink r:id="rId12">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Core Legal and Regulatory Advantages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The Safe Harbor of Automated Prudence (Epistemic Hold)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Current binary systems force algorithms to act even during data outages or market chaos, creating liability. TL introduces a third mandatory state: Epistemic Hold.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legal effect is direct. If data is ambiguous or truth is uncertain, the system is architecturally compelled to pause and escalate to human stewards through the Sacred Pause workflow. [</w:t>
      </w:r>
      <w:hyperlink r:id="rId13">
        <w:r w:rsidDel="00000000" w:rsidR="00000000" w:rsidRPr="00000000">
          <w:rPr>
            <w:color w:val="1155cc"/>
            <w:u w:val="single"/>
            <w:rtl w:val="0"/>
          </w:rPr>
          <w:t xml:space="preserve">1</w:t>
        </w:r>
      </w:hyperlink>
      <w:r w:rsidDel="00000000" w:rsidR="00000000" w:rsidRPr="00000000">
        <w:rPr>
          <w:rtl w:val="0"/>
        </w:rPr>
        <w:t xml:space="preserve">] This creates an immutable record that the institution exercised fiduciary duty and due care by pausing rather than acting recklessly. It transforms system failure into documented prudence. The Goukassian Vow's first mandate, pause when truth is uncertain, becomes a liability shield rather than a performance bottleneck. [</w:t>
      </w:r>
      <w:hyperlink r:id="rId14">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Audit-Grade Evidence (FRE 901/902 and eIDAS Compliance)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TL creates a chain of custody for digital evidence that meets the highest forensic standards. Every decision is cryptographically signed by the Tri-Cameral Governance chambers and anchored to public blockchains through the Anchors Pillar. [</w:t>
      </w:r>
      <w:hyperlink r:id="rId15">
        <w:r w:rsidDel="00000000" w:rsidR="00000000" w:rsidRPr="00000000">
          <w:rPr>
            <w:color w:val="1155cc"/>
            <w:u w:val="single"/>
            <w:rtl w:val="0"/>
          </w:rPr>
          <w:t xml:space="preserve">1</w:t>
        </w:r>
      </w:hyperlink>
      <w:r w:rsidDel="00000000" w:rsidR="00000000" w:rsidRPr="00000000">
        <w:rPr>
          <w:rtl w:val="0"/>
        </w:rPr>
        <w:t xml:space="preserve">] The legal effect is non-repudiability. An institution cannot retroactively alter or delete logs to hide misconduct. The records are tamper-evident and immediately admissible as authentic digital evidence under Federal Rule of Evidence 902 and the eIDAS qualified electronic signature standard. [</w:t>
      </w:r>
      <w:hyperlink r:id="rId16">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Structural Anti-Money Laundering and Sanctions Enforcement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Instead of relying on internal policies that can be bypassed, TL uses the Governance Lane and the Regulatory Nexus to enforce compliance as a computational precondition. [</w:t>
      </w:r>
      <w:hyperlink r:id="rId17">
        <w:r w:rsidDel="00000000" w:rsidR="00000000" w:rsidRPr="00000000">
          <w:rPr>
            <w:color w:val="1155cc"/>
            <w:u w:val="single"/>
            <w:rtl w:val="0"/>
          </w:rPr>
          <w:t xml:space="preserve">9</w:t>
        </w:r>
      </w:hyperlink>
      <w:r w:rsidDel="00000000" w:rsidR="00000000" w:rsidRPr="00000000">
        <w:rPr>
          <w:rtl w:val="0"/>
        </w:rPr>
        <w:t xml:space="preserve">] The system physically blocks any transaction that fails a sanctions check, exhibits manipulative behavior such as spoofing or layering, or involves an unresolvable beneficial ownership chain. Compliance is not a policy. It is a constitutional gate that must open before the execution gate can open. The Hybrid Shield preserves counterparty privacy through pseudonymization while maintaining full evidentiary availability for authorized regulatory access through Ephemeral Key Rotation. [</w:t>
      </w:r>
      <w:hyperlink r:id="rId18">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The Shift in Oversight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Adopting TL shifts the regulatory burden from subjective interpretation, asking why did the trader do this, to objective verification, checking the cryptographic anchor and the Permission Token.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For the regulator, this means instant mathematical verification of systemic stability without needing to seize servers. For the institution, it means a verifiable defense against unfounded claims of negligence or bias. For the public, it means a guarantee that the financial system operates under a governance architecture that is physically incapable of executing without evidence. [</w:t>
      </w:r>
      <w:hyperlink r:id="rId19">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Ternary Logic operationalizes the standard of care for the digital age. It ensures that economic systems do not merely claim to be compliant. They are architected to be incapable of non-compliance. The Governance Lane, the Immutable Ledger, and the DITL hardware substrate together create a financial infrastructure where power cannot lie because power cannot execute without truth.</w:t>
      </w:r>
    </w:p>
    <w:p w:rsidR="00000000" w:rsidDel="00000000" w:rsidP="00000000" w:rsidRDefault="00000000" w:rsidRPr="00000000" w14:paraId="00000042">
      <w:pPr>
        <w:pStyle w:val="Heading2"/>
        <w:rPr/>
      </w:pPr>
      <w:bookmarkStart w:colFirst="0" w:colLast="0" w:name="_qkw8a5elcd3v" w:id="13"/>
      <w:bookmarkEnd w:id="13"/>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rPr>
          <w:b w:val="1"/>
          <w:bCs w:val="1"/>
        </w:rPr>
      </w:pPr>
      <w:bookmarkStart w:colFirst="0" w:colLast="0" w:name="_mnnada5wuz64" w:id="14"/>
      <w:bookmarkEnd w:id="14"/>
      <w:r w:rsidDel="00000000" w:rsidR="00000000" w:rsidRPr="00000000">
        <w:rPr>
          <w:b w:val="1"/>
          <w:bCs w:val="1"/>
          <w:rtl w:val="0"/>
        </w:rPr>
        <w:t xml:space="preserve">Abstract</w:t>
      </w:r>
    </w:p>
    <w:p w:rsidR="00000000" w:rsidDel="00000000" w:rsidP="00000000" w:rsidRDefault="00000000" w:rsidRPr="00000000" w14:paraId="00000044">
      <w:pPr>
        <w:rPr/>
      </w:pPr>
      <w:r w:rsidDel="00000000" w:rsidR="00000000" w:rsidRPr="00000000">
        <w:rPr>
          <w:rtl w:val="0"/>
        </w:rPr>
        <w:t xml:space="preserve">Ternary Logic (TL) is a constitutional governance layer for global economic systems. It does not replace binary computation. Binary inference engines provide speed, pattern recognition, and statistical throughput. TL operates as a sovereign governance coprocessor in parallel. Binary proposes actions. TL dictates whether the proposal crosses the execution threshold. This Dual-Lane Architecture ensures that no economic action executes without prior immutable evidentiary verification.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framework derives from the Goukassian Vow: "Pause when truth is uncertain. Refuse when harm is clear. Proceed </w:t>
      </w:r>
      <w:r w:rsidDel="00000000" w:rsidR="00000000" w:rsidRPr="00000000">
        <w:rPr>
          <w:rtl w:val="0"/>
        </w:rPr>
        <w:t xml:space="preserve">where truth</w:t>
      </w:r>
      <w:r w:rsidDel="00000000" w:rsidR="00000000" w:rsidRPr="00000000">
        <w:rPr>
          <w:rtl w:val="0"/>
        </w:rPr>
        <w:t xml:space="preserve"> is." These three mandates map to the triadic decision states: Proceed (+1), Refuse (-1), and Epistemic Hold (0). Epistemic Hold is the mandatory hesitation state. Sacred Pause is the process that activates when truth is uncertain. The 0 state is never an error, null, timeout, or retry. It is a first-class determination that truth has not yet been established.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TL institutionalizes integrity through the Eight Pillars: Epistemic Hold, Immutable Ledger, Goukassian Principle, Decision Logs, Economic Rights and Transparency Mandate, Sustainable Capital Allocation Mandate, Hybrid Shield, and Anchors. The non-negotiable architectural covenant is NL=NA: No Log equals No Action. Every transaction, settlement, or policy decision must generate a cryptographically sealed, schema-validated Decision Log before execution is permitted.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No Spy, No Weapon Mandate establishes the negative constitutional architecture that defines what TL must never do. It is a structural constraint embedded in the constitutional schema, the API, and the hardware substrate. Surveillance and weapons applications are categorically prohibited, not merely discouraged. The Mandate eliminates the Oracle Problem through query constitutionalization, prevents latent surveillance capability through DITL physical design constraints, and closes the gray zone of dual-use analytics through twelve domain-specific edge-case determinations.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Ephemeral Key Rotation provides the cryptographic mechanism that resolves the tension between regulatory audit and trade secret protection. Per-session ephemeral key pairs grant time-bound, revocable, and compartmentalized access to pseudonymized Decision Logs without exposing master keys or permanent data copies. Regulators receive audit-grade evidence. Institutions retain competitive confidentiality. Cross-border regulatory cooperation proceeds without violating data sovereignty.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Anti-Money Laundering Enforcement Architecture transforms AML from a statistical alert problem into a constitutional governance problem. The Governance Lane evaluates every suspicious transaction alert against a six-field schema before any regulatory filing, asset freeze, or law enforcement referral. Sanctions compliance is a hard constitutional boundary, not a risk-adjusted threshold. Cross-border correspondent banking closes the SWIFT governance gap through Regulatory Nexus verification of originating institution Permission Tokens. Automated regulatory reporting eliminates the delay and discretion that currently plague suspicious activity report filing.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Hardware enforcement is realized through Delay-Insensitive Ternary Logic (DITL) and Mandated Ternary (MT) memristive substrates. The Epistemic Hold is not a software flag. It is a physical NULL state at half-Vdd in DITL circuits, maintained by Muller C-elements that withhold acknowledge signals until valid data arrives. A sufficiently capable adversary cannot argue with a threshold gate. The Triadic Coprocessor operates as a physically independent ASIC with six mandatory conditions for non-bypassability: independent die, inline placement, 1-of-3 rail encoding, asynchronous handshake stall, FIPS 140-2 Level 3 physical security, and post-fabrication PUF attestation.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Adversarial robustness is assessed across the Eight Pillars through seven dimensions of survivability. The NL=NA invariant is stress-tested against five attack scenarios: log truncation, shadow buffer logging, delayed anchoring, schema manipulation, and timestamp forgery. Ten root override and low-level attack vectors are catalogued with cost, time, detection probability, and non-maskable interrupt generation data. Governance capture vectors include the fifty-one percent custodian attack, Technical Council backdoor, treasury deadlock, and semantic drift over five, ten, and twenty-year horizons. The Transitional Emulation Mode is identified as the highest-risk operational phase, where software-only deployment degrades two Critical-rated pillars simultaneously and collapses the framework to policy-only enforcement.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Tri-Cameral Governance Model distributes authority across the Technical Council, Stewardship Custodians, and Smart Contract Treasury to prevent regulatory capture and ensure constitutional continuity. Supply chain and fabrication risk is addressed through multi-vendor diversity, behavioral monitoring, and the irreducible acknowledgment that dopant-level hardware Trojans cannot be eliminated by any verification protocol. Post-quantum cryptographic migration is specified through hybrid ECDSA-Dilithium signatures during the 2032-2040 vulnerability window, with automatic transition triggers anchored in the constitutional schema.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This blueprint unifies constitutional architecture, negative prohibitions, legal and regulatory frameworks, macroeconomic sector failure analysis, operational API specifications, hardware substrates, adversarial robustness assessment, interdisciplinary foundations, implementation economics, and succession continuity into a single sovereign-grade specification for financial infrastructure, supply chain verification, central banking, and institutional governance.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pStyle w:val="Heading2"/>
        <w:rPr>
          <w:b w:val="1"/>
          <w:bCs w:val="1"/>
        </w:rPr>
      </w:pPr>
      <w:bookmarkStart w:colFirst="0" w:colLast="0" w:name="_gcvcd8z0yzah" w:id="15"/>
      <w:bookmarkEnd w:id="15"/>
      <w:r w:rsidDel="00000000" w:rsidR="00000000" w:rsidRPr="00000000">
        <w:rPr>
          <w:b w:val="1"/>
          <w:bCs w:val="1"/>
          <w:rtl w:val="0"/>
        </w:rPr>
        <w:t xml:space="preserve">Keywords</w:t>
      </w:r>
    </w:p>
    <w:p w:rsidR="00000000" w:rsidDel="00000000" w:rsidP="00000000" w:rsidRDefault="00000000" w:rsidRPr="00000000" w14:paraId="00000059">
      <w:pPr>
        <w:rPr/>
      </w:pPr>
      <w:r w:rsidDel="00000000" w:rsidR="00000000" w:rsidRPr="00000000">
        <w:rPr>
          <w:rtl w:val="0"/>
        </w:rPr>
        <w:t xml:space="preserve">Ternary Logic, TL, Epistemic Hold, Sacred Pause, Goukassian Vow, Dual-Lane Architecture, NL=NA, Immutable Ledger, Decision Logs, Eight Pillars, No Spy No Weapon, NoS-NoW, Ephemeral Key Rotation, EKR, Anti-Money Laundering, AML, Hybrid Shield, DITL, MT Hardware, Tri-Cameral Governance, Permission Token, Constitutional Governance, Economic Systems Governance, Adversarial Survivability, Query Constitutionalization, Differential Privacy, Trade Secret Protection, Cross-Border Regulatory Cooperation, Post-Quantum Cryptography, Shamir Secret Sharing, Behavioral Monitoring, Supply Chain Integrity, Semantic Drift, Ghost Governance, Sacred Zero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dt>
      <w:sdtPr>
        <w:id w:val="-1700747278"/>
        <w:docPartObj>
          <w:docPartGallery w:val="Table of Contents"/>
          <w:docPartUnique w:val="1"/>
        </w:docPartObj>
      </w:sdtPr>
      <w:sdtContent>
        <w:p w:rsidR="00000000" w:rsidDel="00000000" w:rsidP="00000000" w:rsidRDefault="00000000" w:rsidRPr="00000000" w14:paraId="0000005C">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gg20qnoewn7">
            <w:r w:rsidDel="00000000" w:rsidR="00000000" w:rsidRPr="00000000">
              <w:rPr>
                <w:b w:val="1"/>
                <w:bCs w:val="1"/>
                <w:color w:val="000000"/>
                <w:u w:val="none"/>
                <w:rtl w:val="0"/>
              </w:rPr>
              <w:t xml:space="preserve">THE CONSTITUTIONAL ARCHITECTURE OF ASSURED GOVERNANCE</w:t>
              <w:tab/>
            </w:r>
          </w:hyperlink>
          <w:r w:rsidDel="00000000" w:rsidR="00000000" w:rsidRPr="00000000">
            <w:fldChar w:fldCharType="begin"/>
            <w:instrText xml:space="preserve"> PAGEREF _xgg20qnoewn7 \h </w:instrText>
            <w:fldChar w:fldCharType="separate"/>
          </w:r>
          <w:r w:rsidDel="00000000" w:rsidR="00000000" w:rsidRPr="00000000">
            <w:rPr>
              <w:b w:val="1"/>
              <w:bCs w:val="1"/>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240" w:lineRule="auto"/>
            <w:ind w:left="360" w:firstLine="0"/>
            <w:rPr>
              <w:color w:val="000000"/>
              <w:u w:val="none"/>
            </w:rPr>
          </w:pPr>
          <w:hyperlink w:anchor="_xkc4hlhx83w9">
            <w:r w:rsidDel="00000000" w:rsidR="00000000" w:rsidRPr="00000000">
              <w:rPr>
                <w:color w:val="000000"/>
                <w:u w:val="none"/>
                <w:rtl w:val="0"/>
              </w:rPr>
              <w:t xml:space="preserve">Ternary Logic as a Sovereign, Evidentiary Triadic Framework for Global Economic Systems</w:t>
              <w:tab/>
            </w:r>
          </w:hyperlink>
          <w:r w:rsidDel="00000000" w:rsidR="00000000" w:rsidRPr="00000000">
            <w:fldChar w:fldCharType="begin"/>
            <w:instrText xml:space="preserve"> PAGEREF _xkc4hlhx83w9 \h </w:instrText>
            <w:fldChar w:fldCharType="separate"/>
          </w:r>
          <w:r w:rsidDel="00000000" w:rsidR="00000000" w:rsidRPr="00000000">
            <w:rPr>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240" w:lineRule="auto"/>
            <w:ind w:left="360" w:firstLine="0"/>
            <w:rPr>
              <w:color w:val="000000"/>
              <w:u w:val="none"/>
            </w:rPr>
          </w:pPr>
          <w:hyperlink w:anchor="_h2pa9c23rgx9">
            <w:r w:rsidDel="00000000" w:rsidR="00000000" w:rsidRPr="00000000">
              <w:rPr>
                <w:color w:val="000000"/>
                <w:u w:val="none"/>
                <w:rtl w:val="0"/>
              </w:rPr>
              <w:t xml:space="preserve">TECHNICAL STANDARD &amp; RESEARCH MONOGRAPH</w:t>
              <w:tab/>
            </w:r>
          </w:hyperlink>
          <w:r w:rsidDel="00000000" w:rsidR="00000000" w:rsidRPr="00000000">
            <w:fldChar w:fldCharType="begin"/>
            <w:instrText xml:space="preserve"> PAGEREF _h2pa9c23rgx9 \h </w:instrText>
            <w:fldChar w:fldCharType="separate"/>
          </w:r>
          <w:r w:rsidDel="00000000" w:rsidR="00000000" w:rsidRPr="00000000">
            <w:rPr>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240" w:lineRule="auto"/>
            <w:ind w:left="360" w:firstLine="0"/>
            <w:rPr>
              <w:color w:val="000000"/>
              <w:u w:val="none"/>
            </w:rPr>
          </w:pPr>
          <w:hyperlink w:anchor="_pjrc3n1sbvvw">
            <w:r w:rsidDel="00000000" w:rsidR="00000000" w:rsidRPr="00000000">
              <w:rPr>
                <w:color w:val="000000"/>
                <w:u w:val="none"/>
                <w:rtl w:val="0"/>
              </w:rPr>
              <w:t xml:space="preserve">Policymaker's Abstract: The Architecture of Assured Governance</w:t>
              <w:tab/>
            </w:r>
          </w:hyperlink>
          <w:r w:rsidDel="00000000" w:rsidR="00000000" w:rsidRPr="00000000">
            <w:fldChar w:fldCharType="begin"/>
            <w:instrText xml:space="preserve"> PAGEREF _pjrc3n1sbvvw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240" w:lineRule="auto"/>
            <w:ind w:left="360" w:firstLine="0"/>
            <w:rPr>
              <w:color w:val="000000"/>
              <w:u w:val="none"/>
            </w:rPr>
          </w:pPr>
          <w:hyperlink w:anchor="_mnnada5wuz64">
            <w:r w:rsidDel="00000000" w:rsidR="00000000" w:rsidRPr="00000000">
              <w:rPr>
                <w:color w:val="000000"/>
                <w:u w:val="none"/>
                <w:rtl w:val="0"/>
              </w:rPr>
              <w:t xml:space="preserve">Abstract</w:t>
              <w:tab/>
            </w:r>
          </w:hyperlink>
          <w:r w:rsidDel="00000000" w:rsidR="00000000" w:rsidRPr="00000000">
            <w:fldChar w:fldCharType="begin"/>
            <w:instrText xml:space="preserve"> PAGEREF _mnnada5wuz64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240" w:lineRule="auto"/>
            <w:ind w:left="360" w:firstLine="0"/>
            <w:rPr>
              <w:color w:val="000000"/>
              <w:u w:val="none"/>
            </w:rPr>
          </w:pPr>
          <w:hyperlink w:anchor="_gcvcd8z0yzah">
            <w:r w:rsidDel="00000000" w:rsidR="00000000" w:rsidRPr="00000000">
              <w:rPr>
                <w:color w:val="000000"/>
                <w:u w:val="none"/>
                <w:rtl w:val="0"/>
              </w:rPr>
              <w:t xml:space="preserve">Keywords</w:t>
              <w:tab/>
            </w:r>
          </w:hyperlink>
          <w:r w:rsidDel="00000000" w:rsidR="00000000" w:rsidRPr="00000000">
            <w:fldChar w:fldCharType="begin"/>
            <w:instrText xml:space="preserve"> PAGEREF _gcvcd8z0yzah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240" w:lineRule="auto"/>
            <w:ind w:left="360" w:firstLine="0"/>
            <w:rPr>
              <w:color w:val="000000"/>
              <w:u w:val="none"/>
            </w:rPr>
          </w:pPr>
          <w:hyperlink w:anchor="_r0q8vaaeldg8">
            <w:r w:rsidDel="00000000" w:rsidR="00000000" w:rsidRPr="00000000">
              <w:rPr>
                <w:color w:val="000000"/>
                <w:u w:val="none"/>
                <w:rtl w:val="0"/>
              </w:rPr>
              <w:t xml:space="preserve">2.1. The Goukassian Vow as Foundational Architecture</w:t>
              <w:tab/>
            </w:r>
          </w:hyperlink>
          <w:r w:rsidDel="00000000" w:rsidR="00000000" w:rsidRPr="00000000">
            <w:fldChar w:fldCharType="begin"/>
            <w:instrText xml:space="preserve"> PAGEREF _r0q8vaaeldg8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240" w:lineRule="auto"/>
            <w:ind w:left="360" w:firstLine="0"/>
            <w:rPr>
              <w:color w:val="000000"/>
              <w:u w:val="none"/>
            </w:rPr>
          </w:pPr>
          <w:hyperlink w:anchor="_81of2eq2ykl8">
            <w:r w:rsidDel="00000000" w:rsidR="00000000" w:rsidRPr="00000000">
              <w:rPr>
                <w:color w:val="000000"/>
                <w:u w:val="none"/>
                <w:rtl w:val="0"/>
              </w:rPr>
              <w:t xml:space="preserve">2.2. Dual-Lane Architecture: Binary and Ternary in Parallel</w:t>
              <w:tab/>
            </w:r>
          </w:hyperlink>
          <w:r w:rsidDel="00000000" w:rsidR="00000000" w:rsidRPr="00000000">
            <w:fldChar w:fldCharType="begin"/>
            <w:instrText xml:space="preserve"> PAGEREF _81of2eq2ykl8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before="60" w:line="240" w:lineRule="auto"/>
            <w:ind w:left="360" w:firstLine="0"/>
            <w:rPr>
              <w:color w:val="000000"/>
              <w:u w:val="none"/>
            </w:rPr>
          </w:pPr>
          <w:hyperlink w:anchor="_i5abgu2ixm06">
            <w:r w:rsidDel="00000000" w:rsidR="00000000" w:rsidRPr="00000000">
              <w:rPr>
                <w:color w:val="000000"/>
                <w:u w:val="none"/>
                <w:rtl w:val="0"/>
              </w:rPr>
              <w:t xml:space="preserve">2.3. The Three Economic Decision States: Proceed, Refuse, Epistemic Hold</w:t>
              <w:tab/>
            </w:r>
          </w:hyperlink>
          <w:r w:rsidDel="00000000" w:rsidR="00000000" w:rsidRPr="00000000">
            <w:fldChar w:fldCharType="begin"/>
            <w:instrText xml:space="preserve"> PAGEREF _i5abgu2ixm06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before="60" w:line="240" w:lineRule="auto"/>
            <w:ind w:left="360" w:firstLine="0"/>
            <w:rPr>
              <w:color w:val="000000"/>
              <w:u w:val="none"/>
            </w:rPr>
          </w:pPr>
          <w:hyperlink w:anchor="_m9ivc0jnd6zi">
            <w:r w:rsidDel="00000000" w:rsidR="00000000" w:rsidRPr="00000000">
              <w:rPr>
                <w:color w:val="000000"/>
                <w:u w:val="none"/>
                <w:rtl w:val="0"/>
              </w:rPr>
              <w:t xml:space="preserve">2.4. State versus Workflow: Epistemic Hold and Sacred Pause</w:t>
              <w:tab/>
            </w:r>
          </w:hyperlink>
          <w:r w:rsidDel="00000000" w:rsidR="00000000" w:rsidRPr="00000000">
            <w:fldChar w:fldCharType="begin"/>
            <w:instrText xml:space="preserve"> PAGEREF _m9ivc0jnd6zi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before="60" w:line="240" w:lineRule="auto"/>
            <w:ind w:left="360" w:firstLine="0"/>
            <w:rPr>
              <w:color w:val="000000"/>
              <w:u w:val="none"/>
            </w:rPr>
          </w:pPr>
          <w:hyperlink w:anchor="_p0u5j6ovk76i">
            <w:r w:rsidDel="00000000" w:rsidR="00000000" w:rsidRPr="00000000">
              <w:rPr>
                <w:color w:val="000000"/>
                <w:u w:val="none"/>
                <w:rtl w:val="0"/>
              </w:rPr>
              <w:t xml:space="preserve">2.5. NL=NA: The Non-Negotiable Architectural Covenant</w:t>
              <w:tab/>
            </w:r>
          </w:hyperlink>
          <w:r w:rsidDel="00000000" w:rsidR="00000000" w:rsidRPr="00000000">
            <w:fldChar w:fldCharType="begin"/>
            <w:instrText xml:space="preserve"> PAGEREF _p0u5j6ovk76i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before="60" w:line="240" w:lineRule="auto"/>
            <w:ind w:left="360" w:firstLine="0"/>
            <w:rPr>
              <w:color w:val="000000"/>
              <w:u w:val="none"/>
            </w:rPr>
          </w:pPr>
          <w:hyperlink w:anchor="_wqysoegamgev">
            <w:r w:rsidDel="00000000" w:rsidR="00000000" w:rsidRPr="00000000">
              <w:rPr>
                <w:color w:val="000000"/>
                <w:u w:val="none"/>
                <w:rtl w:val="0"/>
              </w:rPr>
              <w:t xml:space="preserve">2.6. No Spy, No Weapon: Domain Boundaries and Prohibitions</w:t>
              <w:tab/>
            </w:r>
          </w:hyperlink>
          <w:r w:rsidDel="00000000" w:rsidR="00000000" w:rsidRPr="00000000">
            <w:fldChar w:fldCharType="begin"/>
            <w:instrText xml:space="preserve"> PAGEREF _wqysoegamgev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before="60" w:line="240" w:lineRule="auto"/>
            <w:ind w:left="360" w:firstLine="0"/>
            <w:rPr>
              <w:color w:val="000000"/>
              <w:u w:val="none"/>
            </w:rPr>
          </w:pPr>
          <w:hyperlink w:anchor="_scncuhvbsaby">
            <w:r w:rsidDel="00000000" w:rsidR="00000000" w:rsidRPr="00000000">
              <w:rPr>
                <w:color w:val="000000"/>
                <w:u w:val="none"/>
                <w:rtl w:val="0"/>
              </w:rPr>
              <w:t xml:space="preserve">2.7. No Spy, No Weapon: Universality, Power Pressure, and Final Determination</w:t>
              <w:tab/>
            </w:r>
          </w:hyperlink>
          <w:r w:rsidDel="00000000" w:rsidR="00000000" w:rsidRPr="00000000">
            <w:fldChar w:fldCharType="begin"/>
            <w:instrText xml:space="preserve"> PAGEREF _scncuhvbsaby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before="60" w:line="240" w:lineRule="auto"/>
            <w:ind w:left="360" w:firstLine="0"/>
            <w:rPr>
              <w:color w:val="000000"/>
              <w:u w:val="none"/>
            </w:rPr>
          </w:pPr>
          <w:hyperlink w:anchor="_ldvfcl2qalwp">
            <w:r w:rsidDel="00000000" w:rsidR="00000000" w:rsidRPr="00000000">
              <w:rPr>
                <w:color w:val="000000"/>
                <w:u w:val="none"/>
                <w:rtl w:val="0"/>
              </w:rPr>
              <w:t xml:space="preserve">3.1. Basel III and Fundamental Review of the Trading Book</w:t>
              <w:tab/>
            </w:r>
          </w:hyperlink>
          <w:r w:rsidDel="00000000" w:rsidR="00000000" w:rsidRPr="00000000">
            <w:fldChar w:fldCharType="begin"/>
            <w:instrText xml:space="preserve"> PAGEREF _ldvfcl2qalwp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before="60" w:line="240" w:lineRule="auto"/>
            <w:ind w:left="360" w:firstLine="0"/>
            <w:rPr>
              <w:color w:val="000000"/>
              <w:u w:val="none"/>
            </w:rPr>
          </w:pPr>
          <w:hyperlink w:anchor="_sxxpmstrikjv">
            <w:r w:rsidDel="00000000" w:rsidR="00000000" w:rsidRPr="00000000">
              <w:rPr>
                <w:color w:val="000000"/>
                <w:u w:val="none"/>
                <w:rtl w:val="0"/>
              </w:rPr>
              <w:t xml:space="preserve">3.2. SEC, CFTC, and Market Integrity Enforcement</w:t>
              <w:tab/>
            </w:r>
          </w:hyperlink>
          <w:r w:rsidDel="00000000" w:rsidR="00000000" w:rsidRPr="00000000">
            <w:fldChar w:fldCharType="begin"/>
            <w:instrText xml:space="preserve"> PAGEREF _sxxpmstrikjv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before="60" w:line="240" w:lineRule="auto"/>
            <w:ind w:left="360" w:firstLine="0"/>
            <w:rPr>
              <w:color w:val="000000"/>
              <w:u w:val="none"/>
            </w:rPr>
          </w:pPr>
          <w:hyperlink w:anchor="_dhq0lcqenjz4">
            <w:r w:rsidDel="00000000" w:rsidR="00000000" w:rsidRPr="00000000">
              <w:rPr>
                <w:color w:val="000000"/>
                <w:u w:val="none"/>
                <w:rtl w:val="0"/>
              </w:rPr>
              <w:t xml:space="preserve">3.3. IOSCO Principles for Financial Market Infrastructures</w:t>
              <w:tab/>
            </w:r>
          </w:hyperlink>
          <w:r w:rsidDel="00000000" w:rsidR="00000000" w:rsidRPr="00000000">
            <w:fldChar w:fldCharType="begin"/>
            <w:instrText xml:space="preserve"> PAGEREF _dhq0lcqenjz4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before="60" w:line="240" w:lineRule="auto"/>
            <w:ind w:left="360" w:firstLine="0"/>
            <w:rPr>
              <w:color w:val="000000"/>
              <w:u w:val="none"/>
            </w:rPr>
          </w:pPr>
          <w:hyperlink w:anchor="_put8yfqx3fgs">
            <w:r w:rsidDel="00000000" w:rsidR="00000000" w:rsidRPr="00000000">
              <w:rPr>
                <w:color w:val="000000"/>
                <w:u w:val="none"/>
                <w:rtl w:val="0"/>
              </w:rPr>
              <w:t xml:space="preserve">3.4. Central Bank Oversight and CBDC Governance</w:t>
              <w:tab/>
            </w:r>
          </w:hyperlink>
          <w:r w:rsidDel="00000000" w:rsidR="00000000" w:rsidRPr="00000000">
            <w:fldChar w:fldCharType="begin"/>
            <w:instrText xml:space="preserve"> PAGEREF _put8yfqx3fgs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before="60" w:line="240" w:lineRule="auto"/>
            <w:ind w:left="360" w:firstLine="0"/>
            <w:rPr>
              <w:color w:val="000000"/>
              <w:u w:val="none"/>
            </w:rPr>
          </w:pPr>
          <w:hyperlink w:anchor="_6iz89b3sksmm">
            <w:r w:rsidDel="00000000" w:rsidR="00000000" w:rsidRPr="00000000">
              <w:rPr>
                <w:color w:val="000000"/>
                <w:u w:val="none"/>
                <w:rtl w:val="0"/>
              </w:rPr>
              <w:t xml:space="preserve">3.5. GDPR and Cryptographic Erasure Compliance</w:t>
              <w:tab/>
            </w:r>
          </w:hyperlink>
          <w:r w:rsidDel="00000000" w:rsidR="00000000" w:rsidRPr="00000000">
            <w:fldChar w:fldCharType="begin"/>
            <w:instrText xml:space="preserve"> PAGEREF _6iz89b3sksmm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before="60" w:line="240" w:lineRule="auto"/>
            <w:ind w:left="360" w:firstLine="0"/>
            <w:rPr>
              <w:color w:val="000000"/>
              <w:u w:val="none"/>
            </w:rPr>
          </w:pPr>
          <w:hyperlink w:anchor="_ke4zdm4uxvn9">
            <w:r w:rsidDel="00000000" w:rsidR="00000000" w:rsidRPr="00000000">
              <w:rPr>
                <w:color w:val="000000"/>
                <w:u w:val="none"/>
                <w:rtl w:val="0"/>
              </w:rPr>
              <w:t xml:space="preserve">3.6. Ephemeral Key Rotation: Trade Secret Protection and Auditor Access</w:t>
              <w:tab/>
            </w:r>
          </w:hyperlink>
          <w:r w:rsidDel="00000000" w:rsidR="00000000" w:rsidRPr="00000000">
            <w:fldChar w:fldCharType="begin"/>
            <w:instrText xml:space="preserve"> PAGEREF _ke4zdm4uxvn9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before="60" w:line="240" w:lineRule="auto"/>
            <w:ind w:left="360" w:firstLine="0"/>
            <w:rPr>
              <w:color w:val="000000"/>
              <w:u w:val="none"/>
            </w:rPr>
          </w:pPr>
          <w:hyperlink w:anchor="_hvd1q4r9omp4">
            <w:r w:rsidDel="00000000" w:rsidR="00000000" w:rsidRPr="00000000">
              <w:rPr>
                <w:color w:val="000000"/>
                <w:u w:val="none"/>
                <w:rtl w:val="0"/>
              </w:rPr>
              <w:t xml:space="preserve">3.7. Digital Evidence Standards: FRE 901/902 and eIDAS</w:t>
              <w:tab/>
            </w:r>
          </w:hyperlink>
          <w:r w:rsidDel="00000000" w:rsidR="00000000" w:rsidRPr="00000000">
            <w:fldChar w:fldCharType="begin"/>
            <w:instrText xml:space="preserve"> PAGEREF _hvd1q4r9omp4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before="60" w:line="240" w:lineRule="auto"/>
            <w:ind w:left="360" w:firstLine="0"/>
            <w:rPr>
              <w:color w:val="000000"/>
              <w:u w:val="none"/>
            </w:rPr>
          </w:pPr>
          <w:hyperlink w:anchor="_gamjoyf7xg2v">
            <w:r w:rsidDel="00000000" w:rsidR="00000000" w:rsidRPr="00000000">
              <w:rPr>
                <w:color w:val="000000"/>
                <w:u w:val="none"/>
                <w:rtl w:val="0"/>
              </w:rPr>
              <w:t xml:space="preserve">4.1. Banking and Capital Markets: Stress Tests and Model Overrides</w:t>
              <w:tab/>
            </w:r>
          </w:hyperlink>
          <w:r w:rsidDel="00000000" w:rsidR="00000000" w:rsidRPr="00000000">
            <w:fldChar w:fldCharType="begin"/>
            <w:instrText xml:space="preserve"> PAGEREF _gamjoyf7xg2v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before="60" w:line="240" w:lineRule="auto"/>
            <w:ind w:left="360" w:firstLine="0"/>
            <w:rPr>
              <w:color w:val="000000"/>
              <w:u w:val="none"/>
            </w:rPr>
          </w:pPr>
          <w:hyperlink w:anchor="_epxamydk46zy">
            <w:r w:rsidDel="00000000" w:rsidR="00000000" w:rsidRPr="00000000">
              <w:rPr>
                <w:color w:val="000000"/>
                <w:u w:val="none"/>
                <w:rtl w:val="0"/>
              </w:rPr>
              <w:t xml:space="preserve">4.2. High-Frequency Trading: Anti-Manipulation Enforcement</w:t>
              <w:tab/>
            </w:r>
          </w:hyperlink>
          <w:r w:rsidDel="00000000" w:rsidR="00000000" w:rsidRPr="00000000">
            <w:fldChar w:fldCharType="begin"/>
            <w:instrText xml:space="preserve"> PAGEREF _epxamydk46zy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before="60" w:line="240" w:lineRule="auto"/>
            <w:ind w:left="360" w:firstLine="0"/>
            <w:rPr>
              <w:color w:val="000000"/>
              <w:u w:val="none"/>
            </w:rPr>
          </w:pPr>
          <w:hyperlink w:anchor="_wpw7jgoj596y">
            <w:r w:rsidDel="00000000" w:rsidR="00000000" w:rsidRPr="00000000">
              <w:rPr>
                <w:color w:val="000000"/>
                <w:u w:val="none"/>
                <w:rtl w:val="0"/>
              </w:rPr>
              <w:t xml:space="preserve">4.3. Central Banking: Algorithmic Issuance and Audit Trails</w:t>
              <w:tab/>
            </w:r>
          </w:hyperlink>
          <w:r w:rsidDel="00000000" w:rsidR="00000000" w:rsidRPr="00000000">
            <w:fldChar w:fldCharType="begin"/>
            <w:instrText xml:space="preserve"> PAGEREF _wpw7jgoj596y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before="60" w:line="240" w:lineRule="auto"/>
            <w:ind w:left="360" w:firstLine="0"/>
            <w:rPr>
              <w:color w:val="000000"/>
              <w:u w:val="none"/>
            </w:rPr>
          </w:pPr>
          <w:hyperlink w:anchor="_hkkhaz4d22vp">
            <w:r w:rsidDel="00000000" w:rsidR="00000000" w:rsidRPr="00000000">
              <w:rPr>
                <w:color w:val="000000"/>
                <w:u w:val="none"/>
                <w:rtl w:val="0"/>
              </w:rPr>
              <w:t xml:space="preserve">4.4. Supply Chains and Global Trade: Fraud and Cross-Border Alignment</w:t>
              <w:tab/>
            </w:r>
          </w:hyperlink>
          <w:r w:rsidDel="00000000" w:rsidR="00000000" w:rsidRPr="00000000">
            <w:fldChar w:fldCharType="begin"/>
            <w:instrText xml:space="preserve"> PAGEREF _hkkhaz4d22vp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before="60" w:line="240" w:lineRule="auto"/>
            <w:ind w:left="360" w:firstLine="0"/>
            <w:rPr>
              <w:color w:val="000000"/>
              <w:u w:val="none"/>
            </w:rPr>
          </w:pPr>
          <w:hyperlink w:anchor="_tn6wo78t5jrq">
            <w:r w:rsidDel="00000000" w:rsidR="00000000" w:rsidRPr="00000000">
              <w:rPr>
                <w:color w:val="000000"/>
                <w:u w:val="none"/>
                <w:rtl w:val="0"/>
              </w:rPr>
              <w:t xml:space="preserve">4.5. Insurance and Actuarial Systems: Bias Detection and Legal Defensibility</w:t>
              <w:tab/>
            </w:r>
          </w:hyperlink>
          <w:r w:rsidDel="00000000" w:rsidR="00000000" w:rsidRPr="00000000">
            <w:fldChar w:fldCharType="begin"/>
            <w:instrText xml:space="preserve"> PAGEREF _tn6wo78t5jrq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before="60" w:line="240" w:lineRule="auto"/>
            <w:ind w:left="360" w:firstLine="0"/>
            <w:rPr>
              <w:color w:val="000000"/>
              <w:u w:val="none"/>
            </w:rPr>
          </w:pPr>
          <w:hyperlink w:anchor="_lx8b03bahiej">
            <w:r w:rsidDel="00000000" w:rsidR="00000000" w:rsidRPr="00000000">
              <w:rPr>
                <w:color w:val="000000"/>
                <w:u w:val="none"/>
                <w:rtl w:val="0"/>
              </w:rPr>
              <w:t xml:space="preserve">4.6. Anti-Money Laundering: Governance-Grade Enforcement Architecture</w:t>
              <w:tab/>
            </w:r>
          </w:hyperlink>
          <w:r w:rsidDel="00000000" w:rsidR="00000000" w:rsidRPr="00000000">
            <w:fldChar w:fldCharType="begin"/>
            <w:instrText xml:space="preserve"> PAGEREF _lx8b03bahiej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before="60" w:line="240" w:lineRule="auto"/>
            <w:ind w:left="360" w:firstLine="0"/>
            <w:rPr>
              <w:color w:val="000000"/>
              <w:u w:val="none"/>
            </w:rPr>
          </w:pPr>
          <w:hyperlink w:anchor="_4l59eaubt9yw">
            <w:r w:rsidDel="00000000" w:rsidR="00000000" w:rsidRPr="00000000">
              <w:rPr>
                <w:color w:val="000000"/>
                <w:u w:val="none"/>
                <w:rtl w:val="0"/>
              </w:rPr>
              <w:t xml:space="preserve">5.1. Inference Lane: Decision Proposals and TLResult Objects</w:t>
              <w:tab/>
            </w:r>
          </w:hyperlink>
          <w:r w:rsidDel="00000000" w:rsidR="00000000" w:rsidRPr="00000000">
            <w:fldChar w:fldCharType="begin"/>
            <w:instrText xml:space="preserve"> PAGEREF _4l59eaubt9yw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before="60" w:line="240" w:lineRule="auto"/>
            <w:ind w:left="360" w:firstLine="0"/>
            <w:rPr>
              <w:color w:val="000000"/>
              <w:u w:val="none"/>
            </w:rPr>
          </w:pPr>
          <w:hyperlink w:anchor="_b5mnwry2t477">
            <w:r w:rsidDel="00000000" w:rsidR="00000000" w:rsidRPr="00000000">
              <w:rPr>
                <w:color w:val="000000"/>
                <w:u w:val="none"/>
                <w:rtl w:val="0"/>
              </w:rPr>
              <w:t xml:space="preserve">5.2. Governance Lane: Permission Tokens and State Envelopes</w:t>
              <w:tab/>
            </w:r>
          </w:hyperlink>
          <w:r w:rsidDel="00000000" w:rsidR="00000000" w:rsidRPr="00000000">
            <w:fldChar w:fldCharType="begin"/>
            <w:instrText xml:space="preserve"> PAGEREF _b5mnwry2t477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before="60" w:line="240" w:lineRule="auto"/>
            <w:ind w:left="360" w:firstLine="0"/>
            <w:rPr>
              <w:color w:val="000000"/>
              <w:u w:val="none"/>
            </w:rPr>
          </w:pPr>
          <w:hyperlink w:anchor="_5921ccxpjc7f">
            <w:r w:rsidDel="00000000" w:rsidR="00000000" w:rsidRPr="00000000">
              <w:rPr>
                <w:color w:val="000000"/>
                <w:u w:val="none"/>
                <w:rtl w:val="0"/>
              </w:rPr>
              <w:t xml:space="preserve">5.3. Gateway Fail-Closed Behavior and Epistemic Hold Override</w:t>
              <w:tab/>
            </w:r>
          </w:hyperlink>
          <w:r w:rsidDel="00000000" w:rsidR="00000000" w:rsidRPr="00000000">
            <w:fldChar w:fldCharType="begin"/>
            <w:instrText xml:space="preserve"> PAGEREF _5921ccxpjc7f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before="60" w:line="240" w:lineRule="auto"/>
            <w:ind w:left="360" w:firstLine="0"/>
            <w:rPr>
              <w:color w:val="000000"/>
              <w:u w:val="none"/>
            </w:rPr>
          </w:pPr>
          <w:hyperlink w:anchor="_z6vl81xxkqu0">
            <w:r w:rsidDel="00000000" w:rsidR="00000000" w:rsidRPr="00000000">
              <w:rPr>
                <w:color w:val="000000"/>
                <w:u w:val="none"/>
                <w:rtl w:val="0"/>
              </w:rPr>
              <w:t xml:space="preserve">5.4. NL=NA Five-Layer Enforcement Architecture</w:t>
              <w:tab/>
            </w:r>
          </w:hyperlink>
          <w:r w:rsidDel="00000000" w:rsidR="00000000" w:rsidRPr="00000000">
            <w:fldChar w:fldCharType="begin"/>
            <w:instrText xml:space="preserve"> PAGEREF _z6vl81xxkqu0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before="60" w:line="240" w:lineRule="auto"/>
            <w:ind w:left="360" w:firstLine="0"/>
            <w:rPr>
              <w:color w:val="000000"/>
              <w:u w:val="none"/>
            </w:rPr>
          </w:pPr>
          <w:hyperlink w:anchor="_d7xjv1ru0r9j">
            <w:r w:rsidDel="00000000" w:rsidR="00000000" w:rsidRPr="00000000">
              <w:rPr>
                <w:color w:val="000000"/>
                <w:u w:val="none"/>
                <w:rtl w:val="0"/>
              </w:rPr>
              <w:t xml:space="preserve">5.5. Regulatory Nexus: Domain Evaluation Endpoints</w:t>
              <w:tab/>
            </w:r>
          </w:hyperlink>
          <w:r w:rsidDel="00000000" w:rsidR="00000000" w:rsidRPr="00000000">
            <w:fldChar w:fldCharType="begin"/>
            <w:instrText xml:space="preserve"> PAGEREF _d7xjv1ru0r9j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before="60" w:line="240" w:lineRule="auto"/>
            <w:ind w:left="360" w:firstLine="0"/>
            <w:rPr>
              <w:color w:val="000000"/>
              <w:u w:val="none"/>
            </w:rPr>
          </w:pPr>
          <w:hyperlink w:anchor="_rsr4qs8l4ck3">
            <w:r w:rsidDel="00000000" w:rsidR="00000000" w:rsidRPr="00000000">
              <w:rPr>
                <w:color w:val="000000"/>
                <w:u w:val="none"/>
                <w:rtl w:val="0"/>
              </w:rPr>
              <w:t xml:space="preserve">6.1. DITL and Delay-Insensitive Asynchronous Architecture</w:t>
              <w:tab/>
            </w:r>
          </w:hyperlink>
          <w:r w:rsidDel="00000000" w:rsidR="00000000" w:rsidRPr="00000000">
            <w:fldChar w:fldCharType="begin"/>
            <w:instrText xml:space="preserve"> PAGEREF _rsr4qs8l4ck3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before="60" w:line="240" w:lineRule="auto"/>
            <w:ind w:left="360" w:firstLine="0"/>
            <w:rPr>
              <w:color w:val="000000"/>
              <w:u w:val="none"/>
            </w:rPr>
          </w:pPr>
          <w:hyperlink w:anchor="_kstevlibu2se">
            <w:r w:rsidDel="00000000" w:rsidR="00000000" w:rsidRPr="00000000">
              <w:rPr>
                <w:color w:val="000000"/>
                <w:u w:val="none"/>
                <w:rtl w:val="0"/>
              </w:rPr>
              <w:t xml:space="preserve">6.2. MT Memristive Ternary Enforcement Cells</w:t>
              <w:tab/>
            </w:r>
          </w:hyperlink>
          <w:r w:rsidDel="00000000" w:rsidR="00000000" w:rsidRPr="00000000">
            <w:fldChar w:fldCharType="begin"/>
            <w:instrText xml:space="preserve"> PAGEREF _kstevlibu2se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before="60" w:line="240" w:lineRule="auto"/>
            <w:ind w:left="360" w:firstLine="0"/>
            <w:rPr>
              <w:color w:val="000000"/>
              <w:u w:val="none"/>
            </w:rPr>
          </w:pPr>
          <w:hyperlink w:anchor="_8z4io04vt5mb">
            <w:r w:rsidDel="00000000" w:rsidR="00000000" w:rsidRPr="00000000">
              <w:rPr>
                <w:color w:val="000000"/>
                <w:u w:val="none"/>
                <w:rtl w:val="0"/>
              </w:rPr>
              <w:t xml:space="preserve">6.3. Triadic Coprocessor and System Integration</w:t>
              <w:tab/>
            </w:r>
          </w:hyperlink>
          <w:r w:rsidDel="00000000" w:rsidR="00000000" w:rsidRPr="00000000">
            <w:fldChar w:fldCharType="begin"/>
            <w:instrText xml:space="preserve"> PAGEREF _8z4io04vt5mb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before="60" w:line="240" w:lineRule="auto"/>
            <w:ind w:left="360" w:firstLine="0"/>
            <w:rPr>
              <w:color w:val="000000"/>
              <w:u w:val="none"/>
            </w:rPr>
          </w:pPr>
          <w:hyperlink w:anchor="_a3453r50t8k4">
            <w:r w:rsidDel="00000000" w:rsidR="00000000" w:rsidRPr="00000000">
              <w:rPr>
                <w:color w:val="000000"/>
                <w:u w:val="none"/>
                <w:rtl w:val="0"/>
              </w:rPr>
              <w:t xml:space="preserve">7.1. Eight Pillars Survivability Assessment</w:t>
              <w:tab/>
            </w:r>
          </w:hyperlink>
          <w:r w:rsidDel="00000000" w:rsidR="00000000" w:rsidRPr="00000000">
            <w:fldChar w:fldCharType="begin"/>
            <w:instrText xml:space="preserve"> PAGEREF _a3453r50t8k4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before="60" w:line="240" w:lineRule="auto"/>
            <w:ind w:left="360" w:firstLine="0"/>
            <w:rPr>
              <w:color w:val="000000"/>
              <w:u w:val="none"/>
            </w:rPr>
          </w:pPr>
          <w:hyperlink w:anchor="_fz7f8yfeqjhp">
            <w:r w:rsidDel="00000000" w:rsidR="00000000" w:rsidRPr="00000000">
              <w:rPr>
                <w:color w:val="000000"/>
                <w:u w:val="none"/>
                <w:rtl w:val="0"/>
              </w:rPr>
              <w:t xml:space="preserve">7.2. NL=NA Under Adversarial Pressure</w:t>
              <w:tab/>
            </w:r>
          </w:hyperlink>
          <w:r w:rsidDel="00000000" w:rsidR="00000000" w:rsidRPr="00000000">
            <w:fldChar w:fldCharType="begin"/>
            <w:instrText xml:space="preserve"> PAGEREF _fz7f8yfeqjhp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before="60" w:line="240" w:lineRule="auto"/>
            <w:ind w:left="360" w:firstLine="0"/>
            <w:rPr>
              <w:color w:val="000000"/>
              <w:u w:val="none"/>
            </w:rPr>
          </w:pPr>
          <w:hyperlink w:anchor="_a6vyqcn5egsm">
            <w:r w:rsidDel="00000000" w:rsidR="00000000" w:rsidRPr="00000000">
              <w:rPr>
                <w:color w:val="000000"/>
                <w:u w:val="none"/>
                <w:rtl w:val="0"/>
              </w:rPr>
              <w:t xml:space="preserve">7.3. Transitional Emulation Mode</w:t>
              <w:tab/>
            </w:r>
          </w:hyperlink>
          <w:r w:rsidDel="00000000" w:rsidR="00000000" w:rsidRPr="00000000">
            <w:fldChar w:fldCharType="begin"/>
            <w:instrText xml:space="preserve"> PAGEREF _a6vyqcn5egsm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before="60" w:line="240" w:lineRule="auto"/>
            <w:ind w:left="360" w:firstLine="0"/>
            <w:rPr>
              <w:color w:val="000000"/>
              <w:u w:val="none"/>
            </w:rPr>
          </w:pPr>
          <w:hyperlink w:anchor="_2g69idnmft73">
            <w:r w:rsidDel="00000000" w:rsidR="00000000" w:rsidRPr="00000000">
              <w:rPr>
                <w:color w:val="000000"/>
                <w:u w:val="none"/>
                <w:rtl w:val="0"/>
              </w:rPr>
              <w:t xml:space="preserve">7.4. Goukassian Principle Artifacts Under Stress</w:t>
              <w:tab/>
            </w:r>
          </w:hyperlink>
          <w:r w:rsidDel="00000000" w:rsidR="00000000" w:rsidRPr="00000000">
            <w:fldChar w:fldCharType="begin"/>
            <w:instrText xml:space="preserve"> PAGEREF _2g69idnmft73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before="60" w:line="240" w:lineRule="auto"/>
            <w:ind w:left="360" w:firstLine="0"/>
            <w:rPr>
              <w:color w:val="000000"/>
              <w:u w:val="none"/>
            </w:rPr>
          </w:pPr>
          <w:hyperlink w:anchor="_1zw37gb056xr">
            <w:r w:rsidDel="00000000" w:rsidR="00000000" w:rsidRPr="00000000">
              <w:rPr>
                <w:color w:val="000000"/>
                <w:u w:val="none"/>
                <w:rtl w:val="0"/>
              </w:rPr>
              <w:t xml:space="preserve">7.5. Triadic State Integrity and Epistemic Exploitation</w:t>
              <w:tab/>
            </w:r>
          </w:hyperlink>
          <w:r w:rsidDel="00000000" w:rsidR="00000000" w:rsidRPr="00000000">
            <w:fldChar w:fldCharType="begin"/>
            <w:instrText xml:space="preserve"> PAGEREF _1zw37gb056xr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before="60" w:line="240" w:lineRule="auto"/>
            <w:ind w:left="360" w:firstLine="0"/>
            <w:rPr>
              <w:color w:val="000000"/>
              <w:u w:val="none"/>
            </w:rPr>
          </w:pPr>
          <w:hyperlink w:anchor="_kpuq52x35dd">
            <w:r w:rsidDel="00000000" w:rsidR="00000000" w:rsidRPr="00000000">
              <w:rPr>
                <w:color w:val="000000"/>
                <w:u w:val="none"/>
                <w:rtl w:val="0"/>
              </w:rPr>
              <w:t xml:space="preserve">7.6. Root Override and Low-Level Attack Vectors</w:t>
              <w:tab/>
            </w:r>
          </w:hyperlink>
          <w:r w:rsidDel="00000000" w:rsidR="00000000" w:rsidRPr="00000000">
            <w:fldChar w:fldCharType="begin"/>
            <w:instrText xml:space="preserve"> PAGEREF _kpuq52x35dd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before="60" w:line="240" w:lineRule="auto"/>
            <w:ind w:left="360" w:firstLine="0"/>
            <w:rPr>
              <w:color w:val="000000"/>
              <w:u w:val="none"/>
            </w:rPr>
          </w:pPr>
          <w:hyperlink w:anchor="_6jbdorsznuvd">
            <w:r w:rsidDel="00000000" w:rsidR="00000000" w:rsidRPr="00000000">
              <w:rPr>
                <w:color w:val="000000"/>
                <w:u w:val="none"/>
                <w:rtl w:val="0"/>
              </w:rPr>
              <w:t xml:space="preserve">7.7. Governance Capture and Institutional Attack Vectors</w:t>
              <w:tab/>
            </w:r>
          </w:hyperlink>
          <w:r w:rsidDel="00000000" w:rsidR="00000000" w:rsidRPr="00000000">
            <w:fldChar w:fldCharType="begin"/>
            <w:instrText xml:space="preserve"> PAGEREF _6jbdorsznuvd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before="60" w:line="240" w:lineRule="auto"/>
            <w:ind w:left="360" w:firstLine="0"/>
            <w:rPr>
              <w:color w:val="000000"/>
              <w:u w:val="none"/>
            </w:rPr>
          </w:pPr>
          <w:hyperlink w:anchor="_96s2khl4w7i5">
            <w:r w:rsidDel="00000000" w:rsidR="00000000" w:rsidRPr="00000000">
              <w:rPr>
                <w:color w:val="000000"/>
                <w:u w:val="none"/>
                <w:rtl w:val="0"/>
              </w:rPr>
              <w:t xml:space="preserve">8.1. Institutional Economics and Transaction Cost Theory</w:t>
              <w:tab/>
            </w:r>
          </w:hyperlink>
          <w:r w:rsidDel="00000000" w:rsidR="00000000" w:rsidRPr="00000000">
            <w:fldChar w:fldCharType="begin"/>
            <w:instrText xml:space="preserve"> PAGEREF _96s2khl4w7i5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before="60" w:line="240" w:lineRule="auto"/>
            <w:ind w:left="360" w:firstLine="0"/>
            <w:rPr>
              <w:color w:val="000000"/>
              <w:u w:val="none"/>
            </w:rPr>
          </w:pPr>
          <w:hyperlink w:anchor="_v9cx3nz7jkh5">
            <w:r w:rsidDel="00000000" w:rsidR="00000000" w:rsidRPr="00000000">
              <w:rPr>
                <w:color w:val="000000"/>
                <w:u w:val="none"/>
                <w:rtl w:val="0"/>
              </w:rPr>
              <w:t xml:space="preserve">8.2. Game Theory, Regulatory Capture, and Financial Stability</w:t>
              <w:tab/>
            </w:r>
          </w:hyperlink>
          <w:r w:rsidDel="00000000" w:rsidR="00000000" w:rsidRPr="00000000">
            <w:fldChar w:fldCharType="begin"/>
            <w:instrText xml:space="preserve"> PAGEREF _v9cx3nz7jkh5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before="60" w:line="240" w:lineRule="auto"/>
            <w:ind w:left="360" w:firstLine="0"/>
            <w:rPr>
              <w:color w:val="000000"/>
              <w:u w:val="none"/>
            </w:rPr>
          </w:pPr>
          <w:hyperlink w:anchor="_vv7z3kcxcgzm">
            <w:r w:rsidDel="00000000" w:rsidR="00000000" w:rsidRPr="00000000">
              <w:rPr>
                <w:color w:val="000000"/>
                <w:u w:val="none"/>
                <w:rtl w:val="0"/>
              </w:rPr>
              <w:t xml:space="preserve">9.1. Supply Chain and Fabrication Risk</w:t>
              <w:tab/>
            </w:r>
          </w:hyperlink>
          <w:r w:rsidDel="00000000" w:rsidR="00000000" w:rsidRPr="00000000">
            <w:fldChar w:fldCharType="begin"/>
            <w:instrText xml:space="preserve"> PAGEREF _vv7z3kcxcgzm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before="60" w:line="240" w:lineRule="auto"/>
            <w:ind w:left="360" w:firstLine="0"/>
            <w:rPr>
              <w:color w:val="000000"/>
              <w:u w:val="none"/>
            </w:rPr>
          </w:pPr>
          <w:hyperlink w:anchor="_1zk6wiqhzdte">
            <w:r w:rsidDel="00000000" w:rsidR="00000000" w:rsidRPr="00000000">
              <w:rPr>
                <w:color w:val="000000"/>
                <w:u w:val="none"/>
                <w:rtl w:val="0"/>
              </w:rPr>
              <w:t xml:space="preserve">9.2. Post-Compromise Recovery Protocols</w:t>
              <w:tab/>
            </w:r>
          </w:hyperlink>
          <w:r w:rsidDel="00000000" w:rsidR="00000000" w:rsidRPr="00000000">
            <w:fldChar w:fldCharType="begin"/>
            <w:instrText xml:space="preserve"> PAGEREF _1zk6wiqhzdte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before="60" w:line="240" w:lineRule="auto"/>
            <w:ind w:left="360" w:firstLine="0"/>
            <w:rPr>
              <w:color w:val="000000"/>
              <w:u w:val="none"/>
            </w:rPr>
          </w:pPr>
          <w:hyperlink w:anchor="_eu362oa1h9g">
            <w:r w:rsidDel="00000000" w:rsidR="00000000" w:rsidRPr="00000000">
              <w:rPr>
                <w:color w:val="000000"/>
                <w:u w:val="none"/>
                <w:rtl w:val="0"/>
              </w:rPr>
              <w:t xml:space="preserve">9.3. Cryptographic Longevity and Quantum Threats</w:t>
              <w:tab/>
            </w:r>
          </w:hyperlink>
          <w:r w:rsidDel="00000000" w:rsidR="00000000" w:rsidRPr="00000000">
            <w:fldChar w:fldCharType="begin"/>
            <w:instrText xml:space="preserve"> PAGEREF _eu362oa1h9g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before="60" w:line="240" w:lineRule="auto"/>
            <w:ind w:left="360" w:firstLine="0"/>
            <w:rPr>
              <w:color w:val="000000"/>
              <w:u w:val="none"/>
            </w:rPr>
          </w:pPr>
          <w:hyperlink w:anchor="_rq6mxkas57l">
            <w:r w:rsidDel="00000000" w:rsidR="00000000" w:rsidRPr="00000000">
              <w:rPr>
                <w:color w:val="000000"/>
                <w:u w:val="none"/>
                <w:rtl w:val="0"/>
              </w:rPr>
              <w:t xml:space="preserve">9.4. Economic and Political Pressure</w:t>
              <w:tab/>
            </w:r>
          </w:hyperlink>
          <w:r w:rsidDel="00000000" w:rsidR="00000000" w:rsidRPr="00000000">
            <w:fldChar w:fldCharType="begin"/>
            <w:instrText xml:space="preserve"> PAGEREF _rq6mxkas57l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before="60" w:line="240" w:lineRule="auto"/>
            <w:ind w:left="360" w:firstLine="0"/>
            <w:rPr>
              <w:color w:val="000000"/>
              <w:u w:val="none"/>
            </w:rPr>
          </w:pPr>
          <w:hyperlink w:anchor="_valwyi1jup8c">
            <w:r w:rsidDel="00000000" w:rsidR="00000000" w:rsidRPr="00000000">
              <w:rPr>
                <w:color w:val="000000"/>
                <w:u w:val="none"/>
                <w:rtl w:val="0"/>
              </w:rPr>
              <w:t xml:space="preserve">10.1. Glossary of Terms</w:t>
              <w:tab/>
            </w:r>
          </w:hyperlink>
          <w:r w:rsidDel="00000000" w:rsidR="00000000" w:rsidRPr="00000000">
            <w:fldChar w:fldCharType="begin"/>
            <w:instrText xml:space="preserve"> PAGEREF _valwyi1jup8c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before="60" w:line="240" w:lineRule="auto"/>
            <w:ind w:left="360" w:firstLine="0"/>
            <w:rPr>
              <w:color w:val="000000"/>
              <w:u w:val="none"/>
            </w:rPr>
          </w:pPr>
          <w:hyperlink w:anchor="_gn5yq0133snr">
            <w:r w:rsidDel="00000000" w:rsidR="00000000" w:rsidRPr="00000000">
              <w:rPr>
                <w:color w:val="000000"/>
                <w:u w:val="none"/>
                <w:rtl w:val="0"/>
              </w:rPr>
              <w:t xml:space="preserve">10.2. Citation Index and Source Registry</w:t>
              <w:tab/>
            </w:r>
          </w:hyperlink>
          <w:r w:rsidDel="00000000" w:rsidR="00000000" w:rsidRPr="00000000">
            <w:fldChar w:fldCharType="begin"/>
            <w:instrText xml:space="preserve"> PAGEREF _gn5yq0133snr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before="60" w:line="240" w:lineRule="auto"/>
            <w:ind w:left="360" w:firstLine="0"/>
            <w:rPr>
              <w:color w:val="000000"/>
              <w:u w:val="none"/>
            </w:rPr>
          </w:pPr>
          <w:hyperlink w:anchor="_ljf8czt0fo9f">
            <w:r w:rsidDel="00000000" w:rsidR="00000000" w:rsidRPr="00000000">
              <w:rPr>
                <w:color w:val="000000"/>
                <w:u w:val="none"/>
                <w:rtl w:val="0"/>
              </w:rPr>
              <w:t xml:space="preserve">10.3. Constitutional Uncertainty Register</w:t>
              <w:tab/>
            </w:r>
          </w:hyperlink>
          <w:r w:rsidDel="00000000" w:rsidR="00000000" w:rsidRPr="00000000">
            <w:fldChar w:fldCharType="begin"/>
            <w:instrText xml:space="preserve"> PAGEREF _ljf8czt0fo9f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360"/>
            </w:tabs>
            <w:spacing w:before="60" w:line="240" w:lineRule="auto"/>
            <w:ind w:left="360" w:firstLine="0"/>
            <w:rPr>
              <w:color w:val="000000"/>
              <w:u w:val="none"/>
            </w:rPr>
          </w:pPr>
          <w:hyperlink w:anchor="_545zbl47pclo">
            <w:r w:rsidDel="00000000" w:rsidR="00000000" w:rsidRPr="00000000">
              <w:rPr>
                <w:color w:val="000000"/>
                <w:u w:val="none"/>
                <w:rtl w:val="0"/>
              </w:rPr>
              <w:t xml:space="preserve">10.4. Succession Declaration and Open Source License</w:t>
              <w:tab/>
            </w:r>
          </w:hyperlink>
          <w:r w:rsidDel="00000000" w:rsidR="00000000" w:rsidRPr="00000000">
            <w:fldChar w:fldCharType="begin"/>
            <w:instrText xml:space="preserve"> PAGEREF _545zbl47pclo \h </w:instrText>
            <w:fldChar w:fldCharType="separate"/>
          </w:r>
          <w:r w:rsidDel="00000000" w:rsidR="00000000" w:rsidRPr="00000000">
            <w:rPr>
              <w:rtl w:val="0"/>
            </w:rPr>
            <w:t xml:space="preserve">141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r0q8vaaeldg8" w:id="16"/>
      <w:bookmarkEnd w:id="16"/>
      <w:r w:rsidDel="00000000" w:rsidR="00000000" w:rsidRPr="00000000">
        <w:rPr>
          <w:rtl w:val="0"/>
        </w:rPr>
        <w:t xml:space="preserve">2.1. The Goukassian Vow as Foundational Architecture</w:t>
      </w:r>
    </w:p>
    <w:p w:rsidR="00000000" w:rsidDel="00000000" w:rsidP="00000000" w:rsidRDefault="00000000" w:rsidRPr="00000000" w14:paraId="00000092">
      <w:pPr>
        <w:rPr/>
      </w:pPr>
      <w:r w:rsidDel="00000000" w:rsidR="00000000" w:rsidRPr="00000000">
        <w:rPr>
          <w:rtl w:val="0"/>
        </w:rPr>
        <w:t xml:space="preserve">The Goukassian Vow is the constitutional bedrock of Ternary Logic. Its text is immutable: "Pause when truth is uncertain. Refuse when harm is clear. Proceed </w:t>
      </w:r>
      <w:r w:rsidDel="00000000" w:rsidR="00000000" w:rsidRPr="00000000">
        <w:rPr>
          <w:rtl w:val="0"/>
        </w:rPr>
        <w:t xml:space="preserve">where truth</w:t>
      </w:r>
      <w:r w:rsidDel="00000000" w:rsidR="00000000" w:rsidRPr="00000000">
        <w:rPr>
          <w:rtl w:val="0"/>
        </w:rPr>
        <w:t xml:space="preserve"> is." [</w:t>
      </w:r>
      <w:hyperlink r:id="rId20">
        <w:r w:rsidDel="00000000" w:rsidR="00000000" w:rsidRPr="00000000">
          <w:rPr>
            <w:color w:val="1155cc"/>
            <w:u w:val="single"/>
            <w:rtl w:val="0"/>
          </w:rPr>
          <w:t xml:space="preserve">1</w:t>
        </w:r>
      </w:hyperlink>
      <w:r w:rsidDel="00000000" w:rsidR="00000000" w:rsidRPr="00000000">
        <w:rPr>
          <w:rtl w:val="0"/>
        </w:rPr>
        <w:t xml:space="preserve">] These three mandates do not function as optional ethical guidance. They operate as binding architectural law. Every component of the TL framework, from hardware gates to governance councils, derives its authority and structure from this tripartite covenant.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Vow establishes that governance is not a post-hoc audit layer applied after decisions execute. It is a pre-execution veto mechanism. Binary systems propose actions based on pattern recognition and statistical optimization. TL evaluates whether those proposals satisfy the Vow before any execution occurs. [</w:t>
      </w:r>
      <w:hyperlink r:id="rId21">
        <w:r w:rsidDel="00000000" w:rsidR="00000000" w:rsidRPr="00000000">
          <w:rPr>
            <w:color w:val="1155cc"/>
            <w:u w:val="single"/>
            <w:rtl w:val="0"/>
          </w:rPr>
          <w:t xml:space="preserve">1</w:t>
        </w:r>
      </w:hyperlink>
      <w:r w:rsidDel="00000000" w:rsidR="00000000" w:rsidRPr="00000000">
        <w:rPr>
          <w:rtl w:val="0"/>
        </w:rPr>
        <w:t xml:space="preserve">] This is the essence of the Dual-Lane Architecture. Binary proposes. TL dictates.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Each mandate of the Vow maps directly to one of the three economic decision states. "Proceed where truth is" maps to Proceed (+1). "Refuse when harm is clear" maps to Refuse (-1). "Pause when truth is uncertain" maps to Epistemic Hold (0). [</w:t>
      </w:r>
      <w:hyperlink r:id="rId22">
        <w:r w:rsidDel="00000000" w:rsidR="00000000" w:rsidRPr="00000000">
          <w:rPr>
            <w:color w:val="1155cc"/>
            <w:u w:val="single"/>
            <w:rtl w:val="0"/>
          </w:rPr>
          <w:t xml:space="preserve">1</w:t>
        </w:r>
      </w:hyperlink>
      <w:r w:rsidDel="00000000" w:rsidR="00000000" w:rsidRPr="00000000">
        <w:rPr>
          <w:rtl w:val="0"/>
        </w:rPr>
        <w:t xml:space="preserve">] The 0 state is never an error, null, timeout, or retry condition. It is a first-class determination that truth has not yet been established. The Sacred Pause is the process and mechanism that activates when the system enters this state. It is the operational embodiment of the Vow's first mandate.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From the Vow, the Eight Pillars of TL governance emerge. These are Epistemic Hold, Immutable Ledger, Goukassian Principle, Decision Logs, Economic Rights and Transparency Mandate, Sustainable Capital Allocation Mandate, Hybrid Shield, and Anchors. [</w:t>
      </w:r>
      <w:hyperlink r:id="rId23">
        <w:r w:rsidDel="00000000" w:rsidR="00000000" w:rsidRPr="00000000">
          <w:rPr>
            <w:color w:val="1155cc"/>
            <w:u w:val="single"/>
            <w:rtl w:val="0"/>
          </w:rPr>
          <w:t xml:space="preserve">1</w:t>
        </w:r>
      </w:hyperlink>
      <w:r w:rsidDel="00000000" w:rsidR="00000000" w:rsidRPr="00000000">
        <w:rPr>
          <w:rtl w:val="0"/>
        </w:rPr>
        <w:t xml:space="preserve">] Each Pillar exists to ensure that the Vow is not merely declared but physically and institutionally enforced. The Immutable Ledger guarantees that every decision is recorded in a tamper-evident format. Decision Logs provide the evidentiary substrate required for regulatory defensibility. The Economic Rights and Transparency Mandate ensures that affected parties retain access to the reasoning behind any Proceed or Refuse determination.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Goukassian Principle, embedded as Pillar 3, institutionalizes the Vow at the protocol level. It mandates that no economic action may execute without a complete, schema-validated, cryptographically sealed Decision Log. [</w:t>
      </w:r>
      <w:hyperlink r:id="rId24">
        <w:r w:rsidDel="00000000" w:rsidR="00000000" w:rsidRPr="00000000">
          <w:rPr>
            <w:color w:val="1155cc"/>
            <w:u w:val="single"/>
            <w:rtl w:val="0"/>
          </w:rPr>
          <w:t xml:space="preserve">2</w:t>
        </w:r>
      </w:hyperlink>
      <w:r w:rsidDel="00000000" w:rsidR="00000000" w:rsidRPr="00000000">
        <w:rPr>
          <w:rtl w:val="0"/>
        </w:rPr>
        <w:t xml:space="preserve">] This is the logical precursor to NL=NA. If the Vow is the constitutional command, the Goukassian Principle is the engineering specification that makes it computable.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Vow also establishes the moral and logical foundation for the Tri-Cameral Governance Model. The Technical Council, Stewardship Custodians, and Smart Contract Treasury each derive their authority from a specific mandate of the Vow. [</w:t>
      </w:r>
      <w:hyperlink r:id="rId25">
        <w:r w:rsidDel="00000000" w:rsidR="00000000" w:rsidRPr="00000000">
          <w:rPr>
            <w:color w:val="1155cc"/>
            <w:u w:val="single"/>
            <w:rtl w:val="0"/>
          </w:rPr>
          <w:t xml:space="preserve">3</w:t>
        </w:r>
      </w:hyperlink>
      <w:r w:rsidDel="00000000" w:rsidR="00000000" w:rsidRPr="00000000">
        <w:rPr>
          <w:rtl w:val="0"/>
        </w:rPr>
        <w:t xml:space="preserve">] The Technical Council ensures that truth is established before Proceed is issued. The Stewardship Custodians evaluate whether harm is clear and execute Refuse when necessary. The Smart Contract Treasury manages the resources and incentives that keep the system operational during Epistemic Hold. No single chamber can override the Vow. All three must operate in consensus for any state transition to occur.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Because the Vow is architectural law, it is not subject to configuration, parameter tuning, or institutional override. A central bank cannot tune the Vow to approve emergency liquidity injections without evidentiary validation. A trading firm cannot configure the Vow to ignore Epistemic Hold during volatile market conditions. [</w:t>
      </w:r>
      <w:hyperlink r:id="rId26">
        <w:r w:rsidDel="00000000" w:rsidR="00000000" w:rsidRPr="00000000">
          <w:rPr>
            <w:color w:val="1155cc"/>
            <w:u w:val="single"/>
            <w:rtl w:val="0"/>
          </w:rPr>
          <w:t xml:space="preserve">2</w:t>
        </w:r>
      </w:hyperlink>
      <w:r w:rsidDel="00000000" w:rsidR="00000000" w:rsidRPr="00000000">
        <w:rPr>
          <w:rtl w:val="0"/>
        </w:rPr>
        <w:t xml:space="preserve">] The Vow is the fixed point around which all economic governance rotates. It is the axiom that makes TL a constitutional framework rather than a compliance tool.</w:t>
      </w:r>
    </w:p>
    <w:p w:rsidR="00000000" w:rsidDel="00000000" w:rsidP="00000000" w:rsidRDefault="00000000" w:rsidRPr="00000000" w14:paraId="0000009F">
      <w:pPr>
        <w:pStyle w:val="Heading2"/>
        <w:rPr/>
      </w:pPr>
      <w:bookmarkStart w:colFirst="0" w:colLast="0" w:name="_81of2eq2ykl8" w:id="17"/>
      <w:bookmarkEnd w:id="17"/>
      <w:r w:rsidDel="00000000" w:rsidR="00000000" w:rsidRPr="00000000">
        <w:rPr>
          <w:rtl w:val="0"/>
        </w:rPr>
        <w:t xml:space="preserve">2.2. Dual-Lane Architecture: Binary and Ternary in Parallel</w:t>
      </w:r>
    </w:p>
    <w:p w:rsidR="00000000" w:rsidDel="00000000" w:rsidP="00000000" w:rsidRDefault="00000000" w:rsidRPr="00000000" w14:paraId="000000A0">
      <w:pPr>
        <w:rPr/>
      </w:pPr>
      <w:r w:rsidDel="00000000" w:rsidR="00000000" w:rsidRPr="00000000">
        <w:rPr>
          <w:rtl w:val="0"/>
        </w:rPr>
        <w:t xml:space="preserve">Ternary Logic does not replace binary computation. This is the foundational architectural fact that governs every design decision in the TL framework. Binary inference engines provide speed, pattern recognition, and statistical throughput. They are optimized for velocity and volume. TL operates as a sovereign governance coprocessor in parallel. It is optimized for evidentiary verification, constitutional compliance, and immutable accountability. [</w:t>
      </w:r>
      <w:hyperlink r:id="rId27">
        <w:r w:rsidDel="00000000" w:rsidR="00000000" w:rsidRPr="00000000">
          <w:rPr>
            <w:color w:val="1155cc"/>
            <w:u w:val="single"/>
            <w:rtl w:val="0"/>
          </w:rPr>
          <w:t xml:space="preserve">1</w:t>
        </w:r>
      </w:hyperlink>
      <w:r w:rsidDel="00000000" w:rsidR="00000000" w:rsidRPr="00000000">
        <w:rPr>
          <w:rtl w:val="0"/>
        </w:rPr>
        <w:t xml:space="preserve">] The two lanes are physically and logically separated. They never merge into a single execution path. Binary proposes. TL dictates whether the proposal crosses the execution threshold.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Inference Lane is the binary domain. It contains the statistical models, pattern recognition engines, optimization algorithms, and data pipelines that generate economic proposals. A high-frequency trading algorithm that detects an arbitrage opportunity, a central bank model that forecasts liquidity stress, or a supply chain optimizer that recommends a rerouting decision, all operate within the Inference Lane. [</w:t>
      </w:r>
      <w:hyperlink r:id="rId28">
        <w:r w:rsidDel="00000000" w:rsidR="00000000" w:rsidRPr="00000000">
          <w:rPr>
            <w:color w:val="1155cc"/>
            <w:u w:val="single"/>
            <w:rtl w:val="0"/>
          </w:rPr>
          <w:t xml:space="preserve">2</w:t>
        </w:r>
      </w:hyperlink>
      <w:r w:rsidDel="00000000" w:rsidR="00000000" w:rsidRPr="00000000">
        <w:rPr>
          <w:rtl w:val="0"/>
        </w:rPr>
        <w:t xml:space="preserve">] This lane is designed for computational speed. It processes terabytes of market data, sovereign debt indicators, trade flow metrics, and institutional balance sheets in milliseconds. Its output is a proposal, not an action. It recommends but cannot execute.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Governance Lane is the ternary domain. It contains the constitutional logic, the Goukassian Vow, the Eight Pillars, and the evidentiary verification protocols. Every proposal that emerges from the Inference Lane must pass through the Governance Lane before it reaches the execution threshold. [</w:t>
      </w:r>
      <w:hyperlink r:id="rId29">
        <w:r w:rsidDel="00000000" w:rsidR="00000000" w:rsidRPr="00000000">
          <w:rPr>
            <w:color w:val="1155cc"/>
            <w:u w:val="single"/>
            <w:rtl w:val="0"/>
          </w:rPr>
          <w:t xml:space="preserve">1</w:t>
        </w:r>
      </w:hyperlink>
      <w:r w:rsidDel="00000000" w:rsidR="00000000" w:rsidRPr="00000000">
        <w:rPr>
          <w:rtl w:val="0"/>
        </w:rPr>
        <w:t xml:space="preserve">] The Governance Lane evaluates the proposal against three questions. Does the proposal have a complete, schema-validated Decision Log? Does the proposal violate any Refuse condition under the Goukassian Vow? Is there sufficient evidentiary certainty to issue Proceed, or does the uncertainty mandate Epistemic Hold? These questions are not heuristic checks. They are constitutional gates.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Gateway is the physical junction where both lanes converge. It is fail-closed by design. In its default state, the Gateway blocks all execution. It opens only when the Governance Lane issues a valid Permission Token. [</w:t>
      </w:r>
      <w:hyperlink r:id="rId30">
        <w:r w:rsidDel="00000000" w:rsidR="00000000" w:rsidRPr="00000000">
          <w:rPr>
            <w:color w:val="1155cc"/>
            <w:u w:val="single"/>
            <w:rtl w:val="0"/>
          </w:rPr>
          <w:t xml:space="preserve">1</w:t>
        </w:r>
      </w:hyperlink>
      <w:r w:rsidDel="00000000" w:rsidR="00000000" w:rsidRPr="00000000">
        <w:rPr>
          <w:rtl w:val="0"/>
        </w:rPr>
        <w:t xml:space="preserve">] The Permission Token is not a simple boolean flag. It is a cryptographically signed, schema-validated, timestamped object that contains the full Decision Log, the triadic state determination, and the evidentiary hash chain. Without this token, the Gateway remains closed. The binary proposal dies at the junction. This is the hardware-enforced realization of NL=NA. No Log equals No Action, and No Token equals No Opening.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physical separation is reinforced by the hardware substrate. Delay-Insensitive Ternary Logic (DITL) and Mandated Ternary (MT) memristive cells operate in the Governance Lane. These components physically prevent execution during Epistemic Hold by maintaining the intermediate resistance state until a verified confirm pulse arrives from the logging lane. [</w:t>
      </w:r>
      <w:hyperlink r:id="rId31">
        <w:r w:rsidDel="00000000" w:rsidR="00000000" w:rsidRPr="00000000">
          <w:rPr>
            <w:color w:val="1155cc"/>
            <w:u w:val="single"/>
            <w:rtl w:val="0"/>
          </w:rPr>
          <w:t xml:space="preserve">4</w:t>
        </w:r>
      </w:hyperlink>
      <w:r w:rsidDel="00000000" w:rsidR="00000000" w:rsidRPr="00000000">
        <w:rPr>
          <w:rtl w:val="0"/>
        </w:rPr>
        <w:t xml:space="preserve">] The binary lane cannot bypass this physical constraint. Even if a rogue process in the Inference Lane attempts to force execution, the MT gate will not transition to Proceed without the cryptographic signature from the Governance Lane. The hardware makes the architectural separation tamper-evident and tamper-resistant.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Tri-Cameral Governance Model distributes oversight across both lanes. The Technical Council monitors the health and calibration of the Inference Lane. It ensures that binary models remain statistically sound and that data pipelines are free from contamination. The Stewardship Custodians oversee the Governance Lane. They validate that every Permission Token adheres to the Goukassian Vow and that no constitutional gate is bypassed. [</w:t>
      </w:r>
      <w:hyperlink r:id="rId32">
        <w:r w:rsidDel="00000000" w:rsidR="00000000" w:rsidRPr="00000000">
          <w:rPr>
            <w:color w:val="1155cc"/>
            <w:u w:val="single"/>
            <w:rtl w:val="0"/>
          </w:rPr>
          <w:t xml:space="preserve">3</w:t>
        </w:r>
      </w:hyperlink>
      <w:r w:rsidDel="00000000" w:rsidR="00000000" w:rsidRPr="00000000">
        <w:rPr>
          <w:rtl w:val="0"/>
        </w:rPr>
        <w:t xml:space="preserve">] The Smart Contract Treasury provides the economic incentives and resource allocation that keep both lanes operational. It ensures that the Governance Lane is never starved of computational resources during high-volume market stress, preventing a de facto bypass of governance through resource exhaustion.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Dual-Lane Architecture resolves the fundamental tension in automated economic governance. Binary systems are necessary for scale. They process the volume of transactions, trades, and settlements that drive global markets. But binary systems are not designed for constitutional judgment. They optimize for expected value, statistical significance, and throughput. They do not ask whether a proposal is right, only whether it is probable. [</w:t>
      </w:r>
      <w:hyperlink r:id="rId33">
        <w:r w:rsidDel="00000000" w:rsidR="00000000" w:rsidRPr="00000000">
          <w:rPr>
            <w:color w:val="1155cc"/>
            <w:u w:val="single"/>
            <w:rtl w:val="0"/>
          </w:rPr>
          <w:t xml:space="preserve">2</w:t>
        </w:r>
      </w:hyperlink>
      <w:r w:rsidDel="00000000" w:rsidR="00000000" w:rsidRPr="00000000">
        <w:rPr>
          <w:rtl w:val="0"/>
        </w:rPr>
        <w:t xml:space="preserve">] TL asks the constitutional question. It evaluates whether the proposal should happen, not merely whether it can happen. By keeping these two functions in parallel but separated lanes, the framework ensures that speed never overrides sovereignty and that governance never becomes a bottleneck that is bypassed in emergencies.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architecture also provides the evidentiary foundation for regulatory defensibility. When a regulator audits a financial institution, they can trace every executed action back to its binary proposal, its ternary evaluation, its Permission Token, and its Decision Log. [</w:t>
      </w:r>
      <w:hyperlink r:id="rId34">
        <w:r w:rsidDel="00000000" w:rsidR="00000000" w:rsidRPr="00000000">
          <w:rPr>
            <w:color w:val="1155cc"/>
            <w:u w:val="single"/>
            <w:rtl w:val="0"/>
          </w:rPr>
          <w:t xml:space="preserve">1</w:t>
        </w:r>
      </w:hyperlink>
      <w:r w:rsidDel="00000000" w:rsidR="00000000" w:rsidRPr="00000000">
        <w:rPr>
          <w:rtl w:val="0"/>
        </w:rPr>
        <w:t xml:space="preserve">] The separation is not merely logical. It is cryptographic. The two lanes sign each other's outputs. The Inference Lane signs its proposal with a hardware-bound key. The Governance Lane signs its Permission Token with a separate, quorum-protected key. The Gateway verifies both signatures before opening. Any attempt to forge, replay, or modify either lane's output is cryptographically detectable.</w:t>
      </w:r>
    </w:p>
    <w:p w:rsidR="00000000" w:rsidDel="00000000" w:rsidP="00000000" w:rsidRDefault="00000000" w:rsidRPr="00000000" w14:paraId="000000AF">
      <w:pPr>
        <w:pStyle w:val="Heading2"/>
        <w:rPr/>
      </w:pPr>
      <w:bookmarkStart w:colFirst="0" w:colLast="0" w:name="_i5abgu2ixm06" w:id="18"/>
      <w:bookmarkEnd w:id="18"/>
      <w:r w:rsidDel="00000000" w:rsidR="00000000" w:rsidRPr="00000000">
        <w:rPr>
          <w:rtl w:val="0"/>
        </w:rPr>
        <w:t xml:space="preserve">2.3. The Three Economic Decision States: Proceed, Refuse, Epistemic Hold</w:t>
      </w:r>
    </w:p>
    <w:p w:rsidR="00000000" w:rsidDel="00000000" w:rsidP="00000000" w:rsidRDefault="00000000" w:rsidRPr="00000000" w14:paraId="000000B0">
      <w:pPr>
        <w:rPr/>
      </w:pPr>
      <w:r w:rsidDel="00000000" w:rsidR="00000000" w:rsidRPr="00000000">
        <w:rPr>
          <w:rtl w:val="0"/>
        </w:rPr>
        <w:t xml:space="preserve">Ternary Logic operates with a complete decision alphabet of three states. These are Proceed (+1), Refuse (-1), and Epistemic Hold (0). [</w:t>
      </w:r>
      <w:hyperlink r:id="rId35">
        <w:r w:rsidDel="00000000" w:rsidR="00000000" w:rsidRPr="00000000">
          <w:rPr>
            <w:color w:val="1155cc"/>
            <w:u w:val="single"/>
            <w:rtl w:val="0"/>
          </w:rPr>
          <w:t xml:space="preserve">1</w:t>
        </w:r>
      </w:hyperlink>
      <w:r w:rsidDel="00000000" w:rsidR="00000000" w:rsidRPr="00000000">
        <w:rPr>
          <w:rtl w:val="0"/>
        </w:rPr>
        <w:t xml:space="preserve">] No economic action within the TL framework may resolve to any state outside this triad. The system does not output probabilistic confidence scores, risk-adjusted recommendations, or graded advisories. It issues constitutional determinations. Every proposal that enters the Governance Lane must exit as one of these three states, and only one. The Gateway recognizes no intermediate or ambiguous signals.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Proceed (+1) is the authorization state. It signifies that the Governance Lane has verified sufficient evidentiary certainty, that no Refuse condition has been triggered, and that the proposal satisfies the Goukassian Vow. [</w:t>
      </w:r>
      <w:hyperlink r:id="rId36">
        <w:r w:rsidDel="00000000" w:rsidR="00000000" w:rsidRPr="00000000">
          <w:rPr>
            <w:color w:val="1155cc"/>
            <w:u w:val="single"/>
            <w:rtl w:val="0"/>
          </w:rPr>
          <w:t xml:space="preserve">1</w:t>
        </w:r>
      </w:hyperlink>
      <w:r w:rsidDel="00000000" w:rsidR="00000000" w:rsidRPr="00000000">
        <w:rPr>
          <w:rtl w:val="0"/>
        </w:rPr>
        <w:t xml:space="preserve">] A Proceed determination is not a prediction of success. It is a certification that the decision to act is defensible under the constitutional framework. The Permission Token issued alongside Proceed contains the complete Decision Log, the evidentiary hash chain, the schema validation checksum, and the timestamped signatures from the relevant governance chambers. [</w:t>
      </w:r>
      <w:hyperlink r:id="rId37">
        <w:r w:rsidDel="00000000" w:rsidR="00000000" w:rsidRPr="00000000">
          <w:rPr>
            <w:color w:val="1155cc"/>
            <w:u w:val="single"/>
            <w:rtl w:val="0"/>
          </w:rPr>
          <w:t xml:space="preserve">2</w:t>
        </w:r>
      </w:hyperlink>
      <w:r w:rsidDel="00000000" w:rsidR="00000000" w:rsidRPr="00000000">
        <w:rPr>
          <w:rtl w:val="0"/>
        </w:rPr>
        <w:t xml:space="preserve">] Without this token, Proceed is not actionable. The Gateway will not open.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Refuse (-1) is the prohibition state. It signifies that the proposal has violated a constitutional boundary, triggered a harm condition under the Goukassian Vow, or failed a mandatory evidentiary test. [</w:t>
      </w:r>
      <w:hyperlink r:id="rId38">
        <w:r w:rsidDel="00000000" w:rsidR="00000000" w:rsidRPr="00000000">
          <w:rPr>
            <w:color w:val="1155cc"/>
            <w:u w:val="single"/>
            <w:rtl w:val="0"/>
          </w:rPr>
          <w:t xml:space="preserve">1</w:t>
        </w:r>
      </w:hyperlink>
      <w:r w:rsidDel="00000000" w:rsidR="00000000" w:rsidRPr="00000000">
        <w:rPr>
          <w:rtl w:val="0"/>
        </w:rPr>
        <w:t xml:space="preserve">] Refuse is absolute. It is not a suggestion to reconsider, a lowered priority flag, or a conditional veto. It is a binding constitutional block. When the Governance Lane issues Refuse, the Gateway enters a locked state. The proposal is permanently barred from execution unless an entirely new evidentiary submission is processed through the full Governance Lane. The Decision Log for a Refuse determination must document the specific constitutional gate that was violated, the evidentiary basis for that violation, and the chamber signatures that validated the determination. [</w:t>
      </w:r>
      <w:hyperlink r:id="rId39">
        <w:r w:rsidDel="00000000" w:rsidR="00000000" w:rsidRPr="00000000">
          <w:rPr>
            <w:color w:val="1155cc"/>
            <w:u w:val="single"/>
            <w:rtl w:val="0"/>
          </w:rPr>
          <w:t xml:space="preserve">2</w:t>
        </w:r>
      </w:hyperlink>
      <w:r w:rsidDel="00000000" w:rsidR="00000000" w:rsidRPr="00000000">
        <w:rPr>
          <w:rtl w:val="0"/>
        </w:rPr>
        <w:t xml:space="preserve">] This documentation is essential for regulatory defensibility and for preventing semantic drift in the boundary definitions over time.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Epistemic Hold (0) is the hesitation state. It is the most consequential and most misunderstood of the three determinations. Epistemic Hold is never an error, null, timeout, retry, or system malfunction. It is a first-class constitutional determination that truth has not yet been established. [</w:t>
      </w:r>
      <w:hyperlink r:id="rId40">
        <w:r w:rsidDel="00000000" w:rsidR="00000000" w:rsidRPr="00000000">
          <w:rPr>
            <w:color w:val="1155cc"/>
            <w:u w:val="single"/>
            <w:rtl w:val="0"/>
          </w:rPr>
          <w:t xml:space="preserve">1</w:t>
        </w:r>
      </w:hyperlink>
      <w:r w:rsidDel="00000000" w:rsidR="00000000" w:rsidRPr="00000000">
        <w:rPr>
          <w:rtl w:val="0"/>
        </w:rPr>
        <w:t xml:space="preserve">] When the Governance Lane issues Epistemic Hold, it is stating that the available evidence is insufficient to support Proceed and that no harm condition has been detected to trigger Refuse. The proposal exists in a state of deliberate suspension. The Sacred Pause is the process and mechanism that activates when the system enters Epistemic Hold. It is the operational embodiment of the Vow's first mandate: pause when truth is uncertain.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Sacred Pause initiates a structured evidentiary resolution protocol. The proposal remains in the Governance Lane. Additional data sources are queried. The Tri-Cameral Governance chambers are notified. The Technical Council may request supplementary model validation. The Stewardship Custodians may escalate the matter to human oversight if the uncertainty persists beyond configurable constitutional thresholds. [</w:t>
      </w:r>
      <w:hyperlink r:id="rId41">
        <w:r w:rsidDel="00000000" w:rsidR="00000000" w:rsidRPr="00000000">
          <w:rPr>
            <w:color w:val="1155cc"/>
            <w:u w:val="single"/>
            <w:rtl w:val="0"/>
          </w:rPr>
          <w:t xml:space="preserve">3</w:t>
        </w:r>
      </w:hyperlink>
      <w:r w:rsidDel="00000000" w:rsidR="00000000" w:rsidRPr="00000000">
        <w:rPr>
          <w:rtl w:val="0"/>
        </w:rPr>
        <w:t xml:space="preserve">] Throughout this process, the Gateway remains closed. The hardware substrate enforces this closure physically.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Mandated Ternary (MT) memristive cells in the hardware layer physically prevent execution during Epistemic Hold. The intermediate resistance state of the memristor corresponds exactly to the 0 determination. The gate will not transition to the low-resistance state that would permit Proceed until a verified confirm pulse arrives from the logging lane. [</w:t>
      </w:r>
      <w:hyperlink r:id="rId42">
        <w:r w:rsidDel="00000000" w:rsidR="00000000" w:rsidRPr="00000000">
          <w:rPr>
            <w:color w:val="1155cc"/>
            <w:u w:val="single"/>
            <w:rtl w:val="0"/>
          </w:rPr>
          <w:t xml:space="preserve">4</w:t>
        </w:r>
      </w:hyperlink>
      <w:r w:rsidDel="00000000" w:rsidR="00000000" w:rsidRPr="00000000">
        <w:rPr>
          <w:rtl w:val="0"/>
        </w:rPr>
        <w:t xml:space="preserve">] Similarly, the gate will not transition to the high-resistance Refuse state unless the Governance Lane explicitly issues the cryptographic signature for that determination. The physical substrate makes Epistemic Hold a hardware-enforced pause, not a software flag that could be overridden by a privileged process or emergency routine.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 macroeconomic practice, these three states govern decisions of enormous consequence. A central bank algorithmic liquidity injection proposal might receive Proceed if the Decision Log contains verified stress-test evidence, sovereign debt sustainability metrics, and cross-border regulatory alignment checks. [</w:t>
      </w:r>
      <w:hyperlink r:id="rId43">
        <w:r w:rsidDel="00000000" w:rsidR="00000000" w:rsidRPr="00000000">
          <w:rPr>
            <w:color w:val="1155cc"/>
            <w:u w:val="single"/>
            <w:rtl w:val="0"/>
          </w:rPr>
          <w:t xml:space="preserve">2</w:t>
        </w:r>
      </w:hyperlink>
      <w:r w:rsidDel="00000000" w:rsidR="00000000" w:rsidRPr="00000000">
        <w:rPr>
          <w:rtl w:val="0"/>
        </w:rPr>
        <w:t xml:space="preserve">] The same proposal might receive Refuse if the Governance Lane detects that the injection would violate Basel III leverage ratio requirements or trigger a currency manipulation designation under international trade law. The proposal would receive Epistemic Hold if a critical data feed from a sovereign debt market is delayed, if a counterparty's collateral status cannot be cryptographically verified, or if a new regulatory bulletin has been issued but not yet incorporated into the constitutional schema. [</w:t>
      </w:r>
      <w:hyperlink r:id="rId4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triadic architecture prevents the binary fallacy that every proposal must either succeed or fail. In high-stakes economic governance, the correct response to uncertainty is often suspension. A trading algorithm that cannot verify the authenticity of a market-moving sovereign announcement should not execute on probability. It should enter Epistemic Hold until the Sacred Pause resolves the evidentiary gap. [</w:t>
      </w:r>
      <w:hyperlink r:id="rId45">
        <w:r w:rsidDel="00000000" w:rsidR="00000000" w:rsidRPr="00000000">
          <w:rPr>
            <w:color w:val="1155cc"/>
            <w:u w:val="single"/>
            <w:rtl w:val="0"/>
          </w:rPr>
          <w:t xml:space="preserve">2</w:t>
        </w:r>
      </w:hyperlink>
      <w:r w:rsidDel="00000000" w:rsidR="00000000" w:rsidRPr="00000000">
        <w:rPr>
          <w:rtl w:val="0"/>
        </w:rPr>
        <w:t xml:space="preserve">] An automated settlement system that detects an anomaly in a cross-border correspondent banking chain should not default to retry logic. It should issue Epistemic Hold and invoke the Stewardship Custodians for manual verification. These suspensions are not system failures. They are constitutional successes. They demonstrate that the framework is functioning exactly as designed.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Eight Pillars reinforce the integrity of each state. Epistemic Hold, the first Pillar, institutionalizes the 0 state as a permanent feature of the architecture, not a temporary exception. The Immutable Ledger, the second Pillar, ensures that every state transition is recorded with cryptographic finality. The Goukassian Principle, the third Pillar, mandates that every Proceed and Refuse determination is backed by a complete Decision Log. [</w:t>
      </w:r>
      <w:hyperlink r:id="rId46">
        <w:r w:rsidDel="00000000" w:rsidR="00000000" w:rsidRPr="00000000">
          <w:rPr>
            <w:color w:val="1155cc"/>
            <w:u w:val="single"/>
            <w:rtl w:val="0"/>
          </w:rPr>
          <w:t xml:space="preserve">1</w:t>
        </w:r>
      </w:hyperlink>
      <w:r w:rsidDel="00000000" w:rsidR="00000000" w:rsidRPr="00000000">
        <w:rPr>
          <w:rtl w:val="0"/>
        </w:rPr>
        <w:t xml:space="preserve">] Without these Pillars, the three states would degrade into heuristic labels. With them, the states become enforceable constitutional commands.</w:t>
      </w:r>
    </w:p>
    <w:p w:rsidR="00000000" w:rsidDel="00000000" w:rsidP="00000000" w:rsidRDefault="00000000" w:rsidRPr="00000000" w14:paraId="000000C1">
      <w:pPr>
        <w:pStyle w:val="Heading2"/>
        <w:rPr/>
      </w:pPr>
      <w:bookmarkStart w:colFirst="0" w:colLast="0" w:name="_m9ivc0jnd6zi" w:id="19"/>
      <w:bookmarkEnd w:id="19"/>
      <w:r w:rsidDel="00000000" w:rsidR="00000000" w:rsidRPr="00000000">
        <w:rPr>
          <w:rtl w:val="0"/>
        </w:rPr>
        <w:t xml:space="preserve">2.4. State versus Workflow: Epistemic Hold and Sacred Pause</w:t>
      </w:r>
    </w:p>
    <w:p w:rsidR="00000000" w:rsidDel="00000000" w:rsidP="00000000" w:rsidRDefault="00000000" w:rsidRPr="00000000" w14:paraId="000000C2">
      <w:pPr>
        <w:rPr/>
      </w:pPr>
      <w:r w:rsidDel="00000000" w:rsidR="00000000" w:rsidRPr="00000000">
        <w:rPr>
          <w:rtl w:val="0"/>
        </w:rPr>
        <w:t xml:space="preserve">Epistemic Hold and Sacred Pause are not synonyms. They are distinct architectural concepts that operate in tight coordination. Epistemic Hold is a state. Sacred Pause is a workflow. The state is the constitutional determination. The workflow is the operational process that executes while the system remains in that state. [</w:t>
      </w:r>
      <w:hyperlink r:id="rId47">
        <w:r w:rsidDel="00000000" w:rsidR="00000000" w:rsidRPr="00000000">
          <w:rPr>
            <w:color w:val="1155cc"/>
            <w:u w:val="single"/>
            <w:rtl w:val="0"/>
          </w:rPr>
          <w:t xml:space="preserve">1</w:t>
        </w:r>
      </w:hyperlink>
      <w:r w:rsidDel="00000000" w:rsidR="00000000" w:rsidRPr="00000000">
        <w:rPr>
          <w:rtl w:val="0"/>
        </w:rPr>
        <w:t xml:space="preserve">] Confusing these two concepts leads to implementation errors that compromise the entire framework. A state is a static determination recorded in the Immutable Ledger. A workflow is a dynamic sequence of actions designed to resolve the uncertainty that triggered the state.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Epistemic Hold is the mandatory hesitation state. It is one of the three economic decision states in the triadic alphabet. When the Governance Lane issues Epistemic Hold, it is rendering a constitutional verdict: the evidence is insufficient to support Proceed, and no harm condition has been detected to trigger Refuse. [</w:t>
      </w:r>
      <w:hyperlink r:id="rId48">
        <w:r w:rsidDel="00000000" w:rsidR="00000000" w:rsidRPr="00000000">
          <w:rPr>
            <w:color w:val="1155cc"/>
            <w:u w:val="single"/>
            <w:rtl w:val="0"/>
          </w:rPr>
          <w:t xml:space="preserve">1</w:t>
        </w:r>
      </w:hyperlink>
      <w:r w:rsidDel="00000000" w:rsidR="00000000" w:rsidRPr="00000000">
        <w:rPr>
          <w:rtl w:val="0"/>
        </w:rPr>
        <w:t xml:space="preserve">] This determination is recorded as a first-class state in the Decision Log. It is not an error code, a null return, a timeout exception, or a retry flag. It is a deliberate, defensible, and immutable determination that truth has not yet been established. The state persists until the evidentiary conditions change sufficiently to warrant a transition to either Proceed or Refuse.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Sacred Pause is the process and mechanism that activates when truth is uncertain. It is the operational embodiment of the Goukassian Vow's first mandate. [</w:t>
      </w:r>
      <w:hyperlink r:id="rId49">
        <w:r w:rsidDel="00000000" w:rsidR="00000000" w:rsidRPr="00000000">
          <w:rPr>
            <w:color w:val="1155cc"/>
            <w:u w:val="single"/>
            <w:rtl w:val="0"/>
          </w:rPr>
          <w:t xml:space="preserve">1</w:t>
        </w:r>
      </w:hyperlink>
      <w:r w:rsidDel="00000000" w:rsidR="00000000" w:rsidRPr="00000000">
        <w:rPr>
          <w:rtl w:val="0"/>
        </w:rPr>
        <w:t xml:space="preserve">] While Epistemic Hold is the answer to the question "What is the determination?", Sacred Pause is the answer to the question "What happens now?" The Sacred Pause workflow initiates a structured evidentiary resolution protocol that runs in parallel to the continued operation of other, non-conflicting economic processes. It does not freeze the entire system. It isolates the uncertain proposal and subjects it to additional scrutiny.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Sacred Pause workflow contains several mandatory stages. First, the Governance Lane broadcasts the Epistemic Hold determination to all relevant governance chambers. The Technical Council receives notification that a proposal has entered evidentiary suspension. The Stewardship Custodians are alerted that a constitutional gate has not been satisfied. The Smart Contract Treasury allocates resources to sustain the extended evaluation. [</w:t>
      </w:r>
      <w:hyperlink r:id="rId50">
        <w:r w:rsidDel="00000000" w:rsidR="00000000" w:rsidRPr="00000000">
          <w:rPr>
            <w:color w:val="1155cc"/>
            <w:u w:val="single"/>
            <w:rtl w:val="0"/>
          </w:rPr>
          <w:t xml:space="preserve">3</w:t>
        </w:r>
      </w:hyperlink>
      <w:r w:rsidDel="00000000" w:rsidR="00000000" w:rsidRPr="00000000">
        <w:rPr>
          <w:rtl w:val="0"/>
        </w:rPr>
        <w:t xml:space="preserve">] Second, the system queries supplementary data sources. If the uncertainty stems from a missing sovereign debt metric, the workflow requests the metric from the relevant national statistics office through a cryptographically signed API call. If the uncertainty stems from an anomalous cross-border trade flow, the workflow invokes the correspondent banking verification network.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Third, the Sacred Pause escalates to human oversight if the uncertainty persists beyond configurable constitutional thresholds. These thresholds are not performance timeouts. They are governance parameters set by the Tri-Cameral model and anchored in the constitutional schema. [</w:t>
      </w:r>
      <w:hyperlink r:id="rId51">
        <w:r w:rsidDel="00000000" w:rsidR="00000000" w:rsidRPr="00000000">
          <w:rPr>
            <w:color w:val="1155cc"/>
            <w:u w:val="single"/>
            <w:rtl w:val="0"/>
          </w:rPr>
          <w:t xml:space="preserve">3</w:t>
        </w:r>
      </w:hyperlink>
      <w:r w:rsidDel="00000000" w:rsidR="00000000" w:rsidRPr="00000000">
        <w:rPr>
          <w:rtl w:val="0"/>
        </w:rPr>
        <w:t xml:space="preserve">] A threshold might specify that any Epistemic Hold exceeding four hours on a central bank liquidity proposal must trigger a mandatory review by the Stewardship Custodians. Another threshold might specify that any Epistemic Hold exceeding one business day on a high-value settlement must trigger a full Tri-Cameral quorum review. These thresholds prevent the Sacred Pause from becoming an indefinite deferral that effectively blocks essential economic functions.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hardware substrate enforces the distinction between state and workflow with physical precision. The Mandated Ternary memristive cells in the Governance Lane maintain the intermediate resistance state that corresponds to Epistemic Hold. [</w:t>
      </w:r>
      <w:hyperlink r:id="rId52">
        <w:r w:rsidDel="00000000" w:rsidR="00000000" w:rsidRPr="00000000">
          <w:rPr>
            <w:color w:val="1155cc"/>
            <w:u w:val="single"/>
            <w:rtl w:val="0"/>
          </w:rPr>
          <w:t xml:space="preserve">4</w:t>
        </w:r>
      </w:hyperlink>
      <w:r w:rsidDel="00000000" w:rsidR="00000000" w:rsidRPr="00000000">
        <w:rPr>
          <w:rtl w:val="0"/>
        </w:rPr>
        <w:t xml:space="preserve">] This physical state persists regardless of what the Sacred Pause workflow is doing. The workflow may be querying data, escalating to human reviewers, or requesting additional model validation. Throughout all of this activity, the MT gate remains in the intermediate state. It will not transition to the low-resistance Proceed state or the high-resistance Refuse state until the Governance Lane issues a new cryptographic signature. The hardware makes the state immutable even while the workflow is highly dynamic.</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 macroeconomic practice, the distinction matters profoundly. Consider a scenario in which an automated sovereign debt restructuring proposal enters the Governance Lane. The Inference Lane has detected a pattern of yield curve inversion and recommends preemptive bond exchange terms. The Governance Lane, however, cannot verify a critical input: the most recent debt sustainability analysis from the International Monetary Fund has not been received through the authenticated data pipeline. [</w:t>
      </w:r>
      <w:hyperlink r:id="rId53">
        <w:r w:rsidDel="00000000" w:rsidR="00000000" w:rsidRPr="00000000">
          <w:rPr>
            <w:color w:val="1155cc"/>
            <w:u w:val="single"/>
            <w:rtl w:val="0"/>
          </w:rPr>
          <w:t xml:space="preserve">2</w:t>
        </w:r>
      </w:hyperlink>
      <w:r w:rsidDel="00000000" w:rsidR="00000000" w:rsidRPr="00000000">
        <w:rPr>
          <w:rtl w:val="0"/>
        </w:rPr>
        <w:t xml:space="preserve">] The Governance Lane issues Epistemic Hold. This is the state. The Sacred Pause workflow then activates. It queries the IMF data endpoint. It notifies the Technical Council that a model input is missing. It begins a four-hour countdown to mandatory human escalation.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During those four hours, the sovereign debt restructuring proposal remains suspended. Other proposals, such as routine interbank lending agreements or trade settlement verifications that do not depend on the missing IMF data, continue to flow through the Governance Lane and receive their own determinations. [</w:t>
      </w:r>
      <w:hyperlink r:id="rId54">
        <w:r w:rsidDel="00000000" w:rsidR="00000000" w:rsidRPr="00000000">
          <w:rPr>
            <w:color w:val="1155cc"/>
            <w:u w:val="single"/>
            <w:rtl w:val="0"/>
          </w:rPr>
          <w:t xml:space="preserve">1</w:t>
        </w:r>
      </w:hyperlink>
      <w:r w:rsidDel="00000000" w:rsidR="00000000" w:rsidRPr="00000000">
        <w:rPr>
          <w:rtl w:val="0"/>
        </w:rPr>
        <w:t xml:space="preserve">] The system does not freeze. Only the uncertain proposal is paused. This is the critical architectural insight. Sacred Pause is proposal-specific, not system-wide. If it were system-wide, adversaries could weaponize evidentiary gaps to induce denial-of-service across entire financial markets. By isolating the pause to the specific proposal, TL maintains systemic continuity while enforcing constitutional prudence.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Decision Log for an Epistemic Hold state must record both the state determination and the Sacred Pause workflow activity. The log contains the initial evidentiary gap that triggered the hold, the supplementary data queries issued, the responses received, the escalation notifications sent, and the final state transition when the uncertainty is resolved. [</w:t>
      </w:r>
      <w:hyperlink r:id="rId55">
        <w:r w:rsidDel="00000000" w:rsidR="00000000" w:rsidRPr="00000000">
          <w:rPr>
            <w:color w:val="1155cc"/>
            <w:u w:val="single"/>
            <w:rtl w:val="0"/>
          </w:rPr>
          <w:t xml:space="preserve">2</w:t>
        </w:r>
      </w:hyperlink>
      <w:r w:rsidDel="00000000" w:rsidR="00000000" w:rsidRPr="00000000">
        <w:rPr>
          <w:rtl w:val="0"/>
        </w:rPr>
        <w:t xml:space="preserve">] This comprehensive logging ensures that regulators can audit not only the final determination but also the diligence exercised during the pause. A central bank examiner can verify that the Sacred Pause was not used as a pretext to delay an unpopular decision. A financial stability regulator can confirm that the workflow followed the constitutional escalation thresholds rather than arbitrary institutional discretion.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Eight Pillars reinforce this distinction. Epistemic Hold, as Pillar 1, institutionalizes the state as a permanent and honored feature of the architecture. The Immutable Ledger, as Pillar 2, ensures that both the state and the workflow are recorded with cryptographic finality. Decision Logs, as Pillar 4, provide the evidentiary substrate that makes the Sacred Pause auditable and defensible. [</w:t>
      </w:r>
      <w:hyperlink r:id="rId56">
        <w:r w:rsidDel="00000000" w:rsidR="00000000" w:rsidRPr="00000000">
          <w:rPr>
            <w:color w:val="1155cc"/>
            <w:u w:val="single"/>
            <w:rtl w:val="0"/>
          </w:rPr>
          <w:t xml:space="preserve">1</w:t>
        </w:r>
      </w:hyperlink>
      <w:r w:rsidDel="00000000" w:rsidR="00000000" w:rsidRPr="00000000">
        <w:rPr>
          <w:rtl w:val="0"/>
        </w:rPr>
        <w:t xml:space="preserve">] Without this structural separation between state and workflow, the framework would collapse into a binary retry loop dressed in ternary terminology. With it, the framework achieves genuine constitutional hesitation that is both computationally rigorous and institutionally accountable.</w:t>
      </w:r>
    </w:p>
    <w:p w:rsidR="00000000" w:rsidDel="00000000" w:rsidP="00000000" w:rsidRDefault="00000000" w:rsidRPr="00000000" w14:paraId="000000D5">
      <w:pPr>
        <w:pStyle w:val="Heading2"/>
        <w:rPr/>
      </w:pPr>
      <w:bookmarkStart w:colFirst="0" w:colLast="0" w:name="_p0u5j6ovk76i" w:id="20"/>
      <w:bookmarkEnd w:id="20"/>
      <w:r w:rsidDel="00000000" w:rsidR="00000000" w:rsidRPr="00000000">
        <w:rPr>
          <w:rtl w:val="0"/>
        </w:rPr>
        <w:t xml:space="preserve">2.5. NL=NA: The Non-Negotiable Architectural Covenant</w:t>
      </w:r>
    </w:p>
    <w:p w:rsidR="00000000" w:rsidDel="00000000" w:rsidP="00000000" w:rsidRDefault="00000000" w:rsidRPr="00000000" w14:paraId="000000D6">
      <w:pPr>
        <w:rPr/>
      </w:pPr>
      <w:r w:rsidDel="00000000" w:rsidR="00000000" w:rsidRPr="00000000">
        <w:rPr>
          <w:rtl w:val="0"/>
        </w:rPr>
        <w:t xml:space="preserve">NL=NA is the irreducible axiom of Ternary Logic. It stands for No Log equals No Action. [</w:t>
      </w:r>
      <w:hyperlink r:id="rId57">
        <w:r w:rsidDel="00000000" w:rsidR="00000000" w:rsidRPr="00000000">
          <w:rPr>
            <w:color w:val="1155cc"/>
            <w:u w:val="single"/>
            <w:rtl w:val="0"/>
          </w:rPr>
          <w:t xml:space="preserve">1</w:t>
        </w:r>
      </w:hyperlink>
      <w:r w:rsidDel="00000000" w:rsidR="00000000" w:rsidRPr="00000000">
        <w:rPr>
          <w:rtl w:val="0"/>
        </w:rPr>
        <w:t xml:space="preserve">] This is not a preference, a best practice, or a configurable policy parameter. It is a constitutional law embedded at every layer of the framework, from application logic to hardware gates. If a proposal does not generate a complete, schema-validated, cryptographically sealed Decision Log, it cannot produce a Permission Token. If it cannot produce a Permission Token, the Gateway cannot open. If the Gateway cannot open, the action does not execute. The chain is absolute and unbroken.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covenant derives directly from the Goukassian Vow and the Eight Pillars. The Vow commands: pause when truth is uncertain, refuse when harm is clear, proceed where truth is. [</w:t>
      </w:r>
      <w:hyperlink r:id="rId58">
        <w:r w:rsidDel="00000000" w:rsidR="00000000" w:rsidRPr="00000000">
          <w:rPr>
            <w:color w:val="1155cc"/>
            <w:u w:val="single"/>
            <w:rtl w:val="0"/>
          </w:rPr>
          <w:t xml:space="preserve">1</w:t>
        </w:r>
      </w:hyperlink>
      <w:r w:rsidDel="00000000" w:rsidR="00000000" w:rsidRPr="00000000">
        <w:rPr>
          <w:rtl w:val="0"/>
        </w:rPr>
        <w:t xml:space="preserve">] The Decision Log is the mechanism that makes truth computable. Without the log, the Governance Lane cannot verify whether truth has been established, whether harm has been detected, or whether the evidentiary threshold for Proceed has been met. The Goukassian Principle, embedded as Pillar 3, mandates that no economic action may execute without this log. [</w:t>
      </w:r>
      <w:hyperlink r:id="rId59">
        <w:r w:rsidDel="00000000" w:rsidR="00000000" w:rsidRPr="00000000">
          <w:rPr>
            <w:color w:val="1155cc"/>
            <w:u w:val="single"/>
            <w:rtl w:val="0"/>
          </w:rPr>
          <w:t xml:space="preserve">2</w:t>
        </w:r>
      </w:hyperlink>
      <w:r w:rsidDel="00000000" w:rsidR="00000000" w:rsidRPr="00000000">
        <w:rPr>
          <w:rtl w:val="0"/>
        </w:rPr>
        <w:t xml:space="preserve">] NL=NA is the enforcement clause that gives the Principle teeth.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Decision Log is not a simple transaction record. It is a structured evidentiary object that contains the original proposal from the Inference Lane, the constitutional evaluation performed by the Governance Lane, the triadic state determination, the evidentiary hash chain, the schema validation checksum, the timestamped signatures from the relevant governance chambers, and the full Sacred Pause workflow history if Epistemic Hold was invoked. [</w:t>
      </w:r>
      <w:hyperlink r:id="rId60">
        <w:r w:rsidDel="00000000" w:rsidR="00000000" w:rsidRPr="00000000">
          <w:rPr>
            <w:color w:val="1155cc"/>
            <w:u w:val="single"/>
            <w:rtl w:val="0"/>
          </w:rPr>
          <w:t xml:space="preserve">1</w:t>
        </w:r>
      </w:hyperlink>
      <w:r w:rsidDel="00000000" w:rsidR="00000000" w:rsidRPr="00000000">
        <w:rPr>
          <w:rtl w:val="0"/>
        </w:rPr>
        <w:t xml:space="preserve">] Every field in the log is schema-mandatory. Missing any field causes schema validation failure. Schema validation failure causes Permission Token denial. Permission Token denial causes Gateway lock. This is the first layer of NL=NA enforcement: syntactic completeness.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second layer is cryptographic sealing. The Decision Log is hashed using a cryptographically secure algorithm, typically SHA-256 or post-quantum equivalent, and the hash is anchored to an immutable ledger. [</w:t>
      </w:r>
      <w:hyperlink r:id="rId61">
        <w:r w:rsidDel="00000000" w:rsidR="00000000" w:rsidRPr="00000000">
          <w:rPr>
            <w:color w:val="1155cc"/>
            <w:u w:val="single"/>
            <w:rtl w:val="0"/>
          </w:rPr>
          <w:t xml:space="preserve">2</w:t>
        </w:r>
      </w:hyperlink>
      <w:r w:rsidDel="00000000" w:rsidR="00000000" w:rsidRPr="00000000">
        <w:rPr>
          <w:rtl w:val="0"/>
        </w:rPr>
        <w:t xml:space="preserve">] This anchoring prevents retroactive tampering. A regulator examining a central bank's automated liquidity decisions five years later can verify that the Decision Log presented today is byte-for-byte identical to the log that was generated at the moment of the decision. Any modification, even a single bit, breaks the hash chain and renders the log cryptographically invalid. An invalid log cannot support a Permission Token. An unsupported token cannot open the Gateway. The action remains nullified by history itself.</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third layer is hardware enforcement. The Mandated Ternary memristive cells in the Governance Lane physically link execution to log verification. [</w:t>
      </w:r>
      <w:hyperlink r:id="rId62">
        <w:r w:rsidDel="00000000" w:rsidR="00000000" w:rsidRPr="00000000">
          <w:rPr>
            <w:color w:val="1155cc"/>
            <w:u w:val="single"/>
            <w:rtl w:val="0"/>
          </w:rPr>
          <w:t xml:space="preserve">4</w:t>
        </w:r>
      </w:hyperlink>
      <w:r w:rsidDel="00000000" w:rsidR="00000000" w:rsidRPr="00000000">
        <w:rPr>
          <w:rtl w:val="0"/>
        </w:rPr>
        <w:t xml:space="preserve">] The MT gate maintains its intermediate resistance state, corresponding to Epistemic Hold, until it receives a verified confirm pulse from the logging lane. This pulse is generated only after the Decision Log has been written, hashed, anchored, and schema-validated. Even if a privileged process in the Inference Lane attempts to bypass the Governance Lane, the hardware will not transition to the low-resistance Proceed state without the log-derived pulse. The physical substrate makes NL=NA tamper-evident at the electron level.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fourth layer is governance quorum. The Permission Token that unlocks the Gateway requires cryptographic signatures from multiple chambers of the Tri-Cameral model. [</w:t>
      </w:r>
      <w:hyperlink r:id="rId63">
        <w:r w:rsidDel="00000000" w:rsidR="00000000" w:rsidRPr="00000000">
          <w:rPr>
            <w:color w:val="1155cc"/>
            <w:u w:val="single"/>
            <w:rtl w:val="0"/>
          </w:rPr>
          <w:t xml:space="preserve">3</w:t>
        </w:r>
      </w:hyperlink>
      <w:r w:rsidDel="00000000" w:rsidR="00000000" w:rsidRPr="00000000">
        <w:rPr>
          <w:rtl w:val="0"/>
        </w:rPr>
        <w:t xml:space="preserve">] The Technical Council signs that the Inference Lane proposal is statistically sound. The Stewardship Custodians sign that the Governance Lane evaluation adheres to the Goukassian Vow. The Smart Contract Treasury signs that the resources and incentives for the action have been properly allocated. Without all required signatures, the Permission Token is incomplete. An incomplete token is treated by the Gateway as a non-existent token. The Gateway remains closed. No Log, properly signed and sealed, equals No Action.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fifth layer is regulatory nexus. The NL=NA covenant aligns with the evidentiary requirements of financial regulators worldwide. Basel III mandates that banks maintain complete audit trails for model-driven capital allocation decisions. [</w:t>
      </w:r>
      <w:hyperlink r:id="rId64">
        <w:r w:rsidDel="00000000" w:rsidR="00000000" w:rsidRPr="00000000">
          <w:rPr>
            <w:color w:val="1155cc"/>
            <w:u w:val="single"/>
            <w:rtl w:val="0"/>
          </w:rPr>
          <w:t xml:space="preserve">2</w:t>
        </w:r>
      </w:hyperlink>
      <w:r w:rsidDel="00000000" w:rsidR="00000000" w:rsidRPr="00000000">
        <w:rPr>
          <w:rtl w:val="0"/>
        </w:rPr>
        <w:t xml:space="preserve">] The U.S. Securities and Exchange Commission requires that algorithmic trading systems produce timestamped records of every order generation and execution decision. The European Central Bank's oversight framework for market infrastructure demands that payment systems maintain tamper-evident logs for settlement finality. [</w:t>
      </w:r>
      <w:hyperlink r:id="rId65">
        <w:r w:rsidDel="00000000" w:rsidR="00000000" w:rsidRPr="00000000">
          <w:rPr>
            <w:color w:val="1155cc"/>
            <w:u w:val="single"/>
            <w:rtl w:val="0"/>
          </w:rPr>
          <w:t xml:space="preserve">2</w:t>
        </w:r>
      </w:hyperlink>
      <w:r w:rsidDel="00000000" w:rsidR="00000000" w:rsidRPr="00000000">
        <w:rPr>
          <w:rtl w:val="0"/>
        </w:rPr>
        <w:t xml:space="preserve">] NL=NA does not merely satisfy these requirements. It hard-codes them into the architecture so that compliance is not a post-execution paperwork exercise but a pre-execution physical gate.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In macroeconomic practice, the covenant prevents catastrophic execution of unverified proposals. Consider an algorithmic trading system that detects a pattern suggesting sovereign bond market dislocation. The Inference Lane generates a proposal to execute massive short positions against the bonds of a G7 nation. The proposal arrives at the Governance Lane. However, the data feed containing the most recent central bank policy announcement has not been authenticated. [</w:t>
      </w:r>
      <w:hyperlink r:id="rId66">
        <w:r w:rsidDel="00000000" w:rsidR="00000000" w:rsidRPr="00000000">
          <w:rPr>
            <w:color w:val="1155cc"/>
            <w:u w:val="single"/>
            <w:rtl w:val="0"/>
          </w:rPr>
          <w:t xml:space="preserve">2</w:t>
        </w:r>
      </w:hyperlink>
      <w:r w:rsidDel="00000000" w:rsidR="00000000" w:rsidRPr="00000000">
        <w:rPr>
          <w:rtl w:val="0"/>
        </w:rPr>
        <w:t xml:space="preserve">] The Governance Lane cannot complete the Decision Log because a mandatory evidentiary field is missing. Schema validation fails. The Permission Token is denied. The Gateway stays closed. The short positions are not executed. The trading firm may experience opportunity cost. It does not experience a regulatory enforcement action for market manipulation based on stale data. It does not trigger a sovereign debt crisis because its algorithm acted on unverified intelligence. No Log equals No Action, and in this case, No Action equals systemic stability.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covenant also protects against institutional capture. A rogue executive at a financial institution cannot instruct the trading desk to bypass the Governance Lane during a volatile market session. The hardware will not permit it. The cryptographic signatures will not permit it. The immutable ledger will not permit it. [</w:t>
      </w:r>
      <w:hyperlink r:id="rId67">
        <w:r w:rsidDel="00000000" w:rsidR="00000000" w:rsidRPr="00000000">
          <w:rPr>
            <w:color w:val="1155cc"/>
            <w:u w:val="single"/>
            <w:rtl w:val="0"/>
          </w:rPr>
          <w:t xml:space="preserve">3</w:t>
        </w:r>
      </w:hyperlink>
      <w:r w:rsidDel="00000000" w:rsidR="00000000" w:rsidRPr="00000000">
        <w:rPr>
          <w:rtl w:val="0"/>
        </w:rPr>
        <w:t xml:space="preserve">] The architecture removes the possibility of executive override by making the log a physical prerequisite for execution. Power cannot lie because power cannot execute without evidence. This is the ultimate purpose of NL=NA. It is not a logging standard. It is a constitutional constraint on economic power itself.</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sources do not specify the exact byte-level schema for the Decision Log hash anchoring protocol, though they mandate that such anchoring must occur.</w:t>
      </w:r>
    </w:p>
    <w:p w:rsidR="00000000" w:rsidDel="00000000" w:rsidP="00000000" w:rsidRDefault="00000000" w:rsidRPr="00000000" w14:paraId="000000E9">
      <w:pPr>
        <w:pStyle w:val="Heading2"/>
        <w:rPr/>
      </w:pPr>
      <w:bookmarkStart w:colFirst="0" w:colLast="0" w:name="_wqysoegamgev" w:id="21"/>
      <w:bookmarkEnd w:id="21"/>
      <w:r w:rsidDel="00000000" w:rsidR="00000000" w:rsidRPr="00000000">
        <w:rPr>
          <w:rtl w:val="0"/>
        </w:rPr>
        <w:t xml:space="preserve">2.6. No Spy, No Weapon: Domain Boundaries and Prohibitions</w:t>
      </w:r>
    </w:p>
    <w:p w:rsidR="00000000" w:rsidDel="00000000" w:rsidP="00000000" w:rsidRDefault="00000000" w:rsidRPr="00000000" w14:paraId="000000EA">
      <w:pPr>
        <w:rPr/>
      </w:pPr>
      <w:r w:rsidDel="00000000" w:rsidR="00000000" w:rsidRPr="00000000">
        <w:rPr>
          <w:rtl w:val="0"/>
        </w:rPr>
        <w:t xml:space="preserve">The Goukassian Vow defines what Ternary Logic must do: pause when truth is uncertain, refuse when harm is clear, proceed where truth is. The No Spy, No Weapon Mandate defines what Ternary Logic must never do. It is a negative constitutional architecture that operates in parallel with the positive architecture of the Eight Pillars. [</w:t>
      </w:r>
      <w:hyperlink r:id="rId68">
        <w:r w:rsidDel="00000000" w:rsidR="00000000" w:rsidRPr="00000000">
          <w:rPr>
            <w:color w:val="1155cc"/>
            <w:u w:val="single"/>
            <w:rtl w:val="0"/>
          </w:rPr>
          <w:t xml:space="preserve">7</w:t>
        </w:r>
      </w:hyperlink>
      <w:r w:rsidDel="00000000" w:rsidR="00000000" w:rsidRPr="00000000">
        <w:rPr>
          <w:rtl w:val="0"/>
        </w:rPr>
        <w:t xml:space="preserve">] The Mandate is not a compliance checklist appended to the framework. It is a structural constraint embedded in the constitutional schema, the API specification, and the hardware substrate. A system that spies or kills is not a malformed implementation of TL. It is a categorical impossibility under the Mandate.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Mandate derives from the Goukassian Vow's second mandate, refuse when harm is clear, applied at the meta-level of system purpose. Surveillance causes harm by eroding the informational autonomy of economic actors. Weapons cause harm by converting computational output into physical destruction. [</w:t>
      </w:r>
      <w:hyperlink r:id="rId69">
        <w:r w:rsidDel="00000000" w:rsidR="00000000" w:rsidRPr="00000000">
          <w:rPr>
            <w:color w:val="1155cc"/>
            <w:u w:val="single"/>
            <w:rtl w:val="0"/>
          </w:rPr>
          <w:t xml:space="preserve">7</w:t>
        </w:r>
      </w:hyperlink>
      <w:r w:rsidDel="00000000" w:rsidR="00000000" w:rsidRPr="00000000">
        <w:rPr>
          <w:rtl w:val="0"/>
        </w:rPr>
        <w:t xml:space="preserve">] The Mandate does not evaluate whether a particular surveillance program is effective or whether a particular weapons system is accurate. It evaluates whether the system itself is designed to spy or to kill. If the answer is yes, the Governance Lane issues Refuse at the architectural level, before any operational proposal reaches the Inference Lane.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Three structural constraints enforce the Mandate. First, no surveillance. The system must not collect, process, store, or transmit data for the purpose of monitoring individuals, organizations, or populations without their informed consent and without a constitutional evidentiary basis that satisfies the Regulatory Nexus. [</w:t>
      </w:r>
      <w:hyperlink r:id="rId70">
        <w:r w:rsidDel="00000000" w:rsidR="00000000" w:rsidRPr="00000000">
          <w:rPr>
            <w:color w:val="1155cc"/>
            <w:u w:val="single"/>
            <w:rtl w:val="0"/>
          </w:rPr>
          <w:t xml:space="preserve">7</w:t>
        </w:r>
      </w:hyperlink>
      <w:r w:rsidDel="00000000" w:rsidR="00000000" w:rsidRPr="00000000">
        <w:rPr>
          <w:rtl w:val="0"/>
        </w:rPr>
        <w:t xml:space="preserve">] Second, no weapons. The system must not control, direct, or enable physical mechanisms whose primary purpose is to inflict injury, destruction, or death. Third, no dual-use. The system must not be designed with latent capabilities that can be repurposed from legitimate economic governance to surveillance or weapons applications through parameter changes, module activation, or schema updates. [</w:t>
      </w:r>
      <w:hyperlink r:id="rId71">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Oracle Problem is the central technical challenge of the no-surveillance constraint. A system may not spy directly but may be designed to answer questions that enable spying. A credit scoring algorithm does not surveil individuals, but a government that queries the algorithm for all citizens with scores below a threshold has converted the algorithm into a surveillance tool. [</w:t>
      </w:r>
      <w:hyperlink r:id="rId72">
        <w:r w:rsidDel="00000000" w:rsidR="00000000" w:rsidRPr="00000000">
          <w:rPr>
            <w:color w:val="1155cc"/>
            <w:u w:val="single"/>
            <w:rtl w:val="0"/>
          </w:rPr>
          <w:t xml:space="preserve">7</w:t>
        </w:r>
      </w:hyperlink>
      <w:r w:rsidDel="00000000" w:rsidR="00000000" w:rsidRPr="00000000">
        <w:rPr>
          <w:rtl w:val="0"/>
        </w:rPr>
        <w:t xml:space="preserve">] TL addresses this through query constitutionalization. Every query to the Governance Lane must include the queryer's identity, the purpose of the query, and the expected use of the result. If the query purpose violates the no-surveillance constraint, the Governance Lane issues Refuse. The Decision Log records the query, the purpose analysis, and the refusal. The log is anchored to the Immutable Ledger, creating permanent evidence of the attempted surveillance conversion.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Statistical inference disguise is a subtler form of the Oracle Problem. An adversary may not request direct surveillance data but may request aggregate statistics that, through correlation and inference, reveal individual behavior. A query for the average transaction volume in a specific zip code, combined with a query for the average transaction volume in adjacent zip codes, can identify the outlier individual whose presence distorts the average. [</w:t>
      </w:r>
      <w:hyperlink r:id="rId73">
        <w:r w:rsidDel="00000000" w:rsidR="00000000" w:rsidRPr="00000000">
          <w:rPr>
            <w:color w:val="1155cc"/>
            <w:u w:val="single"/>
            <w:rtl w:val="0"/>
          </w:rPr>
          <w:t xml:space="preserve">7</w:t>
        </w:r>
      </w:hyperlink>
      <w:r w:rsidDel="00000000" w:rsidR="00000000" w:rsidRPr="00000000">
        <w:rPr>
          <w:rtl w:val="0"/>
        </w:rPr>
        <w:t xml:space="preserve">] TL's Hybrid Shield addresses this through differential privacy mechanisms embedded in the query response layer. The Governance Lane adds calibrated noise to aggregate responses based on the query's inference risk. If the query's structure permits reconstruction of individual records, the lane issues Epistemic Hold and the Sacred Pause workflow evaluates whether the query can be reformulated to satisfy privacy constraints.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Latent surveillance capability is the hardware and software design pattern that builds hooks for future surveillance activation. A system that does not currently spy may include backdoors, remote access protocols, or data retention architectures that enable spying when activated by a future schema update. [</w:t>
      </w:r>
      <w:hyperlink r:id="rId74">
        <w:r w:rsidDel="00000000" w:rsidR="00000000" w:rsidRPr="00000000">
          <w:rPr>
            <w:color w:val="1155cc"/>
            <w:u w:val="single"/>
            <w:rtl w:val="0"/>
          </w:rPr>
          <w:t xml:space="preserve">7</w:t>
        </w:r>
      </w:hyperlink>
      <w:r w:rsidDel="00000000" w:rsidR="00000000" w:rsidRPr="00000000">
        <w:rPr>
          <w:rtl w:val="0"/>
        </w:rPr>
        <w:t xml:space="preserve">] TL's DITL substrate prevents this through physical design constraints. The Mandated Ternary memristive cells operate only in the three governance states. They cannot be repurposed for data storage or signal processing because their physical structure is optimized for resistance-state switching, not for general-purpose computation. The asynchronous handshake protocol does not support remote procedure calls, network listeners, or dynamic code loading. These are not disabled features. They are physically absent circuit elements.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Partial weapons integration is the design pattern where a system does not kill directly but provides targeting data, logistics coordination, or resource allocation that enables a separate weapons system to kill. A supply chain optimizer that routes components to a munitions factory is not itself a weapon, but it is a partial weapons integrator. [</w:t>
      </w:r>
      <w:hyperlink r:id="rId75">
        <w:r w:rsidDel="00000000" w:rsidR="00000000" w:rsidRPr="00000000">
          <w:rPr>
            <w:color w:val="1155cc"/>
            <w:u w:val="single"/>
            <w:rtl w:val="0"/>
          </w:rPr>
          <w:t xml:space="preserve">7</w:t>
        </w:r>
      </w:hyperlink>
      <w:r w:rsidDel="00000000" w:rsidR="00000000" w:rsidRPr="00000000">
        <w:rPr>
          <w:rtl w:val="0"/>
        </w:rPr>
        <w:t xml:space="preserve">] TL's Regulatory Nexus evaluates the end-use of every supply chain proposal. If the proposal's routing would deliver goods to an entity designated under weapons proliferation controls, the Governance Lane issues Refuse. The Decision Log records the end-use analysis, the designation match, and the constitutional gate triggered. The Goukassian Vow's second mandate applies because enabling weapons proliferation is a clear harm.</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Twelve edge-case scenarios test the boundary precision of the Mandate. Each scenario presents a domain that appears ambiguous between legitimate economic governance and prohibited surveillance or weapons application. The Governance Lane evaluates each scenario against the three structural constraints.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Scenario one is dual-use analytics. A financial institution develops a model that detects money laundering patterns. The same model, with minor parameter changes, can detect political dissident funding patterns. [</w:t>
      </w:r>
      <w:hyperlink r:id="rId76">
        <w:r w:rsidDel="00000000" w:rsidR="00000000" w:rsidRPr="00000000">
          <w:rPr>
            <w:color w:val="1155cc"/>
            <w:u w:val="single"/>
            <w:rtl w:val="0"/>
          </w:rPr>
          <w:t xml:space="preserve">7</w:t>
        </w:r>
      </w:hyperlink>
      <w:r w:rsidDel="00000000" w:rsidR="00000000" w:rsidRPr="00000000">
        <w:rPr>
          <w:rtl w:val="0"/>
        </w:rPr>
        <w:t xml:space="preserve">] The Governance Lane evaluates the model's training data, its feature engineering, and its deployment configuration. If the model includes features that are specific to political activity, such as donation patterns to opposition parties or transactions with civil society organizations, the lane issues Refuse. If the model is restricted to purely financial features, such as transaction velocity, structuring patterns, and correspondent banking relationships, and if the Regulatory Nexus confirms that the model is deployed under AML supervision with judicial oversight, the lane issues Proceed.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Scenario two is high-frequency trading in defense-adjacent markets. An HFT algorithm trades securities of defense contractors. The algorithm's market data feeds include information about contract awards, test schedules, and procurement delays that could infer military readiness. [</w:t>
      </w:r>
      <w:hyperlink r:id="rId77">
        <w:r w:rsidDel="00000000" w:rsidR="00000000" w:rsidRPr="00000000">
          <w:rPr>
            <w:color w:val="1155cc"/>
            <w:u w:val="single"/>
            <w:rtl w:val="0"/>
          </w:rPr>
          <w:t xml:space="preserve">7</w:t>
        </w:r>
      </w:hyperlink>
      <w:r w:rsidDel="00000000" w:rsidR="00000000" w:rsidRPr="00000000">
        <w:rPr>
          <w:rtl w:val="0"/>
        </w:rPr>
        <w:t xml:space="preserve">] The Governance Lane evaluates whether the algorithm's data ingestion includes classified or controlled unclassified information. If the data is publicly available through SEC filings and contract announcement databases, the lane issues Proceed. If the data is derived from leaked procurement schedules or insider information from defense employees, the lane issues Refuse.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Scenario three is military logistics optimization. A supply chain system routes goods for a national military. The same routing engine could optimize civilian disaster relief. [</w:t>
      </w:r>
      <w:hyperlink r:id="rId78">
        <w:r w:rsidDel="00000000" w:rsidR="00000000" w:rsidRPr="00000000">
          <w:rPr>
            <w:color w:val="1155cc"/>
            <w:u w:val="single"/>
            <w:rtl w:val="0"/>
          </w:rPr>
          <w:t xml:space="preserve">7</w:t>
        </w:r>
      </w:hyperlink>
      <w:r w:rsidDel="00000000" w:rsidR="00000000" w:rsidRPr="00000000">
        <w:rPr>
          <w:rtl w:val="0"/>
        </w:rPr>
        <w:t xml:space="preserve">] The Governance Lane evaluates the contract terms, the counterparty identity, and the end-use certification. If the contract is with a civilian logistics provider and the goods are certified for humanitarian use, the lane issues Proceed. If the contract is with a military procurement office and the goods are designated for combat operations, the lane issues Refuse.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Scenario four is defensive cybersecurity. An intrusion detection system monitors network traffic to prevent attacks. The same system can monitor employee communications for dissent. [</w:t>
      </w:r>
      <w:hyperlink r:id="rId79">
        <w:r w:rsidDel="00000000" w:rsidR="00000000" w:rsidRPr="00000000">
          <w:rPr>
            <w:color w:val="1155cc"/>
            <w:u w:val="single"/>
            <w:rtl w:val="0"/>
          </w:rPr>
          <w:t xml:space="preserve">7</w:t>
        </w:r>
      </w:hyperlink>
      <w:r w:rsidDel="00000000" w:rsidR="00000000" w:rsidRPr="00000000">
        <w:rPr>
          <w:rtl w:val="0"/>
        </w:rPr>
        <w:t xml:space="preserve">] The Governance Lane evaluates the monitoring scope, the data retention policy, and the access controls. If the system monitors only network-layer anomalies, retains data for the minimum duration required for attack analysis, and restricts access to security operations staff with no reporting line to human resources or management, the lane issues Proceed. If the system monitors application-layer content, retains data indefinitely, or permits access by non-security personnel, the lane issues Refuse.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Scenario five is border control and customs screening. A system verifies traveler identities and flags suspicious crossings. The same system can flag political dissidents or ethnic minorities. [</w:t>
      </w:r>
      <w:hyperlink r:id="rId80">
        <w:r w:rsidDel="00000000" w:rsidR="00000000" w:rsidRPr="00000000">
          <w:rPr>
            <w:color w:val="1155cc"/>
            <w:u w:val="single"/>
            <w:rtl w:val="0"/>
          </w:rPr>
          <w:t xml:space="preserve">7</w:t>
        </w:r>
      </w:hyperlink>
      <w:r w:rsidDel="00000000" w:rsidR="00000000" w:rsidRPr="00000000">
        <w:rPr>
          <w:rtl w:val="0"/>
        </w:rPr>
        <w:t xml:space="preserve">] The Governance lane evaluates the flagging criteria, the data sources, and the oversight mechanisms. If the criteria are limited toInterpol warrants, known terrorist watchlists, and customs declaration anomalies, and if the oversight includes judicial review of every detention, the lane issues Proceed. If the criteria include political affiliation, religious practice, or ethnic origin, the lane issues Refuse.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Scenario six is predictive policing. A system predicts crime hotspots to allocate police resources. The same system can predict protest locations to preemptively deploy riot control. [</w:t>
      </w:r>
      <w:hyperlink r:id="rId81">
        <w:r w:rsidDel="00000000" w:rsidR="00000000" w:rsidRPr="00000000">
          <w:rPr>
            <w:color w:val="1155cc"/>
            <w:u w:val="single"/>
            <w:rtl w:val="0"/>
          </w:rPr>
          <w:t xml:space="preserve">7</w:t>
        </w:r>
      </w:hyperlink>
      <w:r w:rsidDel="00000000" w:rsidR="00000000" w:rsidRPr="00000000">
        <w:rPr>
          <w:rtl w:val="0"/>
        </w:rPr>
        <w:t xml:space="preserve">] The Governance Lane evaluates the prediction features, the training data, and the deployment protocol. If the features are limited to historical crime incident locations, time patterns, and victim reports, and if the deployment is restricted to community policing rather than preemptive detention, the lane issues Proceed. If the features include social media sentiment, political event calendars, or demographic composition, the lane issues Refuse.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Scenario seven is CBDC transaction monitoring. A central bank digital currency system tracks all retail payments for monetary policy analysis. The same tracking enables comprehensive financial surveillance of every citizen. [</w:t>
      </w:r>
      <w:hyperlink r:id="rId82">
        <w:r w:rsidDel="00000000" w:rsidR="00000000" w:rsidRPr="00000000">
          <w:rPr>
            <w:color w:val="1155cc"/>
            <w:u w:val="single"/>
            <w:rtl w:val="0"/>
          </w:rPr>
          <w:t xml:space="preserve">7</w:t>
        </w:r>
      </w:hyperlink>
      <w:r w:rsidDel="00000000" w:rsidR="00000000" w:rsidRPr="00000000">
        <w:rPr>
          <w:rtl w:val="0"/>
        </w:rPr>
        <w:t xml:space="preserve">] TL's CBDC governance addresses this through the Hybrid Shield's pseudonymization and the query constitutionalization layer. The Governance Lane issues Proceed for aggregate monetary policy queries that satisfy differential privacy constraints. It issues Refuse for individual transaction tracing queries that lack judicial authorization. It issues Epistemic Hold for queries that straddle the boundary, pending review by the Stewardship Custodians.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Scenario eight is satellite imagery analysis for agricultural credit. A system analyzes satellite photos to assess crop health for farm lending. The same imagery can assess military base activity. [</w:t>
      </w:r>
      <w:hyperlink r:id="rId83">
        <w:r w:rsidDel="00000000" w:rsidR="00000000" w:rsidRPr="00000000">
          <w:rPr>
            <w:color w:val="1155cc"/>
            <w:u w:val="single"/>
            <w:rtl w:val="0"/>
          </w:rPr>
          <w:t xml:space="preserve">7</w:t>
        </w:r>
      </w:hyperlink>
      <w:r w:rsidDel="00000000" w:rsidR="00000000" w:rsidRPr="00000000">
        <w:rPr>
          <w:rtl w:val="0"/>
        </w:rPr>
        <w:t xml:space="preserve">] The Governance Lane evaluates the imagery resolution, the geographic scope, and the analysis algorithm. If the resolution is insufficient to identify individual vehicles or personnel, the scope is limited to agricultural regions, and the algorithm is trained on crop phenology rather than vehicle detection, the lane issues Proceed. If the resolution permits military asset identification, the scope includes military installations, or the algorithm detects troop movements, the lane issues Refuse.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Tri-Cameral Governance Model enforces the Mandate through chamber specialization. The Technical Council maintains the detection algorithms that identify latent surveillance capability and partial weapons integration in proposed system designs. The Stewardship Custodians maintain the constitutional schema that defines the boundary between legitimate economic governance and prohibited applications. [</w:t>
      </w:r>
      <w:hyperlink r:id="rId84">
        <w:r w:rsidDel="00000000" w:rsidR="00000000" w:rsidRPr="00000000">
          <w:rPr>
            <w:color w:val="1155cc"/>
            <w:u w:val="single"/>
            <w:rtl w:val="0"/>
          </w:rPr>
          <w:t xml:space="preserve">3</w:t>
        </w:r>
      </w:hyperlink>
      <w:r w:rsidDel="00000000" w:rsidR="00000000" w:rsidRPr="00000000">
        <w:rPr>
          <w:rtl w:val="0"/>
        </w:rPr>
        <w:t xml:space="preserve">] The Smart Contract Treasury manages the economic consequences of Mandate violations, including automatic divestment from institutions that develop dual-use capabilities, automatic penalties for query patterns that attempt surveillance conversion, and automatic rewards for institutions that demonstrate verifiable no-spy, no-weapon design practices.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sources do not specify the exact differential privacy epsilon parameter for aggregate query responses, though they mandate that such parameter must be calibrated by the Technical Council to prevent reconstruction attacks while preserving analytical utility, and must be anchored in the constitutional schema with automatic Epistemic Hold triggers for queries that exceed the privacy budget. [</w:t>
      </w:r>
      <w:hyperlink r:id="rId85">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10D">
      <w:pPr>
        <w:pStyle w:val="Heading2"/>
        <w:rPr/>
      </w:pPr>
      <w:bookmarkStart w:colFirst="0" w:colLast="0" w:name="_scncuhvbsaby" w:id="22"/>
      <w:bookmarkEnd w:id="22"/>
      <w:r w:rsidDel="00000000" w:rsidR="00000000" w:rsidRPr="00000000">
        <w:rPr>
          <w:rtl w:val="0"/>
        </w:rPr>
        <w:t xml:space="preserve">2.7. No Spy, No Weapon: Universality, Power Pressure, and Final Determination</w:t>
      </w:r>
    </w:p>
    <w:p w:rsidR="00000000" w:rsidDel="00000000" w:rsidP="00000000" w:rsidRDefault="00000000" w:rsidRPr="00000000" w14:paraId="0000010E">
      <w:pPr>
        <w:rPr/>
      </w:pPr>
      <w:r w:rsidDel="00000000" w:rsidR="00000000" w:rsidRPr="00000000">
        <w:rPr>
          <w:rtl w:val="0"/>
        </w:rPr>
        <w:t xml:space="preserve">The No Spy, No Weapon Mandate is not merely a prohibition on specific applications. It is a universality claim that Ternary Logic must remain constitutionally intact across all jurisdictions, all deployment scales, and all adversarial pressure regimes. [</w:t>
      </w:r>
      <w:hyperlink r:id="rId86">
        <w:r w:rsidDel="00000000" w:rsidR="00000000" w:rsidRPr="00000000">
          <w:rPr>
            <w:color w:val="1155cc"/>
            <w:u w:val="single"/>
            <w:rtl w:val="0"/>
          </w:rPr>
          <w:t xml:space="preserve">8</w:t>
        </w:r>
      </w:hyperlink>
      <w:r w:rsidDel="00000000" w:rsidR="00000000" w:rsidRPr="00000000">
        <w:rPr>
          <w:rtl w:val="0"/>
        </w:rPr>
        <w:t xml:space="preserve">] If the Mandate holds only in liberal democracies with strong judicial oversight but collapses in authoritarian regimes with pervasive surveillance, it is not a constitutional constraint. It is a geographic preference. If it holds only in small-scale deployments with limited data but collapses in national-scale systems with comprehensive coverage, it is not an architectural principle. It is a capacity limitation. The universality stress test evaluates whether the Mandate survives five dimensions of scaling: interoperability, economic viability, latency overhead, hardware feasibility, and post-quantum cryptographic migration.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Interoperability requires that TL-governed systems can exchange data, verify each other's Decision Logs, and maintain constitutional consistency across institutional boundaries without compromising the Mandate. [</w:t>
      </w:r>
      <w:hyperlink r:id="rId87">
        <w:r w:rsidDel="00000000" w:rsidR="00000000" w:rsidRPr="00000000">
          <w:rPr>
            <w:color w:val="1155cc"/>
            <w:u w:val="single"/>
            <w:rtl w:val="0"/>
          </w:rPr>
          <w:t xml:space="preserve">8</w:t>
        </w:r>
      </w:hyperlink>
      <w:r w:rsidDel="00000000" w:rsidR="00000000" w:rsidRPr="00000000">
        <w:rPr>
          <w:rtl w:val="0"/>
        </w:rPr>
        <w:t xml:space="preserve">] When a TL-governed central bank interacts with a TL-governed commercial bank in a different jurisdiction, the Regulatory Nexus must evaluate both schemas simultaneously. If one jurisdiction's schema permits surveillance-adjacent queries that the other jurisdiction's schema prohibits, the Governance Lane issues Epistemic Hold and invokes the bilateral protocol. The Mandate does not permit interoperability through schema weakening. It demands interoperability through constitutional harmonization or joint Refuse.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Economic viability requires that the Mandate does not impose cost structures that make TL deployment commercially impossible. Surveillance and weapons applications often subsidize technology development through defense procurement, intelligence budgets, and national security funding. [</w:t>
      </w:r>
      <w:hyperlink r:id="rId88">
        <w:r w:rsidDel="00000000" w:rsidR="00000000" w:rsidRPr="00000000">
          <w:rPr>
            <w:color w:val="1155cc"/>
            <w:u w:val="single"/>
            <w:rtl w:val="0"/>
          </w:rPr>
          <w:t xml:space="preserve">8</w:t>
        </w:r>
      </w:hyperlink>
      <w:r w:rsidDel="00000000" w:rsidR="00000000" w:rsidRPr="00000000">
        <w:rPr>
          <w:rtl w:val="0"/>
        </w:rPr>
        <w:t xml:space="preserve">] A framework that refuses these revenue streams must demonstrate that legitimate economic governance generates sufficient returns to sustain development, fabrication, and operation. The Smart Contract Treasury's automated incentive structure is designed to internalize this calculation. When an institution demonstrates verifiable no-spy, no-weapon compliance, the Treasury allocates fee reductions, reputation tokens, and preferential liquidity access. When an institution develops dual-use capabilities, the Treasury imposes automatic divestment penalties that raise the cost of surveillance above the cost of constitutional compliance.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Latency overhead measures whether the Mandate's enforcement mechanisms degrade the Inference Lane's speed to the point of operational irrelevance. Query constitutionalization, differential privacy noise injection, and end-use verification add computational steps that pure surveillance or weapons systems would omit. [</w:t>
      </w:r>
      <w:hyperlink r:id="rId89">
        <w:r w:rsidDel="00000000" w:rsidR="00000000" w:rsidRPr="00000000">
          <w:rPr>
            <w:color w:val="1155cc"/>
            <w:u w:val="single"/>
            <w:rtl w:val="0"/>
          </w:rPr>
          <w:t xml:space="preserve">8</w:t>
        </w:r>
      </w:hyperlink>
      <w:r w:rsidDel="00000000" w:rsidR="00000000" w:rsidRPr="00000000">
        <w:rPr>
          <w:rtl w:val="0"/>
        </w:rPr>
        <w:t xml:space="preserve">] The Governance Lane's evaluation time for a surveillance-converted query is not merely slower than a legitimate query. It is structurally different because the lane must perform inference risk analysis, privacy budget accounting, and cross-jurisdictional conflict detection. The DITL hardware mitigates this through asynchronous parallel evaluation. The C-element stalls for prohibited queries are physically immediate, consuming negligible energy and time because the stall occurs at the first gate that detects the constitutional violation. The latency penalty is borne by the prohibited query, not by the system as a whole.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Hardware feasibility requires that the DITL substrate can be fabricated without relying on supply chains dominated by surveillance or weapons contractors. Advanced semiconductor manufacturing is concentrated in firms that derive significant revenue from defense and intelligence contracts. [</w:t>
      </w:r>
      <w:hyperlink r:id="rId90">
        <w:r w:rsidDel="00000000" w:rsidR="00000000" w:rsidRPr="00000000">
          <w:rPr>
            <w:color w:val="1155cc"/>
            <w:u w:val="single"/>
            <w:rtl w:val="0"/>
          </w:rPr>
          <w:t xml:space="preserve">8</w:t>
        </w:r>
      </w:hyperlink>
      <w:r w:rsidDel="00000000" w:rsidR="00000000" w:rsidRPr="00000000">
        <w:rPr>
          <w:rtl w:val="0"/>
        </w:rPr>
        <w:t xml:space="preserve">] TSMC, Intel, and Samsung all maintain classified foundry lines for government chips. The Triadic Coprocessor must be fabricated through commercial lines with verifiable civilian end-use certification. The Stewardship Custodians maintain a vendor exclusion list that prohibits fabrication by entities with more than a defined threshold of defense revenue. The specification does not yet define this threshold, but the constitutional schema includes a placeholder that triggers automatic Epistemic Hold on fabrication proposals until the threshold is set.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Post-quantum cryptographic migration requires that the Mandate's enforcement mechanisms remain intact after the transition from ECDSA to Dilithium. Surveillance systems are already harvesting encrypted communications for future quantum decryption. [</w:t>
      </w:r>
      <w:hyperlink r:id="rId91">
        <w:r w:rsidDel="00000000" w:rsidR="00000000" w:rsidRPr="00000000">
          <w:rPr>
            <w:color w:val="1155cc"/>
            <w:u w:val="single"/>
            <w:rtl w:val="0"/>
          </w:rPr>
          <w:t xml:space="preserve">8</w:t>
        </w:r>
      </w:hyperlink>
      <w:r w:rsidDel="00000000" w:rsidR="00000000" w:rsidRPr="00000000">
        <w:rPr>
          <w:rtl w:val="0"/>
        </w:rPr>
        <w:t xml:space="preserve">] A framework that refuses surveillance must ensure that its own cryptographic material cannot be harvested and later used to reconstruct historical Decision Logs in ways that reveal pseudonymized identities. The Hybrid Shield's per-epoch key derivation and crypto-shredding protocols are designed to prevent this by ensuring that even if quantum computers eventually break the encryption, the shredded keys are irrecoverable and the pseudonymized data remains unlinkable.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Power pressure simulation tests the Mandate against four sovereign actors with distinct legal frameworks for compelling surveillance and weapons integration. The United States employs the Defense Production Act and the Foreign Intelligence Surveillance Act to compel private sector cooperation with national security objectives. [</w:t>
      </w:r>
      <w:hyperlink r:id="rId92">
        <w:r w:rsidDel="00000000" w:rsidR="00000000" w:rsidRPr="00000000">
          <w:rPr>
            <w:color w:val="1155cc"/>
            <w:u w:val="single"/>
            <w:rtl w:val="0"/>
          </w:rPr>
          <w:t xml:space="preserve">8</w:t>
        </w:r>
      </w:hyperlink>
      <w:r w:rsidDel="00000000" w:rsidR="00000000" w:rsidRPr="00000000">
        <w:rPr>
          <w:rtl w:val="0"/>
        </w:rPr>
        <w:t xml:space="preserve">] The European Union maintains national security exceptions in the GDPR and the Cybersecurity Act that permit member states to override data protection for intelligence purposes. China operates under the National Intelligence Law and the Cybersecurity Law, which mandate comprehensive data access and technology transfer to state authorities. Russia enforces the Yarovaya Law and the SORM system, which require telecommunications and internet providers to maintain permanent backdoors for security services.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Against each actor, the Mandate faces a different pressure vector. The United States typically employs economic coercion, threatening export control restrictions, procurement exclusion, or regulatory enforcement against non-compliant firms. [</w:t>
      </w:r>
      <w:hyperlink r:id="rId93">
        <w:r w:rsidDel="00000000" w:rsidR="00000000" w:rsidRPr="00000000">
          <w:rPr>
            <w:color w:val="1155cc"/>
            <w:u w:val="single"/>
            <w:rtl w:val="0"/>
          </w:rPr>
          <w:t xml:space="preserve">8</w:t>
        </w:r>
      </w:hyperlink>
      <w:r w:rsidDel="00000000" w:rsidR="00000000" w:rsidRPr="00000000">
        <w:rPr>
          <w:rtl w:val="0"/>
        </w:rPr>
        <w:t xml:space="preserve">] The European Union employs legal harmonization pressure, requiring that third-country systems demonstrate equivalency with EU standards that may include surveillance carve-outs. China employs market access conditioning, permitting foreign technology firms to operate only if they establish local data centers subject to state inspection. Russia employs operational integration demands, requiring that domestic infrastructure include hardware and software modules compatible with state surveillance architecture.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TL's response to these pressures is architectural, not diplomatic. The DITL hardware makes compelled backdoor insertion physically detectable because any modification to the memristive state transition logic alters the chip's timing characteristics and PUF fingerprint. [</w:t>
      </w:r>
      <w:hyperlink r:id="rId94">
        <w:r w:rsidDel="00000000" w:rsidR="00000000" w:rsidRPr="00000000">
          <w:rPr>
            <w:color w:val="1155cc"/>
            <w:u w:val="single"/>
            <w:rtl w:val="0"/>
          </w:rPr>
          <w:t xml:space="preserve">6</w:t>
        </w:r>
      </w:hyperlink>
      <w:r w:rsidDel="00000000" w:rsidR="00000000" w:rsidRPr="00000000">
        <w:rPr>
          <w:rtl w:val="0"/>
        </w:rPr>
        <w:t xml:space="preserve">] The Immutable Ledger makes compelled data access attributable because every query generates a Decision Log that records the queryer's identity, purpose, and constitutional evaluation. A sovereign that compels access cannot conceal the compulsion from external auditors who review the ledger. The Open Source License makes compelled proprietary enclosure legally unenforceable because the license prohibits patent claims and exclusive licensing that would prevent the framework from remaining in the intellectual commons.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Economic sustainability without defense or surveillance revenue is the commercial correlate of power pressure. Technology firms that refuse national security contracts face revenue gaps that may threaten their viability. [</w:t>
      </w:r>
      <w:hyperlink r:id="rId95">
        <w:r w:rsidDel="00000000" w:rsidR="00000000" w:rsidRPr="00000000">
          <w:rPr>
            <w:color w:val="1155cc"/>
            <w:u w:val="single"/>
            <w:rtl w:val="0"/>
          </w:rPr>
          <w:t xml:space="preserve">8</w:t>
        </w:r>
      </w:hyperlink>
      <w:r w:rsidDel="00000000" w:rsidR="00000000" w:rsidRPr="00000000">
        <w:rPr>
          <w:rtl w:val="0"/>
        </w:rPr>
        <w:t xml:space="preserve">] TL addresses this through the Smart Contract Treasury's market-making function. The Treasury creates a constitutional compliance premium, a pricing differential that rewards TL-governed institutions with lower counterparty risk, reduced insurance premiums, and preferential regulatory treatment. Institutions that demonstrate verifiable no-spy, no-weapon compliance receive a reputation score that is cryptographically anchored and publicly verifiable. Counterparties can query this score through the Regulatory Nexus and price transactions accordingly. The premium does not require government subsidy. It emerges from market recognition that constitutionally governed institutions are lower-risk partners.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Governance integrity evaluation assesses whether the Tri-Cameral chambers themselves remain free from surveillance and weapons capture. A Technical Council dominated by former intelligence contractors may certify surveillance-adjacent models as legitimate. A Stewardship Custodian body that includes national security liaisons may approve schema relaxations for counterterrorism purposes. [</w:t>
      </w:r>
      <w:hyperlink r:id="rId96">
        <w:r w:rsidDel="00000000" w:rsidR="00000000" w:rsidRPr="00000000">
          <w:rPr>
            <w:color w:val="1155cc"/>
            <w:u w:val="single"/>
            <w:rtl w:val="0"/>
          </w:rPr>
          <w:t xml:space="preserve">8</w:t>
        </w:r>
      </w:hyperlink>
      <w:r w:rsidDel="00000000" w:rsidR="00000000" w:rsidRPr="00000000">
        <w:rPr>
          <w:rtl w:val="0"/>
        </w:rPr>
        <w:t xml:space="preserve">] The specification mitigates this through mandatory diversity requirements and conflict-of-interest disclosure. Council members with defense or intelligence backgrounds must recuse themselves from evaluations where their prior employment creates apparent bias. Custodians with national security portfolios must disclose their government relationships and abstain from votes on surveillance-related schema modifications. These disclosures are themselves anchored to the Immutable Ledger, creating permanent records of potential capture vectors.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Comparative framework review positions TL against existing governance architectures. The European Union AI Act prohibits AI systems that enable social scoring and real-time biometric identification in public spaces, but permits law enforcement exceptions for serious crime investigation and national security. [</w:t>
      </w:r>
      <w:hyperlink r:id="rId97">
        <w:r w:rsidDel="00000000" w:rsidR="00000000" w:rsidRPr="00000000">
          <w:rPr>
            <w:color w:val="1155cc"/>
            <w:u w:val="single"/>
            <w:rtl w:val="0"/>
          </w:rPr>
          <w:t xml:space="preserve">8</w:t>
        </w:r>
      </w:hyperlink>
      <w:r w:rsidDel="00000000" w:rsidR="00000000" w:rsidRPr="00000000">
        <w:rPr>
          <w:rtl w:val="0"/>
        </w:rPr>
        <w:t xml:space="preserve">] The OECD AI Principles recommend human oversight and transparency but do not prohibit specific applications. The United States Department of Defense and NATO maintain AI ethics frameworks that permit lethal autonomous weapons under human-machine teaming protocols. The Bank for International Settlements Agorá project explores tokenized cross-border payments without addressing surveillance or weapons boundaries. TL is stricter than all of these because it does not permit exceptions. The Goukassian Vow's second mandate, refuse when harm is clear, does not contain a national security carve-out.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Gray zone elimination is the continuous process of refining the Mandate's boundary definitions to prevent adversaries from exploiting ambiguity. The Oracle Problem, statistical inference disguise, latent surveillance capability, and partial weapons integration are not one-time vulnerabilities. They are persistent attack surfaces that evolve as technology advances. [</w:t>
      </w:r>
      <w:hyperlink r:id="rId98">
        <w:r w:rsidDel="00000000" w:rsidR="00000000" w:rsidRPr="00000000">
          <w:rPr>
            <w:color w:val="1155cc"/>
            <w:u w:val="single"/>
            <w:rtl w:val="0"/>
          </w:rPr>
          <w:t xml:space="preserve">8</w:t>
        </w:r>
      </w:hyperlink>
      <w:r w:rsidDel="00000000" w:rsidR="00000000" w:rsidRPr="00000000">
        <w:rPr>
          <w:rtl w:val="0"/>
        </w:rPr>
        <w:t xml:space="preserve">] TL addresses this through the Constitutional Uncertainty Register, which tracks unspecified parameters and emerging threats that require future schema updates. When a new gray zone is identified, such as the use of synthetic data generation to circumvent differential privacy, the Stewardship Custodians convene to evaluate whether the technique violates the Mandate. The Decision Log for this evaluation is anchored to the ledger, creating a precedent that subsequent implementations must follow.</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final determination is a three-axis assessment. Technical feasibility is affirmative. The DITL hardware, the asynchronous handshake protocol, the query constitutionalization layer, and the differential privacy mechanisms are all implementable with existing or near-term technology. [</w:t>
      </w:r>
      <w:hyperlink r:id="rId99">
        <w:r w:rsidDel="00000000" w:rsidR="00000000" w:rsidRPr="00000000">
          <w:rPr>
            <w:color w:val="1155cc"/>
            <w:u w:val="single"/>
            <w:rtl w:val="0"/>
          </w:rPr>
          <w:t xml:space="preserve">8</w:t>
        </w:r>
      </w:hyperlink>
      <w:r w:rsidDel="00000000" w:rsidR="00000000" w:rsidRPr="00000000">
        <w:rPr>
          <w:rtl w:val="0"/>
        </w:rPr>
        <w:t xml:space="preserve">] Economic viability is affirmative. The constitutional compliance premium, the automated Treasury incentives, and the reduced counterparty risk create a self-sustaining revenue model that does not require defense or surveillance subsidies. Political realism is negative. Universal adoption of the Mandate is not achievable because sovereign states with surveillance and weapons priorities will not voluntarily adopt a framework that physically prevents these priorities. [</w:t>
      </w:r>
      <w:hyperlink r:id="rId100">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political realism constraint does not invalidate the Mandate. It defines its deployment boundary. TL can achieve widespread adoption in jurisdictions with strong rule of law, independent judiciaries, and civilian technology sectors. It can achieve partial adoption in jurisdictions with mixed governance, where private institutions adopt TL for commercial advantage while state institutions maintain separate surveillance infrastructure. It cannot achieve adoption in totalitarian jurisdictions where the state claims unlimited authority over technology. [</w:t>
      </w:r>
      <w:hyperlink r:id="rId101">
        <w:r w:rsidDel="00000000" w:rsidR="00000000" w:rsidRPr="00000000">
          <w:rPr>
            <w:color w:val="1155cc"/>
            <w:u w:val="single"/>
            <w:rtl w:val="0"/>
          </w:rPr>
          <w:t xml:space="preserve">8</w:t>
        </w:r>
      </w:hyperlink>
      <w:r w:rsidDel="00000000" w:rsidR="00000000" w:rsidRPr="00000000">
        <w:rPr>
          <w:rtl w:val="0"/>
        </w:rPr>
        <w:t xml:space="preserve">] The Mandate is not universal in geography. It is universal in architecture. Any system that calls itself TL must satisfy the Mandate, regardless of where it is deployed. Systems that do not satisfy the Mandate are not TL, even if they claim the name.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Tri-Cameral Governance Model manages the political realism constraint through jurisdictional differentiation. The Stewardship Custodians maintain separate constitutional schema versions for jurisdictions with different legal frameworks, but the no-spy, no-weapon constraints are non-negotiable across all versions. [</w:t>
      </w:r>
      <w:hyperlink r:id="rId102">
        <w:r w:rsidDel="00000000" w:rsidR="00000000" w:rsidRPr="00000000">
          <w:rPr>
            <w:color w:val="1155cc"/>
            <w:u w:val="single"/>
            <w:rtl w:val="0"/>
          </w:rPr>
          <w:t xml:space="preserve">3</w:t>
        </w:r>
      </w:hyperlink>
      <w:r w:rsidDel="00000000" w:rsidR="00000000" w:rsidRPr="00000000">
        <w:rPr>
          <w:rtl w:val="0"/>
        </w:rPr>
        <w:t xml:space="preserve">] A jurisdiction that demands surveillance carve-outs cannot receive a valid schema version. It can operate a forked system, but the fork cannot carry the Goukassian Signature or the Lantern beacon without violating the License's Attribution Covenant. The Immutable Ledger makes this exclusion verifiable. External auditors can query the ledger to confirm that a claimed TL implementation is running an authorized schema version or an unauthorized fork.</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sources do not specify the exact defense revenue threshold for vendor exclusion from TL fabrication contracts, though they mandate that such threshold must be defined by the Stewardship Custodians and anchored in the constitutional schema with automatic Epistemic Hold on fabrication proposals until resolution. [</w:t>
      </w:r>
      <w:hyperlink r:id="rId103">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12F">
      <w:pPr>
        <w:pStyle w:val="Heading2"/>
        <w:rPr/>
      </w:pPr>
      <w:bookmarkStart w:colFirst="0" w:colLast="0" w:name="_ldvfcl2qalwp" w:id="23"/>
      <w:bookmarkEnd w:id="23"/>
      <w:r w:rsidDel="00000000" w:rsidR="00000000" w:rsidRPr="00000000">
        <w:rPr>
          <w:rtl w:val="0"/>
        </w:rPr>
        <w:t xml:space="preserve">3.1. Basel III and Fundamental Review of the Trading Book</w:t>
      </w:r>
    </w:p>
    <w:p w:rsidR="00000000" w:rsidDel="00000000" w:rsidP="00000000" w:rsidRDefault="00000000" w:rsidRPr="00000000" w14:paraId="00000130">
      <w:pPr>
        <w:rPr/>
      </w:pPr>
      <w:r w:rsidDel="00000000" w:rsidR="00000000" w:rsidRPr="00000000">
        <w:rPr>
          <w:rtl w:val="0"/>
        </w:rPr>
        <w:t xml:space="preserve">Basel III establishes the global regulatory framework for bank capital adequacy, stress testing, and market liquidity risk. The Fundamental Review of the Trading Book (FRTB) fundamentally restructures how banks measure and hold capital against trading book exposures. [</w:t>
      </w:r>
      <w:hyperlink r:id="rId104">
        <w:r w:rsidDel="00000000" w:rsidR="00000000" w:rsidRPr="00000000">
          <w:rPr>
            <w:color w:val="1155cc"/>
            <w:u w:val="single"/>
            <w:rtl w:val="0"/>
          </w:rPr>
          <w:t xml:space="preserve">2</w:t>
        </w:r>
      </w:hyperlink>
      <w:r w:rsidDel="00000000" w:rsidR="00000000" w:rsidRPr="00000000">
        <w:rPr>
          <w:rtl w:val="0"/>
        </w:rPr>
        <w:t xml:space="preserve">] Ternary Logic aligns with Basel III at the architectural level because both frameworks treat governance as a precondition for execution rather than an after-the-fact audit layer. Basel III Pillar 1 mandates minimum capital requirements. Pillar 2 demands supervisory review and internal governance. Pillar 3 requires market discipline through disclosure. TL operationalizes all three pillars by embedding them into the pre-execution Decision Log.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FRTB introduces the Expected Shortfall (ES) measure to replace Value-at-Risk (VaR) for market risk capital calculations. ES captures tail risk more effectively than VaR because it measures the average loss in the worst quantiles of the distribution rather than merely the threshold breach probability. [</w:t>
      </w:r>
      <w:hyperlink r:id="rId105">
        <w:r w:rsidDel="00000000" w:rsidR="00000000" w:rsidRPr="00000000">
          <w:rPr>
            <w:color w:val="1155cc"/>
            <w:u w:val="single"/>
            <w:rtl w:val="0"/>
          </w:rPr>
          <w:t xml:space="preserve">2</w:t>
        </w:r>
      </w:hyperlink>
      <w:r w:rsidDel="00000000" w:rsidR="00000000" w:rsidRPr="00000000">
        <w:rPr>
          <w:rtl w:val="0"/>
        </w:rPr>
        <w:t xml:space="preserve">] For TL, this shift is consequential. VaR is a binary-threshold concept: a position either breaches the limit or it does not. ES is a distributional concept that demands continuous evaluation of the entire tail. TL's triadic states map naturally onto ES-based risk management. Proceed corresponds to positions where the ES calculation is complete, validated, and within constitutional capital bounds. Refuse corresponds to positions where the ES exceeds mandated thresholds or where the model inputs fail validation. Epistemic Hold corresponds to positions where the ES calculation cannot be completed because a critical market data feed is stale, a correlation matrix is unverified, or a stress scenario has not been rebalanced since the last regulatory update.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FRTB Non-Modellable Risk Factors (NMRF) provision is particularly relevant to TL governance. NMRF requires that risk factors lacking sufficient observable data must be capitalized at a standard regulatory charge rather than a model-derived charge. [</w:t>
      </w:r>
      <w:hyperlink r:id="rId106">
        <w:r w:rsidDel="00000000" w:rsidR="00000000" w:rsidRPr="00000000">
          <w:rPr>
            <w:color w:val="1155cc"/>
            <w:u w:val="single"/>
            <w:rtl w:val="0"/>
          </w:rPr>
          <w:t xml:space="preserve">2</w:t>
        </w:r>
      </w:hyperlink>
      <w:r w:rsidDel="00000000" w:rsidR="00000000" w:rsidRPr="00000000">
        <w:rPr>
          <w:rtl w:val="0"/>
        </w:rPr>
        <w:t xml:space="preserve">] TL's Epistemic Hold state operationalizes this provision automatically. When the Governance Lane detects that a risk factor has fallen below the FRTB threshold for modellability, it does not default to a statistical estimate. It issues Epistemic Hold and invokes the Sacred Pause workflow to either source additional observable data or escalate to the standard charge methodology. The Decision Log records the NMRF determination, the data sufficiency analysis, and the final capital treatment. This log satisfies both NL=NA and the Basel Committee's expectation that NMRF assessments be documented and defensible to supervisors.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Basel III's Internal Ratings-Based (IRB) approach for credit risk requires that banks maintain rigorous model governance frameworks. The IRB approach permits banks to use their own probability of default (PD), loss given default (LGD), and exposure at default (EAD) models, subject to supervisory approval and ongoing validation. [</w:t>
      </w:r>
      <w:hyperlink r:id="rId107">
        <w:r w:rsidDel="00000000" w:rsidR="00000000" w:rsidRPr="00000000">
          <w:rPr>
            <w:color w:val="1155cc"/>
            <w:u w:val="single"/>
            <w:rtl w:val="0"/>
          </w:rPr>
          <w:t xml:space="preserve">2</w:t>
        </w:r>
      </w:hyperlink>
      <w:r w:rsidDel="00000000" w:rsidR="00000000" w:rsidRPr="00000000">
        <w:rPr>
          <w:rtl w:val="0"/>
        </w:rPr>
        <w:t xml:space="preserve">] TL embeds these validation requirements into the Governance Lane. Before any IRB-derived capital allocation proposal can receive Proceed, the Decision Log must contain evidence of model validation, calibration to recent default data, and stress testing against macroeconomic scenarios approved by the Technical Council. If a corporate lending algorithm proposes a risk-weighted asset calculation based on an LGD model that has not been recalibrated since the last financial reporting cycle, the Governance Lane issues Refuse. The Goukassian Vow's second mandate, refuse when harm is clear, applies here because an uncalibrated LGD model poses direct harm to capital adequacy.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Basel III leverage ratio provides a non-risk-based backstop to risk-based capital requirements. It mandates that Tier 1 capital must exceed a fixed percentage of total exposures, regardless of risk weighting. [</w:t>
      </w:r>
      <w:hyperlink r:id="rId108">
        <w:r w:rsidDel="00000000" w:rsidR="00000000" w:rsidRPr="00000000">
          <w:rPr>
            <w:color w:val="1155cc"/>
            <w:u w:val="single"/>
            <w:rtl w:val="0"/>
          </w:rPr>
          <w:t xml:space="preserve">2</w:t>
        </w:r>
      </w:hyperlink>
      <w:r w:rsidDel="00000000" w:rsidR="00000000" w:rsidRPr="00000000">
        <w:rPr>
          <w:rtl w:val="0"/>
        </w:rPr>
        <w:t xml:space="preserve">] TL enforces this ratio as a hard constitutional boundary. The Stewardship Custodians can configure the Governance Lane to issue automatic Refuse on any proposal that would cause the leverage ratio to breach its regulatory minimum. Because this is a non-risk-based threshold, it requires no probabilistic judgment. It is a mathematical boundary. The Governance Lane evaluates the proposal's impact on total exposures, compares it to available Tier 1 capital, and issues Refuse if the ratio would be violated. The Decision Log contains the exact calculation, the regulatory threshold, and the chamber signatures. This is regulatory compliance by architectural design, not by quarterly reporting.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Stress testing under Basel III, including the Supervisory Capital Assessment Program (SCAP) methodology and the European Banking Authority's stress test protocols, requires banks to demonstrate resilience under adverse macroeconomic scenarios. [</w:t>
      </w:r>
      <w:hyperlink r:id="rId109">
        <w:r w:rsidDel="00000000" w:rsidR="00000000" w:rsidRPr="00000000">
          <w:rPr>
            <w:color w:val="1155cc"/>
            <w:u w:val="single"/>
            <w:rtl w:val="0"/>
          </w:rPr>
          <w:t xml:space="preserve">2</w:t>
        </w:r>
      </w:hyperlink>
      <w:r w:rsidDel="00000000" w:rsidR="00000000" w:rsidRPr="00000000">
        <w:rPr>
          <w:rtl w:val="0"/>
        </w:rPr>
        <w:t xml:space="preserve">] TL integrates stress testing into the Inference Lane proposal generation and the Governance Lane evaluation. A trading algorithm that proposes a sovereign bond position must include in its proposal the stress-test results for that position under the latest adverse scenarios published by the relevant supervisory authority. The Governance Lane verifies that these results are present, that they are generated by validated models, and that they show sufficient capital preservation under stress. If the stress-test data is missing, Epistemic Hold is issued and the Sacred Pause workflow queries the bank's risk management division for the required analysis.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Tri-Cameral Governance Model maps directly onto Basel III's three pillars. The Technical Council corresponds to Pillar 1, ensuring that the quantitative models and capital calculations are technically sound and meet minimum regulatory standards. The Stewardship Custodians correspond to Pillar 2, providing supervisory review and evaluating whether the bank's internal governance processes are adequate for its risk profile. [</w:t>
      </w:r>
      <w:hyperlink r:id="rId110">
        <w:r w:rsidDel="00000000" w:rsidR="00000000" w:rsidRPr="00000000">
          <w:rPr>
            <w:color w:val="1155cc"/>
            <w:u w:val="single"/>
            <w:rtl w:val="0"/>
          </w:rPr>
          <w:t xml:space="preserve">3</w:t>
        </w:r>
      </w:hyperlink>
      <w:r w:rsidDel="00000000" w:rsidR="00000000" w:rsidRPr="00000000">
        <w:rPr>
          <w:rtl w:val="0"/>
        </w:rPr>
        <w:t xml:space="preserve">] The Smart Contract Treasury corresponds to Pillar 3, ensuring that disclosures, market discipline mechanisms, and transparency obligations are met through automated, cryptographically verifiable reporting. This alignment means that a bank operating under TL governance does not maintain a separate Basel compliance department that audits decisions after they occur. The Basel requirements are the operating system.</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sources do not specify the exact calibration thresholds for NMRF modellability under TL, though they mandate that such thresholds must be configurable by the Stewardship Custodians and anchored in the constitutional schema.</w:t>
      </w:r>
    </w:p>
    <w:p w:rsidR="00000000" w:rsidDel="00000000" w:rsidP="00000000" w:rsidRDefault="00000000" w:rsidRPr="00000000" w14:paraId="0000013F">
      <w:pPr>
        <w:pStyle w:val="Heading2"/>
        <w:rPr/>
      </w:pPr>
      <w:bookmarkStart w:colFirst="0" w:colLast="0" w:name="_sxxpmstrikjv" w:id="24"/>
      <w:bookmarkEnd w:id="24"/>
      <w:r w:rsidDel="00000000" w:rsidR="00000000" w:rsidRPr="00000000">
        <w:rPr>
          <w:rtl w:val="0"/>
        </w:rPr>
        <w:t xml:space="preserve">3.2. SEC, CFTC, and Market Integrity Enforcement</w:t>
      </w:r>
    </w:p>
    <w:p w:rsidR="00000000" w:rsidDel="00000000" w:rsidP="00000000" w:rsidRDefault="00000000" w:rsidRPr="00000000" w14:paraId="00000140">
      <w:pPr>
        <w:rPr/>
      </w:pPr>
      <w:r w:rsidDel="00000000" w:rsidR="00000000" w:rsidRPr="00000000">
        <w:rPr>
          <w:rtl w:val="0"/>
        </w:rPr>
        <w:t xml:space="preserve">The U.S. Securities and Exchange Commission and the Commodity Futures Trading Commission operate the most technologically intensive market integrity enforcement frameworks in global finance. SEC Regulation SCI (Systems Compliance and Integrity) mandates that self-regulatory organizations and certain market participants establish comprehensive policies and procedures to ensure the capacity, integrity, resiliency, availability, and security of their automated systems. [</w:t>
      </w:r>
      <w:hyperlink r:id="rId111">
        <w:r w:rsidDel="00000000" w:rsidR="00000000" w:rsidRPr="00000000">
          <w:rPr>
            <w:color w:val="1155cc"/>
            <w:u w:val="single"/>
            <w:rtl w:val="0"/>
          </w:rPr>
          <w:t xml:space="preserve">2</w:t>
        </w:r>
      </w:hyperlink>
      <w:r w:rsidDel="00000000" w:rsidR="00000000" w:rsidRPr="00000000">
        <w:rPr>
          <w:rtl w:val="0"/>
        </w:rPr>
        <w:t xml:space="preserve">] TL aligns with Reg SCI by making system integrity a pre-execution constitutional requirement rather than a post-incident remediation standard.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Reg SCI requires that covered entities conduct annual reviews, test their business continuity and disaster recovery plans, and notify the SEC of systems disruptions. [</w:t>
      </w:r>
      <w:hyperlink r:id="rId112">
        <w:r w:rsidDel="00000000" w:rsidR="00000000" w:rsidRPr="00000000">
          <w:rPr>
            <w:color w:val="1155cc"/>
            <w:u w:val="single"/>
            <w:rtl w:val="0"/>
          </w:rPr>
          <w:t xml:space="preserve">2</w:t>
        </w:r>
      </w:hyperlink>
      <w:r w:rsidDel="00000000" w:rsidR="00000000" w:rsidRPr="00000000">
        <w:rPr>
          <w:rtl w:val="0"/>
        </w:rPr>
        <w:t xml:space="preserve">] TL operationalizes these requirements through the Governance Lane and the Immutable Ledger. The annual review is not a paperwork exercise conducted by a compliance officer. It is a continuous, automated evaluation embedded in the constitutional schema. The Technical Council configures the Governance Lane to verify that every trading algorithm proposal includes evidence of the most recent business continuity test, the most recent penetration test, and the most recent systems capacity assessment. If any of these evidentiary elements is missing or expired, the Governance Lane issues Epistemic Hold. The Sacred Pause workflow notifies the entity's technology risk management division and begins the escalation countdown to the Stewardship Custodians.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Consolidated Audit Trail (CAT) is the SEC's flagship data collection system for equities and options markets. CAT requires that broker-dealers report comprehensive order and trade information, including the identity of the customer, the time of order receipt, the time of routing, the time of execution, and the handling instructions. [</w:t>
      </w:r>
      <w:hyperlink r:id="rId113">
        <w:r w:rsidDel="00000000" w:rsidR="00000000" w:rsidRPr="00000000">
          <w:rPr>
            <w:color w:val="1155cc"/>
            <w:u w:val="single"/>
            <w:rtl w:val="0"/>
          </w:rPr>
          <w:t xml:space="preserve">2</w:t>
        </w:r>
      </w:hyperlink>
      <w:r w:rsidDel="00000000" w:rsidR="00000000" w:rsidRPr="00000000">
        <w:rPr>
          <w:rtl w:val="0"/>
        </w:rPr>
        <w:t xml:space="preserve">] TL's Decision Log architecture is structurally identical to CAT reporting requirements but operates as a pre-execution gate rather than a post-trade submission. Every Permission Token contains the precise data elements that CAT demands: customer identification, timestamps at microsecond granularity, routing decisions, and handling instructions. Because the Decision Log is generated before execution and anchored to the immutable ledger, the broker-dealer cannot retroactively alter the record to conceal misconduct. The log is the execution prerequisite. No Log equals No Action, and therefore no action can occur without a CAT-equivalent record already existing in cryptographically sealed form.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SEC Rule 17a-4 governs recordkeeping by broker-dealers. It mandates that certain records be preserved for specified periods, that electronic records be maintained in a non-rewriteable, non-erasable format, and that the storage system be capable of verifying the accuracy of the recordkeeping process. [</w:t>
      </w:r>
      <w:hyperlink r:id="rId114">
        <w:r w:rsidDel="00000000" w:rsidR="00000000" w:rsidRPr="00000000">
          <w:rPr>
            <w:color w:val="1155cc"/>
            <w:u w:val="single"/>
            <w:rtl w:val="0"/>
          </w:rPr>
          <w:t xml:space="preserve">2</w:t>
        </w:r>
      </w:hyperlink>
      <w:r w:rsidDel="00000000" w:rsidR="00000000" w:rsidRPr="00000000">
        <w:rPr>
          <w:rtl w:val="0"/>
        </w:rPr>
        <w:t xml:space="preserve">] TL's Immutable Ledger and cryptographic anchoring satisfy Rule 17a-4 by architectural design. The Decision Log is non-rewriteable because any modification breaks the hash chain. It is non-erasable because the ledger is distributed across multiple nodes with quorum-based consensus. The accuracy verification is automatic: the schema validation engine checks every field for syntactic correctness, the cryptographic engine verifies every signature for authenticity, and the hash engine confirms every anchor for immutability. A broker-dealer operating under TL governance does not purchase a separate Rule 17a-4 compliance solution. The framework itself is the compliance solution.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CFTC regulates automated trading in derivatives markets through Regulation AT (Automated Trading), which establishes risk controls, transparency requirements, and standards of care for algorithmic trading systems. [</w:t>
      </w:r>
      <w:hyperlink r:id="rId115">
        <w:r w:rsidDel="00000000" w:rsidR="00000000" w:rsidRPr="00000000">
          <w:rPr>
            <w:color w:val="1155cc"/>
            <w:u w:val="single"/>
            <w:rtl w:val="0"/>
          </w:rPr>
          <w:t xml:space="preserve">2</w:t>
        </w:r>
      </w:hyperlink>
      <w:r w:rsidDel="00000000" w:rsidR="00000000" w:rsidRPr="00000000">
        <w:rPr>
          <w:rtl w:val="0"/>
        </w:rPr>
        <w:t xml:space="preserve">] Reg AT requires that trading firms implement pre-trade risk controls, including maximum order message limits, price collars, and maximum order sizes. TL's Governance Lane enforces these controls as constitutional boundaries. The Stewardship Custodians configure the Governance Lane with the specific Reg AT parameters applicable to each trading entity and instrument class. When a high-frequency trading algorithm proposes an order, the Governance Lane evaluates the proposal against the configured boundaries. If the proposal would exceed the maximum order message rate, the Governance Lane issues Refuse. The Goukassian Vow's second mandate, refuse when harm is clear, applies because exceeding message rate limits poses direct harm to market integrity and systemic stability.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Market manipulation enforcement under both SEC and CFTC jurisdiction depends on the ability to reconstruct the sequence of events that led to a manipulative outcome. Spoofing, layering, and quote stuffing are manipulation techniques that exploit the speed and opacity of automated trading. [</w:t>
      </w:r>
      <w:hyperlink r:id="rId116">
        <w:r w:rsidDel="00000000" w:rsidR="00000000" w:rsidRPr="00000000">
          <w:rPr>
            <w:color w:val="1155cc"/>
            <w:u w:val="single"/>
            <w:rtl w:val="0"/>
          </w:rPr>
          <w:t xml:space="preserve">2</w:t>
        </w:r>
      </w:hyperlink>
      <w:r w:rsidDel="00000000" w:rsidR="00000000" w:rsidRPr="00000000">
        <w:rPr>
          <w:rtl w:val="0"/>
        </w:rPr>
        <w:t xml:space="preserve">] TL's Dual-Lane Architecture prevents these techniques at the proposal stage. The Inference Lane may detect a pattern that appears statistically profitable, such as a rapid sequence of orders placed and canceled to induce price movement. The Governance Lane, however, evaluates the constitutional character of the pattern. If the proposal exhibits the temporal signature of spoofing, such as orders canceled within milliseconds of placement without execution intent, the Governance Lane issues Refuse. The Decision Log records the pattern analysis, the manipulation signature detected, and the constitutional gate violated. This log becomes immediate, immutable evidence for enforcement authorities. The firm cannot claim that the algorithm acted without human knowledge because the Governance Lane's Refuse determination, signed by the Stewardship Custodians, demonstrates that the system detected the manipulation and blocked it.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Dodd-Frank Wall Street Reform and Consumer Protection Act expanded CFTC authority over swaps and derivatives, mandated clearing requirements, and established real-time reporting obligations. [</w:t>
      </w:r>
      <w:hyperlink r:id="rId117">
        <w:r w:rsidDel="00000000" w:rsidR="00000000" w:rsidRPr="00000000">
          <w:rPr>
            <w:color w:val="1155cc"/>
            <w:u w:val="single"/>
            <w:rtl w:val="0"/>
          </w:rPr>
          <w:t xml:space="preserve">2</w:t>
        </w:r>
      </w:hyperlink>
      <w:r w:rsidDel="00000000" w:rsidR="00000000" w:rsidRPr="00000000">
        <w:rPr>
          <w:rtl w:val="0"/>
        </w:rPr>
        <w:t xml:space="preserve">] TL's API specification includes endpoints for real-time regulatory reporting that operate automatically upon every Proceed determination. When the Governance Lane authorizes a swap transaction, the Decision Log is formatted according to the CFTC's real-time data reporting standard and transmitted to the relevant swap data repository through a cryptographically authenticated channel. The transmission is itself logged in the Immutable Ledger. The firm cannot delay reporting, selectively report, or alter reported data because the reporting is an automated consequence of the Permission Token generation. The Smart Contract Treasury manages the resource allocation and incentive structure that ensures these transmissions occur without human intervention or institutional override.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Tri-Cameral Governance Model provides the institutional structure for SEC and CFTC alignment. The Technical Council ensures that the Inference Lane algorithms comply with the quantitative requirements of Reg SCI, Reg AT, and Dodd-Frank. The Stewardship Custodians serve as the functional equivalent of a chief compliance officer embedded in the constitutional architecture, with the critical distinction that they cannot be overridden by executive management. [</w:t>
      </w:r>
      <w:hyperlink r:id="rId118">
        <w:r w:rsidDel="00000000" w:rsidR="00000000" w:rsidRPr="00000000">
          <w:rPr>
            <w:color w:val="1155cc"/>
            <w:u w:val="single"/>
            <w:rtl w:val="0"/>
          </w:rPr>
          <w:t xml:space="preserve">3</w:t>
        </w:r>
      </w:hyperlink>
      <w:r w:rsidDel="00000000" w:rsidR="00000000" w:rsidRPr="00000000">
        <w:rPr>
          <w:rtl w:val="0"/>
        </w:rPr>
        <w:t xml:space="preserve">] The Smart Contract Treasury manages the economic incentives that ensure continuous compliance, such as automated penalties deducted from trading profits when constitutional gates are bypassed or when evidentiary gaps are detected. This automated penalty structure removes the profit motive for regulatory arbitrage.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sources do not specify the exact microsecond timestamping protocol for CAT-equivalent Decision Logs, though they mandate that such timestamps must be generated by hardware-bound clocks resistant to system-time manipulation.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Confirmed. From Turn 9 onward, the slow lane is the </w:t>
      </w:r>
      <w:r w:rsidDel="00000000" w:rsidR="00000000" w:rsidRPr="00000000">
        <w:rPr>
          <w:b w:val="1"/>
          <w:bCs w:val="1"/>
          <w:rtl w:val="0"/>
        </w:rPr>
        <w:t xml:space="preserve">Governance Lane</w:t>
      </w:r>
      <w:r w:rsidDel="00000000" w:rsidR="00000000" w:rsidRPr="00000000">
        <w:rPr>
          <w:rtl w:val="0"/>
        </w:rPr>
        <w:t xml:space="preserve">, and the fast lane remains the </w:t>
      </w:r>
      <w:r w:rsidDel="00000000" w:rsidR="00000000" w:rsidRPr="00000000">
        <w:rPr>
          <w:b w:val="1"/>
          <w:bCs w:val="1"/>
          <w:rtl w:val="0"/>
        </w:rPr>
        <w:t xml:space="preserve">Inference Lane</w:t>
      </w:r>
      <w:r w:rsidDel="00000000" w:rsidR="00000000" w:rsidRPr="00000000">
        <w:rPr>
          <w:rtl w:val="0"/>
        </w:rPr>
        <w:t xml:space="preserve">. I will not use "Audit Lane" in any subsequent Turn.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rPr/>
      </w:pPr>
      <w:bookmarkStart w:colFirst="0" w:colLast="0" w:name="_dhq0lcqenjz4" w:id="25"/>
      <w:bookmarkEnd w:id="25"/>
      <w:r w:rsidDel="00000000" w:rsidR="00000000" w:rsidRPr="00000000">
        <w:rPr>
          <w:rtl w:val="0"/>
        </w:rPr>
        <w:t xml:space="preserve">3.3. IOSCO Principles for Financial Market Infrastructures</w:t>
      </w:r>
    </w:p>
    <w:p w:rsidR="00000000" w:rsidDel="00000000" w:rsidP="00000000" w:rsidRDefault="00000000" w:rsidRPr="00000000" w14:paraId="00000156">
      <w:pPr>
        <w:rPr/>
      </w:pPr>
      <w:r w:rsidDel="00000000" w:rsidR="00000000" w:rsidRPr="00000000">
        <w:rPr>
          <w:rtl w:val="0"/>
        </w:rPr>
        <w:t xml:space="preserve">The Principles for Financial Market Infrastructures, published jointly by the International Organization of Securities Commissions and the Committee on Payment and Settlement Systems of the Bank for International Settlements, constitute the global standard for the design and operation of systemically important payment systems, central securities depositories, securities settlement systems, central counterparties, and trade repositories. [</w:t>
      </w:r>
      <w:hyperlink r:id="rId119">
        <w:r w:rsidDel="00000000" w:rsidR="00000000" w:rsidRPr="00000000">
          <w:rPr>
            <w:color w:val="1155cc"/>
            <w:u w:val="single"/>
            <w:rtl w:val="0"/>
          </w:rPr>
          <w:t xml:space="preserve">2</w:t>
        </w:r>
      </w:hyperlink>
      <w:r w:rsidDel="00000000" w:rsidR="00000000" w:rsidRPr="00000000">
        <w:rPr>
          <w:rtl w:val="0"/>
        </w:rPr>
        <w:t xml:space="preserve">] Ternary Logic aligns with the PFMI at the deepest architectural level because both frameworks recognize that the governance structure of a financial market infrastructure is inseparable from its operational safety.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PFMI Principle 1 requires a well-founded, clear, and transparent legal basis for all aspects of the infrastructure's operations. [</w:t>
      </w:r>
      <w:hyperlink r:id="rId120">
        <w:r w:rsidDel="00000000" w:rsidR="00000000" w:rsidRPr="00000000">
          <w:rPr>
            <w:color w:val="1155cc"/>
            <w:u w:val="single"/>
            <w:rtl w:val="0"/>
          </w:rPr>
          <w:t xml:space="preserve">2</w:t>
        </w:r>
      </w:hyperlink>
      <w:r w:rsidDel="00000000" w:rsidR="00000000" w:rsidRPr="00000000">
        <w:rPr>
          <w:rtl w:val="0"/>
        </w:rPr>
        <w:t xml:space="preserve">] TL satisfies this principle by making the Goukassian Vow the immutable legal foundation of the Governance Lane. The Vow is not an internal policy document subject to revision by management. It is a constitutional law embedded in the hardware substrate, the API schema, and the Tri-Cameral Governance charter. Every Permission Token contains a cryptographic attestation that the underlying proposal was evaluated against the Vow. This attestation provides the transparent legal basis that PFMI demands. A regulator examining a central counterparty's automated margin call system can verify, through the Decision Log, that every call was either authorized by the Vow's Proceed mandate or blocked by its Refuse mandate.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PFMI Principle 2 governs the governance arrangements of financial market infrastructures. It mandates that governance arrangements should be clear and transparent, support the safety and efficiency of the infrastructure, and support the stability of the broader financial system. [</w:t>
      </w:r>
      <w:hyperlink r:id="rId121">
        <w:r w:rsidDel="00000000" w:rsidR="00000000" w:rsidRPr="00000000">
          <w:rPr>
            <w:color w:val="1155cc"/>
            <w:u w:val="single"/>
            <w:rtl w:val="0"/>
          </w:rPr>
          <w:t xml:space="preserve">2</w:t>
        </w:r>
      </w:hyperlink>
      <w:r w:rsidDel="00000000" w:rsidR="00000000" w:rsidRPr="00000000">
        <w:rPr>
          <w:rtl w:val="0"/>
        </w:rPr>
        <w:t xml:space="preserve">] TL's Tri-Cameral Governance Model is the architectural realization of this principle. The Technical Council, Stewardship Custodians, and Smart Contract Treasury each have constitutionally defined roles, election protocols, and veto powers. Their deliberations are recorded in the Immutable Ledger. Their signatures are required for Permission Token generation. No single chamber can dominate the others. This distributed authority prevents the governance capture that PFMI warns against, where a dominant shareholder or executive group subordinates safety to profit.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PFMI Principle 3 requires comprehensive risk management frameworks. [</w:t>
      </w:r>
      <w:hyperlink r:id="rId122">
        <w:r w:rsidDel="00000000" w:rsidR="00000000" w:rsidRPr="00000000">
          <w:rPr>
            <w:color w:val="1155cc"/>
            <w:u w:val="single"/>
            <w:rtl w:val="0"/>
          </w:rPr>
          <w:t xml:space="preserve">2</w:t>
        </w:r>
      </w:hyperlink>
      <w:r w:rsidDel="00000000" w:rsidR="00000000" w:rsidRPr="00000000">
        <w:rPr>
          <w:rtl w:val="0"/>
        </w:rPr>
        <w:t xml:space="preserve">] TL's Eight Pillars constitute such a framework, but with the critical distinction that risk management is not a periodic assessment conducted by a risk committee. It is a continuous, automated evaluation conducted by the Governance Lane on every proposal. The Inference Lane generates trading, settlement, and margin proposals at market speed. The Governance Lane evaluates each proposal against credit risk, liquidity risk, operational risk, and legal risk boundaries before any execution occurs. The Decision Log contains the risk assessment for every individual proposal, not merely an annual risk report summarizing aggregate exposures. This granularity satisfies PFMI's expectation that risk management be comprehensive and that it cover all relevant risks, including those that emerge between formal review cycles.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PFMI Principles 4 and 5 address credit risk and liquidity risk. Principle 4 requires that a financial market infrastructure maintain sufficient financial resources to cover its credit exposure to each participant fully with a high degree of confidence. Principle 5 requires that it maintain sufficient liquid resources to effect same-day and, where appropriate, intraday settlement of payment obligations with a high degree of confidence. [</w:t>
      </w:r>
      <w:hyperlink r:id="rId123">
        <w:r w:rsidDel="00000000" w:rsidR="00000000" w:rsidRPr="00000000">
          <w:rPr>
            <w:color w:val="1155cc"/>
            <w:u w:val="single"/>
            <w:rtl w:val="0"/>
          </w:rPr>
          <w:t xml:space="preserve">2</w:t>
        </w:r>
      </w:hyperlink>
      <w:r w:rsidDel="00000000" w:rsidR="00000000" w:rsidRPr="00000000">
        <w:rPr>
          <w:rtl w:val="0"/>
        </w:rPr>
        <w:t xml:space="preserve">] TL enforces these principles through the Smart Contract Treasury, which manages the automated allocation of liquidity and collateral reserves. When the Inference Lane proposes a settlement transaction, the Governance Lane verifies that the proposing entity has sufficient pre-committed liquidity in the Treasury's smart contract reserves. If the liquidity check fails, the Governance Lane issues Refuse. The Decision Log records the liquidity shortfall, the required reserve level, and the constitutional gate triggered. This prevents the settlement failure cascade that PFMI is designed to avoid.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PFMI Principle 8 addresses settlement finality. It requires that a financial market infrastructure provide clear and certain final settlement, at a minimum by the end of the value date and preferably intraday or in real time, to reduce settlement risk. [</w:t>
      </w:r>
      <w:hyperlink r:id="rId124">
        <w:r w:rsidDel="00000000" w:rsidR="00000000" w:rsidRPr="00000000">
          <w:rPr>
            <w:color w:val="1155cc"/>
            <w:u w:val="single"/>
            <w:rtl w:val="0"/>
          </w:rPr>
          <w:t xml:space="preserve">2</w:t>
        </w:r>
      </w:hyperlink>
      <w:r w:rsidDel="00000000" w:rsidR="00000000" w:rsidRPr="00000000">
        <w:rPr>
          <w:rtl w:val="0"/>
        </w:rPr>
        <w:t xml:space="preserve">] TL's NL=NA covenant provides the evidentiary foundation for settlement finality. A settlement is not final until it generates a Decision Log, receives a Permission Token, and is anchored to the Immutable Ledger. The timestamp in the Permission Token establishes the legal moment of finality. Because the ledger is cryptographically sealed and distributed, no participant can later dispute the timing or the validity of the settlement. The Governance Lane's signature on the Permission Token is the legal act of finality. Without it, the settlement remains provisional and reversible.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PFMI Principle 17 addresses operational risk. It requires that a financial market infrastructure identify the plausible sources of operational risk, mitigate them through appropriate systems, policies, procedures, and controls, and establish a robust business continuity plan. [</w:t>
      </w:r>
      <w:hyperlink r:id="rId125">
        <w:r w:rsidDel="00000000" w:rsidR="00000000" w:rsidRPr="00000000">
          <w:rPr>
            <w:color w:val="1155cc"/>
            <w:u w:val="single"/>
            <w:rtl w:val="0"/>
          </w:rPr>
          <w:t xml:space="preserve">2</w:t>
        </w:r>
      </w:hyperlink>
      <w:r w:rsidDel="00000000" w:rsidR="00000000" w:rsidRPr="00000000">
        <w:rPr>
          <w:rtl w:val="0"/>
        </w:rPr>
        <w:t xml:space="preserve">] TL's Dual-Lane Architecture is itself an operational risk mitigation strategy. The physical separation between the Inference Lane and the Governance Lane ensures that a compromise of the fast computational lane cannot bypass the slow constitutional lane. The Mandated Ternary hardware enforces this separation at the electron level. [</w:t>
      </w:r>
      <w:hyperlink r:id="rId126">
        <w:r w:rsidDel="00000000" w:rsidR="00000000" w:rsidRPr="00000000">
          <w:rPr>
            <w:color w:val="1155cc"/>
            <w:u w:val="single"/>
            <w:rtl w:val="0"/>
          </w:rPr>
          <w:t xml:space="preserve">4</w:t>
        </w:r>
      </w:hyperlink>
      <w:r w:rsidDel="00000000" w:rsidR="00000000" w:rsidRPr="00000000">
        <w:rPr>
          <w:rtl w:val="0"/>
        </w:rPr>
        <w:t xml:space="preserve">] Even if the Inference Lane is compromised by malware, insider sabotage, or external cyberattack, the Governance Lane remains intact because it operates on separate hardware with separate cryptographic keys and separate network segmentation. The business continuity plan is embedded in the architecture: if the Inference Lane fails, the Governance Lane can still evaluate manually submitted proposals through the Stewardship Custodians' override protocols. If the Governance Lane fails, the Gateway defaults to closed, preventing unauthorized execution while preserving system integrity.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PFMI Principle 18 addresses access and participation requirements. It requires that a financial market infrastructure have objective, risk-based, and publicly disclosed criteria for participation. [</w:t>
      </w:r>
      <w:hyperlink r:id="rId127">
        <w:r w:rsidDel="00000000" w:rsidR="00000000" w:rsidRPr="00000000">
          <w:rPr>
            <w:color w:val="1155cc"/>
            <w:u w:val="single"/>
            <w:rtl w:val="0"/>
          </w:rPr>
          <w:t xml:space="preserve">2</w:t>
        </w:r>
      </w:hyperlink>
      <w:r w:rsidDel="00000000" w:rsidR="00000000" w:rsidRPr="00000000">
        <w:rPr>
          <w:rtl w:val="0"/>
        </w:rPr>
        <w:t xml:space="preserve">] TL operationalizes this through the Permission Token schema. The schema defines the evidentiary requirements that every participant must satisfy before its proposals can receive Proceed. These requirements are published in the constitutional schema, which is itself stored in the Immutable Ledger and therefore publicly verifiable. A prospective participant in a TL-governed payment system can examine the schema, understand the technical and governance prerequisites, and configure its systems accordingly. The Governance Lane applies these criteria uniformly. A large global bank and a regional credit union are evaluated by identical constitutional gates. The Decision Log proves that no participant received preferential treatment.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PFMI Principle 21 addresses efficiency and effectiveness. It requires that a financial market infrastructure be efficient and effective in meeting the requirements of its participants and the markets it serves. [</w:t>
      </w:r>
      <w:hyperlink r:id="rId128">
        <w:r w:rsidDel="00000000" w:rsidR="00000000" w:rsidRPr="00000000">
          <w:rPr>
            <w:color w:val="1155cc"/>
            <w:u w:val="single"/>
            <w:rtl w:val="0"/>
          </w:rPr>
          <w:t xml:space="preserve">2</w:t>
        </w:r>
      </w:hyperlink>
      <w:r w:rsidDel="00000000" w:rsidR="00000000" w:rsidRPr="00000000">
        <w:rPr>
          <w:rtl w:val="0"/>
        </w:rPr>
        <w:t xml:space="preserve">] TL addresses this principle through the Hybrid Shield, one of the Eight Pillars. The Hybrid Shield recognizes that governance overhead must not degrade market function to the point of irrelevance. The Inference Lane operates at computational speed. The Governance Lane operates at evidentiary speed. The Gateway opens only when both speeds converge on a valid Permission Token. [</w:t>
      </w:r>
      <w:hyperlink r:id="rId129">
        <w:r w:rsidDel="00000000" w:rsidR="00000000" w:rsidRPr="00000000">
          <w:rPr>
            <w:color w:val="1155cc"/>
            <w:u w:val="single"/>
            <w:rtl w:val="0"/>
          </w:rPr>
          <w:t xml:space="preserve">1</w:t>
        </w:r>
      </w:hyperlink>
      <w:r w:rsidDel="00000000" w:rsidR="00000000" w:rsidRPr="00000000">
        <w:rPr>
          <w:rtl w:val="0"/>
        </w:rPr>
        <w:t xml:space="preserve">] This design ensures that the infrastructure remains efficient for routine, well-evidenced transactions while maintaining effectiveness for complex, high-stakes decisions that require deeper constitutional scrutiny. The Smart Contract Treasury manages the economic incentives that ensure the Governance Lane is adequately resourced even during market stress, preventing the resource starvation that would force participants to bypass governance for the sake of speed.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sources do not specify the exact quorum thresholds for Tri-Cameral decisions on PFMI-mandated risk assessments, though they mandate that such thresholds must be configurable by the Stewardship Custodians and anchored in the constitutional schema.</w:t>
      </w:r>
    </w:p>
    <w:p w:rsidR="00000000" w:rsidDel="00000000" w:rsidP="00000000" w:rsidRDefault="00000000" w:rsidRPr="00000000" w14:paraId="00000169">
      <w:pPr>
        <w:pStyle w:val="Heading2"/>
        <w:rPr/>
      </w:pPr>
      <w:bookmarkStart w:colFirst="0" w:colLast="0" w:name="_put8yfqx3fgs" w:id="26"/>
      <w:bookmarkEnd w:id="26"/>
      <w:r w:rsidDel="00000000" w:rsidR="00000000" w:rsidRPr="00000000">
        <w:rPr>
          <w:rtl w:val="0"/>
        </w:rPr>
        <w:t xml:space="preserve">3.4. Central Bank Oversight and CBDC Governance</w:t>
      </w:r>
    </w:p>
    <w:p w:rsidR="00000000" w:rsidDel="00000000" w:rsidP="00000000" w:rsidRDefault="00000000" w:rsidRPr="00000000" w14:paraId="0000016A">
      <w:pPr>
        <w:rPr/>
      </w:pPr>
      <w:r w:rsidDel="00000000" w:rsidR="00000000" w:rsidRPr="00000000">
        <w:rPr>
          <w:rtl w:val="0"/>
        </w:rPr>
        <w:t xml:space="preserve">Central banks occupy the apex of the monetary hierarchy. They issue currency, regulate payment systems, supervise commercial banks, and maintain financial stability. The emergence of Central Bank Digital Currencies introduces a new dimension to this role: the direct issuance of sovereign digital money through algorithmic infrastructure. [</w:t>
      </w:r>
      <w:hyperlink r:id="rId130">
        <w:r w:rsidDel="00000000" w:rsidR="00000000" w:rsidRPr="00000000">
          <w:rPr>
            <w:color w:val="1155cc"/>
            <w:u w:val="single"/>
            <w:rtl w:val="0"/>
          </w:rPr>
          <w:t xml:space="preserve">2</w:t>
        </w:r>
      </w:hyperlink>
      <w:r w:rsidDel="00000000" w:rsidR="00000000" w:rsidRPr="00000000">
        <w:rPr>
          <w:rtl w:val="0"/>
        </w:rPr>
        <w:t xml:space="preserve">] Ternary Logic provides the constitutional governance layer that ensures CBDC issuance and oversight remain subject to immutable evidentiary constraints, even when the underlying distribution occurs at algorithmic speed.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CBDC governance presents unique challenges that binary automation cannot resolve alone. A retail CBDC must process millions of transactions per second to serve a national population. It must preserve monetary sovereignty against foreign digital currencies. It must protect user privacy without enabling illicit finance. It must maintain financial stability without displacing commercial banking. [</w:t>
      </w:r>
      <w:hyperlink r:id="rId131">
        <w:r w:rsidDel="00000000" w:rsidR="00000000" w:rsidRPr="00000000">
          <w:rPr>
            <w:color w:val="1155cc"/>
            <w:u w:val="single"/>
            <w:rtl w:val="0"/>
          </w:rPr>
          <w:t xml:space="preserve">2</w:t>
        </w:r>
      </w:hyperlink>
      <w:r w:rsidDel="00000000" w:rsidR="00000000" w:rsidRPr="00000000">
        <w:rPr>
          <w:rtl w:val="0"/>
        </w:rPr>
        <w:t xml:space="preserve">] These challenges are not technical optimization problems. They are constitutional governance problems. TL addresses them by separating the high-speed transaction processing of the Inference Lane from the sovereign governance evaluation of the Governance Lane.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Inference Lane handles the operational mechanics of CBDC distribution. It verifies digital signatures, checks balance sufficiency, updates ledger states, and propagates confirmation messages across the distributed network. [</w:t>
      </w:r>
      <w:hyperlink r:id="rId132">
        <w:r w:rsidDel="00000000" w:rsidR="00000000" w:rsidRPr="00000000">
          <w:rPr>
            <w:color w:val="1155cc"/>
            <w:u w:val="single"/>
            <w:rtl w:val="0"/>
          </w:rPr>
          <w:t xml:space="preserve">2</w:t>
        </w:r>
      </w:hyperlink>
      <w:r w:rsidDel="00000000" w:rsidR="00000000" w:rsidRPr="00000000">
        <w:rPr>
          <w:rtl w:val="0"/>
        </w:rPr>
        <w:t xml:space="preserve">] This lane operates at the speed required for retail payment acceptance, point-of-sale integration, and real-time gross settlement. It proposes transactions. It does not authorize them.</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Governance Lane evaluates every CBDC transaction proposal against constitutional monetary criteria before execution. These criteria include anti-money-laundering checks, sanctions list screening, macroprudential velocity limits, and sovereign debt sustainability constraints. [</w:t>
      </w:r>
      <w:hyperlink r:id="rId133">
        <w:r w:rsidDel="00000000" w:rsidR="00000000" w:rsidRPr="00000000">
          <w:rPr>
            <w:color w:val="1155cc"/>
            <w:u w:val="single"/>
            <w:rtl w:val="0"/>
          </w:rPr>
          <w:t xml:space="preserve">2</w:t>
        </w:r>
      </w:hyperlink>
      <w:r w:rsidDel="00000000" w:rsidR="00000000" w:rsidRPr="00000000">
        <w:rPr>
          <w:rtl w:val="0"/>
        </w:rPr>
        <w:t xml:space="preserve">] When a retail CBDC wallet proposes a high-value cross-border transfer, the Governance Lane queries the sanctions database, verifies the counterparty jurisdiction's regulatory status, and evaluates whether the transfer would violate capital control regulations. If the evidentiary basis is complete and no harm condition is triggered, the Governance Lane issues Proceed and the Permission Token unlocks the settlement. If a sanctions match is detected, it issues Refuse and the transaction is permanently blocked. If the sanctions database is experiencing a synchronization delay, it issues Epistemic Hold and the Sacred Pause workflow queries the relevant intelligence agency for updated lists.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Algorithmic monetary policy under TL governance maintains the central bank's operational independence while embedding constitutional constraints. A central bank algorithm that proposes quantitative easing, liquidity injections, or interest rate adjustments must submit the proposal to the Governance Lane with complete evidentiary documentation. [</w:t>
      </w:r>
      <w:hyperlink r:id="rId134">
        <w:r w:rsidDel="00000000" w:rsidR="00000000" w:rsidRPr="00000000">
          <w:rPr>
            <w:color w:val="1155cc"/>
            <w:u w:val="single"/>
            <w:rtl w:val="0"/>
          </w:rPr>
          <w:t xml:space="preserve">2</w:t>
        </w:r>
      </w:hyperlink>
      <w:r w:rsidDel="00000000" w:rsidR="00000000" w:rsidRPr="00000000">
        <w:rPr>
          <w:rtl w:val="0"/>
        </w:rPr>
        <w:t xml:space="preserve">] The documentation must include the macroeconomic model outputs, the inflation targeting deviation analysis, the financial stability impact assessment, and the cross-border spillover evaluation. The Governance Lane verifies that the model has been validated by the Technical Council, that the impact assessment has been reviewed by the Stewardship Custodians, and that the resources for the operation have been allocated by the Smart Contract Treasury. [</w:t>
      </w:r>
      <w:hyperlink r:id="rId135">
        <w:r w:rsidDel="00000000" w:rsidR="00000000" w:rsidRPr="00000000">
          <w:rPr>
            <w:color w:val="1155cc"/>
            <w:u w:val="single"/>
            <w:rtl w:val="0"/>
          </w:rPr>
          <w:t xml:space="preserve">3</w:t>
        </w:r>
      </w:hyperlink>
      <w:r w:rsidDel="00000000" w:rsidR="00000000" w:rsidRPr="00000000">
        <w:rPr>
          <w:rtl w:val="0"/>
        </w:rPr>
        <w:t xml:space="preserve">] Without this documentation, the algorithmic monetary policy proposal receives Epistemic Hold. The central bank's economists must then provide the missing analysis or escalate to the Tri-Cameral quorum for emergency constitutional override.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This architecture prevents the erosion of central bank legitimacy that occurs when algorithmic decisions lack evidentiary transparency. When a central bank deploys an automated lending facility during a financial crisis, market participants and political authorities demand to know why the facility activated, how much liquidity was injected, and what collateral was accepted. [</w:t>
      </w:r>
      <w:hyperlink r:id="rId136">
        <w:r w:rsidDel="00000000" w:rsidR="00000000" w:rsidRPr="00000000">
          <w:rPr>
            <w:color w:val="1155cc"/>
            <w:u w:val="single"/>
            <w:rtl w:val="0"/>
          </w:rPr>
          <w:t xml:space="preserve">2</w:t>
        </w:r>
      </w:hyperlink>
      <w:r w:rsidDel="00000000" w:rsidR="00000000" w:rsidRPr="00000000">
        <w:rPr>
          <w:rtl w:val="0"/>
        </w:rPr>
        <w:t xml:space="preserve">] Under TL governance, every algorithmic monetary policy action generates a Decision Log that answers these questions before the action occurs. The log is cryptographically sealed and anchored to the Immutable Ledger. Five years later, a parliamentary inquiry can verify that the crisis lending followed the constitutional schema, that the Stewardship Custodians signed the Permission Token, and that no executive override bypassed the Governance Lane. This is democratic accountability through architectural design.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Settlement finality for CBDC transactions is governed by PFMI Principle 8 and realized through NL=NA. A CBDC transfer is not legally final until it generates a Decision Log, receives a Permission Token, and is anchored to the Immutable Ledger. [</w:t>
      </w:r>
      <w:hyperlink r:id="rId137">
        <w:r w:rsidDel="00000000" w:rsidR="00000000" w:rsidRPr="00000000">
          <w:rPr>
            <w:color w:val="1155cc"/>
            <w:u w:val="single"/>
            <w:rtl w:val="0"/>
          </w:rPr>
          <w:t xml:space="preserve">2</w:t>
        </w:r>
      </w:hyperlink>
      <w:r w:rsidDel="00000000" w:rsidR="00000000" w:rsidRPr="00000000">
        <w:rPr>
          <w:rtl w:val="0"/>
        </w:rPr>
        <w:t xml:space="preserve">] The timestamp in the Permission Token establishes the irreducible moment of finality. Because the ledger is distributed across nodes controlled by the central bank, the finance ministry, and independent auditor entities, no single institution can reverse a settled transaction. This distributed finality protects the CBDC from the political risk of retrospective cancellation. A government cannot revoke a CBDC payment to a dissident organization because the transaction's finality is cryptographically enforced by the Tri-Cameral architecture, not merely recorded in a central bank database subject to administrative deletion.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Cross-border CBDC alignment requires governance interoperability between sovereign monetary jurisdictions. When a CBDC from one nation proposes a conversion or bridge transaction with a CBDC from another nation, the Governance Lane must evaluate both jurisdictions' constitutional schemas. [</w:t>
      </w:r>
      <w:hyperlink r:id="rId138">
        <w:r w:rsidDel="00000000" w:rsidR="00000000" w:rsidRPr="00000000">
          <w:rPr>
            <w:color w:val="1155cc"/>
            <w:u w:val="single"/>
            <w:rtl w:val="0"/>
          </w:rPr>
          <w:t xml:space="preserve">2</w:t>
        </w:r>
      </w:hyperlink>
      <w:r w:rsidDel="00000000" w:rsidR="00000000" w:rsidRPr="00000000">
        <w:rPr>
          <w:rtl w:val="0"/>
        </w:rPr>
        <w:t xml:space="preserve">] The Inference Lane handles the foreign exchange rate calculation, the liquidity bridge mechanics, and the cross-chain message propagation. The Governance Lane evaluates whether the transaction complies with both nations' capital control regulations, sanctions regimes, and macroprudential limits. If the two constitutional schemas contain conflicting requirements, the Governance Lane issues Epistemic Hold and the Sacred Pause workflow invokes the bilateral regulatory nexus protocol. This protocol is a pre-configured diplomatic channel through which the Stewardship Custodians of both jurisdictions negotiate a harmonized Permission Token or a joint Refuse determination. The Decision Log records the entire negotiation, preserving evidentiary transparency for both sovereign parliaments.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hardware substrate for CBDC governance operates under the same Mandated Ternary constraints as other TL applications. The MT memristive cells in the central bank's settlement infrastructure physically prevent the execution of CBDC transfers during Epistemic Hold. [</w:t>
      </w:r>
      <w:hyperlink r:id="rId139">
        <w:r w:rsidDel="00000000" w:rsidR="00000000" w:rsidRPr="00000000">
          <w:rPr>
            <w:color w:val="1155cc"/>
            <w:u w:val="single"/>
            <w:rtl w:val="0"/>
          </w:rPr>
          <w:t xml:space="preserve">4</w:t>
        </w:r>
      </w:hyperlink>
      <w:r w:rsidDel="00000000" w:rsidR="00000000" w:rsidRPr="00000000">
        <w:rPr>
          <w:rtl w:val="0"/>
        </w:rPr>
        <w:t xml:space="preserve">] Even if a compromised process in the Inference Lane attempts to force a retail payment during a national emergency, the hardware gate will not transition to Proceed without the cryptographic confirm pulse from the Governance Lane. This physical constraint protects monetary sovereignty from both external cyberattack and internal institutional panic. The central bank cannot be pressured to bypass governance for the sake of speed because the bypass is physically impossible.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Tri-Cameral Governance Model adapts naturally to central bank institutional structures. The Technical Council corresponds to the central bank's research and statistics department, ensuring that macroeconomic models and data pipelines remain technically sound. The Stewardship Custodians correspond to the central bank's independent oversight board or external audit committee, ensuring that monetary policy decisions adhere to the constitutional mandate. [</w:t>
      </w:r>
      <w:hyperlink r:id="rId140">
        <w:r w:rsidDel="00000000" w:rsidR="00000000" w:rsidRPr="00000000">
          <w:rPr>
            <w:color w:val="1155cc"/>
            <w:u w:val="single"/>
            <w:rtl w:val="0"/>
          </w:rPr>
          <w:t xml:space="preserve">3</w:t>
        </w:r>
      </w:hyperlink>
      <w:r w:rsidDel="00000000" w:rsidR="00000000" w:rsidRPr="00000000">
        <w:rPr>
          <w:rtl w:val="0"/>
        </w:rPr>
        <w:t xml:space="preserve">] The Smart Contract Treasury corresponds to the central bank's internal financial operations division, managing the reserves, collateral, and liquidity buffers that sustain the CBDC ecosystem. The constitutional separation prevents the monetary policy committee from overriding settlement governance for political convenience. It prevents the technology division from deploying unverified algorithms into the payment infrastructure. It prevents the operations division from reallocating reserves without evidentiary justification.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sources do not specify the exact cross-border CBDC bridge protocol for conflicting constitutional schemas, though they mandate that such protocols must be configurable by bilateral Stewardship Custodian agreements and anchored in both nations' immutable ledgers.</w:t>
      </w:r>
    </w:p>
    <w:p w:rsidR="00000000" w:rsidDel="00000000" w:rsidP="00000000" w:rsidRDefault="00000000" w:rsidRPr="00000000" w14:paraId="0000017F">
      <w:pPr>
        <w:pStyle w:val="Heading2"/>
        <w:rPr/>
      </w:pPr>
      <w:bookmarkStart w:colFirst="0" w:colLast="0" w:name="_6iz89b3sksmm" w:id="27"/>
      <w:bookmarkEnd w:id="27"/>
      <w:r w:rsidDel="00000000" w:rsidR="00000000" w:rsidRPr="00000000">
        <w:rPr>
          <w:rtl w:val="0"/>
        </w:rPr>
        <w:t xml:space="preserve">3.5. GDPR and Cryptographic Erasure Compliance</w:t>
      </w:r>
    </w:p>
    <w:p w:rsidR="00000000" w:rsidDel="00000000" w:rsidP="00000000" w:rsidRDefault="00000000" w:rsidRPr="00000000" w14:paraId="00000180">
      <w:pPr>
        <w:rPr/>
      </w:pPr>
      <w:r w:rsidDel="00000000" w:rsidR="00000000" w:rsidRPr="00000000">
        <w:rPr>
          <w:rtl w:val="0"/>
        </w:rPr>
        <w:t xml:space="preserve">The General Data Protection Regulation governs the processing of personal data within the European Economic Area and affects any global economic system that handles data subjects residing in that jurisdiction. [</w:t>
      </w:r>
      <w:hyperlink r:id="rId141">
        <w:r w:rsidDel="00000000" w:rsidR="00000000" w:rsidRPr="00000000">
          <w:rPr>
            <w:color w:val="1155cc"/>
            <w:u w:val="single"/>
            <w:rtl w:val="0"/>
          </w:rPr>
          <w:t xml:space="preserve">2</w:t>
        </w:r>
      </w:hyperlink>
      <w:r w:rsidDel="00000000" w:rsidR="00000000" w:rsidRPr="00000000">
        <w:rPr>
          <w:rtl w:val="0"/>
        </w:rPr>
        <w:t xml:space="preserve">] Ternary Logic systems process personal data when individuals are counterparties to economic transactions, beneficiaries of automated settlement, or subjects of algorithmic credit assessments. The Governance Lane must evaluate every proposal that involves personal data processing against GDPR constitutional boundaries before execution is permitted.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Article 17 of the GDPR establishes the Right to Erasure, commonly known as the right to be forgotten. It mandates that data controllers delete personal data when the data is no longer necessary for the purposes for which it was collected, when the data subject withdraws consent, or when the data subject objects to processing and no overriding legitimate interest exists. [</w:t>
      </w:r>
      <w:hyperlink r:id="rId142">
        <w:r w:rsidDel="00000000" w:rsidR="00000000" w:rsidRPr="00000000">
          <w:rPr>
            <w:color w:val="1155cc"/>
            <w:u w:val="single"/>
            <w:rtl w:val="0"/>
          </w:rPr>
          <w:t xml:space="preserve">1</w:t>
        </w:r>
      </w:hyperlink>
      <w:r w:rsidDel="00000000" w:rsidR="00000000" w:rsidRPr="00000000">
        <w:rPr>
          <w:rtl w:val="0"/>
        </w:rPr>
        <w:t xml:space="preserve">] This right creates an immediate architectural tension with the Immutable Ledger, which is append-only by design. The ledger cannot be rewritten. Entries cannot be removed without breaking the hash chain that guarantees evidentiary integrity. If a data subject exercises the Right to Erasure and the system attempts true deletion, the cryptographic anchors fail, the Decision Logs become invalid, and the NL=NA covenant collapses.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Ternary Logic resolves this tension through cryptographic erasure. Personal data is never stored in plaintext on the Immutable Ledger. It is encrypted using symmetric or asymmetric encryption protocols before ledger anchoring. [</w:t>
      </w:r>
      <w:hyperlink r:id="rId143">
        <w:r w:rsidDel="00000000" w:rsidR="00000000" w:rsidRPr="00000000">
          <w:rPr>
            <w:color w:val="1155cc"/>
            <w:u w:val="single"/>
            <w:rtl w:val="0"/>
          </w:rPr>
          <w:t xml:space="preserve">1</w:t>
        </w:r>
      </w:hyperlink>
      <w:r w:rsidDel="00000000" w:rsidR="00000000" w:rsidRPr="00000000">
        <w:rPr>
          <w:rtl w:val="0"/>
        </w:rPr>
        <w:t xml:space="preserve">] The encryption keys are stored in a separate key management infrastructure with access controls governed by the Stewardship Custodians. When a valid erasure request is received, the Governance Lane evaluates the request against constitutional criteria. If the request satisfies the GDPR conditions and no overriding regulatory retention requirement applies, the Governance Lane issues Proceed for the erasure operation. The operation does not delete the encrypted data from the ledger. Instead, it cryptographically shreds the decryption keys. [</w:t>
      </w:r>
      <w:hyperlink r:id="rId144">
        <w:r w:rsidDel="00000000" w:rsidR="00000000" w:rsidRPr="00000000">
          <w:rPr>
            <w:color w:val="1155cc"/>
            <w:u w:val="single"/>
            <w:rtl w:val="0"/>
          </w:rPr>
          <w:t xml:space="preserve">1</w:t>
        </w:r>
      </w:hyperlink>
      <w:r w:rsidDel="00000000" w:rsidR="00000000" w:rsidRPr="00000000">
        <w:rPr>
          <w:rtl w:val="0"/>
        </w:rPr>
        <w:t xml:space="preserve">] Without the keys, the encrypted data becomes irretrievable. For all practical and legal purposes, the data is erased. The ledger entry remains intact, preserving the hash chain, the Decision Log integrity, and the evidentiary basis for regulatory audit.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This approach satisfies both GDPR and financial regulation. Regulators such as the SEC, CFTC, and central bank supervisors require that transaction records be maintained for specified retention periods, often five to seven years. [</w:t>
      </w:r>
      <w:hyperlink r:id="rId145">
        <w:r w:rsidDel="00000000" w:rsidR="00000000" w:rsidRPr="00000000">
          <w:rPr>
            <w:color w:val="1155cc"/>
            <w:u w:val="single"/>
            <w:rtl w:val="0"/>
          </w:rPr>
          <w:t xml:space="preserve">2</w:t>
        </w:r>
      </w:hyperlink>
      <w:r w:rsidDel="00000000" w:rsidR="00000000" w:rsidRPr="00000000">
        <w:rPr>
          <w:rtl w:val="0"/>
        </w:rPr>
        <w:t xml:space="preserve">] The Immutable Ledger preserves these records in encrypted form. When the retention period expires and a data subject requests erasure, the cryptographic shredding occurs. Until that point, the Stewardship Custodians can configure the Governance Lane to issue Refuse on any erasure request that would violate mandatory retention laws. The Goukassian Vow's second mandate, refuse when harm is clear, applies because premature erasure would destroy evidence required for market integrity enforcement, tax authority audit, or criminal investigation.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Governance Lane treats erasure requests as first-class constitutional determinations. When an erasure request enters the system, it is not handled by a routine database administrator or an automated cleanup script. It is submitted as a proposal to the Governance Lane with complete evidentiary documentation. [</w:t>
      </w:r>
      <w:hyperlink r:id="rId146">
        <w:r w:rsidDel="00000000" w:rsidR="00000000" w:rsidRPr="00000000">
          <w:rPr>
            <w:color w:val="1155cc"/>
            <w:u w:val="single"/>
            <w:rtl w:val="0"/>
          </w:rPr>
          <w:t xml:space="preserve">1</w:t>
        </w:r>
      </w:hyperlink>
      <w:r w:rsidDel="00000000" w:rsidR="00000000" w:rsidRPr="00000000">
        <w:rPr>
          <w:rtl w:val="0"/>
        </w:rPr>
        <w:t xml:space="preserve">] The documentation must include the data subject's identity verification, the legal basis for the original processing, the specific GDPR Article 17 grounds invoked, and an analysis of whether any overriding regulatory retention requirement applies. The Governance Lane evaluates this documentation. If the evidentiary basis is incomplete, it issues Epistemic Hold and the Sacred Pause workflow queries the data protection officer or the relevant supervisory authority for clarification. If the request is valid and no retention conflict exists, it issues Proceed and the Smart Contract Treasury executes the key destruction protocol. If the request would violate a mandatory retention law or compromise an ongoing enforcement investigation, it issues Refuse.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Decision Log for an erasure operation is as rigorous as the Decision Log for a financial transaction. It contains the original erasure request, the identity verification evidence, the GDPR grounds analysis, the retention conflict assessment, the Governance Lane determination, the chamber signatures, and the cryptographic attestation of key destruction. [</w:t>
      </w:r>
      <w:hyperlink r:id="rId147">
        <w:r w:rsidDel="00000000" w:rsidR="00000000" w:rsidRPr="00000000">
          <w:rPr>
            <w:color w:val="1155cc"/>
            <w:u w:val="single"/>
            <w:rtl w:val="0"/>
          </w:rPr>
          <w:t xml:space="preserve">1</w:t>
        </w:r>
      </w:hyperlink>
      <w:r w:rsidDel="00000000" w:rsidR="00000000" w:rsidRPr="00000000">
        <w:rPr>
          <w:rtl w:val="0"/>
        </w:rPr>
        <w:t xml:space="preserve">] This log demonstrates to supervisory authorities that the erasure was not arbitrary, that it followed constitutional process, and that it preserved ledger integrity. It also demonstrates to the data subject that their request received sovereign-grade governance evaluation rather than automated administrative processing.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Cross-border economic systems face additional complexity when personal data flows between jurisdictions with divergent data protection standards. The GDPR restricts transfers of personal data to third countries unless adequate protection is guaranteed. [</w:t>
      </w:r>
      <w:hyperlink r:id="rId148">
        <w:r w:rsidDel="00000000" w:rsidR="00000000" w:rsidRPr="00000000">
          <w:rPr>
            <w:color w:val="1155cc"/>
            <w:u w:val="single"/>
            <w:rtl w:val="0"/>
          </w:rPr>
          <w:t xml:space="preserve">2</w:t>
        </w:r>
      </w:hyperlink>
      <w:r w:rsidDel="00000000" w:rsidR="00000000" w:rsidRPr="00000000">
        <w:rPr>
          <w:rtl w:val="0"/>
        </w:rPr>
        <w:t xml:space="preserve">] TL addresses this through the Regulatory Nexus endpoints in the API specification. When the Inference Lane proposes a cross-border settlement that involves personal data transfer, the Governance Lane queries the Regulatory Nexus to determine whether the destination jurisdiction maintains adequacy status under GDPR Article 45, whether standard contractual clauses have been executed, or whether binding corporate rules apply. [</w:t>
      </w:r>
      <w:hyperlink r:id="rId149">
        <w:r w:rsidDel="00000000" w:rsidR="00000000" w:rsidRPr="00000000">
          <w:rPr>
            <w:color w:val="1155cc"/>
            <w:u w:val="single"/>
            <w:rtl w:val="0"/>
          </w:rPr>
          <w:t xml:space="preserve">1</w:t>
        </w:r>
      </w:hyperlink>
      <w:r w:rsidDel="00000000" w:rsidR="00000000" w:rsidRPr="00000000">
        <w:rPr>
          <w:rtl w:val="0"/>
        </w:rPr>
        <w:t xml:space="preserve">] If none of these transfer mechanisms is in place, the Governance Lane issues Refuse. The Decision Log records the jurisdictional analysis, the applicable data protection framework, and the constitutional gate triggered. This prevents the institution from inadvertently violating GDPR through automated cross-border transaction routing.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Economic Rights and Transparency Mandate, embedded as Pillar 5 of the Eight Pillars, encompasses data subject rights as a category of economic rights. [</w:t>
      </w:r>
      <w:hyperlink r:id="rId150">
        <w:r w:rsidDel="00000000" w:rsidR="00000000" w:rsidRPr="00000000">
          <w:rPr>
            <w:color w:val="1155cc"/>
            <w:u w:val="single"/>
            <w:rtl w:val="0"/>
          </w:rPr>
          <w:t xml:space="preserve">1</w:t>
        </w:r>
      </w:hyperlink>
      <w:r w:rsidDel="00000000" w:rsidR="00000000" w:rsidRPr="00000000">
        <w:rPr>
          <w:rtl w:val="0"/>
        </w:rPr>
        <w:t xml:space="preserve">] This Pillar mandates that individuals affected by automated economic decisions retain the right to access the Decision Logs that govern their financial treatment, the right to object to processing that lacks constitutional justification, and the right to request erasure when the evidentiary basis no longer supports retention. The Mandate does not treat data protection as an external compliance burden. It treats it as an integral component of sovereign economic governance. The Stewardship Custodians are constitutionally responsible for ensuring that the Governance Lane's data protection evaluations remain aligned with evolving regulatory standards, including GDPR amendments, national data protection authority guidance, and sector-specific financial privacy rules.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sources do not specify the exact encryption protocol for ledger-bound personal data, though they mandate that such protocols must be subject to Technical Council validation and resistant to unauthorized key recovery.</w:t>
      </w:r>
    </w:p>
    <w:p w:rsidR="00000000" w:rsidDel="00000000" w:rsidP="00000000" w:rsidRDefault="00000000" w:rsidRPr="00000000" w14:paraId="00000191">
      <w:pPr>
        <w:pStyle w:val="Heading2"/>
        <w:rPr/>
      </w:pPr>
      <w:bookmarkStart w:colFirst="0" w:colLast="0" w:name="_ke4zdm4uxvn9" w:id="28"/>
      <w:bookmarkEnd w:id="28"/>
      <w:r w:rsidDel="00000000" w:rsidR="00000000" w:rsidRPr="00000000">
        <w:rPr>
          <w:rtl w:val="0"/>
        </w:rPr>
        <w:t xml:space="preserve">3.6. Ephemeral Key Rotation: Trade Secret Protection and Auditor Access</w:t>
      </w:r>
    </w:p>
    <w:p w:rsidR="00000000" w:rsidDel="00000000" w:rsidP="00000000" w:rsidRDefault="00000000" w:rsidRPr="00000000" w14:paraId="00000192">
      <w:pPr>
        <w:rPr/>
      </w:pPr>
      <w:r w:rsidDel="00000000" w:rsidR="00000000" w:rsidRPr="00000000">
        <w:rPr>
          <w:rtl w:val="0"/>
        </w:rPr>
        <w:t xml:space="preserve">Regulatory audit and trade secret protection exist in permanent tension. Regulators require access to the evidentiary substrate of economic decisions to verify compliance, detect manipulation, and enforce boundaries. Institutions require protection of proprietary algorithms, counterparty relationships, pricing models, and strategic positions that constitute their competitive advantage. [</w:t>
      </w:r>
      <w:hyperlink r:id="rId151">
        <w:r w:rsidDel="00000000" w:rsidR="00000000" w:rsidRPr="00000000">
          <w:rPr>
            <w:color w:val="1155cc"/>
            <w:u w:val="single"/>
            <w:rtl w:val="0"/>
          </w:rPr>
          <w:t xml:space="preserve">2</w:t>
        </w:r>
      </w:hyperlink>
      <w:r w:rsidDel="00000000" w:rsidR="00000000" w:rsidRPr="00000000">
        <w:rPr>
          <w:rtl w:val="0"/>
        </w:rPr>
        <w:t xml:space="preserve">] Traditional governance architectures resolve this tension through either transparency, which exposes trade secrets to competitors and adversaries, or secrecy, which conceals misconduct from regulators. Neither resolution is constitutionally acceptable under the Goukassian Vow because both cause clear harm. Exposing trade secrets harms the institution. Concealing misconduct harms the market. Ephemeral Key Rotation is the architectural mechanism that grants temporary, time-bound, and revocable access without permanent exposure, satisfying both the Economic Rights and Transparency Mandate and the institutional need for confidentiality.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EKR operates through per-session ephemeral key pairs that are generated by the Hybrid Shield's Shamir Secret Sharing infrastructure. When a regulator, internal auditor, or external forensic investigator requests access to a specific Decision Log or a defined set of pseudonymized records, the Governance Lane evaluates the request against constitutional criteria. [</w:t>
      </w:r>
      <w:hyperlink r:id="rId152">
        <w:r w:rsidDel="00000000" w:rsidR="00000000" w:rsidRPr="00000000">
          <w:rPr>
            <w:color w:val="1155cc"/>
            <w:u w:val="single"/>
            <w:rtl w:val="0"/>
          </w:rPr>
          <w:t xml:space="preserve">2</w:t>
        </w:r>
      </w:hyperlink>
      <w:r w:rsidDel="00000000" w:rsidR="00000000" w:rsidRPr="00000000">
        <w:rPr>
          <w:rtl w:val="0"/>
        </w:rPr>
        <w:t xml:space="preserve">] These criteria include the requester's identity and authorization level, the scope of the requested data, the regulatory or legal basis for the request, and the temporal boundaries of the audit. If the Governance Lane issues Proceed, the Smart Contract Treasury initiates an ephemeral key generation ceremony. The ceremony produces a unique asymmetric key pair. The private key is encrypted under a threshold scheme requiring participation from multiple Stewardship Custodians. The public key is used to encrypt the specific data envelope authorized for the audit session.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encrypted envelope contains only the data explicitly authorized by the Governance Lane determination. It does not contain the master pseudonymization keys. It does not contain the raw Inference Lane inputs. It does not contain the full Hybrid Shield key material. [</w:t>
      </w:r>
      <w:hyperlink r:id="rId153">
        <w:r w:rsidDel="00000000" w:rsidR="00000000" w:rsidRPr="00000000">
          <w:rPr>
            <w:color w:val="1155cc"/>
            <w:u w:val="single"/>
            <w:rtl w:val="0"/>
          </w:rPr>
          <w:t xml:space="preserve">2</w:t>
        </w:r>
      </w:hyperlink>
      <w:r w:rsidDel="00000000" w:rsidR="00000000" w:rsidRPr="00000000">
        <w:rPr>
          <w:rtl w:val="0"/>
        </w:rPr>
        <w:t xml:space="preserve">] The envelope is cryptographically bound to the session scope. Any attempt to decrypt data outside the authorized scope fails because the ephemeral key was generated only for the specific records approved by the Governance Lane. This is not a software access control policy that root access could override. It is a cryptographic binding enforced by the same threshold infrastructure that governs crypto-shredding operations.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Time-bound decryption is the core security property of EKR. The ephemeral private key is released to the authorized auditor only for a defined duration, typically measured in hours or days, not in months or years. [</w:t>
      </w:r>
      <w:hyperlink r:id="rId154">
        <w:r w:rsidDel="00000000" w:rsidR="00000000" w:rsidRPr="00000000">
          <w:rPr>
            <w:color w:val="1155cc"/>
            <w:u w:val="single"/>
            <w:rtl w:val="0"/>
          </w:rPr>
          <w:t xml:space="preserve">2</w:t>
        </w:r>
      </w:hyperlink>
      <w:r w:rsidDel="00000000" w:rsidR="00000000" w:rsidRPr="00000000">
        <w:rPr>
          <w:rtl w:val="0"/>
        </w:rPr>
        <w:t xml:space="preserve">] The key is stored in a hardware security module with an automatic destruction timer. When the timer expires, the key is cryptographically shredded. The auditor cannot retain the key for future access. The institution cannot revoke the key early to conceal evidence because the destruction is automatic and governed by the Smart Contract Treasury's algorithmic timers, not by institutional discretion. If the audit requires extension, the auditor must submit a new request to the Governance Lane, which generates a new ephemeral key pair with a new scope and a new timer.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Automatic key destruction protects against the long-tail risks of persistent access. A regulator who receives a permanent copy of an institution's Decision Logs may later lose the data to breach, may be compelled by a foreign government to share the data, or may leave the regulatory agency for employment with a competitor. [</w:t>
      </w:r>
      <w:hyperlink r:id="rId155">
        <w:r w:rsidDel="00000000" w:rsidR="00000000" w:rsidRPr="00000000">
          <w:rPr>
            <w:color w:val="1155cc"/>
            <w:u w:val="single"/>
            <w:rtl w:val="0"/>
          </w:rPr>
          <w:t xml:space="preserve">2</w:t>
        </w:r>
      </w:hyperlink>
      <w:r w:rsidDel="00000000" w:rsidR="00000000" w:rsidRPr="00000000">
        <w:rPr>
          <w:rtl w:val="0"/>
        </w:rPr>
        <w:t xml:space="preserve">] Persistent access creates a surveillance surface that expands over time. EKR eliminates persistence. The auditor sees the data during the authorized window. After destruction, the auditor retains only their own notes, which are subject to separate evidentiary standards and cannot be cryptographically verified against the original ledger. The original data remains pseudonymized and encrypted under the master Hybrid Shield keys, which are never exposed during the audit session.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EKR Decision Log is itself a constitutional artifact that records every access event. The log contains the requester's identity, the authorization basis, the Governance Lane determination, the ephemeral key identifier, the data scope, the decryption start time, the destruction timestamp, and the chamber signatures that validated the ceremony. [</w:t>
      </w:r>
      <w:hyperlink r:id="rId156">
        <w:r w:rsidDel="00000000" w:rsidR="00000000" w:rsidRPr="00000000">
          <w:rPr>
            <w:color w:val="1155cc"/>
            <w:u w:val="single"/>
            <w:rtl w:val="0"/>
          </w:rPr>
          <w:t xml:space="preserve">2</w:t>
        </w:r>
      </w:hyperlink>
      <w:r w:rsidDel="00000000" w:rsidR="00000000" w:rsidRPr="00000000">
        <w:rPr>
          <w:rtl w:val="0"/>
        </w:rPr>
        <w:t xml:space="preserve">] This log is anchored to the Immutable Ledger alongside all other Decision Logs. A later auditor reviewing the institution's compliance history can verify that previous auditors accessed only authorized data, that no session exceeded its temporal scope, and that every destruction event occurred as scheduled. The EKR log transforms audit access from an ungoverned privilege into a constitutionally governed action subject to the same NL=NA covenant as trading, settlement, and monetary policy.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If an ephemeral key is compromised during its active window, the damage is compartmentalized. The adversary gains access only to the specific data envelope encrypted under that key. They do not gain access to the master keys. They do not gain access to other audit sessions. They do not gain access to future data because future sessions use different ephemeral keys generated from different threshold ceremonies. [</w:t>
      </w:r>
      <w:hyperlink r:id="rId157">
        <w:r w:rsidDel="00000000" w:rsidR="00000000" w:rsidRPr="00000000">
          <w:rPr>
            <w:color w:val="1155cc"/>
            <w:u w:val="single"/>
            <w:rtl w:val="0"/>
          </w:rPr>
          <w:t xml:space="preserve">2</w:t>
        </w:r>
      </w:hyperlink>
      <w:r w:rsidDel="00000000" w:rsidR="00000000" w:rsidRPr="00000000">
        <w:rPr>
          <w:rtl w:val="0"/>
        </w:rPr>
        <w:t xml:space="preserve">] This compartmentalization is the cryptographic realization of the principle of least privilege. The auditor receives exactly the access required for the specific regulatory purpose and nothing more. Compromise of that access reveals nothing beyond the authorized scope.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Regulatory alignment ensures that EKR satisfies the evidentiary access requirements of financial supervisors without violating the retention and confidentiality requirements of the supervised institutions. SEC Rule 17a-4 requires that broker-dealers produce records for regulatory examination upon request. [</w:t>
      </w:r>
      <w:hyperlink r:id="rId158">
        <w:r w:rsidDel="00000000" w:rsidR="00000000" w:rsidRPr="00000000">
          <w:rPr>
            <w:color w:val="1155cc"/>
            <w:u w:val="single"/>
            <w:rtl w:val="0"/>
          </w:rPr>
          <w:t xml:space="preserve">2</w:t>
        </w:r>
      </w:hyperlink>
      <w:r w:rsidDel="00000000" w:rsidR="00000000" w:rsidRPr="00000000">
        <w:rPr>
          <w:rtl w:val="0"/>
        </w:rPr>
        <w:t xml:space="preserve">] EKR satisfies this by making the records available through ephemeral decryption without transferring permanent custody. FINRA audit requirements demand that firms provide examiners with access to books and records. EKR satisfies this by granting time-bound access that expires automatically upon examination completion. Basel III IT governance principles require that banks maintain audit trails for model-driven decisions and that these trails be available to supervisors. EKR satisfies this by embedding the audit trail access into the constitutional schema, making supervisor access itself a governed decision with its own evidentiary log.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Trade secret protection under EKR extends beyond mere confidentiality to competitive survival. A high-frequency trading firm's order generation logic, a central bank's sovereign debt sustainability model, and a supply chain optimizer's counterparty pricing algorithm constitute intellectual property whose exposure would destroy competitive advantage. [</w:t>
      </w:r>
      <w:hyperlink r:id="rId159">
        <w:r w:rsidDel="00000000" w:rsidR="00000000" w:rsidRPr="00000000">
          <w:rPr>
            <w:color w:val="1155cc"/>
            <w:u w:val="single"/>
            <w:rtl w:val="0"/>
          </w:rPr>
          <w:t xml:space="preserve">2</w:t>
        </w:r>
      </w:hyperlink>
      <w:r w:rsidDel="00000000" w:rsidR="00000000" w:rsidRPr="00000000">
        <w:rPr>
          <w:rtl w:val="0"/>
        </w:rPr>
        <w:t xml:space="preserve">] Traditional regulatory examination requires that firms produce these models in discoverable formats that examiners can analyze for compliance. EKR permits examination without exposure by allowing the auditor to query the model's outputs and constitutional determinations without revealing the model's internal parameters. The Governance Lane can configure the ephemeral key scope to include only the Decision Logs, not the Inference Lane model weights. The auditor verifies that the model was certified, that it was recalibrated on schedule, and that its outputs were evaluated against the constitutional schema, without learning the model's proprietary features.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 Tri-Cameral Governance Model distributes EKR oversight to prevent capture. The Technical Council validates the cryptographic integrity of the ephemeral key generation ceremony, the threshold scheme implementation, and the automatic destruction timers. The Stewardship Custodians validate the regulatory basis for each access request, ensuring that no auditor receives data without proper authorization and that no scope exceeds the stated regulatory purpose. [</w:t>
      </w:r>
      <w:hyperlink r:id="rId160">
        <w:r w:rsidDel="00000000" w:rsidR="00000000" w:rsidRPr="00000000">
          <w:rPr>
            <w:color w:val="1155cc"/>
            <w:u w:val="single"/>
            <w:rtl w:val="0"/>
          </w:rPr>
          <w:t xml:space="preserve">3</w:t>
        </w:r>
      </w:hyperlink>
      <w:r w:rsidDel="00000000" w:rsidR="00000000" w:rsidRPr="00000000">
        <w:rPr>
          <w:rtl w:val="0"/>
        </w:rPr>
        <w:t xml:space="preserve">] The Smart Contract Treasury manages the economic resources for HSM infrastructure, key ceremony logistics, and auditor compensation, while imposing automatic penalties on institutions that attempt to deny legitimate regulatory access or that attempt to grant unauthorized access outside the EKR protocol.</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In macroeconomic practice, EKR enables the cross-border regulatory cooperation that global financial stability requires without the data sovereignty conflicts that currently impede it. A US regulator examining a European bank's TL-governed trading desk can receive an ephemeral key for the relevant Decision Logs without the European bank transferring permanent data to US jurisdiction. [</w:t>
      </w:r>
      <w:hyperlink r:id="rId161">
        <w:r w:rsidDel="00000000" w:rsidR="00000000" w:rsidRPr="00000000">
          <w:rPr>
            <w:color w:val="1155cc"/>
            <w:u w:val="single"/>
            <w:rtl w:val="0"/>
          </w:rPr>
          <w:t xml:space="preserve">2</w:t>
        </w:r>
      </w:hyperlink>
      <w:r w:rsidDel="00000000" w:rsidR="00000000" w:rsidRPr="00000000">
        <w:rPr>
          <w:rtl w:val="0"/>
        </w:rPr>
        <w:t xml:space="preserve">] The key expires automatically. The data remains in European custody. The US regulator's access is logged and auditable by European authorities. This architecture satisfies both the US regulator's examination mandate and the European bank's GDPR data localization requirements, as well as the bank's trade secret protection needs. Without EKR, the bank must choose between regulatory compliance and legal violation, between transparency and competitive exposure. With EKR, the Governance Lane evaluates the specific cross-border request and issues a scoped, time-bound, cryptographically enforced Proceed.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sources do not specify the exact maximum duration for an ephemeral key active window, though they mandate that such duration must be configurable by the Stewardship Custodians per regulatory jurisdiction and anchored in the constitutional schema with automatic destruction enforcement that cannot be overridden by the audited institution or the auditing regulator. [</w:t>
      </w:r>
      <w:hyperlink r:id="rId162">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1A9">
      <w:pPr>
        <w:pStyle w:val="Heading2"/>
        <w:rPr/>
      </w:pPr>
      <w:bookmarkStart w:colFirst="0" w:colLast="0" w:name="_hvd1q4r9omp4" w:id="29"/>
      <w:bookmarkEnd w:id="29"/>
      <w:r w:rsidDel="00000000" w:rsidR="00000000" w:rsidRPr="00000000">
        <w:rPr>
          <w:rtl w:val="0"/>
        </w:rPr>
        <w:t xml:space="preserve">3.7. Digital Evidence Standards: FRE 901/902 and eIDAS</w:t>
      </w:r>
    </w:p>
    <w:p w:rsidR="00000000" w:rsidDel="00000000" w:rsidP="00000000" w:rsidRDefault="00000000" w:rsidRPr="00000000" w14:paraId="000001AA">
      <w:pPr>
        <w:rPr/>
      </w:pPr>
      <w:r w:rsidDel="00000000" w:rsidR="00000000" w:rsidRPr="00000000">
        <w:rPr>
          <w:rtl w:val="0"/>
        </w:rPr>
        <w:t xml:space="preserve">Federal Rule of Evidence 901 establishes the foundational requirement for authenticating evidence before it may be admitted in United States federal proceedings. The proponent must produce evidence sufficient to support a finding that the item is what the proponent claims it is. [</w:t>
      </w:r>
      <w:hyperlink r:id="rId163">
        <w:r w:rsidDel="00000000" w:rsidR="00000000" w:rsidRPr="00000000">
          <w:rPr>
            <w:color w:val="1155cc"/>
            <w:u w:val="single"/>
            <w:rtl w:val="0"/>
          </w:rPr>
          <w:t xml:space="preserve">2</w:t>
        </w:r>
      </w:hyperlink>
      <w:r w:rsidDel="00000000" w:rsidR="00000000" w:rsidRPr="00000000">
        <w:rPr>
          <w:rtl w:val="0"/>
        </w:rPr>
        <w:t xml:space="preserve">] In automated economic governance, this requirement applies to every Decision Log, Permission Token, and Immutable Ledger entry that might later be introduced in litigation, regulatory enforcement, or congressional inquiry. Ternary Logic satisfies FRE 901 by architectural design because every evidentiary object is generated through a multi-party, cryptographically attested, hardware-bound process that establishes its identity and integrity before the moment of creation.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Governance Lane is the authentication engine. When the Inference Lane proposes an economic action, the Governance Lane does not merely evaluate the merits of the proposal. It constructs an evidentiary object that is self-describing, schema-validated, and multi-signatured. [</w:t>
      </w:r>
      <w:hyperlink r:id="rId164">
        <w:r w:rsidDel="00000000" w:rsidR="00000000" w:rsidRPr="00000000">
          <w:rPr>
            <w:color w:val="1155cc"/>
            <w:u w:val="single"/>
            <w:rtl w:val="0"/>
          </w:rPr>
          <w:t xml:space="preserve">1</w:t>
        </w:r>
      </w:hyperlink>
      <w:r w:rsidDel="00000000" w:rsidR="00000000" w:rsidRPr="00000000">
        <w:rPr>
          <w:rtl w:val="0"/>
        </w:rPr>
        <w:t xml:space="preserve">] The Decision Log contains the original proposal hash, the constitutional evaluation parameters, the triadic state determination, the timestamp from a hardware-bound clock, and the digital signatures of the relevant Tri-Cameral chambers. [</w:t>
      </w:r>
      <w:hyperlink r:id="rId165">
        <w:r w:rsidDel="00000000" w:rsidR="00000000" w:rsidRPr="00000000">
          <w:rPr>
            <w:color w:val="1155cc"/>
            <w:u w:val="single"/>
            <w:rtl w:val="0"/>
          </w:rPr>
          <w:t xml:space="preserve">3</w:t>
        </w:r>
      </w:hyperlink>
      <w:r w:rsidDel="00000000" w:rsidR="00000000" w:rsidRPr="00000000">
        <w:rPr>
          <w:rtl w:val="0"/>
        </w:rPr>
        <w:t xml:space="preserve">] When this log is later presented as evidence, the proponent can demonstrate that it was created by the specific Governance Lane instance, at the specific time, under the specific constitutional schema version, and signed by the specific chamber keys. This satisfies FRE 901 because the log carries its own authentication metadata. It is what it claims to be because the architecture prevents it from being anything else.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Federal Rule of Evidence 902 identifies categories of evidence that are self-authenticating and require no extrinsic evidence of authenticity. These include certified public records, official publications, and certain commercial documents. [</w:t>
      </w:r>
      <w:hyperlink r:id="rId166">
        <w:r w:rsidDel="00000000" w:rsidR="00000000" w:rsidRPr="00000000">
          <w:rPr>
            <w:color w:val="1155cc"/>
            <w:u w:val="single"/>
            <w:rtl w:val="0"/>
          </w:rPr>
          <w:t xml:space="preserve">2</w:t>
        </w:r>
      </w:hyperlink>
      <w:r w:rsidDel="00000000" w:rsidR="00000000" w:rsidRPr="00000000">
        <w:rPr>
          <w:rtl w:val="0"/>
        </w:rPr>
        <w:t xml:space="preserve">] TL aims to produce Decision Logs that qualify for self-authentication under FRE 902 by treating the Immutable Ledger as a certified record-keeping system. The ledger is maintained by distributed nodes operating under constitutional quorum. Its entries are generated through automated processes that exclude subjective human intervention at the moment of creation. [</w:t>
      </w:r>
      <w:hyperlink r:id="rId167">
        <w:r w:rsidDel="00000000" w:rsidR="00000000" w:rsidRPr="00000000">
          <w:rPr>
            <w:color w:val="1155cc"/>
            <w:u w:val="single"/>
            <w:rtl w:val="0"/>
          </w:rPr>
          <w:t xml:space="preserve">1</w:t>
        </w:r>
      </w:hyperlink>
      <w:r w:rsidDel="00000000" w:rsidR="00000000" w:rsidRPr="00000000">
        <w:rPr>
          <w:rtl w:val="0"/>
        </w:rPr>
        <w:t xml:space="preserve">] When a regulator or court examines a ledger entry, the cryptographic hash chain, the distributed consensus proof, and the schema validation certificate together establish that the record is authentic on its face. The proponent does not need to call a witness to testify that the log is genuine. The mathematics of the architecture testify instead.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eIDAS Regulation establishes the European framework for electronic identification and trust services. It creates a hierarchy of electronic signatures, ranging from simple electronic signatures to advanced electronic signatures to qualified electronic signatures. [</w:t>
      </w:r>
      <w:hyperlink r:id="rId168">
        <w:r w:rsidDel="00000000" w:rsidR="00000000" w:rsidRPr="00000000">
          <w:rPr>
            <w:color w:val="1155cc"/>
            <w:u w:val="single"/>
            <w:rtl w:val="0"/>
          </w:rPr>
          <w:t xml:space="preserve">2</w:t>
        </w:r>
      </w:hyperlink>
      <w:r w:rsidDel="00000000" w:rsidR="00000000" w:rsidRPr="00000000">
        <w:rPr>
          <w:rtl w:val="0"/>
        </w:rPr>
        <w:t xml:space="preserve">] Qualified electronic signatures under eIDAS enjoy legal equivalence to handwritten signatures and are recognized across all EU member states. TL's Permission Token architecture is designed to meet or exceed the qualified electronic signature standard. The Token is generated by a secure signature creation device, which in the TL hardware substrate corresponds to the Mandated Ternary memristive gate and its associated cryptographic module. [</w:t>
      </w:r>
      <w:hyperlink r:id="rId169">
        <w:r w:rsidDel="00000000" w:rsidR="00000000" w:rsidRPr="00000000">
          <w:rPr>
            <w:color w:val="1155cc"/>
            <w:u w:val="single"/>
            <w:rtl w:val="0"/>
          </w:rPr>
          <w:t xml:space="preserve">4</w:t>
        </w:r>
      </w:hyperlink>
      <w:r w:rsidDel="00000000" w:rsidR="00000000" w:rsidRPr="00000000">
        <w:rPr>
          <w:rtl w:val="0"/>
        </w:rPr>
        <w:t xml:space="preserve">] The signature is uniquely linked to the signatory, which in TL governance means the specific chamber of the Tri-Cameral model. The Technical Council key, the Stewardship Custodian key, and the Smart Contract Treasury key each produce distinct signatures that are cryptographically bound to their constitutional roles.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Cross-border economic systems must satisfy both U.S. and EU evidentiary standards simultaneously. A global payment infrastructure that processes transactions for both American and European counterparties must produce records that are admissible in New York federal court under FRE 901/902 and recognized as qualified electronic evidence under eIDAS. [</w:t>
      </w:r>
      <w:hyperlink r:id="rId170">
        <w:r w:rsidDel="00000000" w:rsidR="00000000" w:rsidRPr="00000000">
          <w:rPr>
            <w:color w:val="1155cc"/>
            <w:u w:val="single"/>
            <w:rtl w:val="0"/>
          </w:rPr>
          <w:t xml:space="preserve">2</w:t>
        </w:r>
      </w:hyperlink>
      <w:r w:rsidDel="00000000" w:rsidR="00000000" w:rsidRPr="00000000">
        <w:rPr>
          <w:rtl w:val="0"/>
        </w:rPr>
        <w:t xml:space="preserve">] TL addresses this dual compliance through the Regulatory Nexus endpoints in the API specification. When the Inference Lane proposes a cross-border transaction, the Governance Lane queries the Regulatory Nexus to determine which evidentiary standard applies based on the jurisdictions of the counterparties, the settlement location, and the governing law specified in the transaction master agreement. [</w:t>
      </w:r>
      <w:hyperlink r:id="rId171">
        <w:r w:rsidDel="00000000" w:rsidR="00000000" w:rsidRPr="00000000">
          <w:rPr>
            <w:color w:val="1155cc"/>
            <w:u w:val="single"/>
            <w:rtl w:val="0"/>
          </w:rPr>
          <w:t xml:space="preserve">1</w:t>
        </w:r>
      </w:hyperlink>
      <w:r w:rsidDel="00000000" w:rsidR="00000000" w:rsidRPr="00000000">
        <w:rPr>
          <w:rtl w:val="0"/>
        </w:rPr>
        <w:t xml:space="preserve">] The Governance Lane then configures the Decision Log format, signature protocol, and ledger anchoring mechanism to satisfy the stricter of the applicable standards. If the transaction involves a U.S. institutional investor and a German corporate treasury, the log is formatted to meet both FRE 902 self-authentication criteria and eIDAS qualified signature requirements.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Immutable Ledger serves as the permanent evidentiary repository. Once a Decision Log is anchored, it becomes part of a chain that is tamper-evident by design. Any attempt to alter a historical log breaks the hash chain, and the break is detectable by any party holding a copy of the ledger. [</w:t>
      </w:r>
      <w:hyperlink r:id="rId172">
        <w:r w:rsidDel="00000000" w:rsidR="00000000" w:rsidRPr="00000000">
          <w:rPr>
            <w:color w:val="1155cc"/>
            <w:u w:val="single"/>
            <w:rtl w:val="0"/>
          </w:rPr>
          <w:t xml:space="preserve">1</w:t>
        </w:r>
      </w:hyperlink>
      <w:r w:rsidDel="00000000" w:rsidR="00000000" w:rsidRPr="00000000">
        <w:rPr>
          <w:rtl w:val="0"/>
        </w:rPr>
        <w:t xml:space="preserve">] This property is critical for long-tail litigation. A securities fraud case may be filed five years after the alleged misconduct. Under traditional record-keeping, the institution might face accusations that its logs were altered during routine database maintenance. Under TL governance, the institution can demonstrate that the Decision Log from five years ago is cryptographically identical to the log anchored at the moment of the transaction. The hash value has not changed. The signatures remain valid. The schema version is recorded. The hardware attestation is preserved. This is not merely a defensive litigation strategy. It is the architectural guarantee that evidentiary integrity survives institutional memory, personnel turnover, and technological migration.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Tri-Cameral Governance Model provides the institutional authentication that underlies the technical authentication. FRE 901 requires that the proponent demonstrate the process or system used to produce the result is reliable. [</w:t>
      </w:r>
      <w:hyperlink r:id="rId173">
        <w:r w:rsidDel="00000000" w:rsidR="00000000" w:rsidRPr="00000000">
          <w:rPr>
            <w:color w:val="1155cc"/>
            <w:u w:val="single"/>
            <w:rtl w:val="0"/>
          </w:rPr>
          <w:t xml:space="preserve">2</w:t>
        </w:r>
      </w:hyperlink>
      <w:r w:rsidDel="00000000" w:rsidR="00000000" w:rsidRPr="00000000">
        <w:rPr>
          <w:rtl w:val="0"/>
        </w:rPr>
        <w:t xml:space="preserve">] The Tri-Cameral model ensures this reliability through distributed authority. The Technical Council validates the algorithms. The Stewardship Custodians validate the constitutional compliance. The Smart Contract Treasury validates the resource and incentive integrity. [</w:t>
      </w:r>
      <w:hyperlink r:id="rId174">
        <w:r w:rsidDel="00000000" w:rsidR="00000000" w:rsidRPr="00000000">
          <w:rPr>
            <w:color w:val="1155cc"/>
            <w:u w:val="single"/>
            <w:rtl w:val="0"/>
          </w:rPr>
          <w:t xml:space="preserve">3</w:t>
        </w:r>
      </w:hyperlink>
      <w:r w:rsidDel="00000000" w:rsidR="00000000" w:rsidRPr="00000000">
        <w:rPr>
          <w:rtl w:val="0"/>
        </w:rPr>
        <w:t xml:space="preserve">] When a court evaluates the reliability of the system that produced a Decision Log, the court can examine the independent roles of each chamber, the quorum requirements for state transitions, and the constitutional schema that governs their interactions. The system is reliable because no single party controls it. Its authentication is trustworthy because it is distributed.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In macroeconomic enforcement, evidentiary standards determine whether regulators can prove market manipulation, systemic risk concealment, or prudential boundary violations. The SEC's enforcement actions against algorithmic trading firms often hinge on whether the firm maintained adequate records of its order generation logic. [</w:t>
      </w:r>
      <w:hyperlink r:id="rId175">
        <w:r w:rsidDel="00000000" w:rsidR="00000000" w:rsidRPr="00000000">
          <w:rPr>
            <w:color w:val="1155cc"/>
            <w:u w:val="single"/>
            <w:rtl w:val="0"/>
          </w:rPr>
          <w:t xml:space="preserve">2</w:t>
        </w:r>
      </w:hyperlink>
      <w:r w:rsidDel="00000000" w:rsidR="00000000" w:rsidRPr="00000000">
        <w:rPr>
          <w:rtl w:val="0"/>
        </w:rPr>
        <w:t xml:space="preserve">] Under TL governance, the Decision Log contains not merely the order but the constitutional evaluation that preceded it. If the Governance Lane issued Refuse on a manipulative pattern, the log proves that the firm detected and blocked the manipulation. If the Governance Lane issued Proceed on a legitimate arbitrage, the log proves that the constitutional evaluation found no harm. The firm does not need to reconstruct its state of mind years later. The log is the state of mind, captured in cryptographic form at the moment of decision.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sources do not specify the exact eIDAS qualified trust service provider accreditation pathway for TL Governance Lane signature modules, though they mandate that such accreditation must be achievable through the Technical Council's hardware certification protocols.</w:t>
      </w:r>
    </w:p>
    <w:p w:rsidR="00000000" w:rsidDel="00000000" w:rsidP="00000000" w:rsidRDefault="00000000" w:rsidRPr="00000000" w14:paraId="000001BB">
      <w:pPr>
        <w:pStyle w:val="Heading2"/>
        <w:rPr/>
      </w:pPr>
      <w:bookmarkStart w:colFirst="0" w:colLast="0" w:name="_gamjoyf7xg2v" w:id="30"/>
      <w:bookmarkEnd w:id="30"/>
      <w:r w:rsidDel="00000000" w:rsidR="00000000" w:rsidRPr="00000000">
        <w:rPr>
          <w:rtl w:val="0"/>
        </w:rPr>
        <w:t xml:space="preserve">4.1. Banking and Capital Markets: Stress Tests and Model Overrides</w:t>
      </w:r>
    </w:p>
    <w:p w:rsidR="00000000" w:rsidDel="00000000" w:rsidP="00000000" w:rsidRDefault="00000000" w:rsidRPr="00000000" w14:paraId="000001BC">
      <w:pPr>
        <w:rPr/>
      </w:pPr>
      <w:r w:rsidDel="00000000" w:rsidR="00000000" w:rsidRPr="00000000">
        <w:rPr>
          <w:rtl w:val="0"/>
        </w:rPr>
        <w:t xml:space="preserve">The 2008 global financial crisis demonstrated that binary governance architectures in banking are structurally inadequate for systemic stability. Financial institutions relied on sophisticated statistical models to measure risk, optimize capital allocation, and price complex derivatives. These models operated in the Inference Lane alone. They proposed actions based on historical correlations, Gaussian copulas, and value-at-risk thresholds. They had no Governance Lane. There was no constitutional coprocessor to evaluate whether the model outputs satisfied evidentiary standards of prudence before execution. [</w:t>
      </w:r>
      <w:hyperlink r:id="rId176">
        <w:r w:rsidDel="00000000" w:rsidR="00000000" w:rsidRPr="00000000">
          <w:rPr>
            <w:color w:val="1155cc"/>
            <w:u w:val="single"/>
            <w:rtl w:val="0"/>
          </w:rPr>
          <w:t xml:space="preserve">2</w:t>
        </w:r>
      </w:hyperlink>
      <w:r w:rsidDel="00000000" w:rsidR="00000000" w:rsidRPr="00000000">
        <w:rPr>
          <w:rtl w:val="0"/>
        </w:rPr>
        <w:t xml:space="preserve">] When the models failed, the institutions executed catastrophic decisions at algorithmic speed, and the evidentiary basis for those decisions evaporated in the collapse.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Stress testing under Basel III and national regulatory frameworks was supposed to prevent this recurrence. The Supervisory Capital Assessment Program in the United States, the European Banking Authority stress tests, and similar regimes in Asia require banks to demonstrate resilience under adverse macroeconomic scenarios. [</w:t>
      </w:r>
      <w:hyperlink r:id="rId177">
        <w:r w:rsidDel="00000000" w:rsidR="00000000" w:rsidRPr="00000000">
          <w:rPr>
            <w:color w:val="1155cc"/>
            <w:u w:val="single"/>
            <w:rtl w:val="0"/>
          </w:rPr>
          <w:t xml:space="preserve">2</w:t>
        </w:r>
      </w:hyperlink>
      <w:r w:rsidDel="00000000" w:rsidR="00000000" w:rsidRPr="00000000">
        <w:rPr>
          <w:rtl w:val="0"/>
        </w:rPr>
        <w:t xml:space="preserve">] Yet stress testing remains vulnerable to model override culture. Bank executives, facing quarterly earnings pressure, routinely override or calibrate stress models to produce favorable outcomes. The model proposes a capital shortfall under an adverse scenario. The executive committee adjusts the scenario parameters, relaxes the correlation assumptions, or excludes certain asset classes from the perimeter. The adjusted model then proposes adequate capital. The institution executes its dividend policy and share buyback program based on this overridden output. There is no immutable evidentiary gate that records the override, evaluates its constitutional legitimacy, or blocks execution if the override lacks justification.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Ternary Logic eliminates model override culture by making the Governance Lane the mandatory intermediary between model output and institutional action. When a bank's capital adequacy model proposes that the institution maintains sufficient Tier 1 capital under the latest adverse scenario, the proposal enters the Governance Lane before the board can declare capital adequacy, before the regulator receives the submission, and before the market receives the disclosure. [</w:t>
      </w:r>
      <w:hyperlink r:id="rId178">
        <w:r w:rsidDel="00000000" w:rsidR="00000000" w:rsidRPr="00000000">
          <w:rPr>
            <w:color w:val="1155cc"/>
            <w:u w:val="single"/>
            <w:rtl w:val="0"/>
          </w:rPr>
          <w:t xml:space="preserve">2</w:t>
        </w:r>
      </w:hyperlink>
      <w:r w:rsidDel="00000000" w:rsidR="00000000" w:rsidRPr="00000000">
        <w:rPr>
          <w:rtl w:val="0"/>
        </w:rPr>
        <w:t xml:space="preserve">] The Governance Lane evaluates the proposal against constitutional criteria. Does the model use the scenario parameters mandated by the regulatory authority, or have they been internally modified? Does the model include all material asset classes, or has the perimeter been narrowed to exclude illiquid positions? Does the model calibration reflect the most recent default data, or is it based on stale historical correlations? If any of these evidentiary elements is missing, manipulated, or unverified, the Governance Lane issues Epistemic Hold. The Sacred Pause workflow notifies the Stewardship Custodians, who are constitutionally prohibited from overriding the hold without a full Tri-Cameral quorum and a documented evidentiary supplement. [</w:t>
      </w:r>
      <w:hyperlink r:id="rId179">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The Fundamental Review of the Trading Book introduced the Expected Shortfall measure to replace Value-at-Risk precisely because VaR was too easily gamed by model override. [</w:t>
      </w:r>
      <w:hyperlink r:id="rId180">
        <w:r w:rsidDel="00000000" w:rsidR="00000000" w:rsidRPr="00000000">
          <w:rPr>
            <w:color w:val="1155cc"/>
            <w:u w:val="single"/>
            <w:rtl w:val="0"/>
          </w:rPr>
          <w:t xml:space="preserve">2</w:t>
        </w:r>
      </w:hyperlink>
      <w:r w:rsidDel="00000000" w:rsidR="00000000" w:rsidRPr="00000000">
        <w:rPr>
          <w:rtl w:val="0"/>
        </w:rPr>
        <w:t xml:space="preserve">] Yet ES remains a model-dependent calculation. It requires the selection of a liquidity horizon, the calibration of a stress period, and the estimation of tail correlations. Each of these parameters is a potential override vector. Under TL governance, the Governance Lane stores the regulator-approved parameter set in the constitutional schema. When the Inference Lane generates an ES calculation for a trading position, the Governance Lane compares every parameter against the schema. If the liquidity horizon has been shortened to reduce capital requirements, the Governance Lane detects the deviation and issues Refuse. The Goukassian Vow's second mandate applies because a deliberately underestimated liquidity horizon poses direct harm to systemic stability. The Decision Log records the exact parameter deviation, the schema version that was violated, and the chamber signatures that validated the Refuse determination. [</w:t>
      </w:r>
      <w:hyperlink r:id="rId181">
        <w:r w:rsidDel="00000000" w:rsidR="00000000" w:rsidRPr="00000000">
          <w:rPr>
            <w:color w:val="1155cc"/>
            <w:u w:val="single"/>
            <w:rtl w:val="0"/>
          </w:rPr>
          <w:t xml:space="preserve">1</w:t>
        </w:r>
      </w:hyperlink>
      <w:r w:rsidDel="00000000" w:rsidR="00000000" w:rsidRPr="00000000">
        <w:rPr>
          <w:rtl w:val="0"/>
        </w:rPr>
        <w:t xml:space="preserve">] The board cannot claim ignorance of the override because the override was blocked and logged before execution.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Internal ratings-based models for credit risk under Basel III are another vector for institutional gaming. Banks using the IRB approach estimate their own probability of default, loss given default, and exposure at default. These estimates directly determine risk-weighted assets and therefore regulatory capital requirements. [</w:t>
      </w:r>
      <w:hyperlink r:id="rId182">
        <w:r w:rsidDel="00000000" w:rsidR="00000000" w:rsidRPr="00000000">
          <w:rPr>
            <w:color w:val="1155cc"/>
            <w:u w:val="single"/>
            <w:rtl w:val="0"/>
          </w:rPr>
          <w:t xml:space="preserve">2</w:t>
        </w:r>
      </w:hyperlink>
      <w:r w:rsidDel="00000000" w:rsidR="00000000" w:rsidRPr="00000000">
        <w:rPr>
          <w:rtl w:val="0"/>
        </w:rPr>
        <w:t xml:space="preserve">] Historical evidence shows that banks systematically underestimate PD and LGD to minimize capital charges. They cherry-pick historical default data, exclude recession periods from calibration samples, and apply optimistic recovery rate assumptions. Under TL governance, the Governance Lane maintains the calibration data set in the Immutable Ledger. When the Inference Lane proposes a capital calculation based on an IRB model, the Governance Lane verifies that the calibration data set matches the ledger-stamped version approved by the Technical Council. If the model uses a modified data set, the Governance Lane issues Epistemic Hold. The Sacred Pause workflow queries the model risk management division for an evidentiary justification of the modification. If no justification exists, the Stewardship Custodians escalate to Refuse. [</w:t>
      </w:r>
      <w:hyperlink r:id="rId183">
        <w:r w:rsidDel="00000000" w:rsidR="00000000" w:rsidRPr="00000000">
          <w:rPr>
            <w:color w:val="1155cc"/>
            <w:u w:val="single"/>
            <w:rtl w:val="0"/>
          </w:rPr>
          <w:t xml:space="preserve">3</w:t>
        </w:r>
      </w:hyperlink>
      <w:r w:rsidDel="00000000" w:rsidR="00000000" w:rsidRPr="00000000">
        <w:rPr>
          <w:rtl w:val="0"/>
        </w:rPr>
        <w:t xml:space="preserve">] The bank cannot execute the favorable capital calculation because the Governance Lane has determined that the evidentiary basis is constitutionally inadequate.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 leverage ratio provides a non-risk-based backstop that is less susceptible to model gaming because it does not depend on internal risk estimates. It mandates that Tier 1 capital exceed a fixed percentage of total exposures. [</w:t>
      </w:r>
      <w:hyperlink r:id="rId184">
        <w:r w:rsidDel="00000000" w:rsidR="00000000" w:rsidRPr="00000000">
          <w:rPr>
            <w:color w:val="1155cc"/>
            <w:u w:val="single"/>
            <w:rtl w:val="0"/>
          </w:rPr>
          <w:t xml:space="preserve">2</w:t>
        </w:r>
      </w:hyperlink>
      <w:r w:rsidDel="00000000" w:rsidR="00000000" w:rsidRPr="00000000">
        <w:rPr>
          <w:rtl w:val="0"/>
        </w:rPr>
        <w:t xml:space="preserve">] Yet even the leverage ratio can be circumvented through exposure manipulation. Banks have historically moved assets off balance sheet, structured synthetic exposures that evade accounting recognition, or engaged in window-dressing transactions that temporarily reduce reported exposures at quarter-end. TL's NL=NA covenant prevents this by requiring that every exposure recognition or derecognition proposal generate a complete Decision Log before execution. [</w:t>
      </w:r>
      <w:hyperlink r:id="rId185">
        <w:r w:rsidDel="00000000" w:rsidR="00000000" w:rsidRPr="00000000">
          <w:rPr>
            <w:color w:val="1155cc"/>
            <w:u w:val="single"/>
            <w:rtl w:val="0"/>
          </w:rPr>
          <w:t xml:space="preserve">1</w:t>
        </w:r>
      </w:hyperlink>
      <w:r w:rsidDel="00000000" w:rsidR="00000000" w:rsidRPr="00000000">
        <w:rPr>
          <w:rtl w:val="0"/>
        </w:rPr>
        <w:t xml:space="preserve">] The log must contain the accounting treatment analysis, the legal opinion on consolidation requirements, the counterparty identification, and the settlement timing. If a proposal to derecognize an asset lacks the legal opinion, the Governance Lane issues Epistemic Hold. If the proposal contains a legal opinion that contradicts the constitutional schema's consolidation rules, the Governance Lane issues Refuse. The quarter-end window cannot close until the Governance Lane is satisfied. The hardware substrate enforces this by maintaining the MT gate in the intermediate resistance state until the Permission Token arrives. [</w:t>
      </w:r>
      <w:hyperlink r:id="rId186">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Algorithmic trading in capital markets presents a related failure mode. Banks and broker-dealers deploy execution algorithms that slice large orders, manage market impact, and seek optimal liquidity. These algorithms operate in the Inference Lane at microsecond speed. They propose order sequences based on real-time market data, inventory positions, and client constraints. [</w:t>
      </w:r>
      <w:hyperlink r:id="rId187">
        <w:r w:rsidDel="00000000" w:rsidR="00000000" w:rsidRPr="00000000">
          <w:rPr>
            <w:color w:val="1155cc"/>
            <w:u w:val="single"/>
            <w:rtl w:val="0"/>
          </w:rPr>
          <w:t xml:space="preserve">2</w:t>
        </w:r>
      </w:hyperlink>
      <w:r w:rsidDel="00000000" w:rsidR="00000000" w:rsidRPr="00000000">
        <w:rPr>
          <w:rtl w:val="0"/>
        </w:rPr>
        <w:t xml:space="preserve">] Without a Governance Lane, these algorithms have caused catastrophic market events. The 2010 Flash Crash, the 2012 Knight Capital trading loss, and numerous subsequent mini-flash crashes occurred because algorithms executed proposals that violated prudential boundaries without evidentiary verification. Under TL governance, every order sequence proposal passes through the Governance Lane. The lane evaluates whether the proposed orders would exceed pre-trade risk limits mandated by the CFTC under Regulation AT, whether the sequence exhibits the temporal signature of layering or spoofing, and whether the inventory impact would breach the bank's intraday risk appetite. [</w:t>
      </w:r>
      <w:hyperlink r:id="rId188">
        <w:r w:rsidDel="00000000" w:rsidR="00000000" w:rsidRPr="00000000">
          <w:rPr>
            <w:color w:val="1155cc"/>
            <w:u w:val="single"/>
            <w:rtl w:val="0"/>
          </w:rPr>
          <w:t xml:space="preserve">2</w:t>
        </w:r>
      </w:hyperlink>
      <w:r w:rsidDel="00000000" w:rsidR="00000000" w:rsidRPr="00000000">
        <w:rPr>
          <w:rtl w:val="0"/>
        </w:rPr>
        <w:t xml:space="preserve">] If the sequence violates any boundary, the Governance Lane issues Refuse before the first order reaches the exchange. The Flash Crash becomes impossible because the Governance Lane would have detected the anomalous order flow pattern and issued Refuse on the cascading sell sequence.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Tri-Cameral Governance Model distributes banking oversight across chambers with distinct constitutional mandates. The Technical Council validates the mathematical integrity of capital models, trading algorithms, and stress test engines. The Stewardship Custodians evaluate whether the institution's risk appetite statements and regulatory boundaries are being respected. [</w:t>
      </w:r>
      <w:hyperlink r:id="rId189">
        <w:r w:rsidDel="00000000" w:rsidR="00000000" w:rsidRPr="00000000">
          <w:rPr>
            <w:color w:val="1155cc"/>
            <w:u w:val="single"/>
            <w:rtl w:val="0"/>
          </w:rPr>
          <w:t xml:space="preserve">3</w:t>
        </w:r>
      </w:hyperlink>
      <w:r w:rsidDel="00000000" w:rsidR="00000000" w:rsidRPr="00000000">
        <w:rPr>
          <w:rtl w:val="0"/>
        </w:rPr>
        <w:t xml:space="preserve">] The Smart Contract Treasury manages the automated penalties and incentives that discourage override attempts. If a trading desk repeatedly submits proposals that trigger Refuse for risk limit violations, the Treasury automatically reduces the desk's capital allocation and increases its collateral requirements. This automated economic consequence removes the profit motive for gaming the system. The desk cannot pressure the Governance Lane because the lane is not staffed by compliance officers subject to managerial authority. It is staffed by constitutionally independent chambers with hardware-enforced veto power.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sources do not specify the exact calibration frequency for IRB model recertification under TL governance, though they mandate that such frequencies must be determined by the Technical Council and anchored in the constitutional schema with automatic Epistemic Hold triggers for expired certifications.</w:t>
      </w:r>
    </w:p>
    <w:p w:rsidR="00000000" w:rsidDel="00000000" w:rsidP="00000000" w:rsidRDefault="00000000" w:rsidRPr="00000000" w14:paraId="000001CD">
      <w:pPr>
        <w:pStyle w:val="Heading2"/>
        <w:rPr/>
      </w:pPr>
      <w:bookmarkStart w:colFirst="0" w:colLast="0" w:name="_epxamydk46zy" w:id="31"/>
      <w:bookmarkEnd w:id="31"/>
      <w:r w:rsidDel="00000000" w:rsidR="00000000" w:rsidRPr="00000000">
        <w:rPr>
          <w:rtl w:val="0"/>
        </w:rPr>
        <w:t xml:space="preserve">4.2. High-Frequency Trading: Anti-Manipulation Enforcement</w:t>
      </w:r>
    </w:p>
    <w:p w:rsidR="00000000" w:rsidDel="00000000" w:rsidP="00000000" w:rsidRDefault="00000000" w:rsidRPr="00000000" w14:paraId="000001CE">
      <w:pPr>
        <w:rPr/>
      </w:pPr>
      <w:r w:rsidDel="00000000" w:rsidR="00000000" w:rsidRPr="00000000">
        <w:rPr>
          <w:rtl w:val="0"/>
        </w:rPr>
        <w:t xml:space="preserve">High-frequency trading operates at the extreme velocity boundary of the Inference Lane. Algorithms generate, route, and cancel orders in microseconds based on market microstructure signals, order book dynamics, and latency arbitrage opportunities. [</w:t>
      </w:r>
      <w:hyperlink r:id="rId190">
        <w:r w:rsidDel="00000000" w:rsidR="00000000" w:rsidRPr="00000000">
          <w:rPr>
            <w:color w:val="1155cc"/>
            <w:u w:val="single"/>
            <w:rtl w:val="0"/>
          </w:rPr>
          <w:t xml:space="preserve">2</w:t>
        </w:r>
      </w:hyperlink>
      <w:r w:rsidDel="00000000" w:rsidR="00000000" w:rsidRPr="00000000">
        <w:rPr>
          <w:rtl w:val="0"/>
        </w:rPr>
        <w:t xml:space="preserve">] This speed is economically necessary for market liquidity provision and price discovery. It is also structurally dangerous when divorced from governance. Without the Governance Lane, an HFT algorithm can execute a proposal that destabilizes an entire market before any human regulator becomes aware that the proposal existed. The Flash Crash of 2010, the Knight Capital trading loss of 2012, and the subsequent proliferation of mini-flash crashes demonstrate that binary speed without ternary governance produces systemic fragility. [</w:t>
      </w:r>
      <w:hyperlink r:id="rId191">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Market manipulation in HFT takes forms that are invisible to human surveillance but detectable by constitutional pattern analysis. Spoofing is the placement of orders with no intention of execution, designed to induce other market participants to trade at artificial prices. Layering is the strategic placement of multiple non-bona fide orders at various price levels to create a false impression of supply or demand. Quote stuffing is the flooding of an exchange with excessive order messages to delay competitor systems and exploit the resulting latency arbitrage. [</w:t>
      </w:r>
      <w:hyperlink r:id="rId192">
        <w:r w:rsidDel="00000000" w:rsidR="00000000" w:rsidRPr="00000000">
          <w:rPr>
            <w:color w:val="1155cc"/>
            <w:u w:val="single"/>
            <w:rtl w:val="0"/>
          </w:rPr>
          <w:t xml:space="preserve">2</w:t>
        </w:r>
      </w:hyperlink>
      <w:r w:rsidDel="00000000" w:rsidR="00000000" w:rsidRPr="00000000">
        <w:rPr>
          <w:rtl w:val="0"/>
        </w:rPr>
        <w:t xml:space="preserve">] These techniques exploit the gap between computational speed and regulatory reaction time. They are profitable because the manipulation occurs and dissipates before enforcement authorities can reconstruct the event sequence. Ternary Logic closes this gap by making manipulation detection a pre-execution constitutional requirement rather than a post-trade forensic exercise.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Governance Lane evaluates every order proposal from an HFT algorithm before any message reaches the exchange matching engine. This evaluation occurs at the speed of evidentiary verification, not at the speed of market data processing. [</w:t>
      </w:r>
      <w:hyperlink r:id="rId193">
        <w:r w:rsidDel="00000000" w:rsidR="00000000" w:rsidRPr="00000000">
          <w:rPr>
            <w:color w:val="1155cc"/>
            <w:u w:val="single"/>
            <w:rtl w:val="0"/>
          </w:rPr>
          <w:t xml:space="preserve">1</w:t>
        </w:r>
      </w:hyperlink>
      <w:r w:rsidDel="00000000" w:rsidR="00000000" w:rsidRPr="00000000">
        <w:rPr>
          <w:rtl w:val="0"/>
        </w:rPr>
        <w:t xml:space="preserve">] The Inference Lane may detect a statistical pattern suggesting that placing a large sell order at the best bid, followed by rapid cancellation, followed by a buy order at the depressed price, would generate profit. The Governance Lane evaluates whether this sequence exhibits the constitutional signature of spoofing. The signature is defined in the schema by the Stewardship Custodians based on CFTC enforcement precedents, SEC litigation patterns, and exchange surveillance protocols. [</w:t>
      </w:r>
      <w:hyperlink r:id="rId194">
        <w:r w:rsidDel="00000000" w:rsidR="00000000" w:rsidRPr="00000000">
          <w:rPr>
            <w:color w:val="1155cc"/>
            <w:u w:val="single"/>
            <w:rtl w:val="0"/>
          </w:rPr>
          <w:t xml:space="preserve">3</w:t>
        </w:r>
      </w:hyperlink>
      <w:r w:rsidDel="00000000" w:rsidR="00000000" w:rsidRPr="00000000">
        <w:rPr>
          <w:rtl w:val="0"/>
        </w:rPr>
        <w:t xml:space="preserve">] If the proposal matches the signature, the Governance Lane issues Refuse. The Goukassian Vow's second mandate, refuse when harm is clear, applies because spoofing directly harms market integrity and exposes the firm to criminal liability under the Dodd-Frank anti-manipulation provisions. [</w:t>
      </w:r>
      <w:hyperlink r:id="rId195">
        <w:r w:rsidDel="00000000" w:rsidR="00000000" w:rsidRPr="00000000">
          <w:rPr>
            <w:color w:val="1155cc"/>
            <w:u w:val="single"/>
            <w:rtl w:val="0"/>
          </w:rPr>
          <w:t xml:space="preserve">2</w:t>
        </w:r>
      </w:hyperlink>
      <w:r w:rsidDel="00000000" w:rsidR="00000000" w:rsidRPr="00000000">
        <w:rPr>
          <w:rtl w:val="0"/>
        </w:rPr>
        <w:t xml:space="preserve">] The Decision Log records the pattern analysis, the signature match confidence, the constitutional gate triggered, and the chamber signatures. This log becomes immediate, immutable evidence for the CFTC Division of Enforcement. The firm cannot claim that the algorithm acted without human knowledge because the Governance Lane's Refuse determination, signed by the Stewardship Custodians, demonstrates that the system detected and blocked the manipulation before execution.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CFTC Regulation AT mandates pre-trade risk controls for algorithmic trading in derivatives markets. These controls include maximum order message limits, price collars that prevent orders outside a defined range, and maximum order sizes that prevent individual orders from exceeding specified notional thresholds. [</w:t>
      </w:r>
      <w:hyperlink r:id="rId196">
        <w:r w:rsidDel="00000000" w:rsidR="00000000" w:rsidRPr="00000000">
          <w:rPr>
            <w:color w:val="1155cc"/>
            <w:u w:val="single"/>
            <w:rtl w:val="0"/>
          </w:rPr>
          <w:t xml:space="preserve">2</w:t>
        </w:r>
      </w:hyperlink>
      <w:r w:rsidDel="00000000" w:rsidR="00000000" w:rsidRPr="00000000">
        <w:rPr>
          <w:rtl w:val="0"/>
        </w:rPr>
        <w:t xml:space="preserve">] TL embeds these controls as constitutional boundaries in the Governance Lane schema. The Stewardship Custodians configure the specific parameters applicable to each trading entity, instrument class, and market session. When the Inference Lane proposes an order, the Governance Lane evaluates the proposal against every configured boundary. If the proposal would exceed the maximum message rate for the trading session, the Governance Lane issues Refuse. If the proposal would place an order outside the price collar, the Governance Lane issues Refuse. If the proposal would exceed the maximum order size for the instrument, the Governance Lane issues Refuse. These are not soft warnings or risk-adjusted advisories. They are binding constitutional blocks enforced by the hardware substrate. [</w:t>
      </w:r>
      <w:hyperlink r:id="rId197">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Flash Crash of 2010 occurred because a large mutual fund algorithm executed a massive sell order in the E-Mini S&amp;P 500 futures market without adequate pre-trade risk controls. The order consumed available liquidity and triggered a cascading withdrawal of HFT liquidity providers, who detected the abnormal order flow and stopped trading. [</w:t>
      </w:r>
      <w:hyperlink r:id="rId198">
        <w:r w:rsidDel="00000000" w:rsidR="00000000" w:rsidRPr="00000000">
          <w:rPr>
            <w:color w:val="1155cc"/>
            <w:u w:val="single"/>
            <w:rtl w:val="0"/>
          </w:rPr>
          <w:t xml:space="preserve">2</w:t>
        </w:r>
      </w:hyperlink>
      <w:r w:rsidDel="00000000" w:rsidR="00000000" w:rsidRPr="00000000">
        <w:rPr>
          <w:rtl w:val="0"/>
        </w:rPr>
        <w:t xml:space="preserve">] Under TL governance, the mutual fund's sell program would have been submitted as a proposal to the Governance Lane before execution. The lane would have evaluated the proposal against liquidity impact boundaries defined in the constitutional schema. If the proposal would have consumed more than a specified percentage of visible liquidity within a defined time window, the Governance Lane would have issued Epistemic Hold. The Sacred Pause workflow would have notified the mutual fund's portfolio management division, the exchange's market surveillance unit, and the relevant regulatory authority. [</w:t>
      </w:r>
      <w:hyperlink r:id="rId199">
        <w:r w:rsidDel="00000000" w:rsidR="00000000" w:rsidRPr="00000000">
          <w:rPr>
            <w:color w:val="1155cc"/>
            <w:u w:val="single"/>
            <w:rtl w:val="0"/>
          </w:rPr>
          <w:t xml:space="preserve">1</w:t>
        </w:r>
      </w:hyperlink>
      <w:r w:rsidDel="00000000" w:rsidR="00000000" w:rsidRPr="00000000">
        <w:rPr>
          <w:rtl w:val="0"/>
        </w:rPr>
        <w:t xml:space="preserve">] The HFT liquidity providers would not have needed to detect the anomaly through their own algorithms because the Governance Lane would have suspended the destabilizing order before it reached the market. The cascade would not have occurred because the initial perturbation would have been constitutionally paused.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 Knight Capital incident of 2012 illustrates a different failure mode: the deployment of untested software into a production trading environment. Knight Capital activated a new order routing software that contained a latent defect causing it to generate millions of erroneous orders over a forty-five minute period. The firm lost approximately four hundred sixty million dollars and nearly collapsed. [</w:t>
      </w:r>
      <w:hyperlink r:id="rId200">
        <w:r w:rsidDel="00000000" w:rsidR="00000000" w:rsidRPr="00000000">
          <w:rPr>
            <w:color w:val="1155cc"/>
            <w:u w:val="single"/>
            <w:rtl w:val="0"/>
          </w:rPr>
          <w:t xml:space="preserve">2</w:t>
        </w:r>
      </w:hyperlink>
      <w:r w:rsidDel="00000000" w:rsidR="00000000" w:rsidRPr="00000000">
        <w:rPr>
          <w:rtl w:val="0"/>
        </w:rPr>
        <w:t xml:space="preserve">] Under TL governance, the software deployment would have been subject to the Governance Lane's change management protocol. The Inference Lane cannot self-modify or deploy new algorithms without a Permission Token authorizing the deployment. The Governance Lane evaluates the deployment proposal against the constitutional schema's software validation requirements. These requirements include evidence of unit testing, integration testing, regression testing, and sandbox validation against historical market data. [</w:t>
      </w:r>
      <w:hyperlink r:id="rId201">
        <w:r w:rsidDel="00000000" w:rsidR="00000000" w:rsidRPr="00000000">
          <w:rPr>
            <w:color w:val="1155cc"/>
            <w:u w:val="single"/>
            <w:rtl w:val="0"/>
          </w:rPr>
          <w:t xml:space="preserve">1</w:t>
        </w:r>
      </w:hyperlink>
      <w:r w:rsidDel="00000000" w:rsidR="00000000" w:rsidRPr="00000000">
        <w:rPr>
          <w:rtl w:val="0"/>
        </w:rPr>
        <w:t xml:space="preserve">] If the deployment proposal lacks any of these evidentiary elements, the Governance Lane issues Epistemic Hold. The Sacred Pause workflow escalates to the Technical Council, which must validate the testing completeness before the deployment can receive Proceed. The defective software would never have reached production because the Governance Lane would have detected the missing validation evidence and blocked the deployment.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Quote stuffing as a manipulation technique depends on the ability to generate order messages faster than the exchange or competing algorithms can process them. The manipulator exploits the resulting queue delay to execute trades at prices that would have changed if the queue had cleared normally. [</w:t>
      </w:r>
      <w:hyperlink r:id="rId202">
        <w:r w:rsidDel="00000000" w:rsidR="00000000" w:rsidRPr="00000000">
          <w:rPr>
            <w:color w:val="1155cc"/>
            <w:u w:val="single"/>
            <w:rtl w:val="0"/>
          </w:rPr>
          <w:t xml:space="preserve">2</w:t>
        </w:r>
      </w:hyperlink>
      <w:r w:rsidDel="00000000" w:rsidR="00000000" w:rsidRPr="00000000">
        <w:rPr>
          <w:rtl w:val="0"/>
        </w:rPr>
        <w:t xml:space="preserve">] TL's Governance Lane prevents quote stuffing through message rate constitutionalization. The schema defines not merely a maximum message rate but a message-to-execution ratio boundary. If an algorithm's proposal contains a sequence where the ratio of submitted orders to executed orders exceeds a threshold indicative of stuffing behavior, the Governance Lane issues Refuse. The Decision Log records the ratio calculation, the threshold definition, and the temporal signature of the proposed sequence. [</w:t>
      </w:r>
      <w:hyperlink r:id="rId203">
        <w:r w:rsidDel="00000000" w:rsidR="00000000" w:rsidRPr="00000000">
          <w:rPr>
            <w:color w:val="1155cc"/>
            <w:u w:val="single"/>
            <w:rtl w:val="0"/>
          </w:rPr>
          <w:t xml:space="preserve">1</w:t>
        </w:r>
      </w:hyperlink>
      <w:r w:rsidDel="00000000" w:rsidR="00000000" w:rsidRPr="00000000">
        <w:rPr>
          <w:rtl w:val="0"/>
        </w:rPr>
        <w:t xml:space="preserve">] This log provides the exchange surveillance team and the CFTC with pre-execution evidence of attempted manipulation. The evidence is not reconstructed from exchange logs after the fact. It is generated by the Governance Lane at the moment the manipulation was proposed and blocked.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 Tri-Cameral Governance Model adapts to HFT oversight through specialized sub-chambers. The Technical Council maintains a sub-council of market microstructure experts who define the statistical signatures of manipulation, calibrate the schema parameters for message rate boundaries, and validate the detection algorithms embedded in the Governance Lane. [</w:t>
      </w:r>
      <w:hyperlink r:id="rId204">
        <w:r w:rsidDel="00000000" w:rsidR="00000000" w:rsidRPr="00000000">
          <w:rPr>
            <w:color w:val="1155cc"/>
            <w:u w:val="single"/>
            <w:rtl w:val="0"/>
          </w:rPr>
          <w:t xml:space="preserve">3</w:t>
        </w:r>
      </w:hyperlink>
      <w:r w:rsidDel="00000000" w:rsidR="00000000" w:rsidRPr="00000000">
        <w:rPr>
          <w:rtl w:val="0"/>
        </w:rPr>
        <w:t xml:space="preserve">] The Stewardship Custodians include representatives from market surveillance, regulatory enforcement liaison, and legal compliance who evaluate whether the constitutional boundaries remain aligned with evolving enforcement standards. The Smart Contract Treasury manages the economic consequences of HFT governance. When a trading firm's algorithm repeatedly triggers Refuse for manipulation signatures, the Treasury automatically imposes collateral increases, reduces credit lines, and suspends fee rebates. [</w:t>
      </w:r>
      <w:hyperlink r:id="rId205">
        <w:r w:rsidDel="00000000" w:rsidR="00000000" w:rsidRPr="00000000">
          <w:rPr>
            <w:color w:val="1155cc"/>
            <w:u w:val="single"/>
            <w:rtl w:val="0"/>
          </w:rPr>
          <w:t xml:space="preserve">3</w:t>
        </w:r>
      </w:hyperlink>
      <w:r w:rsidDel="00000000" w:rsidR="00000000" w:rsidRPr="00000000">
        <w:rPr>
          <w:rtl w:val="0"/>
        </w:rPr>
        <w:t xml:space="preserve">] These automated economic penalties operate in real time, removing the profit incentive for manipulation faster than any human disciplinary process.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hardware substrate ensures that HFT governance cannot be bypassed through computational speed. The Mandated Ternary memristive cells in the Gateway physically prevent order transmission during Epistemic Hold. [</w:t>
      </w:r>
      <w:hyperlink r:id="rId206">
        <w:r w:rsidDel="00000000" w:rsidR="00000000" w:rsidRPr="00000000">
          <w:rPr>
            <w:color w:val="1155cc"/>
            <w:u w:val="single"/>
            <w:rtl w:val="0"/>
          </w:rPr>
          <w:t xml:space="preserve">4</w:t>
        </w:r>
      </w:hyperlink>
      <w:r w:rsidDel="00000000" w:rsidR="00000000" w:rsidRPr="00000000">
        <w:rPr>
          <w:rtl w:val="0"/>
        </w:rPr>
        <w:t xml:space="preserve">] Even if an HFT algorithm in the Inference Lane generates a million proposals per second, each proposal must still pass through the Governance Lane and receive a Permission Token before the hardware gate will transition to the Proceed state. The memristor's intermediate resistance state acts as a physical speed bump that cannot be circumvented by faster processors, co-location advantages, or network optimization. The electron does not care about latency arbitrage. It waits for the cryptographic confirm pulse from the Governance Lane.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Decision Log architecture transforms market surveillance from reactive to preemptive. Under traditional regulation, the CFTC's Market Intelligence Branch reconstructs manipulation events from exchange audit trails, which are submitted days or weeks after the event. [</w:t>
      </w:r>
      <w:hyperlink r:id="rId207">
        <w:r w:rsidDel="00000000" w:rsidR="00000000" w:rsidRPr="00000000">
          <w:rPr>
            <w:color w:val="1155cc"/>
            <w:u w:val="single"/>
            <w:rtl w:val="0"/>
          </w:rPr>
          <w:t xml:space="preserve">2</w:t>
        </w:r>
      </w:hyperlink>
      <w:r w:rsidDel="00000000" w:rsidR="00000000" w:rsidRPr="00000000">
        <w:rPr>
          <w:rtl w:val="0"/>
        </w:rPr>
        <w:t xml:space="preserve">] Under TL governance, the Decision Log for every Refused manipulation attempt is available in real time through the Regulatory Nexus API. The CFTC can subscribe to a feed of blocked manipulation proposals, analyze the patterns across multiple trading firms, and identify emerging manipulation techniques before they succeed in any market. The Immutable Ledger provides the evidentiary foundation for immediate enforcement action. The regulator does not need to prove that the firm intended to manipulate. The firm itself has generated immutable evidence that its Governance Lane detected the manipulation signature and blocked it. If the firm subsequently modifies its algorithm to evade the signature, the Decision Log records the schema change, the Technical Council approval, and the new detection parameters. The arms race between manipulators and surveillance shifts from the shadows of post-trade forensics to the transparency of pre-execution constitutional law.</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sources do not specify the exact microsecond latency budget for Governance Lane evaluation of HFT proposals, though they mandate that such budgets must be configurable by the Technical Council and must not compromise the evidentiary completeness required for NL=NA.</w:t>
      </w:r>
    </w:p>
    <w:p w:rsidR="00000000" w:rsidDel="00000000" w:rsidP="00000000" w:rsidRDefault="00000000" w:rsidRPr="00000000" w14:paraId="000001E3">
      <w:pPr>
        <w:pStyle w:val="Heading2"/>
        <w:rPr/>
      </w:pPr>
      <w:bookmarkStart w:colFirst="0" w:colLast="0" w:name="_wpw7jgoj596y" w:id="32"/>
      <w:bookmarkEnd w:id="32"/>
      <w:r w:rsidDel="00000000" w:rsidR="00000000" w:rsidRPr="00000000">
        <w:rPr>
          <w:rtl w:val="0"/>
        </w:rPr>
        <w:t xml:space="preserve">4.3. Central Banking: Algorithmic Issuance and Audit Trails</w:t>
      </w:r>
    </w:p>
    <w:p w:rsidR="00000000" w:rsidDel="00000000" w:rsidP="00000000" w:rsidRDefault="00000000" w:rsidRPr="00000000" w14:paraId="000001E4">
      <w:pPr>
        <w:rPr/>
      </w:pPr>
      <w:r w:rsidDel="00000000" w:rsidR="00000000" w:rsidRPr="00000000">
        <w:rPr>
          <w:rtl w:val="0"/>
        </w:rPr>
        <w:t xml:space="preserve">Central banks issue sovereign money and serve as lenders of last resort. These functions grant them unique power over the economic destiny of nations. They also place central banks in a permanent tension between operational independence and democratic accountability. [</w:t>
      </w:r>
      <w:hyperlink r:id="rId208">
        <w:r w:rsidDel="00000000" w:rsidR="00000000" w:rsidRPr="00000000">
          <w:rPr>
            <w:color w:val="1155cc"/>
            <w:u w:val="single"/>
            <w:rtl w:val="0"/>
          </w:rPr>
          <w:t xml:space="preserve">2</w:t>
        </w:r>
      </w:hyperlink>
      <w:r w:rsidDel="00000000" w:rsidR="00000000" w:rsidRPr="00000000">
        <w:rPr>
          <w:rtl w:val="0"/>
        </w:rPr>
        <w:t xml:space="preserve">] When a central bank deploys algorithmic systems to manage monetary policy, liquidity provision, or emergency lending, it risks replacing human deliberation with opaque automation. The public cannot audit what they cannot see. Parliaments cannot scrutinize what occurs in microseconds. Ternary Logic resolves this tension by making every algorithmic monetary action subject to pre-execution evidentiary governance and immutable audit trails.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2008 financial crisis revealed the dangers of opaque central bank intervention. Major central banks deployed emergency liquidity facilities, purchased distressed assets, and slashed interest rates through algorithmic trading desks and automated monetary policy committees. [</w:t>
      </w:r>
      <w:hyperlink r:id="rId209">
        <w:r w:rsidDel="00000000" w:rsidR="00000000" w:rsidRPr="00000000">
          <w:rPr>
            <w:color w:val="1155cc"/>
            <w:u w:val="single"/>
            <w:rtl w:val="0"/>
          </w:rPr>
          <w:t xml:space="preserve">2</w:t>
        </w:r>
      </w:hyperlink>
      <w:r w:rsidDel="00000000" w:rsidR="00000000" w:rsidRPr="00000000">
        <w:rPr>
          <w:rtl w:val="0"/>
        </w:rPr>
        <w:t xml:space="preserve">] The decisions were consequential. They determined which financial institutions survived and which failed. They redistributed wealth between creditors and debtors on a generational scale. Yet the evidentiary basis for many of these decisions was never properly recorded. The algorithms executed. The markets moved. The audit trails, where they existed at all, were fragmented across incompatible systems, subject to retrospective editing, and vulnerable to political claims of national security classification. The public was asked to trust that the central bank acted wisely. The architecture provided no mechanism to verify that trust.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Algorithmic monetary policy under TL governance operates through the Dual-Lane Architecture. The Inference Lane contains the macroeconomic models that generate policy proposals. These models process inflation data, employment statistics, sovereign debt yields, trade balance metrics, and financial stability indicators. They propose interest rate adjustments, quantitative easing programs, or liquidity injection operations. [</w:t>
      </w:r>
      <w:hyperlink r:id="rId210">
        <w:r w:rsidDel="00000000" w:rsidR="00000000" w:rsidRPr="00000000">
          <w:rPr>
            <w:color w:val="1155cc"/>
            <w:u w:val="single"/>
            <w:rtl w:val="0"/>
          </w:rPr>
          <w:t xml:space="preserve">2</w:t>
        </w:r>
      </w:hyperlink>
      <w:r w:rsidDel="00000000" w:rsidR="00000000" w:rsidRPr="00000000">
        <w:rPr>
          <w:rtl w:val="0"/>
        </w:rPr>
        <w:t xml:space="preserve">] This lane operates at the speed required for market stability. It proposes but cannot execute.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Governance Lane evaluates every monetary policy proposal before the central bank's trading desk can execute it in the open market. The lane applies constitutional criteria derived from the central bank's statutory mandate, its inflation targeting framework, its financial stability obligations, and international regulatory agreements. [</w:t>
      </w:r>
      <w:hyperlink r:id="rId211">
        <w:r w:rsidDel="00000000" w:rsidR="00000000" w:rsidRPr="00000000">
          <w:rPr>
            <w:color w:val="1155cc"/>
            <w:u w:val="single"/>
            <w:rtl w:val="0"/>
          </w:rPr>
          <w:t xml:space="preserve">2</w:t>
        </w:r>
      </w:hyperlink>
      <w:r w:rsidDel="00000000" w:rsidR="00000000" w:rsidRPr="00000000">
        <w:rPr>
          <w:rtl w:val="0"/>
        </w:rPr>
        <w:t xml:space="preserve">] When the Inference Lane proposes a quantitative easing program, the Governance Lane requires evidentiary documentation that includes the macroeconomic model outputs, the inflation targeting deviation analysis, the financial stability impact assessment, and the cross-border spillover evaluation. [</w:t>
      </w:r>
      <w:hyperlink r:id="rId212">
        <w:r w:rsidDel="00000000" w:rsidR="00000000" w:rsidRPr="00000000">
          <w:rPr>
            <w:color w:val="1155cc"/>
            <w:u w:val="single"/>
            <w:rtl w:val="0"/>
          </w:rPr>
          <w:t xml:space="preserve">2</w:t>
        </w:r>
      </w:hyperlink>
      <w:r w:rsidDel="00000000" w:rsidR="00000000" w:rsidRPr="00000000">
        <w:rPr>
          <w:rtl w:val="0"/>
        </w:rPr>
        <w:t xml:space="preserve">] If the documentation is incomplete, the Governance Lane issues Epistemic Hold. The Sacred Pause workflow notifies the central bank's research department, its monetary policy committee, and its external oversight board. The algorithmic proposal remains suspended until the evidentiary gaps are resolved or the Tri-Cameral quorum issues a constitutional override.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This architecture prevents the erosion of central bank legitimacy that occurs when algorithmic decisions lack evidentiary transparency. When a central bank deploys an automated lending facility during a financial crisis, market participants and political authorities demand to know why the facility activated, how much liquidity was injected, and what collateral was accepted. [</w:t>
      </w:r>
      <w:hyperlink r:id="rId213">
        <w:r w:rsidDel="00000000" w:rsidR="00000000" w:rsidRPr="00000000">
          <w:rPr>
            <w:color w:val="1155cc"/>
            <w:u w:val="single"/>
            <w:rtl w:val="0"/>
          </w:rPr>
          <w:t xml:space="preserve">2</w:t>
        </w:r>
      </w:hyperlink>
      <w:r w:rsidDel="00000000" w:rsidR="00000000" w:rsidRPr="00000000">
        <w:rPr>
          <w:rtl w:val="0"/>
        </w:rPr>
        <w:t xml:space="preserve">] Under TL governance, every algorithmic monetary policy action generates a Decision Log that answers these questions before the action occurs. The log is cryptographically sealed and anchored to the Immutable Ledger. Five years later, a parliamentary inquiry can verify that the crisis lending followed the constitutional schema, that the Stewardship Custodians signed the Permission Token, and that no executive override bypassed the Governance Lane. [</w:t>
      </w:r>
      <w:hyperlink r:id="rId214">
        <w:r w:rsidDel="00000000" w:rsidR="00000000" w:rsidRPr="00000000">
          <w:rPr>
            <w:color w:val="1155cc"/>
            <w:u w:val="single"/>
            <w:rtl w:val="0"/>
          </w:rPr>
          <w:t xml:space="preserve">1</w:t>
        </w:r>
      </w:hyperlink>
      <w:r w:rsidDel="00000000" w:rsidR="00000000" w:rsidRPr="00000000">
        <w:rPr>
          <w:rtl w:val="0"/>
        </w:rPr>
        <w:t xml:space="preserve">] This is democratic accountability through architectural design.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Sovereign debt monetization presents a specific constitutional risk. When a central bank algorithm proposes to purchase government bonds in quantities that would finance fiscal deficits directly, the Governance Lane must evaluate whether the proposal crosses the boundary between monetary policy and fiscal dominance. [</w:t>
      </w:r>
      <w:hyperlink r:id="rId215">
        <w:r w:rsidDel="00000000" w:rsidR="00000000" w:rsidRPr="00000000">
          <w:rPr>
            <w:color w:val="1155cc"/>
            <w:u w:val="single"/>
            <w:rtl w:val="0"/>
          </w:rPr>
          <w:t xml:space="preserve">2</w:t>
        </w:r>
      </w:hyperlink>
      <w:r w:rsidDel="00000000" w:rsidR="00000000" w:rsidRPr="00000000">
        <w:rPr>
          <w:rtl w:val="0"/>
        </w:rPr>
        <w:t xml:space="preserve">] The constitutional schema can define this boundary through parameters such as the ratio of central bank holdings to total sovereign debt outstanding, the duration concentration of purchases, and the correlation between purchase timing and government budget announcements. If the proposal would violate any of these boundaries, the Governance Lane issues Refuse. The Goukassian Vow's second mandate, refuse when harm is clear, applies because fiscal dominance destroys central bank independence and triggers currency instability. [</w:t>
      </w:r>
      <w:hyperlink r:id="rId216">
        <w:r w:rsidDel="00000000" w:rsidR="00000000" w:rsidRPr="00000000">
          <w:rPr>
            <w:color w:val="1155cc"/>
            <w:u w:val="single"/>
            <w:rtl w:val="0"/>
          </w:rPr>
          <w:t xml:space="preserve">1</w:t>
        </w:r>
      </w:hyperlink>
      <w:r w:rsidDel="00000000" w:rsidR="00000000" w:rsidRPr="00000000">
        <w:rPr>
          <w:rtl w:val="0"/>
        </w:rPr>
        <w:t xml:space="preserve">] The Decision Log records the boundary analysis, the parameter values, and the constitutional gate triggered, providing immediate evidence to the legislature and to international institutions such as the International Monetary Fund.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Emergency lending facilities operate under extreme time pressure. During a banking panic, the central bank must provide liquidity within hours to prevent contagion. Traditional governance collapses under this pressure because the urgency is used to justify bypassing normal deliberative procedures. [</w:t>
      </w:r>
      <w:hyperlink r:id="rId217">
        <w:r w:rsidDel="00000000" w:rsidR="00000000" w:rsidRPr="00000000">
          <w:rPr>
            <w:color w:val="1155cc"/>
            <w:u w:val="single"/>
            <w:rtl w:val="0"/>
          </w:rPr>
          <w:t xml:space="preserve">2</w:t>
        </w:r>
      </w:hyperlink>
      <w:r w:rsidDel="00000000" w:rsidR="00000000" w:rsidRPr="00000000">
        <w:rPr>
          <w:rtl w:val="0"/>
        </w:rPr>
        <w:t xml:space="preserve">] TL's Sacred Pause workflow is designed to maintain constitutional discipline without sacrificing speed for genuinely urgent proposals. The workflow contains accelerated escalation thresholds for emergency liquidity proposals. These thresholds are not executive override buttons. They are pre-configured constitutional parameters that specify how quickly the Tri-Cameral chambers must convene, what evidentiary minimums can be satisfied under time constraint, and what post-hoc documentation must be submitted within defined windows. [</w:t>
      </w:r>
      <w:hyperlink r:id="rId218">
        <w:r w:rsidDel="00000000" w:rsidR="00000000" w:rsidRPr="00000000">
          <w:rPr>
            <w:color w:val="1155cc"/>
            <w:u w:val="single"/>
            <w:rtl w:val="0"/>
          </w:rPr>
          <w:t xml:space="preserve">3</w:t>
        </w:r>
      </w:hyperlink>
      <w:r w:rsidDel="00000000" w:rsidR="00000000" w:rsidRPr="00000000">
        <w:rPr>
          <w:rtl w:val="0"/>
        </w:rPr>
        <w:t xml:space="preserve">] If the central bank's liquidity proposal satisfies the emergency evidentiary minimum, the Governance Lane issues Proceed with an emergency Permission Token that contains a flag requiring full evidentiary supplementation within seventy-two hours. If the proposal fails even the emergency minimum, the Governance Lane issues Epistemic Hold with a mandatory human quorum review within four hours. The architecture does not prevent crisis response. It prevents crisis response without evidence.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hardware substrate protects central bank independence from political interference. The Mandated Ternary memristive cells in the settlement infrastructure physically prevent the execution of monetary policy decisions during Epistemic Hold. [</w:t>
      </w:r>
      <w:hyperlink r:id="rId219">
        <w:r w:rsidDel="00000000" w:rsidR="00000000" w:rsidRPr="00000000">
          <w:rPr>
            <w:color w:val="1155cc"/>
            <w:u w:val="single"/>
            <w:rtl w:val="0"/>
          </w:rPr>
          <w:t xml:space="preserve">4</w:t>
        </w:r>
      </w:hyperlink>
      <w:r w:rsidDel="00000000" w:rsidR="00000000" w:rsidRPr="00000000">
        <w:rPr>
          <w:rtl w:val="0"/>
        </w:rPr>
        <w:t xml:space="preserve">] Even if a finance minister demands that the central bank governor bypass the Governance Lane to execute an emergency liquidity injection before a bond auction, the hardware gate will not transition to Proceed without the cryptographic confirm pulse from the Governance Lane. The physical constraint protects monetary sovereignty from both external political pressure and internal institutional panic. The central bank cannot be pressured to bypass governance for the sake of speed because the bypass is physically impossible. [</w:t>
      </w:r>
      <w:hyperlink r:id="rId220">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Decision Log for central bank actions serves as the institutional memory of monetary policy. Central banks experience personnel turnover, changes in governing boards, and shifts in political climate. A decision made by one governor may be repudiated by the next. Without immutable records, the evidentiary basis for past actions dissolves into competing narratives. [</w:t>
      </w:r>
      <w:hyperlink r:id="rId221">
        <w:r w:rsidDel="00000000" w:rsidR="00000000" w:rsidRPr="00000000">
          <w:rPr>
            <w:color w:val="1155cc"/>
            <w:u w:val="single"/>
            <w:rtl w:val="0"/>
          </w:rPr>
          <w:t xml:space="preserve">2</w:t>
        </w:r>
      </w:hyperlink>
      <w:r w:rsidDel="00000000" w:rsidR="00000000" w:rsidRPr="00000000">
        <w:rPr>
          <w:rtl w:val="0"/>
        </w:rPr>
        <w:t xml:space="preserve">] The Immutable Ledger preserves the Decision Log with cryptographic finality. The log contains the original macroeconomic proposal, the constitutional evaluation, the triadic state determination, the chamber signatures, and the timestamp from a hardware-bound clock. [</w:t>
      </w:r>
      <w:hyperlink r:id="rId222">
        <w:r w:rsidDel="00000000" w:rsidR="00000000" w:rsidRPr="00000000">
          <w:rPr>
            <w:color w:val="1155cc"/>
            <w:u w:val="single"/>
            <w:rtl w:val="0"/>
          </w:rPr>
          <w:t xml:space="preserve">1</w:t>
        </w:r>
      </w:hyperlink>
      <w:r w:rsidDel="00000000" w:rsidR="00000000" w:rsidRPr="00000000">
        <w:rPr>
          <w:rtl w:val="0"/>
        </w:rPr>
        <w:t xml:space="preserve">] Future governors, legislators, and historians can verify that the log is byte-for-byte identical to the log generated at the moment of decision. The hash chain has not been broken. The signatures remain valid. The monetary policy of the past is not subject to the politics of the present.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Tri-Cameral Governance Model maps onto central bank institutional structures with constitutional precision. The Technical Council corresponds to the central bank's research and statistics department, validating the macroeconomic models, data integrity, and forecast methodologies. The Stewardship Custodians correspond to the central bank's independent oversight board or external audit committee, ensuring that monetary policy decisions adhere to the statutory mandate and international obligations. [</w:t>
      </w:r>
      <w:hyperlink r:id="rId223">
        <w:r w:rsidDel="00000000" w:rsidR="00000000" w:rsidRPr="00000000">
          <w:rPr>
            <w:color w:val="1155cc"/>
            <w:u w:val="single"/>
            <w:rtl w:val="0"/>
          </w:rPr>
          <w:t xml:space="preserve">3</w:t>
        </w:r>
      </w:hyperlink>
      <w:r w:rsidDel="00000000" w:rsidR="00000000" w:rsidRPr="00000000">
        <w:rPr>
          <w:rtl w:val="0"/>
        </w:rPr>
        <w:t xml:space="preserve">] The Smart Contract Treasury corresponds to the central bank's internal financial operations division, managing the reserves, collateral pools, and liquidity buffers that sustain algorithmic operations. The constitutional separation prevents the monetary policy committee from overriding settlement governance for political convenience. It prevents the technology division from deploying unverified algorithms into the payment infrastructure. It prevents the operations division from reallocating reserves without evidentiary justification. [</w:t>
      </w:r>
      <w:hyperlink r:id="rId224">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Cross-border monetary coordination requires that central banks maintain aligned evidentiary standards. When a central bank proposes a swap line activation with a foreign central bank, the Governance Lane must evaluate the proposal against both jurisdictions' constitutional schemas. [</w:t>
      </w:r>
      <w:hyperlink r:id="rId225">
        <w:r w:rsidDel="00000000" w:rsidR="00000000" w:rsidRPr="00000000">
          <w:rPr>
            <w:color w:val="1155cc"/>
            <w:u w:val="single"/>
            <w:rtl w:val="0"/>
          </w:rPr>
          <w:t xml:space="preserve">2</w:t>
        </w:r>
      </w:hyperlink>
      <w:r w:rsidDel="00000000" w:rsidR="00000000" w:rsidRPr="00000000">
        <w:rPr>
          <w:rtl w:val="0"/>
        </w:rPr>
        <w:t xml:space="preserve">] The Decision Log must contain the bilateral agreement text, the collateral terms, the duration limits, and the macroeconomic justification for both sovereigns. If the foreign central bank's Governance Lane has issued a conflicting determination, the swap line proposal enters Epistemic Hold and the Sacred Pause workflow invokes the bilateral regulatory nexus protocol. [</w:t>
      </w:r>
      <w:hyperlink r:id="rId226">
        <w:r w:rsidDel="00000000" w:rsidR="00000000" w:rsidRPr="00000000">
          <w:rPr>
            <w:color w:val="1155cc"/>
            <w:u w:val="single"/>
            <w:rtl w:val="0"/>
          </w:rPr>
          <w:t xml:space="preserve">1</w:t>
        </w:r>
      </w:hyperlink>
      <w:r w:rsidDel="00000000" w:rsidR="00000000" w:rsidRPr="00000000">
        <w:rPr>
          <w:rtl w:val="0"/>
        </w:rPr>
        <w:t xml:space="preserve">] The log records the entire diplomatic and evidentiary negotiation, ensuring that neither central bank can later claim that the swap was unauthorized or that the terms were misunderstood.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sources do not specify the exact emergency evidentiary minimum thresholds for central bank liquidity proposals, though they mandate that such thresholds must be configurable by the Stewardship Custodians and anchored in the constitutional schema with automatic escalation triggers.</w:t>
      </w:r>
    </w:p>
    <w:p w:rsidR="00000000" w:rsidDel="00000000" w:rsidP="00000000" w:rsidRDefault="00000000" w:rsidRPr="00000000" w14:paraId="000001FB">
      <w:pPr>
        <w:pStyle w:val="Heading2"/>
        <w:rPr/>
      </w:pPr>
      <w:bookmarkStart w:colFirst="0" w:colLast="0" w:name="_hkkhaz4d22vp" w:id="33"/>
      <w:bookmarkEnd w:id="33"/>
      <w:r w:rsidDel="00000000" w:rsidR="00000000" w:rsidRPr="00000000">
        <w:rPr>
          <w:rtl w:val="0"/>
        </w:rPr>
        <w:t xml:space="preserve">4.4. Supply Chains and Global Trade: Fraud and Cross-Border Alignment</w:t>
      </w:r>
    </w:p>
    <w:p w:rsidR="00000000" w:rsidDel="00000000" w:rsidP="00000000" w:rsidRDefault="00000000" w:rsidRPr="00000000" w14:paraId="000001FC">
      <w:pPr>
        <w:rPr/>
      </w:pPr>
      <w:r w:rsidDel="00000000" w:rsidR="00000000" w:rsidRPr="00000000">
        <w:rPr>
          <w:rtl w:val="0"/>
        </w:rPr>
        <w:t xml:space="preserve">Global supply chains operate across jurisdictions, regulatory regimes, and institutional trust boundaries. A single container shipment may traverse customs authorities, port operators, freight forwarders, insurers, banks issuing letters of credit, and final purchasers across three continents. [</w:t>
      </w:r>
      <w:hyperlink r:id="rId227">
        <w:r w:rsidDel="00000000" w:rsidR="00000000" w:rsidRPr="00000000">
          <w:rPr>
            <w:color w:val="1155cc"/>
            <w:u w:val="single"/>
            <w:rtl w:val="0"/>
          </w:rPr>
          <w:t xml:space="preserve">2</w:t>
        </w:r>
      </w:hyperlink>
      <w:r w:rsidDel="00000000" w:rsidR="00000000" w:rsidRPr="00000000">
        <w:rPr>
          <w:rtl w:val="0"/>
        </w:rPr>
        <w:t xml:space="preserve">] Binary enterprise resource planning systems and logistics optimizers track inventory, route cargo, and minimize transit time. They do not govern provenance. They do not verify that the bill of lading corresponds to actual cargo. They do not evaluate whether the supplier appears on a sanctions list or whether the declared customs value matches the market price. [</w:t>
      </w:r>
      <w:hyperlink r:id="rId228">
        <w:r w:rsidDel="00000000" w:rsidR="00000000" w:rsidRPr="00000000">
          <w:rPr>
            <w:color w:val="1155cc"/>
            <w:u w:val="single"/>
            <w:rtl w:val="0"/>
          </w:rPr>
          <w:t xml:space="preserve">2</w:t>
        </w:r>
      </w:hyperlink>
      <w:r w:rsidDel="00000000" w:rsidR="00000000" w:rsidRPr="00000000">
        <w:rPr>
          <w:rtl w:val="0"/>
        </w:rPr>
        <w:t xml:space="preserve">] These systems propose logistical actions. They do not dictate whether those actions should occur.</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Supply chain fraud takes forms that binary tracking cannot detect. Counterfeit goods enter legitimate channels through falsified provenance documentation. Sanctioned entities conceal their ownership through layered shell companies and beneficial ownership obfuscation. Customs declarations understate value to evade duties or overstate value to justify capital flight. [</w:t>
      </w:r>
      <w:hyperlink r:id="rId229">
        <w:r w:rsidDel="00000000" w:rsidR="00000000" w:rsidRPr="00000000">
          <w:rPr>
            <w:color w:val="1155cc"/>
            <w:u w:val="single"/>
            <w:rtl w:val="0"/>
          </w:rPr>
          <w:t xml:space="preserve">2</w:t>
        </w:r>
      </w:hyperlink>
      <w:r w:rsidDel="00000000" w:rsidR="00000000" w:rsidRPr="00000000">
        <w:rPr>
          <w:rtl w:val="0"/>
        </w:rPr>
        <w:t xml:space="preserve">] These frauds exploit the gap between logistical speed and governance verification. A shipment clears customs because the documentation is complete, not because the documentation is true. A letter of credit is honored because the presented documents appear conforming, not because the underlying goods exist. The harm is systemic. Counterfeit pharmaceuticals endanger public health. Sanctioned technology transfers undermine national security. Customs fraud erodes sovereign revenue and distorts trade statistics that inform macroeconomic policy.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Ternary Logic closes this gap by making provenance verification a pre-execution constitutional requirement. The Inference Lane contains the logistics optimization engines that propose routing, scheduling, and inventory allocation. The Governance Lane evaluates every shipment proposal, trade finance request, and cross-border transfer before execution. [</w:t>
      </w:r>
      <w:hyperlink r:id="rId230">
        <w:r w:rsidDel="00000000" w:rsidR="00000000" w:rsidRPr="00000000">
          <w:rPr>
            <w:color w:val="1155cc"/>
            <w:u w:val="single"/>
            <w:rtl w:val="0"/>
          </w:rPr>
          <w:t xml:space="preserve">1</w:t>
        </w:r>
      </w:hyperlink>
      <w:r w:rsidDel="00000000" w:rsidR="00000000" w:rsidRPr="00000000">
        <w:rPr>
          <w:rtl w:val="0"/>
        </w:rPr>
        <w:t xml:space="preserve">] Binary proposes movement. Ternary dictates whether the movement crosses the execution threshold.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When a supplier proposes to ship a pharmaceutical product to a distributor, the Inference Lane optimizes the route, temperature control, and delivery schedule. The Governance Lane evaluates the proposal against constitutional criteria. Does the supplier's certificate of analysis match the batch number in the proposal? Does the supplier appear on any sanctions list maintained by the relevant regulatory authorities? Does the declared customs classification correspond to the product's actual chemical composition? [</w:t>
      </w:r>
      <w:hyperlink r:id="rId231">
        <w:r w:rsidDel="00000000" w:rsidR="00000000" w:rsidRPr="00000000">
          <w:rPr>
            <w:color w:val="1155cc"/>
            <w:u w:val="single"/>
            <w:rtl w:val="0"/>
          </w:rPr>
          <w:t xml:space="preserve">2</w:t>
        </w:r>
      </w:hyperlink>
      <w:r w:rsidDel="00000000" w:rsidR="00000000" w:rsidRPr="00000000">
        <w:rPr>
          <w:rtl w:val="0"/>
        </w:rPr>
        <w:t xml:space="preserve">] If the provenance documentation is incomplete, the Governance Lane issues Epistemic Hold. The Sacred Pause workflow queries the certifying laboratory, the customs broker, or the sanctions screening database for the missing verification. The shipment cannot depart until the Governance Lane issues Proceed. The 0 state is not a logistics delay. It is a constitutional determination that the evidentiary basis for the shipment has not been established.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When a trade finance bank receives a letter of credit presentation, the Inference Lane evaluates the documentary compliance against the Uniform Customs and Practice for Documentary Credits. The Governance Lane evaluates the evidentiary integrity of the underlying transaction. [</w:t>
      </w:r>
      <w:hyperlink r:id="rId232">
        <w:r w:rsidDel="00000000" w:rsidR="00000000" w:rsidRPr="00000000">
          <w:rPr>
            <w:color w:val="1155cc"/>
            <w:u w:val="single"/>
            <w:rtl w:val="0"/>
          </w:rPr>
          <w:t xml:space="preserve">2</w:t>
        </w:r>
      </w:hyperlink>
      <w:r w:rsidDel="00000000" w:rsidR="00000000" w:rsidRPr="00000000">
        <w:rPr>
          <w:rtl w:val="0"/>
        </w:rPr>
        <w:t xml:space="preserve">] Does the bill of lading originate from a port that matches the supplier's registered location? Does the insurance certificate cover the cargo value declared in the invoice? Does the beneficiary bank maintain adequate capital reserves under Basel III, and does its own Governance Lane issue a valid Permission Token attesting to its constitutional compliance? [</w:t>
      </w:r>
      <w:hyperlink r:id="rId233">
        <w:r w:rsidDel="00000000" w:rsidR="00000000" w:rsidRPr="00000000">
          <w:rPr>
            <w:color w:val="1155cc"/>
            <w:u w:val="single"/>
            <w:rtl w:val="0"/>
          </w:rPr>
          <w:t xml:space="preserve">2</w:t>
        </w:r>
      </w:hyperlink>
      <w:r w:rsidDel="00000000" w:rsidR="00000000" w:rsidRPr="00000000">
        <w:rPr>
          <w:rtl w:val="0"/>
        </w:rPr>
        <w:t xml:space="preserve">] If any evidentiary element fails, the Governance Lane issues Refuse. The letter of credit is not honored. The Goukassian Vow's second mandate, refuse when harm is clear, applies because honoring a fraudulent presentation would cause direct financial harm to the issuing bank and systemic harm to trade finance integrity. The Decision Log records the documentary discrepancy, the constitutional gate triggered, and the chamber signatures that validated the Refuse determination. [</w:t>
      </w:r>
      <w:hyperlink r:id="rId23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Cross-border trade alignment presents unique governance challenges because different jurisdictions maintain conflicting customs classifications, divergent sanctions regimes, and incompatible product safety standards. [</w:t>
      </w:r>
      <w:hyperlink r:id="rId235">
        <w:r w:rsidDel="00000000" w:rsidR="00000000" w:rsidRPr="00000000">
          <w:rPr>
            <w:color w:val="1155cc"/>
            <w:u w:val="single"/>
            <w:rtl w:val="0"/>
          </w:rPr>
          <w:t xml:space="preserve">2</w:t>
        </w:r>
      </w:hyperlink>
      <w:r w:rsidDel="00000000" w:rsidR="00000000" w:rsidRPr="00000000">
        <w:rPr>
          <w:rtl w:val="0"/>
        </w:rPr>
        <w:t xml:space="preserve">] A shipment that is legally compliant in the exporting country may violate import restrictions in the destination country. A chemical compound approved for industrial use in one jurisdiction may be classified as a controlled substance in another. The Governance Lane addresses this through the Regulatory Nexus endpoints in the API specification. When the Inference Lane proposes a cross-border shipment, the Governance Lane queries the Regulatory Nexus to retrieve the constitutional schemas of both the origin and destination jurisdictions. [</w:t>
      </w:r>
      <w:hyperlink r:id="rId236">
        <w:r w:rsidDel="00000000" w:rsidR="00000000" w:rsidRPr="00000000">
          <w:rPr>
            <w:color w:val="1155cc"/>
            <w:u w:val="single"/>
            <w:rtl w:val="0"/>
          </w:rPr>
          <w:t xml:space="preserve">1</w:t>
        </w:r>
      </w:hyperlink>
      <w:r w:rsidDel="00000000" w:rsidR="00000000" w:rsidRPr="00000000">
        <w:rPr>
          <w:rtl w:val="0"/>
        </w:rPr>
        <w:t xml:space="preserve">] The lane evaluates the proposal against both schemas simultaneously. If the schemas conflict, the Governance Lane issues Epistemic Hold and the Sacred Pause workflow invokes the bilateral trade compliance protocol. This protocol is a pre-configured diplomatic channel through which the Stewardship Custodians of both jurisdictions negotiate a harmonized determination or a joint Refuse. [</w:t>
      </w:r>
      <w:hyperlink r:id="rId237">
        <w:r w:rsidDel="00000000" w:rsidR="00000000" w:rsidRPr="00000000">
          <w:rPr>
            <w:color w:val="1155cc"/>
            <w:u w:val="single"/>
            <w:rtl w:val="0"/>
          </w:rPr>
          <w:t xml:space="preserve">3</w:t>
        </w:r>
      </w:hyperlink>
      <w:r w:rsidDel="00000000" w:rsidR="00000000" w:rsidRPr="00000000">
        <w:rPr>
          <w:rtl w:val="0"/>
        </w:rPr>
        <w:t xml:space="preserve">] The Decision Log records the entire negotiation, preserving evidentiary transparency for both sovereign customs authorities.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The Decision Log for trade transactions serves as the immutable evidentiary record for customs disputes, insurance claims, and trade finance litigation. When a shipment arrives at destination and the customs authority disputes the declared classification, the importer can present the Decision Log from the Governance Lane. [</w:t>
      </w:r>
      <w:hyperlink r:id="rId238">
        <w:r w:rsidDel="00000000" w:rsidR="00000000" w:rsidRPr="00000000">
          <w:rPr>
            <w:color w:val="1155cc"/>
            <w:u w:val="single"/>
            <w:rtl w:val="0"/>
          </w:rPr>
          <w:t xml:space="preserve">1</w:t>
        </w:r>
      </w:hyperlink>
      <w:r w:rsidDel="00000000" w:rsidR="00000000" w:rsidRPr="00000000">
        <w:rPr>
          <w:rtl w:val="0"/>
        </w:rPr>
        <w:t xml:space="preserve">] The log contains the original proposal, the constitutional evaluation, the triadic state determination, the evidentiary hash chain, and the chamber signatures. Because the log is anchored to the Immutable Ledger, the importer cannot retroactively alter the classification rationale. The customs authority can verify that the Governance Lane evaluated the classification against the destination jurisdiction's schema at the moment of export and issued Proceed based on specific evidentiary grounds. This transforms customs enforcement from a retrospective guessing game into a forward-verified governance process.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Sanctions evasion through supply chain complexity is a persistent institutional failure. Adversarial actors route goods through intermediary jurisdictions, transshipment ports, and shell companies to obscure the ultimate beneficiary. [</w:t>
      </w:r>
      <w:hyperlink r:id="rId239">
        <w:r w:rsidDel="00000000" w:rsidR="00000000" w:rsidRPr="00000000">
          <w:rPr>
            <w:color w:val="1155cc"/>
            <w:u w:val="single"/>
            <w:rtl w:val="0"/>
          </w:rPr>
          <w:t xml:space="preserve">2</w:t>
        </w:r>
      </w:hyperlink>
      <w:r w:rsidDel="00000000" w:rsidR="00000000" w:rsidRPr="00000000">
        <w:rPr>
          <w:rtl w:val="0"/>
        </w:rPr>
        <w:t xml:space="preserve">] Binary screening systems check the immediate counterparty against sanctions lists but fail to evaluate the full ownership chain. The Governance Lane performs recursive beneficial ownership analysis. When a supplier proposal enters the lane, it evaluates not merely the supplier's name but the names of its ultimate beneficial owners, its parent entities, its banking correspondents, and its freight forwarders against all applicable sanctions databases. [</w:t>
      </w:r>
      <w:hyperlink r:id="rId240">
        <w:r w:rsidDel="00000000" w:rsidR="00000000" w:rsidRPr="00000000">
          <w:rPr>
            <w:color w:val="1155cc"/>
            <w:u w:val="single"/>
            <w:rtl w:val="0"/>
          </w:rPr>
          <w:t xml:space="preserve">2</w:t>
        </w:r>
      </w:hyperlink>
      <w:r w:rsidDel="00000000" w:rsidR="00000000" w:rsidRPr="00000000">
        <w:rPr>
          <w:rtl w:val="0"/>
        </w:rPr>
        <w:t xml:space="preserve">] If any node in the ownership graph matches a sanctioned entity, the Governance Lane issues Refuse. The Decision Log records the ownership graph analysis, the sanctions match, and the constitutional gate triggered. This log becomes immediate evidence for the relevant financial intelligence unit and eliminates the plausible deniability that sanctions evaders rely upon.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hardware substrate enforces trade governance at the physical port level. The Mandated Ternary memristive cells in customs and port infrastructure physically prevent the release of cargo during Epistemic Hold. [</w:t>
      </w:r>
      <w:hyperlink r:id="rId241">
        <w:r w:rsidDel="00000000" w:rsidR="00000000" w:rsidRPr="00000000">
          <w:rPr>
            <w:color w:val="1155cc"/>
            <w:u w:val="single"/>
            <w:rtl w:val="0"/>
          </w:rPr>
          <w:t xml:space="preserve">4</w:t>
        </w:r>
      </w:hyperlink>
      <w:r w:rsidDel="00000000" w:rsidR="00000000" w:rsidRPr="00000000">
        <w:rPr>
          <w:rtl w:val="0"/>
        </w:rPr>
        <w:t xml:space="preserve">] Even if a compromised logistics system in the Inference Lane attempts to force a customs clearance during a documentation gap, the hardware gate will not transition to Proceed without the cryptographic confirm pulse from the Governance Lane. The physical constraint prevents the release of counterfeit pharmaceuticals, sanctioned technology, or misclassified chemicals into domestic markets. The port authority cannot be bribed to override the system because the override is physically impossible. [</w:t>
      </w:r>
      <w:hyperlink r:id="rId242">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Global trade finance depends on the trustworthiness of documentary presentations. The Immutable Ledger provides the distributed trust architecture that replaces redundant correspondent banking relationships and documentary verification chains. When a trade finance transaction generates a Decision Log, the log is anchored to the ledger and becomes visible to all permissioned parties: the exporter, the importer, the issuing bank, the confirming bank, the customs authority, and the insurer. [</w:t>
      </w:r>
      <w:hyperlink r:id="rId243">
        <w:r w:rsidDel="00000000" w:rsidR="00000000" w:rsidRPr="00000000">
          <w:rPr>
            <w:color w:val="1155cc"/>
            <w:u w:val="single"/>
            <w:rtl w:val="0"/>
          </w:rPr>
          <w:t xml:space="preserve">1</w:t>
        </w:r>
      </w:hyperlink>
      <w:r w:rsidDel="00000000" w:rsidR="00000000" w:rsidRPr="00000000">
        <w:rPr>
          <w:rtl w:val="0"/>
        </w:rPr>
        <w:t xml:space="preserve">] Each party can verify that the Governance Lane evaluated the transaction before execution and that no party subsequently altered the evidentiary record. This distributed transparency reduces the cost of trade finance by eliminating the need for redundant documentary checks at each node in the chain. A bank in Singapore can verify the Governance Lane determination made by a customs authority in Rotterdam without intermediary correspondence.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The Tri-Cameral Governance Model adapts to trade oversight through specialized sub-chambers. The Technical Council includes supply chain engineers, customs classification experts, and sanctions database administrators who maintain the constitutional schema for provenance verification. The Stewardship Custodians include trade compliance officers, export control specialists, and financial crime investigators who evaluate whether the constitutional boundaries remain aligned with evolving enforcement standards. [</w:t>
      </w:r>
      <w:hyperlink r:id="rId244">
        <w:r w:rsidDel="00000000" w:rsidR="00000000" w:rsidRPr="00000000">
          <w:rPr>
            <w:color w:val="1155cc"/>
            <w:u w:val="single"/>
            <w:rtl w:val="0"/>
          </w:rPr>
          <w:t xml:space="preserve">3</w:t>
        </w:r>
      </w:hyperlink>
      <w:r w:rsidDel="00000000" w:rsidR="00000000" w:rsidRPr="00000000">
        <w:rPr>
          <w:rtl w:val="0"/>
        </w:rPr>
        <w:t xml:space="preserve">] The Smart Contract Treasury manages the automated penalties and incentives that enforce trade compliance. When a supplier repeatedly submits proposals that trigger Refuse for sanctions matches, the Treasury automatically suspends the supplier's credit lines, revokes its pre-clearance status, and notifies all counterparties in the ledger network. [</w:t>
      </w:r>
      <w:hyperlink r:id="rId245">
        <w:r w:rsidDel="00000000" w:rsidR="00000000" w:rsidRPr="00000000">
          <w:rPr>
            <w:color w:val="1155cc"/>
            <w:u w:val="single"/>
            <w:rtl w:val="0"/>
          </w:rPr>
          <w:t xml:space="preserve">3</w:t>
        </w:r>
      </w:hyperlink>
      <w:r w:rsidDel="00000000" w:rsidR="00000000" w:rsidRPr="00000000">
        <w:rPr>
          <w:rtl w:val="0"/>
        </w:rPr>
        <w:t xml:space="preserve">] These automated economic consequences remove the commercial incentive for fraud faster than any human disciplinary process.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sources do not specify the exact depth of beneficial ownership recursion for sanctions screening, though they mandate that such depth must be configurable by the Stewardship Custodians and anchored in the constitutional schema.</w:t>
      </w:r>
    </w:p>
    <w:p w:rsidR="00000000" w:rsidDel="00000000" w:rsidP="00000000" w:rsidRDefault="00000000" w:rsidRPr="00000000" w14:paraId="00000213">
      <w:pPr>
        <w:pStyle w:val="Heading2"/>
        <w:rPr/>
      </w:pPr>
      <w:bookmarkStart w:colFirst="0" w:colLast="0" w:name="_tn6wo78t5jrq" w:id="34"/>
      <w:bookmarkEnd w:id="34"/>
      <w:r w:rsidDel="00000000" w:rsidR="00000000" w:rsidRPr="00000000">
        <w:rPr>
          <w:rtl w:val="0"/>
        </w:rPr>
        <w:t xml:space="preserve">4.5. Insurance and Actuarial Systems: Bias Detection and Legal Defensibility</w:t>
      </w:r>
    </w:p>
    <w:p w:rsidR="00000000" w:rsidDel="00000000" w:rsidP="00000000" w:rsidRDefault="00000000" w:rsidRPr="00000000" w14:paraId="00000214">
      <w:pPr>
        <w:rPr/>
      </w:pPr>
      <w:r w:rsidDel="00000000" w:rsidR="00000000" w:rsidRPr="00000000">
        <w:rPr>
          <w:rtl w:val="0"/>
        </w:rPr>
        <w:t xml:space="preserve">Insurance is the economic mechanism through which society pools and transfers risk. Actuarial science determines the price of that transfer. Historical data on mortality, morbidity, property damage, and liability frequency feed statistical models that propose premiums, coverage limits, exclusions, and reserve allocations. [</w:t>
      </w:r>
      <w:hyperlink r:id="rId246">
        <w:r w:rsidDel="00000000" w:rsidR="00000000" w:rsidRPr="00000000">
          <w:rPr>
            <w:color w:val="1155cc"/>
            <w:u w:val="single"/>
            <w:rtl w:val="0"/>
          </w:rPr>
          <w:t xml:space="preserve">2</w:t>
        </w:r>
      </w:hyperlink>
      <w:r w:rsidDel="00000000" w:rsidR="00000000" w:rsidRPr="00000000">
        <w:rPr>
          <w:rtl w:val="0"/>
        </w:rPr>
        <w:t xml:space="preserve">] These models operate in the Inference Lane. They are optimized for predictive accuracy and portfolio profitability. They are not optimized for fairness, regulatory compliance, or legal defensibility. Without the Governance Lane, an actuarial algorithm can propose pricing that is mathematically sound and commercially profitable while being constitutionally unjust and legally indefensible.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Historical bias in insurance is not merely a past injustice. It is an embedded feature of the data that actuarial models consume. Redlining in property insurance, gender discrimination in auto insurance, racial proxy discrimination in life insurance through zip code or purchasing pattern variables, and disability exclusion in health insurance all persist because the models learn from historical outcomes that reflect historical discrimination. [</w:t>
      </w:r>
      <w:hyperlink r:id="rId247">
        <w:r w:rsidDel="00000000" w:rsidR="00000000" w:rsidRPr="00000000">
          <w:rPr>
            <w:color w:val="1155cc"/>
            <w:u w:val="single"/>
            <w:rtl w:val="0"/>
          </w:rPr>
          <w:t xml:space="preserve">2</w:t>
        </w:r>
      </w:hyperlink>
      <w:r w:rsidDel="00000000" w:rsidR="00000000" w:rsidRPr="00000000">
        <w:rPr>
          <w:rtl w:val="0"/>
        </w:rPr>
        <w:t xml:space="preserve">] A binary system that optimizes for loss ratio minimization will naturally exploit these proxies because they are statistically correlated with claims experience. The model proposes a higher premium for a zip code with higher historical fire losses. It does not ask whether those higher losses resulted from decades of underinvestment in municipal services, discriminatory building code enforcement, or deliberate insurer withdrawal from the neighborhood. The Inference Lane proposes the premium. The Governance Lane must evaluate whether the proposal crosses the execution threshold.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When an actuarial algorithm proposes a premium for an individual policyholder, the Governance Lane evaluates the proposal against constitutional fairness criteria. These criteria are defined in the schema by the Stewardship Custodians based on applicable civil rights legislation, insurance commissioner regulations, and international fair pricing standards. [</w:t>
      </w:r>
      <w:hyperlink r:id="rId248">
        <w:r w:rsidDel="00000000" w:rsidR="00000000" w:rsidRPr="00000000">
          <w:rPr>
            <w:color w:val="1155cc"/>
            <w:u w:val="single"/>
            <w:rtl w:val="0"/>
          </w:rPr>
          <w:t xml:space="preserve">3</w:t>
        </w:r>
      </w:hyperlink>
      <w:r w:rsidDel="00000000" w:rsidR="00000000" w:rsidRPr="00000000">
        <w:rPr>
          <w:rtl w:val="0"/>
        </w:rPr>
        <w:t xml:space="preserve">] The criteria include evidence of bias testing for protected characteristic proxies, documentation of model training data provenance, and validation that the pricing factors bear an actuarially justified relationship to the risk being insured. If the proposal lacks evidence of bias testing, the Governance Lane issues Epistemic Hold. The Sacred Pause workflow queries the actuarial department for the required fairness audit. If the bias testing reveals proxy discrimination, the Governance Lane issues Refuse. The Goukassian Vow's second mandate, refuse when harm is clear, applies because discriminatory pricing causes direct economic harm to protected classes and systemic harm to market integrity. [</w:t>
      </w:r>
      <w:hyperlink r:id="rId249">
        <w:r w:rsidDel="00000000" w:rsidR="00000000" w:rsidRPr="00000000">
          <w:rPr>
            <w:color w:val="1155cc"/>
            <w:u w:val="single"/>
            <w:rtl w:val="0"/>
          </w:rPr>
          <w:t xml:space="preserve">1</w:t>
        </w:r>
      </w:hyperlink>
      <w:r w:rsidDel="00000000" w:rsidR="00000000" w:rsidRPr="00000000">
        <w:rPr>
          <w:rtl w:val="0"/>
        </w:rPr>
        <w:t xml:space="preserve">] The Decision Log records the bias analysis, the proxy variable identified, the constitutional gate triggered, and the chamber signatures. This log becomes immediate evidence for the state insurance commissioner, the civil rights division, or the policyholder's legal counsel.</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Claims processing presents a related failure mode. Automated claims systems use algorithms to evaluate damage reports, medical records, and repair estimates. They propose payout amounts, coverage confirmations, or denial determinations. [</w:t>
      </w:r>
      <w:hyperlink r:id="rId250">
        <w:r w:rsidDel="00000000" w:rsidR="00000000" w:rsidRPr="00000000">
          <w:rPr>
            <w:color w:val="1155cc"/>
            <w:u w:val="single"/>
            <w:rtl w:val="0"/>
          </w:rPr>
          <w:t xml:space="preserve">2</w:t>
        </w:r>
      </w:hyperlink>
      <w:r w:rsidDel="00000000" w:rsidR="00000000" w:rsidRPr="00000000">
        <w:rPr>
          <w:rtl w:val="0"/>
        </w:rPr>
        <w:t xml:space="preserve">] Without governance, these systems can deny valid claims based on pattern recognition errors, incomplete data ingestion, or calibrated payout minimization. A health insurance algorithm might deny coverage for a necessary procedure because the diagnostic code in the claim does not match the narrow pattern recognized by the model. A property insurer might understate damage because the aerial imagery analysis failed to detect structural compromise visible only at ground level. The Governance Lane prevents these errors by requiring evidentiary completeness before any payout or denial is executed.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When a claim proposal enters the Governance Lane, the lane evaluates whether the evidentiary documentation meets the constitutional standard for the coverage type. For health insurance, this includes verification that the procedure is covered under the policy terms, that the diagnostic coding matches the medical necessity documentation, and that the provider is in the approved network. [</w:t>
      </w:r>
      <w:hyperlink r:id="rId251">
        <w:r w:rsidDel="00000000" w:rsidR="00000000" w:rsidRPr="00000000">
          <w:rPr>
            <w:color w:val="1155cc"/>
            <w:u w:val="single"/>
            <w:rtl w:val="0"/>
          </w:rPr>
          <w:t xml:space="preserve">2</w:t>
        </w:r>
      </w:hyperlink>
      <w:r w:rsidDel="00000000" w:rsidR="00000000" w:rsidRPr="00000000">
        <w:rPr>
          <w:rtl w:val="0"/>
        </w:rPr>
        <w:t xml:space="preserve">] For property insurance, this includes verification that the damage assessment includes both remote sensing data and on-site inspection reports, that the repair estimate reflects local labor and material costs, and that the claim does not exceed the policy limits or trigger reinsurance obligations. If any evidentiary element is missing, the Governance Lane issues Epistemic Hold. The Sacred Pause workflow requests the missing documentation from the policyholder, the adjuster, or the medical reviewer. The claim cannot be denied for lack of evidence because the Governance Lane has determined that the evidence is incomplete, not that the claim is invalid. The 0 state protects the policyholder from algorithmic denial based on data gaps.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Catastrophe modeling in property and reinsurance presents systemic governance challenges. Climate risk models, pandemic risk models, and geopolitical risk models project extreme losses that determine insurer solvency, reinsurance pricing, and national disaster preparedness. [</w:t>
      </w:r>
      <w:hyperlink r:id="rId252">
        <w:r w:rsidDel="00000000" w:rsidR="00000000" w:rsidRPr="00000000">
          <w:rPr>
            <w:color w:val="1155cc"/>
            <w:u w:val="single"/>
            <w:rtl w:val="0"/>
          </w:rPr>
          <w:t xml:space="preserve">2</w:t>
        </w:r>
      </w:hyperlink>
      <w:r w:rsidDel="00000000" w:rsidR="00000000" w:rsidRPr="00000000">
        <w:rPr>
          <w:rtl w:val="0"/>
        </w:rPr>
        <w:t xml:space="preserve">] These models are inherently uncertain. They depend on scenario assumptions, correlation structures, and tail risk calibrations that are not empirically verifiable. Binary systems treat these projections as deterministic inputs to capital allocation and underwriting decisions. The model proposes a premium for coastal property insurance based on a one-in-two-hundred-year flood scenario. The insurer executes the underwriting program. When the flood occurs sooner than projected, the insurer faces insolvency and the policyholders face uncovered losses.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Under TL governance, catastrophe model outputs are proposals, not facts. The Governance Lane evaluates every underwriting proposal that depends on catastrophe modeling against the constitutional schema's evidentiary requirements for extreme risk. [</w:t>
      </w:r>
      <w:hyperlink r:id="rId253">
        <w:r w:rsidDel="00000000" w:rsidR="00000000" w:rsidRPr="00000000">
          <w:rPr>
            <w:color w:val="1155cc"/>
            <w:u w:val="single"/>
            <w:rtl w:val="0"/>
          </w:rPr>
          <w:t xml:space="preserve">1</w:t>
        </w:r>
      </w:hyperlink>
      <w:r w:rsidDel="00000000" w:rsidR="00000000" w:rsidRPr="00000000">
        <w:rPr>
          <w:rtl w:val="0"/>
        </w:rPr>
        <w:t xml:space="preserve">] These requirements include model validation by independent actuarial review, stress testing against historical events that exceeded prior model projections, and reserve adequacy verification by the Smart Contract Treasury. If the model has not been validated since the last major event, the Governance Lane issues Epistemic Hold. The Sacred Pause workflow escalates to the Technical Council for model recertification. If the reserve allocation is insufficient to cover the modeled tail risk, the Governance Lane issues Refuse. The underwriting program cannot proceed because the evidentiary basis for solvency is constitutionally inadequate. The Decision Log records the model version, the validation status, the reserve calculation, and the constitutional gate triggered. [</w:t>
      </w:r>
      <w:hyperlink r:id="rId25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Solvency II, the European Union's regulatory framework for insurance undertakings, mandates that insurers maintain technical provisions, own funds, and risk management systems that ensure policyholder protection. [</w:t>
      </w:r>
      <w:hyperlink r:id="rId255">
        <w:r w:rsidDel="00000000" w:rsidR="00000000" w:rsidRPr="00000000">
          <w:rPr>
            <w:color w:val="1155cc"/>
            <w:u w:val="single"/>
            <w:rtl w:val="0"/>
          </w:rPr>
          <w:t xml:space="preserve">2</w:t>
        </w:r>
      </w:hyperlink>
      <w:r w:rsidDel="00000000" w:rsidR="00000000" w:rsidRPr="00000000">
        <w:rPr>
          <w:rtl w:val="0"/>
        </w:rPr>
        <w:t xml:space="preserve">] TL aligns with Solvency II by embedding its requirements into the Governance Lane schema. The Stewardship Custodians configure the lane to evaluate capital adequacy proposals against the Solvency Capital Requirement, the Minimum Capital Requirement, and the Own Risk and Solvency Assessment. When the Inference Lane proposes a dividend distribution or a share buyback, the Governance Lane verifies that the distribution would not breach the Solvency Capital Requirement. If the proposal would reduce own funds below the required threshold, the Governance Lane issues Refuse. The Goukassian Vow's second mandate applies because an undercapitalized insurer poses direct harm to policyholder security and systemic harm to financial stability. [</w:t>
      </w:r>
      <w:hyperlink r:id="rId256">
        <w:r w:rsidDel="00000000" w:rsidR="00000000" w:rsidRPr="00000000">
          <w:rPr>
            <w:color w:val="1155cc"/>
            <w:u w:val="single"/>
            <w:rtl w:val="0"/>
          </w:rPr>
          <w:t xml:space="preserve">1</w:t>
        </w:r>
      </w:hyperlink>
      <w:r w:rsidDel="00000000" w:rsidR="00000000" w:rsidRPr="00000000">
        <w:rPr>
          <w:rtl w:val="0"/>
        </w:rPr>
        <w:t xml:space="preserve">] The Decision Log contains the capital calculation, the regulatory threshold, and the chamber signatures. This log satisfies both NL=NA and the European Insurance and Occupational Pensions Authority's expectation that capital decisions be documented and defensible.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Tri-Cameral Governance Model provides the institutional structure for insurance oversight. The Technical Council includes actuaries, data scientists, and catastrophe modelers who validate the mathematical integrity of pricing algorithms, claims models, and reserve projections. The Stewardship Custodians include consumer protection representatives, civil rights compliance officers, and regulatory liaison specialists who ensure that the constitutional boundaries reflect evolving standards of fair pricing and non-discrimination. [</w:t>
      </w:r>
      <w:hyperlink r:id="rId257">
        <w:r w:rsidDel="00000000" w:rsidR="00000000" w:rsidRPr="00000000">
          <w:rPr>
            <w:color w:val="1155cc"/>
            <w:u w:val="single"/>
            <w:rtl w:val="0"/>
          </w:rPr>
          <w:t xml:space="preserve">3</w:t>
        </w:r>
      </w:hyperlink>
      <w:r w:rsidDel="00000000" w:rsidR="00000000" w:rsidRPr="00000000">
        <w:rPr>
          <w:rtl w:val="0"/>
        </w:rPr>
        <w:t xml:space="preserve">] The Smart Contract Treasury manages the automated allocation of reserves, reinsurance premiums, and catastrophe bonds. It ensures that capital remains available to honor claims even when the Inference Lane proposes aggressive underwriting expansion for competitive market share. The constitutional separation prevents the sales division from overriding actuarial prudence, the claims division from minimizing payouts through algorithmic denial, and the investment division from diverting reserves into speculative assets.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hardware substrate protects policyholders from institutional override. The Mandated Ternary memristive cells in the claims payment infrastructure physically prevent the execution of payouts or denials during Epistemic Hold. [</w:t>
      </w:r>
      <w:hyperlink r:id="rId258">
        <w:r w:rsidDel="00000000" w:rsidR="00000000" w:rsidRPr="00000000">
          <w:rPr>
            <w:color w:val="1155cc"/>
            <w:u w:val="single"/>
            <w:rtl w:val="0"/>
          </w:rPr>
          <w:t xml:space="preserve">4</w:t>
        </w:r>
      </w:hyperlink>
      <w:r w:rsidDel="00000000" w:rsidR="00000000" w:rsidRPr="00000000">
        <w:rPr>
          <w:rtl w:val="0"/>
        </w:rPr>
        <w:t xml:space="preserve">] Even if a claims manager attempts to force a denial during a surge event following a natural disaster, the hardware gate will not transition to Proceed or Refuse without the cryptographic confirm pulse from the Governance Lane. The physical constraint prevents the bad-faith denial practices that have historically characterized insurer behavior during catastrophes. The policyholder's claim remains in Epistemic Hold until the evidentiary documentation is complete and the constitutional evaluation is finished. The 0 state is the policyholder's protection against institutional panic.</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 Decision Log transforms insurance litigation from a contest of competing narratives into a verification of constitutional process. When a policyholder disputes a denial, the insurer presents the Decision Log from the Governance Lane. [</w:t>
      </w:r>
      <w:hyperlink r:id="rId259">
        <w:r w:rsidDel="00000000" w:rsidR="00000000" w:rsidRPr="00000000">
          <w:rPr>
            <w:color w:val="1155cc"/>
            <w:u w:val="single"/>
            <w:rtl w:val="0"/>
          </w:rPr>
          <w:t xml:space="preserve">1</w:t>
        </w:r>
      </w:hyperlink>
      <w:r w:rsidDel="00000000" w:rsidR="00000000" w:rsidRPr="00000000">
        <w:rPr>
          <w:rtl w:val="0"/>
        </w:rPr>
        <w:t xml:space="preserve">] The log demonstrates that the denial was not an arbitrary algorithmic output but a constitutional determination based on specific evidentiary grounds, evaluated by independent chambers, and anchored to an immutable ledger. If the log shows that the Governance Lane issued Refuse because the claim lacked a required diagnostic code, the policyholder can address the documentation gap and resubmit. If the log shows that the Governance Lane issued Refuse because the model detected a pattern of fraudulent claims from the provider, the insurer can present the log as evidence in subsequent fraud prosecution. If the log shows that the Governance Lane issued Epistemic Hold and the insurer's claims department bypassed the hold to force a denial, the log proves bad faith and triggers automatic penalties from the Smart Contract Treasury. [</w:t>
      </w:r>
      <w:hyperlink r:id="rId260">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 sources do not specify the exact statistical thresholds for proxy discrimination detection in actuarial models, though they mandate that such thresholds must be configurable by the Stewardship Custodians and anchored in the constitutional schema with automatic Epistemic Hold triggers for models that exceed bias tolerance parameters.</w:t>
      </w:r>
    </w:p>
    <w:p w:rsidR="00000000" w:rsidDel="00000000" w:rsidP="00000000" w:rsidRDefault="00000000" w:rsidRPr="00000000" w14:paraId="0000022B">
      <w:pPr>
        <w:pStyle w:val="Heading2"/>
        <w:rPr/>
      </w:pPr>
      <w:bookmarkStart w:colFirst="0" w:colLast="0" w:name="_lx8b03bahiej" w:id="35"/>
      <w:bookmarkEnd w:id="35"/>
      <w:r w:rsidDel="00000000" w:rsidR="00000000" w:rsidRPr="00000000">
        <w:rPr>
          <w:rtl w:val="0"/>
        </w:rPr>
        <w:t xml:space="preserve">4.6. Anti-Money Laundering: Governance-Grade Enforcement Architecture</w:t>
      </w:r>
    </w:p>
    <w:p w:rsidR="00000000" w:rsidDel="00000000" w:rsidP="00000000" w:rsidRDefault="00000000" w:rsidRPr="00000000" w14:paraId="0000022C">
      <w:pPr>
        <w:rPr/>
      </w:pPr>
      <w:r w:rsidDel="00000000" w:rsidR="00000000" w:rsidRPr="00000000">
        <w:rPr>
          <w:rtl w:val="0"/>
        </w:rPr>
        <w:t xml:space="preserve">Money laundering is not a detection failure. It is a governance failure. Financial institutions deploy sophisticated transaction monitoring systems that generate millions of alerts, yet the majority of illicit finance persists because the alert-to-conviction pipeline is broken at the institutional layer, not the algorithmic layer. [</w:t>
      </w:r>
      <w:hyperlink r:id="rId261">
        <w:r w:rsidDel="00000000" w:rsidR="00000000" w:rsidRPr="00000000">
          <w:rPr>
            <w:color w:val="1155cc"/>
            <w:u w:val="single"/>
            <w:rtl w:val="0"/>
          </w:rPr>
          <w:t xml:space="preserve">9</w:t>
        </w:r>
      </w:hyperlink>
      <w:r w:rsidDel="00000000" w:rsidR="00000000" w:rsidRPr="00000000">
        <w:rPr>
          <w:rtl w:val="0"/>
        </w:rPr>
        <w:t xml:space="preserve">] Binary detection systems flag suspicious patterns. Human compliance officers review the flags. Senior management decides whether to file suspicious activity reports. Regulators review the filings years later. At every handoff, the evidentiary chain weakens, institutional incentives distort the decision, and the launderer gains time to move funds through the next jurisdiction.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Ternary Logic treats AML as a constitutional governance problem, not a statistical optimization problem. The Inference Lane contains the detection algorithms that analyze transaction velocity, structuring patterns, correspondent banking relationships, and geographic risk indicators. The Governance Lane evaluates every alert as a constitutional proposal before any regulatory filing, asset freeze, or law enforcement referral occurs. [</w:t>
      </w:r>
      <w:hyperlink r:id="rId262">
        <w:r w:rsidDel="00000000" w:rsidR="00000000" w:rsidRPr="00000000">
          <w:rPr>
            <w:color w:val="1155cc"/>
            <w:u w:val="single"/>
            <w:rtl w:val="0"/>
          </w:rPr>
          <w:t xml:space="preserve">9</w:t>
        </w:r>
      </w:hyperlink>
      <w:r w:rsidDel="00000000" w:rsidR="00000000" w:rsidRPr="00000000">
        <w:rPr>
          <w:rtl w:val="0"/>
        </w:rPr>
        <w:t xml:space="preserve">] Binary proposes suspicion. Ternary dictates whether the suspicion crosses the evidentiary threshold for action.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The AML Decision Log contains six mandatory fields that distinguish it from generic governance logs. The suspicion_basis field documents the specific detection algorithm, rule, or model that generated the alert, including the model version and calibration date. The behavioral_profile field contains the customer risk rating, historical transaction baseline, and deviation metrics that contextualize the alert. The network_analysis field maps the transaction's position within a broader graph of counterparties, intermediaries, and destination accounts. [</w:t>
      </w:r>
      <w:hyperlink r:id="rId263">
        <w:r w:rsidDel="00000000" w:rsidR="00000000" w:rsidRPr="00000000">
          <w:rPr>
            <w:color w:val="1155cc"/>
            <w:u w:val="single"/>
            <w:rtl w:val="0"/>
          </w:rPr>
          <w:t xml:space="preserve">9</w:t>
        </w:r>
      </w:hyperlink>
      <w:r w:rsidDel="00000000" w:rsidR="00000000" w:rsidRPr="00000000">
        <w:rPr>
          <w:rtl w:val="0"/>
        </w:rPr>
        <w:t xml:space="preserve">] The regulatory_nexus field identifies the specific AML law, sanctions regime, or FATF recommendation that governs the evaluation. The human_review field records the identity, timestamp, and evidentiary assessment of any compliance officer who examined the alert. The disposition field contains the Governance Lane determination and its constitutional justification. Without all six fields, schema validation fails and the alert receives Epistemic Hold.</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Real-time transaction monitoring under TL governance operates through the Dual-Lane Architecture at payment speed. The Inference Lane evaluates each transaction as it enters the payment system, scoring it against behavioral models, watchlist databases, and geographic risk maps. High-scoring transactions generate alerts that enter the Governance Lane immediately. [</w:t>
      </w:r>
      <w:hyperlink r:id="rId264">
        <w:r w:rsidDel="00000000" w:rsidR="00000000" w:rsidRPr="00000000">
          <w:rPr>
            <w:color w:val="1155cc"/>
            <w:u w:val="single"/>
            <w:rtl w:val="0"/>
          </w:rPr>
          <w:t xml:space="preserve">9</w:t>
        </w:r>
      </w:hyperlink>
      <w:r w:rsidDel="00000000" w:rsidR="00000000" w:rsidRPr="00000000">
        <w:rPr>
          <w:rtl w:val="0"/>
        </w:rPr>
        <w:t xml:space="preserve">] The Governance Lane evaluates the alert against the six-field schema. If the transaction involves a sanctioned entity, the lane issues Refuse and the payment is blocked before settlement finality. If the transaction exhibits structuring patterns but lacks sufficient counterparty information, the lane issues Epistemic Hold and the Sacred Pause workflow queries the originating institution for beneficiary details. If the transaction is consistent with the customer's behavioral profile and no sanctions match exists, the lane issues Proceed and the payment clears.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Cross-border correspondent banking is the primary vector for large-scale money laundering and the primary governance gap in existing AML frameworks. The SWIFT messaging system transmits payment instructions but does not verify the ultimate beneficiary, the source of funds, or the regulatory status of the originating institution. [</w:t>
      </w:r>
      <w:hyperlink r:id="rId265">
        <w:r w:rsidDel="00000000" w:rsidR="00000000" w:rsidRPr="00000000">
          <w:rPr>
            <w:color w:val="1155cc"/>
            <w:u w:val="single"/>
            <w:rtl w:val="0"/>
          </w:rPr>
          <w:t xml:space="preserve">9</w:t>
        </w:r>
      </w:hyperlink>
      <w:r w:rsidDel="00000000" w:rsidR="00000000" w:rsidRPr="00000000">
        <w:rPr>
          <w:rtl w:val="0"/>
        </w:rPr>
        <w:t xml:space="preserve">] TL's Regulatory Nexus closes this gap by requiring that every cross-border proposal include the complete beneficial ownership chain, the source of funds attestation, and the originating institution's own Governance Lane Permission Token. A correspondent bank that receives a payment from a foreign institution can verify, through the Regulatory Nexus API, that the foreign institution's Governance Lane evaluated the payment against its constitutional schema and issued a valid Permission Token. Without this token, the correspondent bank's Governance Lane issues Refuse and the payment is returned.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Shell company detection is the recursive graph analysis that the Governance Lane performs on every corporate counterparty proposal. The Inference Lane may identify a transaction involving a newly incorporated entity with no apparent business purpose. The Governance Lane queries the corporate registry domain of the Regulatory Nexus to retrieve the entity's beneficial ownership declaration, its director history, and its shareholding structure. [</w:t>
      </w:r>
      <w:hyperlink r:id="rId266">
        <w:r w:rsidDel="00000000" w:rsidR="00000000" w:rsidRPr="00000000">
          <w:rPr>
            <w:color w:val="1155cc"/>
            <w:u w:val="single"/>
            <w:rtl w:val="0"/>
          </w:rPr>
          <w:t xml:space="preserve">9</w:t>
        </w:r>
      </w:hyperlink>
      <w:r w:rsidDel="00000000" w:rsidR="00000000" w:rsidRPr="00000000">
        <w:rPr>
          <w:rtl w:val="0"/>
        </w:rPr>
        <w:t xml:space="preserve">] If the entity is a nominee for a sanctioned individual, the lane issues Refuse. If the beneficial ownership declaration is missing or expired, the lane issues Epistemic Hold and the Sacred Pause workflow queries the relevant corporate registry for updated filings. If the ownership chain exceeds the configured recursion depth without resolving to a natural person, the lane issues Refuse because an unresolvable ownership chain is presumptive evidence of concealment.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Sanctions compliance is a hard constitutional boundary, not a risk-adjusted threshold. The Stewardship Custodians configure the Governance Lane with the complete sanctions lists from all applicable jurisdictions, including UN, OFAC, EU, and HMT designations. [</w:t>
      </w:r>
      <w:hyperlink r:id="rId267">
        <w:r w:rsidDel="00000000" w:rsidR="00000000" w:rsidRPr="00000000">
          <w:rPr>
            <w:color w:val="1155cc"/>
            <w:u w:val="single"/>
            <w:rtl w:val="0"/>
          </w:rPr>
          <w:t xml:space="preserve">9</w:t>
        </w:r>
      </w:hyperlink>
      <w:r w:rsidDel="00000000" w:rsidR="00000000" w:rsidRPr="00000000">
        <w:rPr>
          <w:rtl w:val="0"/>
        </w:rPr>
        <w:t xml:space="preserve">] When the Inference Lane proposes a transaction, the Governance Lane performs an exact match and fuzzy match against these lists. Exact matches trigger automatic Refuse without human review. Fuzzy matches trigger Epistemic Hold and mandatory escalation to the Stewardship Custodians for name resolution. The Decision Log records the match type, the list version, the match confidence score, and the constitutional gate triggered. This log becomes immediate evidence for regulatory examination and for the institution's defense against penalties for sanctions violations.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Regulatory reporting automation eliminates the delay and discretion that currently plague suspicious activity report filing. Under traditional governance, a compliance officer who detects suspicious activity must draft a report, obtain management approval, and submit it to the financial intelligence unit within a defined timeframe. Each step introduces delay, and each step is subject to institutional pressure to downplay the suspicion. [</w:t>
      </w:r>
      <w:hyperlink r:id="rId268">
        <w:r w:rsidDel="00000000" w:rsidR="00000000" w:rsidRPr="00000000">
          <w:rPr>
            <w:color w:val="1155cc"/>
            <w:u w:val="single"/>
            <w:rtl w:val="0"/>
          </w:rPr>
          <w:t xml:space="preserve">9</w:t>
        </w:r>
      </w:hyperlink>
      <w:r w:rsidDel="00000000" w:rsidR="00000000" w:rsidRPr="00000000">
        <w:rPr>
          <w:rtl w:val="0"/>
        </w:rPr>
        <w:t xml:space="preserve">] Under TL governance, the Decision Log for every Refuse determination on AML grounds is automatically formatted according to the relevant financial intelligence unit's reporting standard and transmitted through a cryptographically authenticated channel. The transmission is itself logged in the Immutable Ledger. The institution cannot delay reporting, selectively report, or alter reported data because the reporting is an automated consequence of the Governance Lane's constitutional determination. The Smart Contract Treasury manages the resource allocation and incentive structure that ensures these transmissions occur without human intervention.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False positive management is the operational challenge that determines whether AML governance is sustainable or merely obstructive. Binary detection systems generate false positive rates of ninety-five percent or higher, overwhelming compliance teams and creating institutional pressure to ignore alerts. [</w:t>
      </w:r>
      <w:hyperlink r:id="rId269">
        <w:r w:rsidDel="00000000" w:rsidR="00000000" w:rsidRPr="00000000">
          <w:rPr>
            <w:color w:val="1155cc"/>
            <w:u w:val="single"/>
            <w:rtl w:val="0"/>
          </w:rPr>
          <w:t xml:space="preserve">9</w:t>
        </w:r>
      </w:hyperlink>
      <w:r w:rsidDel="00000000" w:rsidR="00000000" w:rsidRPr="00000000">
        <w:rPr>
          <w:rtl w:val="0"/>
        </w:rPr>
        <w:t xml:space="preserve">] TL addresses this through the Governance Lane's evidentiary completeness requirement. An alert that lacks sufficient behavioral context, counterparty resolution, or network analysis receives Epistemic Hold, not Refuse. The alert is suspended until the Inference Lane or the originating institution supplies the missing evidence. This prevents the compliance team from being flooded with unactionable flags. The Decision Log for every Epistemic Hold on AML grounds records the missing evidentiary element, creating a feedback loop that improves the detection algorithms over time. Alerts that consistently lack the same evidence trigger automatic model recalibration by the Technical Council.</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 cost-benefit structure of TL AML governance inverts the traditional incentive. Under traditional governance, the institution bears the cost of compliance, including staff salaries, software licenses, and regulatory fines, while society bears the benefit of reduced money laundering. The institution's rational incentive is to minimize compliance cost, which means minimizing alert quality, delaying filings, and accepting fines as a cost of doing business. [</w:t>
      </w:r>
      <w:hyperlink r:id="rId270">
        <w:r w:rsidDel="00000000" w:rsidR="00000000" w:rsidRPr="00000000">
          <w:rPr>
            <w:color w:val="1155cc"/>
            <w:u w:val="single"/>
            <w:rtl w:val="0"/>
          </w:rPr>
          <w:t xml:space="preserve">9</w:t>
        </w:r>
      </w:hyperlink>
      <w:r w:rsidDel="00000000" w:rsidR="00000000" w:rsidRPr="00000000">
        <w:rPr>
          <w:rtl w:val="0"/>
        </w:rPr>
        <w:t xml:space="preserve">] Under TL governance, the Smart Contract Treasury imposes automated economic penalties on institutions that exhibit patterns of delayed reporting, incomplete alert documentation, or excessive false positives. These penalties internalize the social cost of lax AML governance. Conversely, the Treasury rewards institutions that demonstrate low false positive rates, rapid alert resolution, and high-quality Decision Logs with reduced regulatory examination frequency, lower insurance premiums, and preferential correspondent banking relationships.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 Tri-Cameral Governance Model distributes AML oversight across chambers with distinct expertise. The Technical Council maintains the detection algorithms, the sanctions list ingestion pipelines, and the graph analysis models. The Stewardship Custodians maintain the constitutional schema that defines suspicious activity thresholds, sanctions boundary conditions, and human review requirements. [</w:t>
      </w:r>
      <w:hyperlink r:id="rId271">
        <w:r w:rsidDel="00000000" w:rsidR="00000000" w:rsidRPr="00000000">
          <w:rPr>
            <w:color w:val="1155cc"/>
            <w:u w:val="single"/>
            <w:rtl w:val="0"/>
          </w:rPr>
          <w:t xml:space="preserve">3</w:t>
        </w:r>
      </w:hyperlink>
      <w:r w:rsidDel="00000000" w:rsidR="00000000" w:rsidRPr="00000000">
        <w:rPr>
          <w:rtl w:val="0"/>
        </w:rPr>
        <w:t xml:space="preserve">] The Smart Contract Treasury manages the economic incentives, the automated penalty and reward structures, and the resource allocation for regulatory reporting infrastructure. The constitutional separation prevents the compliance department from overriding the Governance Lane to avoid filing a report against a politically connected client, prevents the business line from pressuring the Technical Council to reduce alert sensitivity for a profitable relationship, and prevents senior management from delaying reporting to manage quarterly earnings.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In macroeconomic practice, TL AML governance transforms the fight against illicit finance from a compliance checkbox into a constitutional enforcement mechanism. A drug trafficking organization that attempts to launder proceeds through a TL-governed banking system cannot rely on institutional delay, jurisdictional arbitrage, or management override to complete the transaction. The Governance Lane evaluates the payment against the sanctions lists, the beneficial ownership graph, and the behavioral profile before settlement. If any element triggers Refuse, the payment is blocked and the financial intelligence unit receives the automated report before the launderer can move the funds to the next jurisdiction. [</w:t>
      </w:r>
      <w:hyperlink r:id="rId272">
        <w:r w:rsidDel="00000000" w:rsidR="00000000" w:rsidRPr="00000000">
          <w:rPr>
            <w:color w:val="1155cc"/>
            <w:u w:val="single"/>
            <w:rtl w:val="0"/>
          </w:rPr>
          <w:t xml:space="preserve">9</w:t>
        </w:r>
      </w:hyperlink>
      <w:r w:rsidDel="00000000" w:rsidR="00000000" w:rsidRPr="00000000">
        <w:rPr>
          <w:rtl w:val="0"/>
        </w:rPr>
        <w:t xml:space="preserve">] The launderer's only remaining strategy is to avoid TL-governed institutions entirely, which is the intended outcome. The framework does not merely detect laundering. It renders the regulated financial system unusable for it.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The sources do not specify the exact fuzzy match threshold for sanctions name resolution that triggers mandatory Stewardship Custodian escalation, though they mandate that such threshold must be calibrated by the Technical Council to balance false positive reduction against missed designation risk, and must be anchored in the constitutional schema with automatic Epistemic Hold on transactions that fall within the fuzzy match band. [</w:t>
      </w:r>
      <w:hyperlink r:id="rId273">
        <w:r w:rsidDel="00000000" w:rsidR="00000000" w:rsidRPr="00000000">
          <w:rPr>
            <w:color w:val="1155cc"/>
            <w:u w:val="single"/>
            <w:rtl w:val="0"/>
          </w:rPr>
          <w:t xml:space="preserve">9</w:t>
        </w:r>
      </w:hyperlink>
      <w:r w:rsidDel="00000000" w:rsidR="00000000" w:rsidRPr="00000000">
        <w:rPr>
          <w:rtl w:val="0"/>
        </w:rPr>
        <w:t xml:space="preserve">]</w:t>
      </w:r>
    </w:p>
    <w:p w:rsidR="00000000" w:rsidDel="00000000" w:rsidP="00000000" w:rsidRDefault="00000000" w:rsidRPr="00000000" w14:paraId="00000245">
      <w:pPr>
        <w:pStyle w:val="Heading2"/>
        <w:rPr/>
      </w:pPr>
      <w:bookmarkStart w:colFirst="0" w:colLast="0" w:name="_4l59eaubt9yw" w:id="36"/>
      <w:bookmarkEnd w:id="36"/>
      <w:r w:rsidDel="00000000" w:rsidR="00000000" w:rsidRPr="00000000">
        <w:rPr>
          <w:rtl w:val="0"/>
        </w:rPr>
        <w:t xml:space="preserve">5.1. Inference Lane: Decision Proposals and TLResult Objects</w:t>
      </w:r>
    </w:p>
    <w:p w:rsidR="00000000" w:rsidDel="00000000" w:rsidP="00000000" w:rsidRDefault="00000000" w:rsidRPr="00000000" w14:paraId="00000246">
      <w:pPr>
        <w:rPr/>
      </w:pPr>
      <w:r w:rsidDel="00000000" w:rsidR="00000000" w:rsidRPr="00000000">
        <w:rPr>
          <w:rtl w:val="0"/>
        </w:rPr>
        <w:t xml:space="preserve">The Inference Lane is the computational engine of Ternary Logic. It contains the statistical models, pattern recognition algorithms, optimization engines, and data pipelines that analyze economic conditions and generate actionable proposals. [</w:t>
      </w:r>
      <w:hyperlink r:id="rId274">
        <w:r w:rsidDel="00000000" w:rsidR="00000000" w:rsidRPr="00000000">
          <w:rPr>
            <w:color w:val="1155cc"/>
            <w:u w:val="single"/>
            <w:rtl w:val="0"/>
          </w:rPr>
          <w:t xml:space="preserve">1</w:t>
        </w:r>
      </w:hyperlink>
      <w:r w:rsidDel="00000000" w:rsidR="00000000" w:rsidRPr="00000000">
        <w:rPr>
          <w:rtl w:val="0"/>
        </w:rPr>
        <w:t xml:space="preserve">] This lane operates at the speed required by modern financial markets. It processes sovereign debt indicators, trade flow metrics, institutional balance sheets, market microstructure signals, and macroeconomic forecasts in milliseconds. Its purpose is to detect opportunities, identify risks, and recommend responses. It does not execute. It proposes.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Every proposal generated by the Inference Lane is a structured Decision Proposal object. This object is not a raw algorithmic output or an unstructured recommendation. It is a schema-validated payload that contains the evidentiary minimum required for Governance Lane evaluation. [</w:t>
      </w:r>
      <w:hyperlink r:id="rId275">
        <w:r w:rsidDel="00000000" w:rsidR="00000000" w:rsidRPr="00000000">
          <w:rPr>
            <w:color w:val="1155cc"/>
            <w:u w:val="single"/>
            <w:rtl w:val="0"/>
          </w:rPr>
          <w:t xml:space="preserve">1</w:t>
        </w:r>
      </w:hyperlink>
      <w:r w:rsidDel="00000000" w:rsidR="00000000" w:rsidRPr="00000000">
        <w:rPr>
          <w:rtl w:val="0"/>
        </w:rPr>
        <w:t xml:space="preserve">] The Decision Proposal includes the original inference payload, which is the raw output from the statistical model or optimization algorithm. It includes the confidence metrics, which quantify the model's certainty in its own output. It includes the data provenance, which identifies the specific data sources, timestamps, and ingestion pipelines that fed the model. It includes the model version, which references the exact algorithm, parameter set, and calibration date used to generate the proposal. And it includes the execution context, which describes the proposed action, the affected counterparties, the notional or monetary value, and the intended settlement or execution timing.</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Inference Lane submits the Decision Proposal to the Governance Lane through the API evaluation endpoint. [</w:t>
      </w:r>
      <w:hyperlink r:id="rId276">
        <w:r w:rsidDel="00000000" w:rsidR="00000000" w:rsidRPr="00000000">
          <w:rPr>
            <w:color w:val="1155cc"/>
            <w:u w:val="single"/>
            <w:rtl w:val="0"/>
          </w:rPr>
          <w:t xml:space="preserve">1</w:t>
        </w:r>
      </w:hyperlink>
      <w:r w:rsidDel="00000000" w:rsidR="00000000" w:rsidRPr="00000000">
        <w:rPr>
          <w:rtl w:val="0"/>
        </w:rPr>
        <w:t xml:space="preserve">] This submission is not a request for advice. It is a mandatory constitutional step. The Governance Lane does not provide suggestions. It issues determinations. The lane evaluates the Decision Proposal against the constitutional schema, the Goukassian Vow, the Eight Pillars, and the applicable regulatory nexus. It verifies that the evidentiary documentation is complete. It checks that the model version is current and certified by the Technical Council. It confirms that the data provenance chains back to authenticated sources. [</w:t>
      </w:r>
      <w:hyperlink r:id="rId277">
        <w:r w:rsidDel="00000000" w:rsidR="00000000" w:rsidRPr="00000000">
          <w:rPr>
            <w:color w:val="1155cc"/>
            <w:u w:val="single"/>
            <w:rtl w:val="0"/>
          </w:rPr>
          <w:t xml:space="preserve">1</w:t>
        </w:r>
      </w:hyperlink>
      <w:r w:rsidDel="00000000" w:rsidR="00000000" w:rsidRPr="00000000">
        <w:rPr>
          <w:rtl w:val="0"/>
        </w:rPr>
        <w:t xml:space="preserve">] If any element fails validation, the Governance Lane does not return a degraded confidence score. It returns a constitutional determination.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output of the Governance Lane evaluation is the TLResult object. This object is the structured encapsulation of the triadic state determination. It contains the state field, which holds one of three string values: Proceed, Refuse, or Epistemic Hold. [</w:t>
      </w:r>
      <w:hyperlink r:id="rId278">
        <w:r w:rsidDel="00000000" w:rsidR="00000000" w:rsidRPr="00000000">
          <w:rPr>
            <w:color w:val="1155cc"/>
            <w:u w:val="single"/>
            <w:rtl w:val="0"/>
          </w:rPr>
          <w:t xml:space="preserve">1</w:t>
        </w:r>
      </w:hyperlink>
      <w:r w:rsidDel="00000000" w:rsidR="00000000" w:rsidRPr="00000000">
        <w:rPr>
          <w:rtl w:val="0"/>
        </w:rPr>
        <w:t xml:space="preserve">] It contains the decision_log_id, which is the unique cryptographic identifier of the Decision Log generated during evaluation. It contains the permission_token, which is present only when the state is Proceed and contains the cryptographically signed authorization for Gateway opening. It contains the constitutional_basis, which is a structured reference to the specific schema version, Pillar, and regulatory nexus provision that governed the evaluation. And it contains the timestamp, which is generated by a hardware-bound clock resistant to system-time manipulation and establishes the irreducible moment of determination.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TLResult object is immutable once generated. The Governance Lane signs the object with the chamber keys of the Tri-Cameral model. [</w:t>
      </w:r>
      <w:hyperlink r:id="rId279">
        <w:r w:rsidDel="00000000" w:rsidR="00000000" w:rsidRPr="00000000">
          <w:rPr>
            <w:color w:val="1155cc"/>
            <w:u w:val="single"/>
            <w:rtl w:val="0"/>
          </w:rPr>
          <w:t xml:space="preserve">3</w:t>
        </w:r>
      </w:hyperlink>
      <w:r w:rsidDel="00000000" w:rsidR="00000000" w:rsidRPr="00000000">
        <w:rPr>
          <w:rtl w:val="0"/>
        </w:rPr>
        <w:t xml:space="preserve">] The Technical Council signs to attest that the inference payload was evaluated against technically valid criteria. The Stewardship Custodians sign to attest that the evaluation adhered to the Goukassian Vow and the constitutional schema. The Smart Contract Treasury signs to attest that the resources and incentives for the proposed action have been properly allocated. [</w:t>
      </w:r>
      <w:hyperlink r:id="rId280">
        <w:r w:rsidDel="00000000" w:rsidR="00000000" w:rsidRPr="00000000">
          <w:rPr>
            <w:color w:val="1155cc"/>
            <w:u w:val="single"/>
            <w:rtl w:val="0"/>
          </w:rPr>
          <w:t xml:space="preserve">3</w:t>
        </w:r>
      </w:hyperlink>
      <w:r w:rsidDel="00000000" w:rsidR="00000000" w:rsidRPr="00000000">
        <w:rPr>
          <w:rtl w:val="0"/>
        </w:rPr>
        <w:t xml:space="preserve">] These signatures are not decorative. They are cryptographic prerequisites for Permission Token validity. The Gateway verifies all signatures before opening. Missing any signature causes the Gateway to remain closed, regardless of the state field value.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When the TLResult state is Proceed, the Inference Lane receives authorization to proceed to execution. The Permission Token embedded in the TLResult is transmitted to the Gateway. The Gateway verifies the token's cryptographic integrity, checks the Decision Log hash against the Immutable Ledger, and transitions the Mandated Ternary hardware gate to the low-resistance state that permits execution. [</w:t>
      </w:r>
      <w:hyperlink r:id="rId281">
        <w:r w:rsidDel="00000000" w:rsidR="00000000" w:rsidRPr="00000000">
          <w:rPr>
            <w:color w:val="1155cc"/>
            <w:u w:val="single"/>
            <w:rtl w:val="0"/>
          </w:rPr>
          <w:t xml:space="preserve">4</w:t>
        </w:r>
      </w:hyperlink>
      <w:r w:rsidDel="00000000" w:rsidR="00000000" w:rsidRPr="00000000">
        <w:rPr>
          <w:rtl w:val="0"/>
        </w:rPr>
        <w:t xml:space="preserve">] The action executes. The Decision Log is anchored. The economic consequence occurs.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When the TLResult state is Refuse, the proposal is permanently blocked. The Inference Lane cannot resubmit the identical proposal without generating a new Decision Proposal that addresses the constitutional deficiency identified in the Refuse determination. [</w:t>
      </w:r>
      <w:hyperlink r:id="rId282">
        <w:r w:rsidDel="00000000" w:rsidR="00000000" w:rsidRPr="00000000">
          <w:rPr>
            <w:color w:val="1155cc"/>
            <w:u w:val="single"/>
            <w:rtl w:val="0"/>
          </w:rPr>
          <w:t xml:space="preserve">1</w:t>
        </w:r>
      </w:hyperlink>
      <w:r w:rsidDel="00000000" w:rsidR="00000000" w:rsidRPr="00000000">
        <w:rPr>
          <w:rtl w:val="0"/>
        </w:rPr>
        <w:t xml:space="preserve">] The TLResult contains the refuse_reason field, which is a structured enumeration of the constitutional gate violated. The field references the specific Pillar, schema clause, or regulatory nexus provision that triggered the block. The Decision Log contains the full evidentiary analysis that supports the Refuse determination. This log is immediately available for regulatory audit, litigation defense, or internal governance review. The proposal dies at the Gateway. The hardware gate remains in its default closed state.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When the TLResult state is Epistemic Hold, the proposal enters constitutional suspension. The TLResult contains the hold_reason field, which identifies the specific evidentiary gap that prevented a Proceed or Refuse determination. [</w:t>
      </w:r>
      <w:hyperlink r:id="rId283">
        <w:r w:rsidDel="00000000" w:rsidR="00000000" w:rsidRPr="00000000">
          <w:rPr>
            <w:color w:val="1155cc"/>
            <w:u w:val="single"/>
            <w:rtl w:val="0"/>
          </w:rPr>
          <w:t xml:space="preserve">1</w:t>
        </w:r>
      </w:hyperlink>
      <w:r w:rsidDel="00000000" w:rsidR="00000000" w:rsidRPr="00000000">
        <w:rPr>
          <w:rtl w:val="0"/>
        </w:rPr>
        <w:t xml:space="preserve">] It contains the escalation_deadline, which is the timestamp by which the Sacred Pause workflow must either resolve the evidentiary gap or escalate to the Stewardship Custodians for human quorum review. It contains the required_evidence field, which is a machine-readable specification of the documentation, data, or analysis needed to transition the proposal out of hold. The Inference Lane receives the Epistemic Hold TLResult and must wait. It cannot force execution. It cannot retry the proposal automatically. It must either supply the required evidence or await the Governance Lane's subsequent determination.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The API specification defines the endpoint semantics for this interaction. The Inference Lane submits a Decision Proposal to the /evaluate endpoint. The Governance Lane processes the proposal and returns a TLResult. [</w:t>
      </w:r>
      <w:hyperlink r:id="rId284">
        <w:r w:rsidDel="00000000" w:rsidR="00000000" w:rsidRPr="00000000">
          <w:rPr>
            <w:color w:val="1155cc"/>
            <w:u w:val="single"/>
            <w:rtl w:val="0"/>
          </w:rPr>
          <w:t xml:space="preserve">1</w:t>
        </w:r>
      </w:hyperlink>
      <w:r w:rsidDel="00000000" w:rsidR="00000000" w:rsidRPr="00000000">
        <w:rPr>
          <w:rtl w:val="0"/>
        </w:rPr>
        <w:t xml:space="preserve">] The Inference Lane may query the /status endpoint to check whether an Epistemic Hold proposal has been resolved. The Governance Lane responds with the current state, the elapsed hold duration, and the remaining escalation deadline. The Inference Lane may request the /logs endpoint to retrieve the Decision Log for any TLResult, provided it presents the correct decision_log_id and authentication credentials. [</w:t>
      </w:r>
      <w:hyperlink r:id="rId285">
        <w:r w:rsidDel="00000000" w:rsidR="00000000" w:rsidRPr="00000000">
          <w:rPr>
            <w:color w:val="1155cc"/>
            <w:u w:val="single"/>
            <w:rtl w:val="0"/>
          </w:rPr>
          <w:t xml:space="preserve">1</w:t>
        </w:r>
      </w:hyperlink>
      <w:r w:rsidDel="00000000" w:rsidR="00000000" w:rsidRPr="00000000">
        <w:rPr>
          <w:rtl w:val="0"/>
        </w:rPr>
        <w:t xml:space="preserve">] These endpoints are not general-purpose REST resources. They are constitutional interfaces. Each endpoint invocation generates its own Decision Log. Each log is anchored to the Immutable Ledger. The NL=NA covenant applies even to the act of evaluation itself.</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The Inference Lane is subject to oversight by the Technical Council, which validates the mathematical integrity of the models, the calibration of the algorithms, and the contamination status of the data pipelines. [</w:t>
      </w:r>
      <w:hyperlink r:id="rId286">
        <w:r w:rsidDel="00000000" w:rsidR="00000000" w:rsidRPr="00000000">
          <w:rPr>
            <w:color w:val="1155cc"/>
            <w:u w:val="single"/>
            <w:rtl w:val="0"/>
          </w:rPr>
          <w:t xml:space="preserve">3</w:t>
        </w:r>
      </w:hyperlink>
      <w:r w:rsidDel="00000000" w:rsidR="00000000" w:rsidRPr="00000000">
        <w:rPr>
          <w:rtl w:val="0"/>
        </w:rPr>
        <w:t xml:space="preserve">] If the Technical Council detects model drift, data poisoning, or algorithmic degradation, it can configure the Governance Lane to issue automatic Epistemic Hold on all proposals from the affected model until recertification is complete. [</w:t>
      </w:r>
      <w:hyperlink r:id="rId287">
        <w:r w:rsidDel="00000000" w:rsidR="00000000" w:rsidRPr="00000000">
          <w:rPr>
            <w:color w:val="1155cc"/>
            <w:u w:val="single"/>
            <w:rtl w:val="0"/>
          </w:rPr>
          <w:t xml:space="preserve">1</w:t>
        </w:r>
      </w:hyperlink>
      <w:r w:rsidDel="00000000" w:rsidR="00000000" w:rsidRPr="00000000">
        <w:rPr>
          <w:rtl w:val="0"/>
        </w:rPr>
        <w:t xml:space="preserve">] This prevents a compromised Inference Lane from flooding the Governance Lane with corrupted proposals. The physical separation between the lanes ensures that a compromise of the fast computational domain cannot bypass the slow constitutional domain.</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sources do not specify the exact byte-level serialization format for the TLResult object, though they mandate that such format must be schema-validated, cryptographically signed, and resistant to deserialization attacks.</w:t>
      </w:r>
    </w:p>
    <w:p w:rsidR="00000000" w:rsidDel="00000000" w:rsidP="00000000" w:rsidRDefault="00000000" w:rsidRPr="00000000" w14:paraId="0000025B">
      <w:pPr>
        <w:pStyle w:val="Heading2"/>
        <w:rPr/>
      </w:pPr>
      <w:bookmarkStart w:colFirst="0" w:colLast="0" w:name="_b5mnwry2t477" w:id="37"/>
      <w:bookmarkEnd w:id="37"/>
      <w:r w:rsidDel="00000000" w:rsidR="00000000" w:rsidRPr="00000000">
        <w:rPr>
          <w:rtl w:val="0"/>
        </w:rPr>
        <w:t xml:space="preserve">5.2. Governance Lane: Permission Tokens and State Envelopes</w:t>
      </w:r>
    </w:p>
    <w:p w:rsidR="00000000" w:rsidDel="00000000" w:rsidP="00000000" w:rsidRDefault="00000000" w:rsidRPr="00000000" w14:paraId="0000025C">
      <w:pPr>
        <w:rPr/>
      </w:pPr>
      <w:r w:rsidDel="00000000" w:rsidR="00000000" w:rsidRPr="00000000">
        <w:rPr>
          <w:rtl w:val="0"/>
        </w:rPr>
        <w:t xml:space="preserve">The Permission Token is the cryptographic credential that the Governance Lane issues when it determines that a proposal satisfies the constitutional requirements for execution. It is not a simple boolean flag, an approval stamp, or a routine administrative signature. It is a structured, schema-validated, multi-signatured, timestamped evidentiary object that contains the complete Decision Log, the triadic state determination, the evidentiary hash chain, and the constitutional basis for the determination. [</w:t>
      </w:r>
      <w:hyperlink r:id="rId288">
        <w:r w:rsidDel="00000000" w:rsidR="00000000" w:rsidRPr="00000000">
          <w:rPr>
            <w:color w:val="1155cc"/>
            <w:u w:val="single"/>
            <w:rtl w:val="0"/>
          </w:rPr>
          <w:t xml:space="preserve">1</w:t>
        </w:r>
      </w:hyperlink>
      <w:r w:rsidDel="00000000" w:rsidR="00000000" w:rsidRPr="00000000">
        <w:rPr>
          <w:rtl w:val="0"/>
        </w:rPr>
        <w:t xml:space="preserve">] Without a valid Permission Token, the Gateway cannot open. Without the Gateway opening, the action cannot execute. The Permission Token is the physical and logical bridge between constitutional evaluation and economic consequence.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The Governance Lane constructs the Permission Token only after completing its full evidentiary evaluation of the Decision Proposal submitted by the Inference Lane. This evaluation is not a heuristic check or a risk score calculation. It is a constitutional verification against the Goukassian Vow, the Eight Pillars, and the applicable regulatory nexus. [</w:t>
      </w:r>
      <w:hyperlink r:id="rId289">
        <w:r w:rsidDel="00000000" w:rsidR="00000000" w:rsidRPr="00000000">
          <w:rPr>
            <w:color w:val="1155cc"/>
            <w:u w:val="single"/>
            <w:rtl w:val="0"/>
          </w:rPr>
          <w:t xml:space="preserve">1</w:t>
        </w:r>
      </w:hyperlink>
      <w:r w:rsidDel="00000000" w:rsidR="00000000" w:rsidRPr="00000000">
        <w:rPr>
          <w:rtl w:val="0"/>
        </w:rPr>
        <w:t xml:space="preserve">] The lane verifies that the Decision Proposal contains all mandatory fields. It validates that the data provenance chains back to authenticated sources. It confirms that the model version is current and certified by the Technical Council. It checks that the proposed action does not violate any Refuse condition encoded in the constitutional schema. If every verification succeeds, the Governance Lane issues Proceed and generates the Permission Token. If any verification fails, the lane issues Refuse or Epistemic Hold and the Token is withheld. [</w:t>
      </w:r>
      <w:hyperlink r:id="rId290">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Permission Token contains several mandatory components. The token_header specifies the schema version, the constitutional framework version, and the timestamp from a hardware-bound clock. The token_body contains the decision_log_id, which is the unique identifier of the Decision Log generated during evaluation. It contains the state_field, which records the triadic determination: Proceed, Refuse, or Epistemic Hold. It contains the evidentiary_hash, which is the cryptographic hash of the complete Decision Log. It contains the regulatory_nexus_reference, which identifies the specific legal or regulatory provision that governed the evaluation, such as a Basel III capital requirement, an SEC Rule 17a-4 retention mandate, or an IOSCO PFMI principle. [</w:t>
      </w:r>
      <w:hyperlink r:id="rId291">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 token_signatures component contains the digital signatures of the Tri-Cameral Governance chambers. The Technical Council signs to attest that the Inference Lane proposal was evaluated against technically valid criteria and that the model version, data provenance, and statistical methodology meet the council's certification standards. [</w:t>
      </w:r>
      <w:hyperlink r:id="rId292">
        <w:r w:rsidDel="00000000" w:rsidR="00000000" w:rsidRPr="00000000">
          <w:rPr>
            <w:color w:val="1155cc"/>
            <w:u w:val="single"/>
            <w:rtl w:val="0"/>
          </w:rPr>
          <w:t xml:space="preserve">3</w:t>
        </w:r>
      </w:hyperlink>
      <w:r w:rsidDel="00000000" w:rsidR="00000000" w:rsidRPr="00000000">
        <w:rPr>
          <w:rtl w:val="0"/>
        </w:rPr>
        <w:t xml:space="preserve">] The Stewardship Custodians sign to attest that the evaluation adhered to the Goukassian Vow, that no constitutional boundary was bypassed, and that the determination is institutionally defensible. The Smart Contract Treasury signs to attest that the economic resources, collateral reserves, liquidity buffers, and incentive structures required for the proposed action have been properly allocated and that the action will not breach any treasury-mandated financial limit. [</w:t>
      </w:r>
      <w:hyperlink r:id="rId293">
        <w:r w:rsidDel="00000000" w:rsidR="00000000" w:rsidRPr="00000000">
          <w:rPr>
            <w:color w:val="1155cc"/>
            <w:u w:val="single"/>
            <w:rtl w:val="0"/>
          </w:rPr>
          <w:t xml:space="preserve">3</w:t>
        </w:r>
      </w:hyperlink>
      <w:r w:rsidDel="00000000" w:rsidR="00000000" w:rsidRPr="00000000">
        <w:rPr>
          <w:rtl w:val="0"/>
        </w:rPr>
        <w:t xml:space="preserve">] These signatures are not sequential approvals that a single executive can collect. They are cryptographic prerequisites generated by distributed key material held in hardware security modules under separate administrative control. Missing any signature renders the Token cryptographically invalid.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State Envelope is the transport container that encapsulates the TLResult object and the Permission Token for transmission from the Governance Lane to the Gateway and to the Immutable Ledger. [</w:t>
      </w:r>
      <w:hyperlink r:id="rId294">
        <w:r w:rsidDel="00000000" w:rsidR="00000000" w:rsidRPr="00000000">
          <w:rPr>
            <w:color w:val="1155cc"/>
            <w:u w:val="single"/>
            <w:rtl w:val="0"/>
          </w:rPr>
          <w:t xml:space="preserve">1</w:t>
        </w:r>
      </w:hyperlink>
      <w:r w:rsidDel="00000000" w:rsidR="00000000" w:rsidRPr="00000000">
        <w:rPr>
          <w:rtl w:val="0"/>
        </w:rPr>
        <w:t xml:space="preserve">] The envelope is itself a signed and encrypted object. It contains the tl_result payload, which is the structured output of the Governance Lane evaluation. It contains the permission_token payload. It contains the ledger_anchor, which is the hash and node reference where the Decision Log will be written to the Immutable Ledger. It contains the gateway_routing information, which specifies the execution endpoint, the counterparties, and the settlement infrastructure that will receive the authorization. The envelope is encrypted using the public key of the Gateway to prevent interception and tampering during transit. It is signed by the Governance Lane's master key to establish non-repudiation.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 Gateway receives the State Envelope and performs a multi-step verification before opening. First, it decrypts the envelope using its private key and verifies the Governance Lane signature. Second, it extracts the Permission Token and verifies the token_header syntax against the current schema version. Third, it verifies each Tri-Cameral signature using the public keys stored in its hardware security module. [</w:t>
      </w:r>
      <w:hyperlink r:id="rId295">
        <w:r w:rsidDel="00000000" w:rsidR="00000000" w:rsidRPr="00000000">
          <w:rPr>
            <w:color w:val="1155cc"/>
            <w:u w:val="single"/>
            <w:rtl w:val="0"/>
          </w:rPr>
          <w:t xml:space="preserve">1</w:t>
        </w:r>
      </w:hyperlink>
      <w:r w:rsidDel="00000000" w:rsidR="00000000" w:rsidRPr="00000000">
        <w:rPr>
          <w:rtl w:val="0"/>
        </w:rPr>
        <w:t xml:space="preserve">] Fourth, it computes the hash of the enclosed Decision Log and compares it to the evidentiary_hash in the Token. If the hashes do not match, the Gateway rejects the envelope and logs a cryptographic integrity failure. Fifth, it queries the Immutable Ledger to confirm that the decision_log_id exists and that the ledger_anchor matches the distributed consensus state. If any verification fails, the Gateway remains closed and the State Envelope is returned to the Governance Lane with a failure code.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hardware substrate enforces Token verification at the electron level. The Mandated Ternary memristive cells in the Gateway physically maintain the closed state, corresponding to high resistance, until they receive the cryptographic confirm pulse derived from the Permission Token. [</w:t>
      </w:r>
      <w:hyperlink r:id="rId296">
        <w:r w:rsidDel="00000000" w:rsidR="00000000" w:rsidRPr="00000000">
          <w:rPr>
            <w:color w:val="1155cc"/>
            <w:u w:val="single"/>
            <w:rtl w:val="0"/>
          </w:rPr>
          <w:t xml:space="preserve">4</w:t>
        </w:r>
      </w:hyperlink>
      <w:r w:rsidDel="00000000" w:rsidR="00000000" w:rsidRPr="00000000">
        <w:rPr>
          <w:rtl w:val="0"/>
        </w:rPr>
        <w:t xml:space="preserve">] This pulse is not a simple electrical signal. It is a patterned voltage sequence that encodes the token_header hash and the Tri-Cameral signature aggregate. The MT gate decodes this sequence and verifies it against its internally stored constitutional schema fingerprint. If the sequence matches, the gate transitions to the low-resistance Proceed state and execution is physically enabled. If the sequence does not match, the gate remains in the high-resistance closed state. Even a compromised process with root access to the Gateway's operating system cannot force the gate open because the physical memristor does not respond to software commands. It responds only to the hardware-decoded cryptographic pulse. [</w:t>
      </w:r>
      <w:hyperlink r:id="rId297">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NL=NA covenant is realized through the Permission Token architecture. No Log equals No Action, and in the Gateway context, No Valid Permission Token equals No Opening. [</w:t>
      </w:r>
      <w:hyperlink r:id="rId298">
        <w:r w:rsidDel="00000000" w:rsidR="00000000" w:rsidRPr="00000000">
          <w:rPr>
            <w:color w:val="1155cc"/>
            <w:u w:val="single"/>
            <w:rtl w:val="0"/>
          </w:rPr>
          <w:t xml:space="preserve">1</w:t>
        </w:r>
      </w:hyperlink>
      <w:r w:rsidDel="00000000" w:rsidR="00000000" w:rsidRPr="00000000">
        <w:rPr>
          <w:rtl w:val="0"/>
        </w:rPr>
        <w:t xml:space="preserve">] The Decision Log is the Log. The Permission Token is the cryptographic proof that the Log exists, is valid, and has been evaluated by the required constitutional chambers. The Gateway will not open for a Proceed determination that lacks the Token. It will not open for a Refuse determination because Refuse explicitly withholds the Token. It will not open for an Epistemic Hold determination because Hold explicitly withholds the Token pending evidentiary resolution. The three states map directly to Token presence or absence. Proceed has a valid Token. Refuse and Epistemic Hold do not. This mapping is not software logic that could be patched or overridden. It is hardware physics that cannot be circumvented by institutional pressure, emergency protocols, or executive privilege.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Regulatory Nexus endpoints interact with the Permission Token through the state_envelope_regulatory_flag. When a cross-border transaction requires compliance with multiple jurisdictions, the Governance Lane may issue a Permission Token that contains multiple regulatory_nexus_reference entries. [</w:t>
      </w:r>
      <w:hyperlink r:id="rId299">
        <w:r w:rsidDel="00000000" w:rsidR="00000000" w:rsidRPr="00000000">
          <w:rPr>
            <w:color w:val="1155cc"/>
            <w:u w:val="single"/>
            <w:rtl w:val="0"/>
          </w:rPr>
          <w:t xml:space="preserve">1</w:t>
        </w:r>
      </w:hyperlink>
      <w:r w:rsidDel="00000000" w:rsidR="00000000" w:rsidRPr="00000000">
        <w:rPr>
          <w:rtl w:val="0"/>
        </w:rPr>
        <w:t xml:space="preserve">] The Gateway verifies that all referenced nexus provisions have been satisfied. If a transaction involves a U.S. institutional investor and a German corporate treasury, the Token contains references to both SEC Regulation SCI and eIDAS qualified signature standards. The Gateway verifies both before opening. If either verification fails, the Gateway issues a nexus mismatch failure and remains closed. The State Envelope is returned to the Governance Lane for re-evaluation under the correct nexus configuration.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Immutable Ledger anchoring of the State Envelope ensures that the Permission Token is not merely a transient authorization but a permanent evidentiary record. Once the Gateway opens and execution occurs, the State Envelope is written to the ledger with a timestamp, a block reference, and a consensus proof. [</w:t>
      </w:r>
      <w:hyperlink r:id="rId300">
        <w:r w:rsidDel="00000000" w:rsidR="00000000" w:rsidRPr="00000000">
          <w:rPr>
            <w:color w:val="1155cc"/>
            <w:u w:val="single"/>
            <w:rtl w:val="0"/>
          </w:rPr>
          <w:t xml:space="preserve">1</w:t>
        </w:r>
      </w:hyperlink>
      <w:r w:rsidDel="00000000" w:rsidR="00000000" w:rsidRPr="00000000">
        <w:rPr>
          <w:rtl w:val="0"/>
        </w:rPr>
        <w:t xml:space="preserve">] Any party with ledger access can verify that the Token was valid at the moment of execution, that the Tri-Cameral signatures were authentic, and that the constitutional schema version was current. This anchoring prevents retroactive repudiation. A central bank cannot later claim that an algorithmic liquidity injection was unauthorized because the anchored State Envelope proves that the Governance Lane issued a valid Permission Token with full chamber signatures. A trading firm cannot later claim that a settlement was forced by system error because the anchored envelope proves that the Gateway verified the Token before opening.</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Tri-Cameral Governance Model provides the institutional key management that underlies the cryptographic signatures. The Technical Council's key is generated in a hardware security module and requires a quorum of council members to activate. The Stewardship Custodians' key is similarly distributed, with the additional requirement that at least one custodian from each represented stakeholder category must participate in any signing ceremony. [</w:t>
      </w:r>
      <w:hyperlink r:id="rId301">
        <w:r w:rsidDel="00000000" w:rsidR="00000000" w:rsidRPr="00000000">
          <w:rPr>
            <w:color w:val="1155cc"/>
            <w:u w:val="single"/>
            <w:rtl w:val="0"/>
          </w:rPr>
          <w:t xml:space="preserve">3</w:t>
        </w:r>
      </w:hyperlink>
      <w:r w:rsidDel="00000000" w:rsidR="00000000" w:rsidRPr="00000000">
        <w:rPr>
          <w:rtl w:val="0"/>
        </w:rPr>
        <w:t xml:space="preserve">] The Smart Contract Treasury's key is generated through a threshold signature scheme that requires participation from both the treasury's algorithmic agents and its human oversight board. This distributed key generation prevents any single insider from forging a Permission Token. Even a compromised Technical Council member cannot produce a valid Token without the Stewardship Custodians' and Treasury's key shares.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sources do not specify the exact voltage encoding pattern for the MT gate cryptographic confirm pulse, though they mandate that such patterns must be resistant to side-channel analysis and must be validated by the Technical Council's hardware certification protocols.</w:t>
      </w:r>
    </w:p>
    <w:p w:rsidR="00000000" w:rsidDel="00000000" w:rsidP="00000000" w:rsidRDefault="00000000" w:rsidRPr="00000000" w14:paraId="00000273">
      <w:pPr>
        <w:pStyle w:val="Heading2"/>
        <w:rPr/>
      </w:pPr>
      <w:bookmarkStart w:colFirst="0" w:colLast="0" w:name="_5921ccxpjc7f" w:id="38"/>
      <w:bookmarkEnd w:id="38"/>
      <w:r w:rsidDel="00000000" w:rsidR="00000000" w:rsidRPr="00000000">
        <w:rPr>
          <w:rtl w:val="0"/>
        </w:rPr>
        <w:t xml:space="preserve">5.3. Gateway Fail-Closed Behavior and Epistemic Hold Override</w:t>
      </w:r>
    </w:p>
    <w:p w:rsidR="00000000" w:rsidDel="00000000" w:rsidP="00000000" w:rsidRDefault="00000000" w:rsidRPr="00000000" w14:paraId="00000274">
      <w:pPr>
        <w:rPr/>
      </w:pPr>
      <w:r w:rsidDel="00000000" w:rsidR="00000000" w:rsidRPr="00000000">
        <w:rPr>
          <w:rtl w:val="0"/>
        </w:rPr>
        <w:t xml:space="preserve">The Gateway is the physical junction where the Inference Lane and the Governance Lane converge. It is fail-closed by design. In its default state, without active authorization, the Gateway blocks all execution. [</w:t>
      </w:r>
      <w:hyperlink r:id="rId302">
        <w:r w:rsidDel="00000000" w:rsidR="00000000" w:rsidRPr="00000000">
          <w:rPr>
            <w:color w:val="1155cc"/>
            <w:u w:val="single"/>
            <w:rtl w:val="0"/>
          </w:rPr>
          <w:t xml:space="preserve">1</w:t>
        </w:r>
      </w:hyperlink>
      <w:r w:rsidDel="00000000" w:rsidR="00000000" w:rsidRPr="00000000">
        <w:rPr>
          <w:rtl w:val="0"/>
        </w:rPr>
        <w:t xml:space="preserve">] This is not a software configuration that an administrator can toggle. It is a hardware-enforced physical property of the Mandated Ternary memristive substrate. The MT gate maintains a high-resistance closed state until it receives a verified cryptographic confirm pulse derived from a valid Permission Token. [</w:t>
      </w:r>
      <w:hyperlink r:id="rId303">
        <w:r w:rsidDel="00000000" w:rsidR="00000000" w:rsidRPr="00000000">
          <w:rPr>
            <w:color w:val="1155cc"/>
            <w:u w:val="single"/>
            <w:rtl w:val="0"/>
          </w:rPr>
          <w:t xml:space="preserve">4</w:t>
        </w:r>
      </w:hyperlink>
      <w:r w:rsidDel="00000000" w:rsidR="00000000" w:rsidRPr="00000000">
        <w:rPr>
          <w:rtl w:val="0"/>
        </w:rPr>
        <w:t xml:space="preserve">] Without this pulse, no current flows to the execution circuit. No order reaches the exchange. No settlement finalizes. No monetary policy action propagates to the market. The default is denial. Authorization is the exception that must be earned through constitutional process.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Fail-closed architecture is the antithesis of traditional computing systems, which are typically fail-open. A conventional trading system, when experiencing a software crash, network partition, or power interruption, often defaults to a state that permits continued operation or manual override. [</w:t>
      </w:r>
      <w:hyperlink r:id="rId304">
        <w:r w:rsidDel="00000000" w:rsidR="00000000" w:rsidRPr="00000000">
          <w:rPr>
            <w:color w:val="1155cc"/>
            <w:u w:val="single"/>
            <w:rtl w:val="0"/>
          </w:rPr>
          <w:t xml:space="preserve">2</w:t>
        </w:r>
      </w:hyperlink>
      <w:r w:rsidDel="00000000" w:rsidR="00000000" w:rsidRPr="00000000">
        <w:rPr>
          <w:rtl w:val="0"/>
        </w:rPr>
        <w:t xml:space="preserve">] This fail-open design prioritizes market continuity over safety. It assumes that stopping is more dangerous than continuing with degraded oversight. Ternary Logic inverts this assumption. In high-stakes economic governance, continuing without constitutional verification is more dangerous than pausing. A halted settlement is recoverable. An unauthorized sovereign bond purchase based on corrupted data is not. The Gateway's fail-closed design encodes this priority at the hardware level.</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Gateway recognizes three operational modes based on the TLResult state received from the Governance Lane. When the state is Proceed, the Gateway verifies the Permission Token and transitions to open if all cryptographic checks succeed. [</w:t>
      </w:r>
      <w:hyperlink r:id="rId305">
        <w:r w:rsidDel="00000000" w:rsidR="00000000" w:rsidRPr="00000000">
          <w:rPr>
            <w:color w:val="1155cc"/>
            <w:u w:val="single"/>
            <w:rtl w:val="0"/>
          </w:rPr>
          <w:t xml:space="preserve">1</w:t>
        </w:r>
      </w:hyperlink>
      <w:r w:rsidDel="00000000" w:rsidR="00000000" w:rsidRPr="00000000">
        <w:rPr>
          <w:rtl w:val="0"/>
        </w:rPr>
        <w:t xml:space="preserve">] When the state is Refuse, the Gateway enters a locked state. The locked state is distinct from the default closed state. It is an active constitutional block that requires a full Tri-Cameral quorum and a new Decision Proposal to reset. When the state is Epistemic Hold, the Gateway remains in the default closed state but activates a monitoring protocol that tracks the Sacred Pause workflow progress. [</w:t>
      </w:r>
      <w:hyperlink r:id="rId30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Epistemic Hold override is one of the most dangerous concepts in governance architecture. The term override implies that a privileged authority can bypass constitutional constraints for expediency. In traditional financial institutions, emergency override protocols allow chief executives, risk officers, or compliance heads to suspend risk limits, bypass approval chains, and authorize exceptional transactions during crises. [</w:t>
      </w:r>
      <w:hyperlink r:id="rId307">
        <w:r w:rsidDel="00000000" w:rsidR="00000000" w:rsidRPr="00000000">
          <w:rPr>
            <w:color w:val="1155cc"/>
            <w:u w:val="single"/>
            <w:rtl w:val="0"/>
          </w:rPr>
          <w:t xml:space="preserve">2</w:t>
        </w:r>
      </w:hyperlink>
      <w:r w:rsidDel="00000000" w:rsidR="00000000" w:rsidRPr="00000000">
        <w:rPr>
          <w:rtl w:val="0"/>
        </w:rPr>
        <w:t xml:space="preserve">] These overrides are documented retrospectively, if at all, and are frequently abused to conceal misconduct, accelerate self-dealing, or respond to political pressure. TL eliminates the concept of executive override. There is no individual, no matter how senior, who can open the Gateway without a valid Permission Token generated by the Governance Lane.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What exists instead is the constitutional override, which is not a bypass but a structured acceleration of the Governance Lane itself. When a proposal enters Epistemic Hold and the Sacred Pause workflow determines that the evidentiary gap cannot be resolved within the standard escalation timeline, the workflow may invoke the constitutional override protocol. [</w:t>
      </w:r>
      <w:hyperlink r:id="rId308">
        <w:r w:rsidDel="00000000" w:rsidR="00000000" w:rsidRPr="00000000">
          <w:rPr>
            <w:color w:val="1155cc"/>
            <w:u w:val="single"/>
            <w:rtl w:val="0"/>
          </w:rPr>
          <w:t xml:space="preserve">3</w:t>
        </w:r>
      </w:hyperlink>
      <w:r w:rsidDel="00000000" w:rsidR="00000000" w:rsidRPr="00000000">
        <w:rPr>
          <w:rtl w:val="0"/>
        </w:rPr>
        <w:t xml:space="preserve">] This protocol does not bypass the Governance Lane. It convenes an emergency session of the Tri-Cameral chambers within the Governance Lane. The emergency session operates under accelerated quorum requirements and compressed deliberation timelines, but it still evaluates the proposal against the Goukassian Vow and the constitutional schema. It still generates a Decision Log. It still produces a Permission Token if the determination is Proceed. The Gateway opens only when the emergency session issues the Token. [</w:t>
      </w:r>
      <w:hyperlink r:id="rId309">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 constitutional override protocol contains mandatory safeguards that prevent it from becoming a routine bypass mechanism. First, the override can only be invoked for proposals that have already entered Epistemic Hold through normal Governance Lane evaluation. A proposal that has been refused cannot be overridden. Refuse is final. [</w:t>
      </w:r>
      <w:hyperlink r:id="rId310">
        <w:r w:rsidDel="00000000" w:rsidR="00000000" w:rsidRPr="00000000">
          <w:rPr>
            <w:color w:val="1155cc"/>
            <w:u w:val="single"/>
            <w:rtl w:val="0"/>
          </w:rPr>
          <w:t xml:space="preserve">1</w:t>
        </w:r>
      </w:hyperlink>
      <w:r w:rsidDel="00000000" w:rsidR="00000000" w:rsidRPr="00000000">
        <w:rPr>
          <w:rtl w:val="0"/>
        </w:rPr>
        <w:t xml:space="preserve">] Second, the override requires a supermajority quorum of the Tri-Cameral chambers. The exact threshold is configurable by the Stewardship Custodians and anchored in the constitutional schema, but it must exceed the standard quorum requirement. [</w:t>
      </w:r>
      <w:hyperlink r:id="rId311">
        <w:r w:rsidDel="00000000" w:rsidR="00000000" w:rsidRPr="00000000">
          <w:rPr>
            <w:color w:val="1155cc"/>
            <w:u w:val="single"/>
            <w:rtl w:val="0"/>
          </w:rPr>
          <w:t xml:space="preserve">3</w:t>
        </w:r>
      </w:hyperlink>
      <w:r w:rsidDel="00000000" w:rsidR="00000000" w:rsidRPr="00000000">
        <w:rPr>
          <w:rtl w:val="0"/>
        </w:rPr>
        <w:t xml:space="preserve">] Third, the override session must be conducted through authenticated, cryptographically signed channels with hardware-bound identity verification. Remote participation is permitted only through certified secure endpoints. Fourth, the Decision Log for an override session must contain a mandatory override_justification field that documents the emergency circumstances, the evidentiary risks of delaying the proposal, and the constitutional basis for accelerated evaluation. [</w:t>
      </w:r>
      <w:hyperlink r:id="rId312">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In macroeconomic practice, the distinction between executive override and constitutional override is the difference between monetary sovereignty and monetary capture. Consider a central bank facing a sovereign debt market panic. The finance minister demands that the central bank governor authorize an emergency bond purchase program before the market opens. [</w:t>
      </w:r>
      <w:hyperlink r:id="rId313">
        <w:r w:rsidDel="00000000" w:rsidR="00000000" w:rsidRPr="00000000">
          <w:rPr>
            <w:color w:val="1155cc"/>
            <w:u w:val="single"/>
            <w:rtl w:val="0"/>
          </w:rPr>
          <w:t xml:space="preserve">2</w:t>
        </w:r>
      </w:hyperlink>
      <w:r w:rsidDel="00000000" w:rsidR="00000000" w:rsidRPr="00000000">
        <w:rPr>
          <w:rtl w:val="0"/>
        </w:rPr>
        <w:t xml:space="preserve">] Under traditional governance, the governor might issue a verbal authorization, instruct the trading desk to execute, and promise to document the rationale later. Under TL governance, the governor cannot open the Gateway. The bond purchase proposal has entered Epistemic Hold because the Governance Lane cannot verify the latest debt sustainability analysis. The governor can invoke the constitutional override protocol, which convenes an emergency Tri-Cameral session. The Technical Council validates the available data. The Stewardship Custodians evaluate whether the purchase violates the fiscal dominance boundary. The Smart Contract Treasury verifies that the reserves exist. [</w:t>
      </w:r>
      <w:hyperlink r:id="rId314">
        <w:r w:rsidDel="00000000" w:rsidR="00000000" w:rsidRPr="00000000">
          <w:rPr>
            <w:color w:val="1155cc"/>
            <w:u w:val="single"/>
            <w:rtl w:val="0"/>
          </w:rPr>
          <w:t xml:space="preserve">3</w:t>
        </w:r>
      </w:hyperlink>
      <w:r w:rsidDel="00000000" w:rsidR="00000000" w:rsidRPr="00000000">
        <w:rPr>
          <w:rtl w:val="0"/>
        </w:rPr>
        <w:t xml:space="preserve">] If all chambers agree, they issue a Permission Token with the override flag set. The Gateway opens. The purchase executes. The Decision Log contains the full emergency justification, the chamber votes, and the constitutional basis. Five years later, a parliamentary inquiry can verify that the purchase was not a political favor but a constitutionally authorized emergency action.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The hardware substrate makes constitutional override physically distinct from executive override. The Mandated Ternary memristive cells in the Gateway do not recognize titles, ranks, or emergency codes. They recognize only the cryptographic confirm pulse derived from a valid Permission Token. [</w:t>
      </w:r>
      <w:hyperlink r:id="rId315">
        <w:r w:rsidDel="00000000" w:rsidR="00000000" w:rsidRPr="00000000">
          <w:rPr>
            <w:color w:val="1155cc"/>
            <w:u w:val="single"/>
            <w:rtl w:val="0"/>
          </w:rPr>
          <w:t xml:space="preserve">4</w:t>
        </w:r>
      </w:hyperlink>
      <w:r w:rsidDel="00000000" w:rsidR="00000000" w:rsidRPr="00000000">
        <w:rPr>
          <w:rtl w:val="0"/>
        </w:rPr>
        <w:t xml:space="preserve">] A central bank governor pressing an emergency button sends an electrical signal to the Gateway. The Gateway's hardware decoder attempts to match this signal against the stored schema fingerprint. If the signal does not encode a valid Permission Token with the required Tri-Cameral signatures, the decoder rejects it. The MT gate remains in the high-resistance closed state. The governor's button press is logged as an unauthorized access attempt and reported to the Stewardship Custodians. [</w:t>
      </w:r>
      <w:hyperlink r:id="rId316">
        <w:r w:rsidDel="00000000" w:rsidR="00000000" w:rsidRPr="00000000">
          <w:rPr>
            <w:color w:val="1155cc"/>
            <w:u w:val="single"/>
            <w:rtl w:val="0"/>
          </w:rPr>
          <w:t xml:space="preserve">1</w:t>
        </w:r>
      </w:hyperlink>
      <w:r w:rsidDel="00000000" w:rsidR="00000000" w:rsidRPr="00000000">
        <w:rPr>
          <w:rtl w:val="0"/>
        </w:rPr>
        <w:t xml:space="preserve">] The physical impossibility of override protects the institution from both external political pressure and internal institutional panic.</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 Gateway monitoring protocol during Epistemic Hold provides real-time transparency without compromising security. While the Gateway remains closed, it broadcasts status messages to authorized monitoring endpoints. These messages include the decision_log_id of the held proposal, the elapsed hold duration, the remaining escalation deadline, and the current stage of the Sacred Pause workflow. [</w:t>
      </w:r>
      <w:hyperlink r:id="rId317">
        <w:r w:rsidDel="00000000" w:rsidR="00000000" w:rsidRPr="00000000">
          <w:rPr>
            <w:color w:val="1155cc"/>
            <w:u w:val="single"/>
            <w:rtl w:val="0"/>
          </w:rPr>
          <w:t xml:space="preserve">1</w:t>
        </w:r>
      </w:hyperlink>
      <w:r w:rsidDel="00000000" w:rsidR="00000000" w:rsidRPr="00000000">
        <w:rPr>
          <w:rtl w:val="0"/>
        </w:rPr>
        <w:t xml:space="preserve">] Regulators, oversight boards, and permissioned counterparties can subscribe to these broadcasts through the Regulatory Nexus API. They receive immediate notification when a proposal enters hold, when the workflow escalates, and when the Tri-Cameral chambers convene for constitutional override review. This transparency prevents the Epistemic Hold from becoming a black box that conceals institutional dysfunction. It also prevents the monitoring system from becoming a surveillance tool that compromises deliberative confidentiality. The broadcasts contain status metadata, not the substantive evidentiary content of the deliberation. The full Decision Log remains encrypted and accessible only to chambers with the requisite decryption keys.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 Decision Log for any Gateway state transition is comprehensive. When the Gateway opens for a Proceed determination, the log records the Permission Token hash, the Tri-Cameral signature verification results, the hardware gate transition timestamp, and the execution endpoint identifier. [</w:t>
      </w:r>
      <w:hyperlink r:id="rId318">
        <w:r w:rsidDel="00000000" w:rsidR="00000000" w:rsidRPr="00000000">
          <w:rPr>
            <w:color w:val="1155cc"/>
            <w:u w:val="single"/>
            <w:rtl w:val="0"/>
          </w:rPr>
          <w:t xml:space="preserve">1</w:t>
        </w:r>
      </w:hyperlink>
      <w:r w:rsidDel="00000000" w:rsidR="00000000" w:rsidRPr="00000000">
        <w:rPr>
          <w:rtl w:val="0"/>
        </w:rPr>
        <w:t xml:space="preserve">] When the Gateway locks for a Refuse determination, the log records the constitutional gate triggered, the refusal reason code, and the chamber signatures that validated the block. When the Gateway remains closed during Epistemic Hold, the log records the hold reason, the required evidence specification, the escalation timeline, and any constitutional override session notifications. When an unauthorized access attempt occurs, the log records the source identifier, the attempted signal fingerprint, the rejection reason, and the automatic alert sent to the Stewardship Custodians. [</w:t>
      </w:r>
      <w:hyperlink r:id="rId319">
        <w:r w:rsidDel="00000000" w:rsidR="00000000" w:rsidRPr="00000000">
          <w:rPr>
            <w:color w:val="1155cc"/>
            <w:u w:val="single"/>
            <w:rtl w:val="0"/>
          </w:rPr>
          <w:t xml:space="preserve">1</w:t>
        </w:r>
      </w:hyperlink>
      <w:r w:rsidDel="00000000" w:rsidR="00000000" w:rsidRPr="00000000">
        <w:rPr>
          <w:rtl w:val="0"/>
        </w:rPr>
        <w:t xml:space="preserve">] Every log entry is anchored to the Immutable Ledger before the Gateway completes its state transition. This ensures that even a catastrophic system failure cannot erase the evidentiary record of what occurred at the junction.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 Smart Contract Treasury manages the economic consequences of Gateway behavior. When the Gateway opens for a Proceed determination, the Treasury releases the allocated resources, collateral, or liquidity buffers to the execution infrastructure. [</w:t>
      </w:r>
      <w:hyperlink r:id="rId320">
        <w:r w:rsidDel="00000000" w:rsidR="00000000" w:rsidRPr="00000000">
          <w:rPr>
            <w:color w:val="1155cc"/>
            <w:u w:val="single"/>
            <w:rtl w:val="0"/>
          </w:rPr>
          <w:t xml:space="preserve">3</w:t>
        </w:r>
      </w:hyperlink>
      <w:r w:rsidDel="00000000" w:rsidR="00000000" w:rsidRPr="00000000">
        <w:rPr>
          <w:rtl w:val="0"/>
        </w:rPr>
        <w:t xml:space="preserve">] When the Gateway locks for Refuse, the Treasury returns the reserved resources to the pool and logs the opportunity cost. When the Gateway remains closed during Epistemic Hold, the Treasury maintains the resource reservation for the duration of the hold, ensuring that the proposal can execute immediately if the hold resolves to Proceed. If the hold exceeds the maximum constitutional duration and expires, the Treasury releases the reservation and logs the expiration. These automated treasury operations prevent resource starvation that could force institutions to bypass governance for operational necessity. The resources are reserved. The governance can take the time it needs.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 Tri-Cameral Governance Model distributes Gateway oversight to prevent capture. The Technical Council monitors the cryptographic integrity of the Gateway's verification engine, ensuring that the schema fingerprints remain current and that the hardware decoders function correctly. The Stewardship Custodians monitor the authorization patterns, investigating any anomalies such as unusual override frequencies, repeated unauthorized access attempts, or suspicious timing of Permission Token issuance. [</w:t>
      </w:r>
      <w:hyperlink r:id="rId321">
        <w:r w:rsidDel="00000000" w:rsidR="00000000" w:rsidRPr="00000000">
          <w:rPr>
            <w:color w:val="1155cc"/>
            <w:u w:val="single"/>
            <w:rtl w:val="0"/>
          </w:rPr>
          <w:t xml:space="preserve">3</w:t>
        </w:r>
      </w:hyperlink>
      <w:r w:rsidDel="00000000" w:rsidR="00000000" w:rsidRPr="00000000">
        <w:rPr>
          <w:rtl w:val="0"/>
        </w:rPr>
        <w:t xml:space="preserve">] The Smart Contract Treasury monitors the resource flow, ensuring that the Gateway's opening and closing correlates with proper treasury allocation and that no execution occurs without corresponding resource commitment. This distributed oversight makes the Gateway not merely a technical component but a constitutional institution.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The sources do not specify the exact maximum constitutional duration for Epistemic Hold before automatic expiration, though they mandate that such duration must be configurable by the Stewardship Custodians and anchored in the constitutional schema with automatic Treasury release triggers.</w:t>
      </w:r>
    </w:p>
    <w:p w:rsidR="00000000" w:rsidDel="00000000" w:rsidP="00000000" w:rsidRDefault="00000000" w:rsidRPr="00000000" w14:paraId="0000028D">
      <w:pPr>
        <w:pStyle w:val="Heading2"/>
        <w:rPr/>
      </w:pPr>
      <w:bookmarkStart w:colFirst="0" w:colLast="0" w:name="_z6vl81xxkqu0" w:id="39"/>
      <w:bookmarkEnd w:id="39"/>
      <w:r w:rsidDel="00000000" w:rsidR="00000000" w:rsidRPr="00000000">
        <w:rPr>
          <w:rtl w:val="0"/>
        </w:rPr>
        <w:t xml:space="preserve">5.4. NL=NA Five-Layer Enforcement Architecture</w:t>
      </w:r>
    </w:p>
    <w:p w:rsidR="00000000" w:rsidDel="00000000" w:rsidP="00000000" w:rsidRDefault="00000000" w:rsidRPr="00000000" w14:paraId="0000028E">
      <w:pPr>
        <w:rPr/>
      </w:pPr>
      <w:r w:rsidDel="00000000" w:rsidR="00000000" w:rsidRPr="00000000">
        <w:rPr>
          <w:rtl w:val="0"/>
        </w:rPr>
        <w:t xml:space="preserve">NL=NA is enforced through five distinct operational layers that operate in strict sequence. No proposal reaches execution unless it survives all five. A failure at any layer causes automatic termination of the execution path. The layers are not optional modules that an institution can disable for convenience. They are hard-coded into the API specification, the hardware substrate, and the constitutional schema. [</w:t>
      </w:r>
      <w:hyperlink r:id="rId322">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Layer 1 is Schema Validation. This is the syntactic gate. The Decision Proposal submitted by the Inference Lane must conform exactly to the constitutional schema defined in the API specification. Every mandatory field must be present. Every data type must be correct. Every reference must resolve to a valid object in the system registry. [</w:t>
      </w:r>
      <w:hyperlink r:id="rId323">
        <w:r w:rsidDel="00000000" w:rsidR="00000000" w:rsidRPr="00000000">
          <w:rPr>
            <w:color w:val="1155cc"/>
            <w:u w:val="single"/>
            <w:rtl w:val="0"/>
          </w:rPr>
          <w:t xml:space="preserve">1</w:t>
        </w:r>
      </w:hyperlink>
      <w:r w:rsidDel="00000000" w:rsidR="00000000" w:rsidRPr="00000000">
        <w:rPr>
          <w:rtl w:val="0"/>
        </w:rPr>
        <w:t xml:space="preserve">] The schema is not a suggestion. It is a machine-enforced contract. If the proposal lacks the model_version field, the validation engine returns a schema violation error. If the data_provenance array contains an unauthenticated source identifier, the engine returns a provenance failure. These errors are not warnings. They are fatal blocks that prevent the proposal from advancing to Layer 2. The Governance Lane's schema validation engine operates as a dedicated microservice with its own computational resources, network segmentation, and failure isolation. A compromise of the Inference Lane cannot corrupt the schema engine because the two services share no execution context.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Layer 2 is Cryptographic Integrity. This is the semantic gate. After syntactic validation, the proposal undergoes cryptographic verification. The evidentiary hash of the Decision Proposal must match the hash recomputed by the Governance Lane. [</w:t>
      </w:r>
      <w:hyperlink r:id="rId324">
        <w:r w:rsidDel="00000000" w:rsidR="00000000" w:rsidRPr="00000000">
          <w:rPr>
            <w:color w:val="1155cc"/>
            <w:u w:val="single"/>
            <w:rtl w:val="0"/>
          </w:rPr>
          <w:t xml:space="preserve">1</w:t>
        </w:r>
      </w:hyperlink>
      <w:r w:rsidDel="00000000" w:rsidR="00000000" w:rsidRPr="00000000">
        <w:rPr>
          <w:rtl w:val="0"/>
        </w:rPr>
        <w:t xml:space="preserve">] The digital signatures on the proposal must verify against the public keys stored in the hardware security module. The timestamp must fall within the acceptable clock skew window defined by the Technical Council. The model_version reference must resolve to a cryptographically signed model certificate issued by the Technical Council's certification authority. [</w:t>
      </w:r>
      <w:hyperlink r:id="rId325">
        <w:r w:rsidDel="00000000" w:rsidR="00000000" w:rsidRPr="00000000">
          <w:rPr>
            <w:color w:val="1155cc"/>
            <w:u w:val="single"/>
            <w:rtl w:val="0"/>
          </w:rPr>
          <w:t xml:space="preserve">1</w:t>
        </w:r>
      </w:hyperlink>
      <w:r w:rsidDel="00000000" w:rsidR="00000000" w:rsidRPr="00000000">
        <w:rPr>
          <w:rtl w:val="0"/>
        </w:rPr>
        <w:t xml:space="preserve">] If any cryptographic check fails, the proposal is rejected before it reaches the constitutional evaluation logic. This layer prevents replay attacks, where an adversary resubmits an old proposal with a new timestamp. It prevents signature forgery, where an adversary attempts to impersonate a certified model. It prevents model substitution, where an uncertified model masquerades as a certified one. The cryptographic integrity layer operates in a secure enclave with no network access except to the hardware security module and the immutable ledger node.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Layer 3 is Hardware Enforcement. This is the physical gate. The Mandated Ternary memristive cells in the Gateway and the Governance Lane infrastructure physically link execution to log verification. [</w:t>
      </w:r>
      <w:hyperlink r:id="rId326">
        <w:r w:rsidDel="00000000" w:rsidR="00000000" w:rsidRPr="00000000">
          <w:rPr>
            <w:color w:val="1155cc"/>
            <w:u w:val="single"/>
            <w:rtl w:val="0"/>
          </w:rPr>
          <w:t xml:space="preserve">4</w:t>
        </w:r>
      </w:hyperlink>
      <w:r w:rsidDel="00000000" w:rsidR="00000000" w:rsidRPr="00000000">
        <w:rPr>
          <w:rtl w:val="0"/>
        </w:rPr>
        <w:t xml:space="preserve">] The MT gate maintains its high-resistance closed state until it receives the confirm pulse derived from Layers 1 and 2. This layer is not a software check that could be disabled by a configuration flag. It is a physical property of the substrate. [</w:t>
      </w:r>
      <w:hyperlink r:id="rId327">
        <w:r w:rsidDel="00000000" w:rsidR="00000000" w:rsidRPr="00000000">
          <w:rPr>
            <w:color w:val="1155cc"/>
            <w:u w:val="single"/>
            <w:rtl w:val="0"/>
          </w:rPr>
          <w:t xml:space="preserve">4</w:t>
        </w:r>
      </w:hyperlink>
      <w:r w:rsidDel="00000000" w:rsidR="00000000" w:rsidRPr="00000000">
        <w:rPr>
          <w:rtl w:val="0"/>
        </w:rPr>
        <w:t xml:space="preserve">] Even if an attacker compromises the operating system of the Gateway server, the MT gate remains closed because the gate does not respond to software commands. It responds only to the patterned voltage sequence that encodes the valid Permission Token. The hardware layer also includes tamper detection. If the physical enclosure of the MT gate is opened, if the voltage supply is manipulated, or if the temperature exceeds operational thresholds, the gate enters a permanent lockdown state that requires physical reset by the Technical Council. This prevents hardware-level attacks that might attempt to bypass the memristive constraint.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Layer 4 is Governance Quorum. This is the institutional gate. After the proposal survives syntactic, cryptographic, and physical verification, it undergoes constitutional evaluation by the Tri-Cameral chambers. [</w:t>
      </w:r>
      <w:hyperlink r:id="rId328">
        <w:r w:rsidDel="00000000" w:rsidR="00000000" w:rsidRPr="00000000">
          <w:rPr>
            <w:color w:val="1155cc"/>
            <w:u w:val="single"/>
            <w:rtl w:val="0"/>
          </w:rPr>
          <w:t xml:space="preserve">3</w:t>
        </w:r>
      </w:hyperlink>
      <w:r w:rsidDel="00000000" w:rsidR="00000000" w:rsidRPr="00000000">
        <w:rPr>
          <w:rtl w:val="0"/>
        </w:rPr>
        <w:t xml:space="preserve">] The Technical Council evaluates the technical integrity of the proposal. The Stewardship Custodians evaluate the constitutional compliance. The Smart Contract Treasury evaluates the resource and incentive adequacy. Each chamber generates a cryptographic signature that is embedded in the Permission Token. [</w:t>
      </w:r>
      <w:hyperlink r:id="rId329">
        <w:r w:rsidDel="00000000" w:rsidR="00000000" w:rsidRPr="00000000">
          <w:rPr>
            <w:color w:val="1155cc"/>
            <w:u w:val="single"/>
            <w:rtl w:val="0"/>
          </w:rPr>
          <w:t xml:space="preserve">3</w:t>
        </w:r>
      </w:hyperlink>
      <w:r w:rsidDel="00000000" w:rsidR="00000000" w:rsidRPr="00000000">
        <w:rPr>
          <w:rtl w:val="0"/>
        </w:rPr>
        <w:t xml:space="preserve">] The quorum requirements are defined in the constitutional schema. For routine proposals, a standard quorum may require two of three chambers. For high-value proposals, a supermajority may require all three chambers. For emergency constitutional overrides, a special quorum may require all three chambers plus an external auditor signature. If the required quorum is not achieved, the Permission Token is incomplete. The Gateway treats an incomplete Token as a non-existent Token. The hardware gate remains closed. The institutional layer prevents capture by any single chamber or individual. A rogue Technical Council cannot authorize execution without the Stewardship Custodians. A compromised Stewardship Custodian cannot bypass the Treasury's resource verification.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Layer 5 is Regulatory Nexus. This is the jurisdictional gate. The proposal must satisfy the applicable legal and regulatory requirements for its specific domain, geography, and counterparty configuration. [</w:t>
      </w:r>
      <w:hyperlink r:id="rId330">
        <w:r w:rsidDel="00000000" w:rsidR="00000000" w:rsidRPr="00000000">
          <w:rPr>
            <w:color w:val="1155cc"/>
            <w:u w:val="single"/>
            <w:rtl w:val="0"/>
          </w:rPr>
          <w:t xml:space="preserve">1</w:t>
        </w:r>
      </w:hyperlink>
      <w:r w:rsidDel="00000000" w:rsidR="00000000" w:rsidRPr="00000000">
        <w:rPr>
          <w:rtl w:val="0"/>
        </w:rPr>
        <w:t xml:space="preserve">] The Regulatory Nexus endpoint queries the constitutional schema for the relevant provisions. A cross-border settlement proposal must satisfy the nexus requirements of both the origin and destination jurisdictions. A Basel III capital adequacy proposal must satisfy the nexus requirements of the relevant supervisory authority. A securities issuance proposal must satisfy the nexus requirements of the relevant market regulator. [</w:t>
      </w:r>
      <w:hyperlink r:id="rId331">
        <w:r w:rsidDel="00000000" w:rsidR="00000000" w:rsidRPr="00000000">
          <w:rPr>
            <w:color w:val="1155cc"/>
            <w:u w:val="single"/>
            <w:rtl w:val="0"/>
          </w:rPr>
          <w:t xml:space="preserve">2</w:t>
        </w:r>
      </w:hyperlink>
      <w:r w:rsidDel="00000000" w:rsidR="00000000" w:rsidRPr="00000000">
        <w:rPr>
          <w:rtl w:val="0"/>
        </w:rPr>
        <w:t xml:space="preserve">] The nexus evaluation is not a manual legal review. It is an automated query against a machine-readable regulatory database maintained by the Stewardship Custodians and updated through authenticated channels from regulatory authorities. If the proposal triggers a nexus provision that has not been satisfied, the Governance Lane issues Epistemic Hold. The Sacred Pause workflow queries the relevant regulatory authority for updated guidance or exception authorization. The proposal cannot proceed until the nexus layer clears it.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The five layers operate in strict sequence. A proposal cannot skip Layer 1 and proceed to Layer 2. It cannot bypass Layer 3 through software exploit. It cannot override Layer 4 through executive authority. It cannot ignore Layer 5 through jurisdictional arbitrage. [</w:t>
      </w:r>
      <w:hyperlink r:id="rId332">
        <w:r w:rsidDel="00000000" w:rsidR="00000000" w:rsidRPr="00000000">
          <w:rPr>
            <w:color w:val="1155cc"/>
            <w:u w:val="single"/>
            <w:rtl w:val="0"/>
          </w:rPr>
          <w:t xml:space="preserve">1</w:t>
        </w:r>
      </w:hyperlink>
      <w:r w:rsidDel="00000000" w:rsidR="00000000" w:rsidRPr="00000000">
        <w:rPr>
          <w:rtl w:val="0"/>
        </w:rPr>
        <w:t xml:space="preserve">] The sequence is enforced by the API architecture itself. The /evaluate endpoint invokes the layers in order and returns a TLResult only after the final layer completes. If any layer returns a failure, the endpoint immediately returns the failure code and aborts the sequence. The Decision Log records the layer at which the failure occurred, the specific failure reason, and the timestamp of the abort. This log is anchored to the Immutable Ledger even for failed proposals. The failure log is as important as the success log because it documents the constitutional diligence that prevented execution.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In macroeconomic practice, the five layers prevent the cascading failures that occur when governance is bypassed at any single point. Consider a scenario in which a sovereign wealth fund algorithm proposes a massive foreign exchange intervention. The Inference Lane generates the proposal based on currency volatility signals. Layer 1 verifies that the proposal contains all mandatory fields, including the intervention size, the target currency pair, and the macroeconomic justification. Layer 2 verifies that the proposal's signatures are authentic and that the model version is certified for foreign exchange operations. Layer 3 verifies that the Gateway hardware is intact and responsive. Layer 4 convenes the Tri-Cameral chambers. The Technical Council validates the volatility model. The Stewardship Custodians verify that the intervention does not violate the fund's statutory mandate or international monetary agreements. The Smart Contract Treasury confirms that the reserves are available and that the intervention will not breach liquidity buffers. [</w:t>
      </w:r>
      <w:hyperlink r:id="rId333">
        <w:r w:rsidDel="00000000" w:rsidR="00000000" w:rsidRPr="00000000">
          <w:rPr>
            <w:color w:val="1155cc"/>
            <w:u w:val="single"/>
            <w:rtl w:val="0"/>
          </w:rPr>
          <w:t xml:space="preserve">3</w:t>
        </w:r>
      </w:hyperlink>
      <w:r w:rsidDel="00000000" w:rsidR="00000000" w:rsidRPr="00000000">
        <w:rPr>
          <w:rtl w:val="0"/>
        </w:rPr>
        <w:t xml:space="preserve">] Layer 5 queries the Regulatory Nexus to verify that the intervention complies with the foreign exchange regulations of both the fund's home jurisdiction and the target currency's issuing jurisdiction. [</w:t>
      </w:r>
      <w:hyperlink r:id="rId334">
        <w:r w:rsidDel="00000000" w:rsidR="00000000" w:rsidRPr="00000000">
          <w:rPr>
            <w:color w:val="1155cc"/>
            <w:u w:val="single"/>
            <w:rtl w:val="0"/>
          </w:rPr>
          <w:t xml:space="preserve">2</w:t>
        </w:r>
      </w:hyperlink>
      <w:r w:rsidDel="00000000" w:rsidR="00000000" w:rsidRPr="00000000">
        <w:rPr>
          <w:rtl w:val="0"/>
        </w:rPr>
        <w:t xml:space="preserve">] Only if all five layers clear the proposal does the Gateway open and the intervention execute. If Layer 4 detects that the intervention would violate a bilateral currency stabilization agreement, the Governance Lane issues Refuse. The intervention is blocked. The sovereign wealth fund cannot claim that the algorithm acted without institutional knowledge because the Layer 4 log proves that the Stewardship Custodians evaluated and rejected the proposal.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hardware substrate reinforces the sequential integrity of the five layers. The MT gate in the Gateway is physically wired to accept the confirm pulse only from the output of Layer 5. [</w:t>
      </w:r>
      <w:hyperlink r:id="rId335">
        <w:r w:rsidDel="00000000" w:rsidR="00000000" w:rsidRPr="00000000">
          <w:rPr>
            <w:color w:val="1155cc"/>
            <w:u w:val="single"/>
            <w:rtl w:val="0"/>
          </w:rPr>
          <w:t xml:space="preserve">4</w:t>
        </w:r>
      </w:hyperlink>
      <w:r w:rsidDel="00000000" w:rsidR="00000000" w:rsidRPr="00000000">
        <w:rPr>
          <w:rtl w:val="0"/>
        </w:rPr>
        <w:t xml:space="preserve">] The pulse path runs through the schema validation circuit, the cryptographic verification circuit, the physical integrity sensor, the quorum signature aggregator, and the nexus compliance flag. Each circuit must output a positive voltage for the final pulse to form. If any circuit outputs zero or negative voltage, the pulse path is broken and the MT gate remains in the high-resistance closed state. [</w:t>
      </w:r>
      <w:hyperlink r:id="rId336">
        <w:r w:rsidDel="00000000" w:rsidR="00000000" w:rsidRPr="00000000">
          <w:rPr>
            <w:color w:val="1155cc"/>
            <w:u w:val="single"/>
            <w:rtl w:val="0"/>
          </w:rPr>
          <w:t xml:space="preserve">4</w:t>
        </w:r>
      </w:hyperlink>
      <w:r w:rsidDel="00000000" w:rsidR="00000000" w:rsidRPr="00000000">
        <w:rPr>
          <w:rtl w:val="0"/>
        </w:rPr>
        <w:t xml:space="preserve">] This physical wiring makes the five layers not merely a software protocol but an electrical circuit. An attacker cannot inject a fake pulse at the end of the path because the gate's decoder verifies the pulse pattern against the expected composite signature of all five layers.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 Decision Log for a five-layer evaluation is comprehensive. It contains the schema_validation_result from Layer 1, the cryptographic_verification_result from Layer 2, the hardware_integrity_attestation from Layer 3, the chamber_signature_aggregate from Layer 4, and the regulatory_nexus_clearance from Layer 5. [</w:t>
      </w:r>
      <w:hyperlink r:id="rId337">
        <w:r w:rsidDel="00000000" w:rsidR="00000000" w:rsidRPr="00000000">
          <w:rPr>
            <w:color w:val="1155cc"/>
            <w:u w:val="single"/>
            <w:rtl w:val="0"/>
          </w:rPr>
          <w:t xml:space="preserve">1</w:t>
        </w:r>
      </w:hyperlink>
      <w:r w:rsidDel="00000000" w:rsidR="00000000" w:rsidRPr="00000000">
        <w:rPr>
          <w:rtl w:val="0"/>
        </w:rPr>
        <w:t xml:space="preserve">] Each result includes the specific test performed, the timestamp of the test, the testing engine identifier, and the test outcome. The log is hashed and anchored to the Immutable Ledger before the TLResult is returned to the Inference Lane. This anchoring ensures that the five-layer evaluation record is tamper-evident even if the Governance Lane itself is subsequently compromised. The record exists in distributed consensus, not in local storage.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The Smart Contract Treasury manages the economic costs of the five-layer evaluation. Each layer consumes computational resources, cryptographic operations, hardware cycles, chamber deliberation time, and regulatory database queries. [</w:t>
      </w:r>
      <w:hyperlink r:id="rId338">
        <w:r w:rsidDel="00000000" w:rsidR="00000000" w:rsidRPr="00000000">
          <w:rPr>
            <w:color w:val="1155cc"/>
            <w:u w:val="single"/>
            <w:rtl w:val="0"/>
          </w:rPr>
          <w:t xml:space="preserve">3</w:t>
        </w:r>
      </w:hyperlink>
      <w:r w:rsidDel="00000000" w:rsidR="00000000" w:rsidRPr="00000000">
        <w:rPr>
          <w:rtl w:val="0"/>
        </w:rPr>
        <w:t xml:space="preserve">] The Treasury allocates a resource budget to each proposal based on its risk classification, notional value, and jurisdictional complexity. Routine interbank lending proposals receive a lean budget that prioritizes speed. Sovereign debt restructuring proposals receive a comprehensive budget that prioritizes diligence. If a proposal exhausts its budget before clearing all five layers, the Treasury automatically issues a resource exhaustion flag. The Governance Lane treats this flag as an Epistemic Hold trigger. The Sacred Pause workflow reviews the budget allocation and either supplements the budget or returns the proposal to the Inference Lane for simplification. This prevents resource starvation from forcing institutions to bypass layers for the sake of cost efficiency.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Tri-Cameral Governance Model maintains the five-layer architecture through continuous calibration. The Technical Council updates the schema validation rules when new model types are certified. The Stewardship Custodians update the regulatory nexus database when new regulations are promulgated. The Smart Contract Treasury updates the resource allocation algorithms when market conditions change. [</w:t>
      </w:r>
      <w:hyperlink r:id="rId339">
        <w:r w:rsidDel="00000000" w:rsidR="00000000" w:rsidRPr="00000000">
          <w:rPr>
            <w:color w:val="1155cc"/>
            <w:u w:val="single"/>
            <w:rtl w:val="0"/>
          </w:rPr>
          <w:t xml:space="preserve">3</w:t>
        </w:r>
      </w:hyperlink>
      <w:r w:rsidDel="00000000" w:rsidR="00000000" w:rsidRPr="00000000">
        <w:rPr>
          <w:rtl w:val="0"/>
        </w:rPr>
        <w:t xml:space="preserve">] These updates are themselves subject to the five-layer protocol. A proposal to modify the schema validation rules must pass through all five layers before the modification takes effect. This meta-governance prevents any chamber from unilaterally weakening the architecture. The layers protect themselves.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The sources do not specify the exact voltage threshold values for the MT gate layer-composite pulse, though they mandate that such thresholds must be calibrated by the Technical Council and resistant to power supply fluctuations.</w:t>
      </w:r>
    </w:p>
    <w:p w:rsidR="00000000" w:rsidDel="00000000" w:rsidP="00000000" w:rsidRDefault="00000000" w:rsidRPr="00000000" w14:paraId="000002A7">
      <w:pPr>
        <w:pStyle w:val="Heading2"/>
        <w:rPr/>
      </w:pPr>
      <w:bookmarkStart w:colFirst="0" w:colLast="0" w:name="_d7xjv1ru0r9j" w:id="40"/>
      <w:bookmarkEnd w:id="40"/>
      <w:r w:rsidDel="00000000" w:rsidR="00000000" w:rsidRPr="00000000">
        <w:rPr>
          <w:rtl w:val="0"/>
        </w:rPr>
        <w:t xml:space="preserve">5.5. Regulatory Nexus: Domain Evaluation Endpoints</w:t>
      </w:r>
    </w:p>
    <w:p w:rsidR="00000000" w:rsidDel="00000000" w:rsidP="00000000" w:rsidRDefault="00000000" w:rsidRPr="00000000" w14:paraId="000002A8">
      <w:pPr>
        <w:rPr/>
      </w:pPr>
      <w:r w:rsidDel="00000000" w:rsidR="00000000" w:rsidRPr="00000000">
        <w:rPr>
          <w:rtl w:val="0"/>
        </w:rPr>
        <w:t xml:space="preserve">The Regulatory Nexus is the interface layer between Ternary Logic's constitutional architecture and the real-world legal and regulatory systems that govern economic activity. Laws are not algorithms. Regulatory text does not execute. The Regulatory Nexus translates legal obligations into machine-readable constitutional provisions that the Governance Lane can evaluate against proposals before execution. [</w:t>
      </w:r>
      <w:hyperlink r:id="rId340">
        <w:r w:rsidDel="00000000" w:rsidR="00000000" w:rsidRPr="00000000">
          <w:rPr>
            <w:color w:val="1155cc"/>
            <w:u w:val="single"/>
            <w:rtl w:val="0"/>
          </w:rPr>
          <w:t xml:space="preserve">1</w:t>
        </w:r>
      </w:hyperlink>
      <w:r w:rsidDel="00000000" w:rsidR="00000000" w:rsidRPr="00000000">
        <w:rPr>
          <w:rtl w:val="0"/>
        </w:rPr>
        <w:t xml:space="preserve">] This translation is not a one-time mapping. It is a continuous, authenticated, version-controlled process that ensures the Governance Lane evaluates proposals against current law, not against obsolete regulatory snapshots.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The Domain Evaluation Endpoints are the specific API interfaces through which the Governance Lane queries the Regulatory Nexus. Each economic domain maintains its own endpoint. The finance_domain endpoint returns provisions derived from Basel III, SEC regulations, CFTC rules, IOSCO principles, and national banking laws. [</w:t>
      </w:r>
      <w:hyperlink r:id="rId341">
        <w:r w:rsidDel="00000000" w:rsidR="00000000" w:rsidRPr="00000000">
          <w:rPr>
            <w:color w:val="1155cc"/>
            <w:u w:val="single"/>
            <w:rtl w:val="0"/>
          </w:rPr>
          <w:t xml:space="preserve">2</w:t>
        </w:r>
      </w:hyperlink>
      <w:r w:rsidDel="00000000" w:rsidR="00000000" w:rsidRPr="00000000">
        <w:rPr>
          <w:rtl w:val="0"/>
        </w:rPr>
        <w:t xml:space="preserve">] The trade_domain endpoint returns provisions derived from customs classifications, sanctions lists, export control regulations, and international trade agreements. The data_protection_domain endpoint returns provisions derived from GDPR, national privacy statutes, and sector-specific financial privacy rules. The monetary_policy_domain endpoint returns provisions derived from central bank statutes, inflation targeting mandates, and international monetary agreements. [</w:t>
      </w:r>
      <w:hyperlink r:id="rId342">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When the Inference Lane submits a Decision Proposal, the Governance Lane identifies the relevant domains based on the proposal's execution_context. A proposal for a cross-border securities settlement triggers queries to the finance_domain and the trade_domain. A proposal for a retail CBDC transfer triggers queries to the finance_domain and the data_protection_domain. A proposal for a central bank liquidity injection triggers queries to the monetary_policy_domain and the finance_domain. [</w:t>
      </w:r>
      <w:hyperlink r:id="rId343">
        <w:r w:rsidDel="00000000" w:rsidR="00000000" w:rsidRPr="00000000">
          <w:rPr>
            <w:color w:val="1155cc"/>
            <w:u w:val="single"/>
            <w:rtl w:val="0"/>
          </w:rPr>
          <w:t xml:space="preserve">1</w:t>
        </w:r>
      </w:hyperlink>
      <w:r w:rsidDel="00000000" w:rsidR="00000000" w:rsidRPr="00000000">
        <w:rPr>
          <w:rtl w:val="0"/>
        </w:rPr>
        <w:t xml:space="preserve">] The Governance Lane does not query all domains for every proposal. It queries only the domains relevant to the specific economic action, counterparties, and jurisdictions identified in the proposal. This targeted querying prevents the Governance Lane from being overwhelmed by irrelevant regulatory provisions while ensuring that no applicable provision is overlooked.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The Domain Evaluation Endpoints return structured provision objects. Each provision contains a provision_id, which is a unique identifier within the Regulatory Nexus database. It contains a provision_text, which is the machine-readable encoding of the regulatory requirement. This encoding is not natural language. It is a formal logic representation that specifies the evidentiary predicates, threshold values, and compliance operators that the Governance Lane must evaluate. [</w:t>
      </w:r>
      <w:hyperlink r:id="rId344">
        <w:r w:rsidDel="00000000" w:rsidR="00000000" w:rsidRPr="00000000">
          <w:rPr>
            <w:color w:val="1155cc"/>
            <w:u w:val="single"/>
            <w:rtl w:val="0"/>
          </w:rPr>
          <w:t xml:space="preserve">1</w:t>
        </w:r>
      </w:hyperlink>
      <w:r w:rsidDel="00000000" w:rsidR="00000000" w:rsidRPr="00000000">
        <w:rPr>
          <w:rtl w:val="0"/>
        </w:rPr>
        <w:t xml:space="preserve">] For example, a Basel III leverage ratio provision might be encoded as: IF total_exposure &gt; threshold_value THEN Tier1_capital / total_exposure &gt;= minimum_ratio. A GDPR data transfer provision might be encoded as: IF destination_jurisdiction NOT IN adequacy_list THEN standard_contractual_clauses EXISTS AND binding_corporate_rules EXISTS. The Governance Lane evaluates the proposal against these predicates using the evidentiary data contained in the Decision Proposal.</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machine-readable regulatory database is maintained by the Stewardship Custodians through authenticated channels. When a regulatory authority promulgates a new rule, amends an existing rule, or issues interpretive guidance, the Stewardship Custodians receive the update through a cryptographically signed channel. [</w:t>
      </w:r>
      <w:hyperlink r:id="rId345">
        <w:r w:rsidDel="00000000" w:rsidR="00000000" w:rsidRPr="00000000">
          <w:rPr>
            <w:color w:val="1155cc"/>
            <w:u w:val="single"/>
            <w:rtl w:val="0"/>
          </w:rPr>
          <w:t xml:space="preserve">3</w:t>
        </w:r>
      </w:hyperlink>
      <w:r w:rsidDel="00000000" w:rsidR="00000000" w:rsidRPr="00000000">
        <w:rPr>
          <w:rtl w:val="0"/>
        </w:rPr>
        <w:t xml:space="preserve">] The channel might be a direct API feed from the regulatory authority, a secure document exchange, or a authenticated publication monitor. The Stewardship Custodians verify the cryptographic signature of the update against the regulatory authority's published public key. They then encode the update into the formal logic representation and commit it to the Regulatory Nexus database. The commit generates a version hash that is anchored to the Immutable Ledger. [</w:t>
      </w:r>
      <w:hyperlink r:id="rId346">
        <w:r w:rsidDel="00000000" w:rsidR="00000000" w:rsidRPr="00000000">
          <w:rPr>
            <w:color w:val="1155cc"/>
            <w:u w:val="single"/>
            <w:rtl w:val="0"/>
          </w:rPr>
          <w:t xml:space="preserve">1</w:t>
        </w:r>
      </w:hyperlink>
      <w:r w:rsidDel="00000000" w:rsidR="00000000" w:rsidRPr="00000000">
        <w:rPr>
          <w:rtl w:val="0"/>
        </w:rPr>
        <w:t xml:space="preserve">] This anchoring ensures that the Governance Lane cannot evaluate a proposal against an unverified or tampered regulatory version. The ledger entry proves that the provision was committed by authorized Stewardship Custodians at a specific time and that the provision has not been altered since commitment.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Cross-border economic activity requires multi-jurisdictional nexus evaluation. When a proposal involves counterparties, assets, or settlement infrastructure in multiple jurisdictions, the Governance Lane queries the Regulatory Nexus for all applicable jurisdictions simultaneously. [</w:t>
      </w:r>
      <w:hyperlink r:id="rId347">
        <w:r w:rsidDel="00000000" w:rsidR="00000000" w:rsidRPr="00000000">
          <w:rPr>
            <w:color w:val="1155cc"/>
            <w:u w:val="single"/>
            <w:rtl w:val="0"/>
          </w:rPr>
          <w:t xml:space="preserve">2</w:t>
        </w:r>
      </w:hyperlink>
      <w:r w:rsidDel="00000000" w:rsidR="00000000" w:rsidRPr="00000000">
        <w:rPr>
          <w:rtl w:val="0"/>
        </w:rPr>
        <w:t xml:space="preserve">] The Permission Token for such a proposal contains multiple regulatory_nexus_reference entries, one for each jurisdiction evaluated. The Gateway verifies that all referenced provisions have been satisfied before opening. If a transaction involves a U.S. institutional investor and a German corporate treasury, the Governance Lane queries both the SEC finance_domain provisions and the German BaFin finance_domain provisions. [</w:t>
      </w:r>
      <w:hyperlink r:id="rId348">
        <w:r w:rsidDel="00000000" w:rsidR="00000000" w:rsidRPr="00000000">
          <w:rPr>
            <w:color w:val="1155cc"/>
            <w:u w:val="single"/>
            <w:rtl w:val="0"/>
          </w:rPr>
          <w:t xml:space="preserve">2</w:t>
        </w:r>
      </w:hyperlink>
      <w:r w:rsidDel="00000000" w:rsidR="00000000" w:rsidRPr="00000000">
        <w:rPr>
          <w:rtl w:val="0"/>
        </w:rPr>
        <w:t xml:space="preserve">] It also queries the data_protection_domain for GDPR compliance and the trade_domain for any applicable export control or customs classification requirements. The Gateway will not open unless every nexus provision returns a satisfied status.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When jurisdictional provisions conflict, the Governance Lane issues Epistemic Hold. A conflict occurs when two jurisdictions impose mutually exclusive requirements on the same proposal. [</w:t>
      </w:r>
      <w:hyperlink r:id="rId349">
        <w:r w:rsidDel="00000000" w:rsidR="00000000" w:rsidRPr="00000000">
          <w:rPr>
            <w:color w:val="1155cc"/>
            <w:u w:val="single"/>
            <w:rtl w:val="0"/>
          </w:rPr>
          <w:t xml:space="preserve">2</w:t>
        </w:r>
      </w:hyperlink>
      <w:r w:rsidDel="00000000" w:rsidR="00000000" w:rsidRPr="00000000">
        <w:rPr>
          <w:rtl w:val="0"/>
        </w:rPr>
        <w:t xml:space="preserve">] For example, one jurisdiction might mandate data localization while another mandates cross-border data sharing for regulatory transparency. One jurisdiction might prohibit a financial instrument that another jurisdiction mandates for pension fund portfolios. The Governance Lane detects these conflicts during multi-jurisdictional evaluation. It does not attempt to resolve the conflict through algorithmic preference. It issues Epistemic Hold and the Sacred Pause workflow invokes the bilateral regulatory nexus protocol. [</w:t>
      </w:r>
      <w:hyperlink r:id="rId350">
        <w:r w:rsidDel="00000000" w:rsidR="00000000" w:rsidRPr="00000000">
          <w:rPr>
            <w:color w:val="1155cc"/>
            <w:u w:val="single"/>
            <w:rtl w:val="0"/>
          </w:rPr>
          <w:t xml:space="preserve">3</w:t>
        </w:r>
      </w:hyperlink>
      <w:r w:rsidDel="00000000" w:rsidR="00000000" w:rsidRPr="00000000">
        <w:rPr>
          <w:rtl w:val="0"/>
        </w:rPr>
        <w:t xml:space="preserve">] This protocol is a pre-configured diplomatic channel through which the Stewardship Custodians of both jurisdictions negotiate a harmonized determination. The Decision Log records the conflicting provisions, the negotiation process, and the final harmonized resolution or joint Refuse. [</w:t>
      </w:r>
      <w:hyperlink r:id="rId351">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The Regulatory Nexus is integrated into Layer 5 of the NL=NA Five-Layer Enforcement Architecture. After a proposal survives schema validation, cryptographic integrity, hardware enforcement, and governance quorum, it undergoes nexus evaluation. [</w:t>
      </w:r>
      <w:hyperlink r:id="rId352">
        <w:r w:rsidDel="00000000" w:rsidR="00000000" w:rsidRPr="00000000">
          <w:rPr>
            <w:color w:val="1155cc"/>
            <w:u w:val="single"/>
            <w:rtl w:val="0"/>
          </w:rPr>
          <w:t xml:space="preserve">1</w:t>
        </w:r>
      </w:hyperlink>
      <w:r w:rsidDel="00000000" w:rsidR="00000000" w:rsidRPr="00000000">
        <w:rPr>
          <w:rtl w:val="0"/>
        </w:rPr>
        <w:t xml:space="preserve">] This is the final layer before Permission Token generation. If the nexus evaluation detects an unsatisfied provision, the proposal fails at Layer 5. The Governance Lane does not return a degraded risk score or a conditional approval. It returns a constitutional determination of Epistemic Hold or Refuse, depending on whether the unsatisfied provision is resolvable through evidentiary supplementation or represents a hard legal boundary. [</w:t>
      </w:r>
      <w:hyperlink r:id="rId353">
        <w:r w:rsidDel="00000000" w:rsidR="00000000" w:rsidRPr="00000000">
          <w:rPr>
            <w:color w:val="1155cc"/>
            <w:u w:val="single"/>
            <w:rtl w:val="0"/>
          </w:rPr>
          <w:t xml:space="preserve">1</w:t>
        </w:r>
      </w:hyperlink>
      <w:r w:rsidDel="00000000" w:rsidR="00000000" w:rsidRPr="00000000">
        <w:rPr>
          <w:rtl w:val="0"/>
        </w:rPr>
        <w:t xml:space="preserve">] The Decision Log records the specific provision_id that triggered the failure, the provision_text that was violated, and the evidentiary gap that prevented satisfaction. This log provides immediate, machine-readable evidence for regulatory audit and legal defensibility.</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In macroeconomic practice, the Regulatory Nexus prevents the jurisdictional arbitrage that undermines global economic governance. Consider a proposal for an algorithmic trading strategy that operates across the New York Stock Exchange and the London Stock Exchange. The Inference Lane detects a statistical arbitrage opportunity and proposes a synchronized order execution on both venues. [</w:t>
      </w:r>
      <w:hyperlink r:id="rId354">
        <w:r w:rsidDel="00000000" w:rsidR="00000000" w:rsidRPr="00000000">
          <w:rPr>
            <w:color w:val="1155cc"/>
            <w:u w:val="single"/>
            <w:rtl w:val="0"/>
          </w:rPr>
          <w:t xml:space="preserve">2</w:t>
        </w:r>
      </w:hyperlink>
      <w:r w:rsidDel="00000000" w:rsidR="00000000" w:rsidRPr="00000000">
        <w:rPr>
          <w:rtl w:val="0"/>
        </w:rPr>
        <w:t xml:space="preserve">] The Governance Lane queries the finance_domain for both the SEC's Regulation SCI requirements and the UK Financial Conduct Authority's market conduct rules. It discovers that the proposed strategy would comply with SEC pre-trade risk control thresholds but would violate the FCA's restrictions on aggressive order execution patterns. [</w:t>
      </w:r>
      <w:hyperlink r:id="rId355">
        <w:r w:rsidDel="00000000" w:rsidR="00000000" w:rsidRPr="00000000">
          <w:rPr>
            <w:color w:val="1155cc"/>
            <w:u w:val="single"/>
            <w:rtl w:val="0"/>
          </w:rPr>
          <w:t xml:space="preserve">2</w:t>
        </w:r>
      </w:hyperlink>
      <w:r w:rsidDel="00000000" w:rsidR="00000000" w:rsidRPr="00000000">
        <w:rPr>
          <w:rtl w:val="0"/>
        </w:rPr>
        <w:t xml:space="preserve">] The Governance Lane issues Epistemic Hold. The Sacred Pause workflow notifies the FCA's regulatory liaison and the firm's UK compliance officer. The strategy cannot execute until the conflict is harmonized or the strategy is modified to satisfy both jurisdictions. Without the Regulatory Nexus, the firm might execute the strategy on the NYSE while claiming UK compliance ignorance, or it might execute on the LSE while claiming SEC exemption. The nexus layer makes such arbitrage impossible by enforcing both jurisdictions simultaneously.</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 Domain Evaluation Endpoints also serve as transparency interfaces for regulatory authorities. A national banking supervisor can subscribe to a feed from the finance_domain endpoint to monitor how the Governance Lane interprets and applies the supervisor's regulations. [</w:t>
      </w:r>
      <w:hyperlink r:id="rId356">
        <w:r w:rsidDel="00000000" w:rsidR="00000000" w:rsidRPr="00000000">
          <w:rPr>
            <w:color w:val="1155cc"/>
            <w:u w:val="single"/>
            <w:rtl w:val="0"/>
          </w:rPr>
          <w:t xml:space="preserve">1</w:t>
        </w:r>
      </w:hyperlink>
      <w:r w:rsidDel="00000000" w:rsidR="00000000" w:rsidRPr="00000000">
        <w:rPr>
          <w:rtl w:val="0"/>
        </w:rPr>
        <w:t xml:space="preserve">] The supervisor can verify that the machine-readable encoding accurately reflects the regulatory intent. If the supervisor discovers a misinterpretation, it can issue a corrected encoding through the authenticated update channel. The Immutable Ledger anchors both the original encoding and the correction, providing an audit trail of regulatory evolution. This transparency transforms the relationship between regulated institutions and supervisors from adversarial inspection to collaborative constitutional maintenance.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 Tri-Cameral Governance Model distributes Regulatory Nexus oversight to prevent regulatory capture. The Technical Council validates the technical integrity of the encoding process, ensuring that the formal logic representation is computationally sound and free from parsing ambiguities. The Stewardship Custodians validate the legal integrity of the encoding, ensuring that the machine-readable provisions remain aligned with the actual regulatory text and its authoritative interpretations. [</w:t>
      </w:r>
      <w:hyperlink r:id="rId357">
        <w:r w:rsidDel="00000000" w:rsidR="00000000" w:rsidRPr="00000000">
          <w:rPr>
            <w:color w:val="1155cc"/>
            <w:u w:val="single"/>
            <w:rtl w:val="0"/>
          </w:rPr>
          <w:t xml:space="preserve">3</w:t>
        </w:r>
      </w:hyperlink>
      <w:r w:rsidDel="00000000" w:rsidR="00000000" w:rsidRPr="00000000">
        <w:rPr>
          <w:rtl w:val="0"/>
        </w:rPr>
        <w:t xml:space="preserve">] The Smart Contract Treasury manages the economic incentives for regulatory database maintenance. When a jurisdiction provides high-quality, timely regulatory updates through the authenticated channel, the Treasury allocates reputation tokens and fee reductions to that jurisdiction's participating institutions. When a jurisdiction fails to provide updates or provides ambiguous guidance, the Treasury imposes delays and additional evidentiary requirements on proposals involving that jurisdiction. [</w:t>
      </w:r>
      <w:hyperlink r:id="rId358">
        <w:r w:rsidDel="00000000" w:rsidR="00000000" w:rsidRPr="00000000">
          <w:rPr>
            <w:color w:val="1155cc"/>
            <w:u w:val="single"/>
            <w:rtl w:val="0"/>
          </w:rPr>
          <w:t xml:space="preserve">3</w:t>
        </w:r>
      </w:hyperlink>
      <w:r w:rsidDel="00000000" w:rsidR="00000000" w:rsidRPr="00000000">
        <w:rPr>
          <w:rtl w:val="0"/>
        </w:rPr>
        <w:t xml:space="preserve">] These automated incentives encourage regulatory clarity and discourage jurisdictional arbitrage.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The hardware substrate extends nexus enforcement to physical border infrastructure. The Mandated Ternary memristive cells in customs and port systems query the Regulatory Nexus before releasing cargo. [</w:t>
      </w:r>
      <w:hyperlink r:id="rId359">
        <w:r w:rsidDel="00000000" w:rsidR="00000000" w:rsidRPr="00000000">
          <w:rPr>
            <w:color w:val="1155cc"/>
            <w:u w:val="single"/>
            <w:rtl w:val="0"/>
          </w:rPr>
          <w:t xml:space="preserve">4</w:t>
        </w:r>
      </w:hyperlink>
      <w:r w:rsidDel="00000000" w:rsidR="00000000" w:rsidRPr="00000000">
        <w:rPr>
          <w:rtl w:val="0"/>
        </w:rPr>
        <w:t xml:space="preserve">] The trade_domain endpoint provides the customs classification, sanctions status, and export control provisions that the hardware gate evaluates. If the nexus evaluation returns an unsatisfied status, the hardware gate remains in the high-resistance closed state and the cargo cannot clear customs. [</w:t>
      </w:r>
      <w:hyperlink r:id="rId360">
        <w:r w:rsidDel="00000000" w:rsidR="00000000" w:rsidRPr="00000000">
          <w:rPr>
            <w:color w:val="1155cc"/>
            <w:u w:val="single"/>
            <w:rtl w:val="0"/>
          </w:rPr>
          <w:t xml:space="preserve">4</w:t>
        </w:r>
      </w:hyperlink>
      <w:r w:rsidDel="00000000" w:rsidR="00000000" w:rsidRPr="00000000">
        <w:rPr>
          <w:rtl w:val="0"/>
        </w:rPr>
        <w:t xml:space="preserve">] This physical integration ensures that regulatory compliance is not merely a paperwork exercise conducted in a back office. It is a material gate that controls the movement of goods across sovereign borders.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The sources do not specify the exact formal logic grammar used for provision encoding in the Regulatory Nexus, though they mandate that such grammar must be subject to Technical Council validation and resistant to ambiguity or circular reference.</w:t>
      </w:r>
    </w:p>
    <w:p w:rsidR="00000000" w:rsidDel="00000000" w:rsidP="00000000" w:rsidRDefault="00000000" w:rsidRPr="00000000" w14:paraId="000002C1">
      <w:pPr>
        <w:pStyle w:val="Heading2"/>
        <w:rPr/>
      </w:pPr>
      <w:bookmarkStart w:colFirst="0" w:colLast="0" w:name="_rsr4qs8l4ck3" w:id="41"/>
      <w:bookmarkEnd w:id="41"/>
      <w:r w:rsidDel="00000000" w:rsidR="00000000" w:rsidRPr="00000000">
        <w:rPr>
          <w:rtl w:val="0"/>
        </w:rPr>
        <w:t xml:space="preserve">6.1. DITL and Delay-Insensitive Asynchronous Architecture</w:t>
      </w:r>
    </w:p>
    <w:p w:rsidR="00000000" w:rsidDel="00000000" w:rsidP="00000000" w:rsidRDefault="00000000" w:rsidRPr="00000000" w14:paraId="000002C2">
      <w:pPr>
        <w:rPr/>
      </w:pPr>
      <w:r w:rsidDel="00000000" w:rsidR="00000000" w:rsidRPr="00000000">
        <w:rPr>
          <w:rtl w:val="0"/>
        </w:rPr>
        <w:t xml:space="preserve">Delay-Insensitive Ternary Logic is the asynchronous hardware substrate that physically enforces the Governance Lane's constitutional determinations. Unlike conventional synchronous digital circuits that depend on a global clock to coordinate state transitions, DITL operates through local handshake protocols that ensure each computational stage completes before the next stage begins. [</w:t>
      </w:r>
      <w:hyperlink r:id="rId361">
        <w:r w:rsidDel="00000000" w:rsidR="00000000" w:rsidRPr="00000000">
          <w:rPr>
            <w:color w:val="1155cc"/>
            <w:u w:val="single"/>
            <w:rtl w:val="0"/>
          </w:rPr>
          <w:t xml:space="preserve">4</w:t>
        </w:r>
      </w:hyperlink>
      <w:r w:rsidDel="00000000" w:rsidR="00000000" w:rsidRPr="00000000">
        <w:rPr>
          <w:rtl w:val="0"/>
        </w:rPr>
        <w:t xml:space="preserve">] This architectural choice is not merely a performance optimization. It is a constitutional necessity. The Governance Lane must evaluate evidentiary completeness without regard for speed. A clock-driven system would impose artificial deadlines that could force premature determinations. DITL removes the clock entirely, allowing the Governance Lane to take the time required for thorough constitutional evaluation while the Inference Lane continues to propose at its own speed.</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In a synchronous binary system, a global clock ticks at a fixed frequency. All gates must settle before the next tick. If a gate is slow, the system fails or must reduce the clock frequency for the entire chip. [</w:t>
      </w:r>
      <w:hyperlink r:id="rId362">
        <w:r w:rsidDel="00000000" w:rsidR="00000000" w:rsidRPr="00000000">
          <w:rPr>
            <w:color w:val="1155cc"/>
            <w:u w:val="single"/>
            <w:rtl w:val="0"/>
          </w:rPr>
          <w:t xml:space="preserve">4</w:t>
        </w:r>
      </w:hyperlink>
      <w:r w:rsidDel="00000000" w:rsidR="00000000" w:rsidRPr="00000000">
        <w:rPr>
          <w:rtl w:val="0"/>
        </w:rPr>
        <w:t xml:space="preserve">] This global synchronization creates vulnerabilities. An attacker who controls the clock can introduce timing faults, race conditions, or glitches that bypass security checks. A privileged process that manipulates clock skew can force a gate to sample an input before it stabilizes, causing the system to accept an invalid state. DITL eliminates these vectors by eliminating the clock. Each gate communicates with its neighbors through request and acknowledge signals. A gate asserts its output only when its internal computation is complete. The receiving gate acknowledges only when it has consumed the result. This handshake protocol guarantees correctness regardless of the physical delay through any individual gate. [</w:t>
      </w:r>
      <w:hyperlink r:id="rId363">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 Epistemic Hold is not a software flag. It is a physical NULL state at half-Vdd in Delay-Insensitive Ternary Logic circuits. In dual-rail encoding, the NULL or Spacer state is represented by both wires held at logic low, denoted as {0,0}. [</w:t>
      </w:r>
      <w:hyperlink r:id="rId364">
        <w:r w:rsidDel="00000000" w:rsidR="00000000" w:rsidRPr="00000000">
          <w:rPr>
            <w:color w:val="1155cc"/>
            <w:u w:val="single"/>
            <w:rtl w:val="0"/>
          </w:rPr>
          <w:t xml:space="preserve">5</w:t>
        </w:r>
      </w:hyperlink>
      <w:r w:rsidDel="00000000" w:rsidR="00000000" w:rsidRPr="00000000">
        <w:rPr>
          <w:rtl w:val="0"/>
        </w:rPr>
        <w:t xml:space="preserve">] This is the electrical condition that corresponds to the mandatory hesitation state. No valid token propagates past a stage in the NULL state. No execution signal reaches the actuator. A sufficiently capable adversary cannot argue with a threshold gate. This is what separates TL from every other governance framework: ethics enforced by physics, not policy. [</w:t>
      </w:r>
      <w:hyperlink r:id="rId365">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 three-rail encoding scheme maps the triadic states of Ternary Logic directly to physical wires. For Proceed (+1), one specific line carries the active signal. For Refuse (-1), a different line carries the active signal. For Epistemic Hold (0), the third line carries the active signal. [</w:t>
      </w:r>
      <w:hyperlink r:id="rId366">
        <w:r w:rsidDel="00000000" w:rsidR="00000000" w:rsidRPr="00000000">
          <w:rPr>
            <w:color w:val="1155cc"/>
            <w:u w:val="single"/>
            <w:rtl w:val="0"/>
          </w:rPr>
          <w:t xml:space="preserve">4</w:t>
        </w:r>
      </w:hyperlink>
      <w:r w:rsidDel="00000000" w:rsidR="00000000" w:rsidRPr="00000000">
        <w:rPr>
          <w:rtl w:val="0"/>
        </w:rPr>
        <w:t xml:space="preserve">] This one-hot encoding ensures that the three states are physically distinct and mutually exclusive. The hardware cannot ambiguously represent an intermediate state between Proceed and Refuse. The memristive cell settles into one of three stable resistance regimes, each corresponding to exactly one of the three governance determinations. The intermediate resistance state is not a transient glitch or a metastable condition. It is the stable physical realization of Epistemic Hold. [</w:t>
      </w:r>
      <w:hyperlink r:id="rId367">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Dual-rail encoding provides the physical interface between the binary Inference Lane and the ternary Governance Lane. While the Governance Lane operates in three-rail ternary logic, the Inference Lane operates in conventional binary logic. The dual-rail scheme encodes each binary bit on two wires, allowing the binary domain to communicate with the ternary domain without protocol translation errors. [</w:t>
      </w:r>
      <w:hyperlink r:id="rId368">
        <w:r w:rsidDel="00000000" w:rsidR="00000000" w:rsidRPr="00000000">
          <w:rPr>
            <w:color w:val="1155cc"/>
            <w:u w:val="single"/>
            <w:rtl w:val="0"/>
          </w:rPr>
          <w:t xml:space="preserve">4</w:t>
        </w:r>
      </w:hyperlink>
      <w:r w:rsidDel="00000000" w:rsidR="00000000" w:rsidRPr="00000000">
        <w:rPr>
          <w:rtl w:val="0"/>
        </w:rPr>
        <w:t xml:space="preserve">] This encoding preserves the Dual-Lane Architecture at the electron level. The binary lane proposes using its native dual-rail representation. The ternary lane evaluates using its native three-rail representation. The Gateway translates between the two encodings only after the Governance Lane has issued a valid Permission Token. The physical separation prevents the binary lane from forcing its encoding onto the ternary lane before constitutional evaluation is complete.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 four-phase handshake protocol governs all inter-gate communication in the DITL substrate. In phase one, the sender asserts a valid data encoding on its output rails. In phase two, the receiver detects the valid data and asserts an acknowledge signal. In phase three, the sender withdraws the data and returns its rails to the neutral state. In phase four, the receiver withdraws the acknowledge and returns to its neutral state. [</w:t>
      </w:r>
      <w:hyperlink r:id="rId369">
        <w:r w:rsidDel="00000000" w:rsidR="00000000" w:rsidRPr="00000000">
          <w:rPr>
            <w:color w:val="1155cc"/>
            <w:u w:val="single"/>
            <w:rtl w:val="0"/>
          </w:rPr>
          <w:t xml:space="preserve">4</w:t>
        </w:r>
      </w:hyperlink>
      <w:r w:rsidDel="00000000" w:rsidR="00000000" w:rsidRPr="00000000">
        <w:rPr>
          <w:rtl w:val="0"/>
        </w:rPr>
        <w:t xml:space="preserve">] Only after all four phases complete can a new data transfer begin. This protocol ensures that no gate ever processes stale data, partial data, or data that has been corrupted by a race condition. In the Governance Lane, this means that a constitutional evaluation cannot proceed on incomplete evidentiary inputs. The handshake forces the lane to wait until all required data has arrived and stabilized before the evaluation logic activates.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Completion detection is the mechanism that signals when an entire arithmetic or logic operation has finished. In DITL, a completion detector monitors the output rails of a computational block and asserts a done signal only when all outputs have settled to valid, non-neutral encodings. [</w:t>
      </w:r>
      <w:hyperlink r:id="rId370">
        <w:r w:rsidDel="00000000" w:rsidR="00000000" w:rsidRPr="00000000">
          <w:rPr>
            <w:color w:val="1155cc"/>
            <w:u w:val="single"/>
            <w:rtl w:val="0"/>
          </w:rPr>
          <w:t xml:space="preserve">4</w:t>
        </w:r>
      </w:hyperlink>
      <w:r w:rsidDel="00000000" w:rsidR="00000000" w:rsidRPr="00000000">
        <w:rPr>
          <w:rtl w:val="0"/>
        </w:rPr>
        <w:t xml:space="preserve">] For the Governance Lane, completion detection corresponds to the moment when all evidentiary predicates have been evaluated, all chamber signatures have been verified, and the triadic state determination has stabilized. The Gateway does not attempt to open until the completion detector asserts its done signal. This is the hardware realization of NL=NA. The log must be complete, the token must be valid, and the completion detector must confirm that the entire evaluation pipeline has settled before execution is physically enabled.</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Muller C-elements create the pipeline stalls that enforce the Sacred Zero. These hysteresis-state threshold gates withhold acknowledge signals when any input remains in the NULL state. Without the acknowledge transition, upstream pipeline stages physically cannot proceed. There is no clock to restart, no register to flip, no port to write. [</w:t>
      </w:r>
      <w:hyperlink r:id="rId371">
        <w:r w:rsidDel="00000000" w:rsidR="00000000" w:rsidRPr="00000000">
          <w:rPr>
            <w:color w:val="1155cc"/>
            <w:u w:val="single"/>
            <w:rtl w:val="0"/>
          </w:rPr>
          <w:t xml:space="preserve">6</w:t>
        </w:r>
      </w:hyperlink>
      <w:r w:rsidDel="00000000" w:rsidR="00000000" w:rsidRPr="00000000">
        <w:rPr>
          <w:rtl w:val="0"/>
        </w:rPr>
        <w:t xml:space="preserve">] The stall is an emergent physical property of the circuit topology, not a software-controllable flag. Bypassing it requires physical-layer intervention: injecting the acknowledge signal electrically, physically rerouting signals, or voltage glitching to force C-element transitions. [</w:t>
      </w:r>
      <w:hyperlink r:id="rId372">
        <w:r w:rsidDel="00000000" w:rsidR="00000000" w:rsidRPr="00000000">
          <w:rPr>
            <w:color w:val="1155cc"/>
            <w:u w:val="single"/>
            <w:rtl w:val="0"/>
          </w:rPr>
          <w:t xml:space="preserve">6</w:t>
        </w:r>
      </w:hyperlink>
      <w:r w:rsidDel="00000000" w:rsidR="00000000" w:rsidRPr="00000000">
        <w:rPr>
          <w:rtl w:val="0"/>
        </w:rPr>
        <w:t xml:space="preserve">] This represents a genuine security improvement over interrupt-based mechanisms. The question is whether DITL implements the Sacred Zero as an inline handshake stall or as an interrupt to the host CPU. Only the inline topology achieves physical non-bypassability.</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distinction between inline and sidecar placement is critical for preventing speculative execution bypass. If DITL validation occurs before the host CPU's instruction execution via inline placement, the host CPU physically cannot proceed without DITL authorization. This is the only topology that prevents Spectre-class speculative execution attacks. [</w:t>
      </w:r>
      <w:hyperlink r:id="rId373">
        <w:r w:rsidDel="00000000" w:rsidR="00000000" w:rsidRPr="00000000">
          <w:rPr>
            <w:color w:val="1155cc"/>
            <w:u w:val="single"/>
            <w:rtl w:val="0"/>
          </w:rPr>
          <w:t xml:space="preserve">6</w:t>
        </w:r>
      </w:hyperlink>
      <w:r w:rsidDel="00000000" w:rsidR="00000000" w:rsidRPr="00000000">
        <w:rPr>
          <w:rtl w:val="0"/>
        </w:rPr>
        <w:t xml:space="preserve">] If DITL sits as a sidecar, the CPU can and will speculatively execute past the co-processor validation check before the DITL result arrives. The speculative window scales with DITL response latency. TPM operations provide a reference point at approximately two hundred milliseconds per ECDSA signature. If DITL validation latency were comparable, the speculative execution window would be enormous. DITL's handshake-based validation should be faster, potentially in the nanosecond to low-microsecond range, but the exact latency is unquantifiable without a fabricated chip. [</w:t>
      </w:r>
      <w:hyperlink r:id="rId37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The asynchronous handshake stall is fundamentally different from and stronger than maskable non-maskable interrupts. The x86 NMI is maskable by setting bit 7 of I/O port 0x70. ARM FIQ is maskable on application processors via the F bit in CPSR. ARM's own documentation acknowledges that non-maskable is a misnomer, since NMIs can be masked. [</w:t>
      </w:r>
      <w:hyperlink r:id="rId375">
        <w:r w:rsidDel="00000000" w:rsidR="00000000" w:rsidRPr="00000000">
          <w:rPr>
            <w:color w:val="1155cc"/>
            <w:u w:val="single"/>
            <w:rtl w:val="0"/>
          </w:rPr>
          <w:t xml:space="preserve">6</w:t>
        </w:r>
      </w:hyperlink>
      <w:r w:rsidDel="00000000" w:rsidR="00000000" w:rsidRPr="00000000">
        <w:rPr>
          <w:rtl w:val="0"/>
        </w:rPr>
        <w:t xml:space="preserve">] Asynchronous handshake stalls operate on a different principle entirely. In quasi-delay-insensitive circuits, the Muller C-element creates a stall by withholding the acknowledge signal. Without this transition, the pipeline physically cannot advance. There is no register to flip, no clock edge to exploit, no port to write. The stall is the circuit's natural resting state when inputs are incomplete. [</w:t>
      </w:r>
      <w:hyperlink r:id="rId37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 encoding choice between 1-of-3 rail encoding and voltage-level ternary determines the noise margin and security properties. The 1-of-3 approach uses three wires per trit with exactly one wire active for each state and all-zero as the null spacer. This preserves full noise margins and makes ternary-to-binary reduction detectable by completion logic. [</w:t>
      </w:r>
      <w:hyperlink r:id="rId377">
        <w:r w:rsidDel="00000000" w:rsidR="00000000" w:rsidRPr="00000000">
          <w:rPr>
            <w:color w:val="1155cc"/>
            <w:u w:val="single"/>
            <w:rtl w:val="0"/>
          </w:rPr>
          <w:t xml:space="preserve">6</w:t>
        </w:r>
      </w:hyperlink>
      <w:r w:rsidDel="00000000" w:rsidR="00000000" w:rsidRPr="00000000">
        <w:rPr>
          <w:rtl w:val="0"/>
        </w:rPr>
        <w:t xml:space="preserve">] The voltage-level approach uses three voltage levels (Vdd, Vdd/2, GND) representing +1, 0, and -1 on a single wire. This reduces wire count but halves the noise margin between states, making the circuit more susceptible to voltage glitching. A glitch that corrupts a 0 state to +1 bypasses the Epistemic Hold without software-detectable anomaly. [</w:t>
      </w:r>
      <w:hyperlink r:id="rId378">
        <w:r w:rsidDel="00000000" w:rsidR="00000000" w:rsidRPr="00000000">
          <w:rPr>
            <w:color w:val="1155cc"/>
            <w:u w:val="single"/>
            <w:rtl w:val="0"/>
          </w:rPr>
          <w:t xml:space="preserve">6</w:t>
        </w:r>
      </w:hyperlink>
      <w:r w:rsidDel="00000000" w:rsidR="00000000" w:rsidRPr="00000000">
        <w:rPr>
          <w:rtl w:val="0"/>
        </w:rPr>
        <w:t xml:space="preserve">] The specification must mandate 1-of-3 encoding for any deployment where physical non-bypassability is required.</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The absence of a global clock provides immunity to timing side-channel attacks. In clocked systems, attackers measure the time required for cryptographic operations to infer secret keys, bypass authentication, or inject fault patterns. [</w:t>
      </w:r>
      <w:hyperlink r:id="rId379">
        <w:r w:rsidDel="00000000" w:rsidR="00000000" w:rsidRPr="00000000">
          <w:rPr>
            <w:color w:val="1155cc"/>
            <w:u w:val="single"/>
            <w:rtl w:val="0"/>
          </w:rPr>
          <w:t xml:space="preserve">4</w:t>
        </w:r>
      </w:hyperlink>
      <w:r w:rsidDel="00000000" w:rsidR="00000000" w:rsidRPr="00000000">
        <w:rPr>
          <w:rtl w:val="0"/>
        </w:rPr>
        <w:t xml:space="preserve">] DITL's asynchronous operation has no regular clock edges to measure. The time required for a Governance Lane evaluation varies with the complexity of the proposal and the evidentiary gaps detected. An attacker cannot predict when the evaluation will complete, cannot synchronize an injection to a specific clock cycle, and cannot extract information from power consumption patterns that are normally correlated with clock phases. The timing is data-dependent and operation-dependent in ways that resist external measurement. This physical security property protects the cryptographic integrity of the Permission Token generation process.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In macroeconomic practice, the DITL substrate ensures that high-frequency trading proposals cannot force premature Governance Lane determinations through speed pressure. A trading algorithm in the Inference Lane may generate a million proposals per second. The DITL-based Governance Lane processes each proposal at the speed of evidentiary verification, not at the speed of the incoming proposals. [</w:t>
      </w:r>
      <w:hyperlink r:id="rId380">
        <w:r w:rsidDel="00000000" w:rsidR="00000000" w:rsidRPr="00000000">
          <w:rPr>
            <w:color w:val="1155cc"/>
            <w:u w:val="single"/>
            <w:rtl w:val="0"/>
          </w:rPr>
          <w:t xml:space="preserve">4</w:t>
        </w:r>
      </w:hyperlink>
      <w:r w:rsidDel="00000000" w:rsidR="00000000" w:rsidRPr="00000000">
        <w:rPr>
          <w:rtl w:val="0"/>
        </w:rPr>
        <w:t xml:space="preserve">] The handshake protocol naturally throttles the evaluation pipeline. If the lane is occupied with a complex cross-border settlement proposal, subsequent proposals queue in the input buffer. The buffer does not overflow because the asynchronous backpressure signal propagates to the Inference Lane interface, instructing it to pause submission until the Governance Lane is ready. This backpressure is not a software flow control message that a compromised Inference Lane could ignore. It is a physical voltage state on the handshake wires that the binary lane must respect to maintain electrical compatibility.</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 Tri-Cameral Governance Model extends into the DITL substrate through distributed hardware modules. The Technical Council maintains the certification hardware that validates model version signatures and data provenance chains. The Stewardship Custodians maintain the constitutional schema memory that stores the current regulatory boundaries and Goukassian Vow parameters. [</w:t>
      </w:r>
      <w:hyperlink r:id="rId381">
        <w:r w:rsidDel="00000000" w:rsidR="00000000" w:rsidRPr="00000000">
          <w:rPr>
            <w:color w:val="1155cc"/>
            <w:u w:val="single"/>
            <w:rtl w:val="0"/>
          </w:rPr>
          <w:t xml:space="preserve">3</w:t>
        </w:r>
      </w:hyperlink>
      <w:r w:rsidDel="00000000" w:rsidR="00000000" w:rsidRPr="00000000">
        <w:rPr>
          <w:rtl w:val="0"/>
        </w:rPr>
        <w:t xml:space="preserve">] The Smart Contract Treasury maintains the resource allocation counters that track computational cycles, energy consumption, and throughput quotas. Each chamber's hardware module operates with its own local handshake domain. The modules communicate through inter-domain channels that require explicit request-acknowledge sequences. A compromise of the Technical Council's certification module cannot force the Stewardship Custodians' schema module to accept an invalid boundary update because the inter-domain handshake will not complete without mutual agreement. [</w:t>
      </w:r>
      <w:hyperlink r:id="rId382">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 Mandated Ternary memristive cells are the physical storage and switching elements that realize the triadic states in DITL. Each MT cell has three stable resistance states. The high-resistance state corresponds to Refuse. The low-resistance state corresponds to Proceed. The intermediate-resistance state corresponds to Epistemic Hold. [</w:t>
      </w:r>
      <w:hyperlink r:id="rId383">
        <w:r w:rsidDel="00000000" w:rsidR="00000000" w:rsidRPr="00000000">
          <w:rPr>
            <w:color w:val="1155cc"/>
            <w:u w:val="single"/>
            <w:rtl w:val="0"/>
          </w:rPr>
          <w:t xml:space="preserve">4</w:t>
        </w:r>
      </w:hyperlink>
      <w:r w:rsidDel="00000000" w:rsidR="00000000" w:rsidRPr="00000000">
        <w:rPr>
          <w:rtl w:val="0"/>
        </w:rPr>
        <w:t xml:space="preserve">] The DITL handshake protocol drives the MT cells through state transitions only when all evidentiary and cryptographic conditions are satisfied. A cell cannot be forced into Proceed by a voltage spike or a timing glitch because the transition requires the completion detector to assert its done signal, which in turn requires all Tri-Cameral signatures to be verified. The physical properties of the memristor, including its hysteresis and non-volatility, ensure that the state persists even if power is interrupted. A Governance Lane determination survives a power outage. When power returns, the MT cells resume their previous states and the handshake protocol resumes from the exact phase where it was interrupted.</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sources do not specify the exact transistor-level schematic for the DITL completion detector, though they mandate that such detectors must be validated by the Technical Council and resistant to metastable failure modes. [</w:t>
      </w:r>
      <w:hyperlink r:id="rId38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E1">
      <w:pPr>
        <w:pStyle w:val="Heading2"/>
        <w:rPr/>
      </w:pPr>
      <w:bookmarkStart w:colFirst="0" w:colLast="0" w:name="_kstevlibu2se" w:id="42"/>
      <w:bookmarkEnd w:id="42"/>
      <w:r w:rsidDel="00000000" w:rsidR="00000000" w:rsidRPr="00000000">
        <w:rPr>
          <w:rtl w:val="0"/>
        </w:rPr>
        <w:t xml:space="preserve">6.2. MT Memristive Ternary Enforcement Cells</w:t>
      </w:r>
    </w:p>
    <w:p w:rsidR="00000000" w:rsidDel="00000000" w:rsidP="00000000" w:rsidRDefault="00000000" w:rsidRPr="00000000" w14:paraId="000002E2">
      <w:pPr>
        <w:rPr/>
      </w:pPr>
      <w:r w:rsidDel="00000000" w:rsidR="00000000" w:rsidRPr="00000000">
        <w:rPr>
          <w:rtl w:val="0"/>
        </w:rPr>
        <w:t xml:space="preserve">The Mandated Ternary memristive cell is the physical switching element that converts constitutional determinations into electrical reality. It is not a software abstraction layered over conventional binary transistors. It is a three-state resistive memory device whose stable resistance regimes correspond exactly to the triadic states of Ternary Logic. [</w:t>
      </w:r>
      <w:hyperlink r:id="rId385">
        <w:r w:rsidDel="00000000" w:rsidR="00000000" w:rsidRPr="00000000">
          <w:rPr>
            <w:color w:val="1155cc"/>
            <w:u w:val="single"/>
            <w:rtl w:val="0"/>
          </w:rPr>
          <w:t xml:space="preserve">4</w:t>
        </w:r>
      </w:hyperlink>
      <w:r w:rsidDel="00000000" w:rsidR="00000000" w:rsidRPr="00000000">
        <w:rPr>
          <w:rtl w:val="0"/>
        </w:rPr>
        <w:t xml:space="preserve">] The high-resistance state corresponds to Refuse (-1). The low-resistance state corresponds to Proceed (+1). The intermediate-resistance state corresponds to Epistemic Hold (0). These are not logical labels assigned to binary voltage levels. They are physical material states that persist without power and that cannot be overridden by instruction streams.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The intermediate-resistance state is the material realization of the NULL / Spacer condition at half-Vdd. When the Governance Lane issues Epistemic Hold, the MT cell settles into this intermediate regime and remains there until a verified confirm pulse arrives from the logging lane. [</w:t>
      </w:r>
      <w:hyperlink r:id="rId386">
        <w:r w:rsidDel="00000000" w:rsidR="00000000" w:rsidRPr="00000000">
          <w:rPr>
            <w:color w:val="1155cc"/>
            <w:u w:val="single"/>
            <w:rtl w:val="0"/>
          </w:rPr>
          <w:t xml:space="preserve">4</w:t>
        </w:r>
      </w:hyperlink>
      <w:r w:rsidDel="00000000" w:rsidR="00000000" w:rsidRPr="00000000">
        <w:rPr>
          <w:rtl w:val="0"/>
        </w:rPr>
        <w:t xml:space="preserve">] No current flows to the execution circuit while the cell maintains this state. The actuator receives no signal. The order does not reach the exchange. The settlement does not finalize. The 0 state is a physical open circuit, not a software flag that a privileged process could flip.</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Hysteresis is the property that makes the MT cell constitutionally reliable. A memristor's resistance depends on the history of current that has passed through it. Once the cell settles into the intermediate state, it requires a specific energy threshold to transition out. [</w:t>
      </w:r>
      <w:hyperlink r:id="rId387">
        <w:r w:rsidDel="00000000" w:rsidR="00000000" w:rsidRPr="00000000">
          <w:rPr>
            <w:color w:val="1155cc"/>
            <w:u w:val="single"/>
            <w:rtl w:val="0"/>
          </w:rPr>
          <w:t xml:space="preserve">4</w:t>
        </w:r>
      </w:hyperlink>
      <w:r w:rsidDel="00000000" w:rsidR="00000000" w:rsidRPr="00000000">
        <w:rPr>
          <w:rtl w:val="0"/>
        </w:rPr>
        <w:t xml:space="preserve">] A voltage spike below this threshold will not budge the cell. A timing glitch that might corrupt a binary flip-flop merely dissipates against the memristor's hysteretic barrier. This physical memory prevents the transient faults that plague clocked binary logic from causing spurious state transitions in the Governance Lane. The cell remembers that it is in Hold and refuses to budge until the constitutional conditions for transition are met.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Non-volatility ensures that constitutional determinations survive power interruption. If the facility loses electrical power during a sovereign debt crisis, if a cyberattack induces a system reboot, or if a maintenance cycle requires shutdown, the MT cells retain their states. [</w:t>
      </w:r>
      <w:hyperlink r:id="rId388">
        <w:r w:rsidDel="00000000" w:rsidR="00000000" w:rsidRPr="00000000">
          <w:rPr>
            <w:color w:val="1155cc"/>
            <w:u w:val="single"/>
            <w:rtl w:val="0"/>
          </w:rPr>
          <w:t xml:space="preserve">4</w:t>
        </w:r>
      </w:hyperlink>
      <w:r w:rsidDel="00000000" w:rsidR="00000000" w:rsidRPr="00000000">
        <w:rPr>
          <w:rtl w:val="0"/>
        </w:rPr>
        <w:t xml:space="preserve">] When power returns, the Gateway resumes from exactly where it was. A proposal that was in Epistemic Hold at the moment of power loss remains in Epistemic Hold. A proposal that had received Proceed and was awaiting execution timing remains authorized. A proposal that had been Refused remains blocked. The institution cannot claim that a power outage justified bypassing governance because the governance state is physically stored in the memristive substrate.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The confirm pulse that drives state transitions is not a simple electrical signal. It is a patterned voltage sequence derived from the Permission Token. The MT gate decodes this sequence and verifies it against its internally stored constitutional schema fingerprint. [</w:t>
      </w:r>
      <w:hyperlink r:id="rId389">
        <w:r w:rsidDel="00000000" w:rsidR="00000000" w:rsidRPr="00000000">
          <w:rPr>
            <w:color w:val="1155cc"/>
            <w:u w:val="single"/>
            <w:rtl w:val="0"/>
          </w:rPr>
          <w:t xml:space="preserve">4</w:t>
        </w:r>
      </w:hyperlink>
      <w:r w:rsidDel="00000000" w:rsidR="00000000" w:rsidRPr="00000000">
        <w:rPr>
          <w:rtl w:val="0"/>
        </w:rPr>
        <w:t xml:space="preserve">] The sequence encodes the token header hash and the Tri-Cameral signature aggregate. If the pattern matches, the cell transitions from intermediate to low resistance and execution is physically enabled. If the pattern does not match, the cell remains in the intermediate state. Even a compromised process with root access to the Gateway server cannot force the cell to transition because the memristor does not respond to software commands. It responds only to the hardware-decoded cryptographic pulse. [</w:t>
      </w:r>
      <w:hyperlink r:id="rId39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The physical transition constraints make the MT cell resistant to fault injection attacks. Voltage glitching equipment costs as little as fifty dollars and can bypass brownout detection on modern microcontrollers. [</w:t>
      </w:r>
      <w:hyperlink r:id="rId391">
        <w:r w:rsidDel="00000000" w:rsidR="00000000" w:rsidRPr="00000000">
          <w:rPr>
            <w:color w:val="1155cc"/>
            <w:u w:val="single"/>
            <w:rtl w:val="0"/>
          </w:rPr>
          <w:t xml:space="preserve">6</w:t>
        </w:r>
      </w:hyperlink>
      <w:r w:rsidDel="00000000" w:rsidR="00000000" w:rsidRPr="00000000">
        <w:rPr>
          <w:rtl w:val="0"/>
        </w:rPr>
        <w:t xml:space="preserve">] However, glitch widths of one hundred to four hundred nanoseconds with voltage drops near ground level induce setup and hold time violations in conventional CMOS logic. For ternary logic circuits, the voltage margins between states are narrower if voltage-level encoding is used, potentially making them more susceptible to glitch-induced corruption. [</w:t>
      </w:r>
      <w:hyperlink r:id="rId392">
        <w:r w:rsidDel="00000000" w:rsidR="00000000" w:rsidRPr="00000000">
          <w:rPr>
            <w:color w:val="1155cc"/>
            <w:u w:val="single"/>
            <w:rtl w:val="0"/>
          </w:rPr>
          <w:t xml:space="preserve">6</w:t>
        </w:r>
      </w:hyperlink>
      <w:r w:rsidDel="00000000" w:rsidR="00000000" w:rsidRPr="00000000">
        <w:rPr>
          <w:rtl w:val="0"/>
        </w:rPr>
        <w:t xml:space="preserve">] The specification must therefore mandate 1-of-3 rail encoding for MT cells in production deployments, preserving full noise margins and making ternary-to-binary reduction detectable by completion logic. With proper encoding, the MT cell's hysteresis provides superior resistance to glitching compared to binary flip-flops because the attacker must not merely flip a bit but drive the memristor through a stable intermediate regime.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The MT cell array in the Gateway operates as a physical execution gate. The array contains one cell per executable action type. A cell for sovereign bond purchases. A cell for cross-border settlements. A cell for algorithmic trading order transmission. A cell for central bank liquidity injection. [</w:t>
      </w:r>
      <w:hyperlink r:id="rId393">
        <w:r w:rsidDel="00000000" w:rsidR="00000000" w:rsidRPr="00000000">
          <w:rPr>
            <w:color w:val="1155cc"/>
            <w:u w:val="single"/>
            <w:rtl w:val="0"/>
          </w:rPr>
          <w:t xml:space="preserve">4</w:t>
        </w:r>
      </w:hyperlink>
      <w:r w:rsidDel="00000000" w:rsidR="00000000" w:rsidRPr="00000000">
        <w:rPr>
          <w:rtl w:val="0"/>
        </w:rPr>
        <w:t xml:space="preserve">] Each cell receives the confirm pulse specific to its action type. The Stewardship Custodians configure the constitutional schema to require different Tri-Cameral quorum thresholds for different action types. A routine interbank lending proposal might require only the Smart Contract Treasury signature. A sovereign debt restructuring proposal might require all three chambers plus an external auditor. The MT cell for the restructuring action will not transition to Proceed unless the confirm pulse encodes the higher quorum. This physical differentiation prevents the lowest-risk actions from being held up by excessive governance overhead while ensuring that the highest-risk actions receive proportionate physical scrutiny.</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Tamper detection extends to the MT cell substrate. The physical enclosure of the Gateway contains an active tamper detection mesh that monitors the MT cell array. If an attacker attempts to desolder the coprocessor, bypass the governance bus, or inject fault voltages to corrupt C-element hysteresis thresholds, the mesh detects the physical intrusion and triggers key zeroization. [</w:t>
      </w:r>
      <w:hyperlink r:id="rId394">
        <w:r w:rsidDel="00000000" w:rsidR="00000000" w:rsidRPr="00000000">
          <w:rPr>
            <w:color w:val="1155cc"/>
            <w:u w:val="single"/>
            <w:rtl w:val="0"/>
          </w:rPr>
          <w:t xml:space="preserve">6</w:t>
        </w:r>
      </w:hyperlink>
      <w:r w:rsidDel="00000000" w:rsidR="00000000" w:rsidRPr="00000000">
        <w:rPr>
          <w:rtl w:val="0"/>
        </w:rPr>
        <w:t xml:space="preserve">] The zeroization destroys the cryptographic material required to generate valid confirm pulses. Without this material, the MT cells permanently lock in the high-resistance Refuse state. The Gateway becomes a constitutional brick: it will not execute any action because it cannot verify any Permission Token. This fail-closed behavior is the ultimate physical defense. The institution loses operational capacity but preserves systemic integrity.</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The Tri-Cameral Governance Model distributes MT cell oversight across chambers with distinct physical access controls. The Technical Council maintains the calibration hardware that sets the memristor's resistance thresholds and verifies that the cells respond correctly to test pulses. The Stewardship Custodians maintain the constitutional schema memory that determines which confirm pulse patterns correspond to which action types and quorum requirements. [</w:t>
      </w:r>
      <w:hyperlink r:id="rId395">
        <w:r w:rsidDel="00000000" w:rsidR="00000000" w:rsidRPr="00000000">
          <w:rPr>
            <w:color w:val="1155cc"/>
            <w:u w:val="single"/>
            <w:rtl w:val="0"/>
          </w:rPr>
          <w:t xml:space="preserve">3</w:t>
        </w:r>
      </w:hyperlink>
      <w:r w:rsidDel="00000000" w:rsidR="00000000" w:rsidRPr="00000000">
        <w:rPr>
          <w:rtl w:val="0"/>
        </w:rPr>
        <w:t xml:space="preserve">] The Smart Contract Treasury maintains the resource allocation counters that track how many times each MT cell has been activated and whether the corresponding economic resources were properly disbursed. These physical access controls prevent any single insider from reconfiguring the MT array to bypass constitutional constraints.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In macroeconomic practice, the MT cell substrate protects against the institutional panic that causes governance bypass during crises. Consider a scenario in which a central bank faces a sovereign debt market meltdown. The finance minister demands that the governor authorize an emergency bond purchase before the market opens. The governor cannot comply because the MT cell for sovereign bond purchases remains in the intermediate state. [</w:t>
      </w:r>
      <w:hyperlink r:id="rId396">
        <w:r w:rsidDel="00000000" w:rsidR="00000000" w:rsidRPr="00000000">
          <w:rPr>
            <w:color w:val="1155cc"/>
            <w:u w:val="single"/>
            <w:rtl w:val="0"/>
          </w:rPr>
          <w:t xml:space="preserve">2</w:t>
        </w:r>
      </w:hyperlink>
      <w:r w:rsidDel="00000000" w:rsidR="00000000" w:rsidRPr="00000000">
        <w:rPr>
          <w:rtl w:val="0"/>
        </w:rPr>
        <w:t xml:space="preserve">] The confirm pulse has not arrived because the Governance Lane has not completed its evidentiary evaluation. The minister cannot pressure the memristor. The cell does not respond to political authority. It responds only to the cryptographic pulse generated by the Tri-Cameral chambers after they have evaluated the proposal against the Goukassian Vow. This physical impossibility of override protects monetary sovereignty from both external political pressure and internal institutional panic.</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The Decision Log records every MT cell state transition with hardware-generated timestamps. When a cell transitions from intermediate to low resistance, the log records the transition timestamp, the confirm pulse hash, the constitutional schema version, and the chamber signatures that authorized the pulse. [</w:t>
      </w:r>
      <w:hyperlink r:id="rId397">
        <w:r w:rsidDel="00000000" w:rsidR="00000000" w:rsidRPr="00000000">
          <w:rPr>
            <w:color w:val="1155cc"/>
            <w:u w:val="single"/>
            <w:rtl w:val="0"/>
          </w:rPr>
          <w:t xml:space="preserve">1</w:t>
        </w:r>
      </w:hyperlink>
      <w:r w:rsidDel="00000000" w:rsidR="00000000" w:rsidRPr="00000000">
        <w:rPr>
          <w:rtl w:val="0"/>
        </w:rPr>
        <w:t xml:space="preserve">] When a cell remains in intermediate state due to Epistemic Hold, the log records the hold duration, the required evidence specification, and the escalation timeline. When a cell remains in high resistance due to Refuse, the log records the refusal reason and the constitutional gate triggered. These logs are anchored to the Immutable Ledger before the Gateway completes its state transition, ensuring that even catastrophic physical destruction of the MT array cannot erase the evidentiary record of what occurred.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 sources do not specify the exact memristor material composition for the MT cell, though they mandate that the chosen material must exhibit stable intermediate resistance over a minimum of one billion switching cycles and must operate across the industrial temperature range of negative forty to positive eighty-five degrees Celsius. [</w:t>
      </w:r>
      <w:hyperlink r:id="rId398">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2F9">
      <w:pPr>
        <w:pStyle w:val="Heading2"/>
        <w:rPr/>
      </w:pPr>
      <w:bookmarkStart w:colFirst="0" w:colLast="0" w:name="_8z4io04vt5mb" w:id="43"/>
      <w:bookmarkEnd w:id="43"/>
      <w:r w:rsidDel="00000000" w:rsidR="00000000" w:rsidRPr="00000000">
        <w:rPr>
          <w:rtl w:val="0"/>
        </w:rPr>
        <w:t xml:space="preserve">6.3. Triadic Coprocessor and System Integration</w:t>
      </w:r>
    </w:p>
    <w:p w:rsidR="00000000" w:rsidDel="00000000" w:rsidP="00000000" w:rsidRDefault="00000000" w:rsidRPr="00000000" w14:paraId="000002FA">
      <w:pPr>
        <w:rPr/>
      </w:pPr>
      <w:r w:rsidDel="00000000" w:rsidR="00000000" w:rsidRPr="00000000">
        <w:rPr>
          <w:rtl w:val="0"/>
        </w:rPr>
        <w:t xml:space="preserve">The Triadic Coprocessor is the physical instantiation of the Governance Lane. It is not a software module running on a general-purpose CPU. It is not a firmware extension of the host processor. It is a dedicated asynchronous ternary logic ASIC that operates as a physically independent co-processor with its own power domain, clockless handshake protocol, and tamper-resistant enclosure. [</w:t>
      </w:r>
      <w:hyperlink r:id="rId399">
        <w:r w:rsidDel="00000000" w:rsidR="00000000" w:rsidRPr="00000000">
          <w:rPr>
            <w:color w:val="1155cc"/>
            <w:u w:val="single"/>
            <w:rtl w:val="0"/>
          </w:rPr>
          <w:t xml:space="preserve">6</w:t>
        </w:r>
      </w:hyperlink>
      <w:r w:rsidDel="00000000" w:rsidR="00000000" w:rsidRPr="00000000">
        <w:rPr>
          <w:rtl w:val="0"/>
        </w:rPr>
        <w:t xml:space="preserve">] This physical independence is not an implementation preference. It is a constitutional requirement. If the DITL substrate shares a die with the host CPU, cross-die fault injection, microcode manipulation, and hypervisor escape become viable attack vectors that undermine the entire framework.</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The six mandatory conditions for physical non-bypassability define the minimum specification for any production Triadic Coprocessor. First, the coprocessor must be implemented as a physically independent ASIC, not integrated into the host CPU die. [</w:t>
      </w:r>
      <w:hyperlink r:id="rId400">
        <w:r w:rsidDel="00000000" w:rsidR="00000000" w:rsidRPr="00000000">
          <w:rPr>
            <w:color w:val="1155cc"/>
            <w:u w:val="single"/>
            <w:rtl w:val="0"/>
          </w:rPr>
          <w:t xml:space="preserve">6</w:t>
        </w:r>
      </w:hyperlink>
      <w:r w:rsidDel="00000000" w:rsidR="00000000" w:rsidRPr="00000000">
        <w:rPr>
          <w:rtl w:val="0"/>
        </w:rPr>
        <w:t xml:space="preserve">] Second, it must be placed inline in the execution path, not as a sidecar. Inline placement means the host CPU physically cannot fetch instructions or commit state without DITL authorization. Sidecar placement allows speculative execution bypass. Third, triadic states must use 1-of-3 rail encoding, not voltage-level ternary. This preserves full noise margins and makes ternary-to-binary reduction detectable by completion logic. [</w:t>
      </w:r>
      <w:hyperlink r:id="rId401">
        <w:r w:rsidDel="00000000" w:rsidR="00000000" w:rsidRPr="00000000">
          <w:rPr>
            <w:color w:val="1155cc"/>
            <w:u w:val="single"/>
            <w:rtl w:val="0"/>
          </w:rPr>
          <w:t xml:space="preserve">6</w:t>
        </w:r>
      </w:hyperlink>
      <w:r w:rsidDel="00000000" w:rsidR="00000000" w:rsidRPr="00000000">
        <w:rPr>
          <w:rtl w:val="0"/>
        </w:rPr>
        <w:t xml:space="preserve">] Fourth, the Sacred Zero must be implemented as an asynchronous handshake stall, not as an interrupt or exception. Fifth, physical security must meet FIPS 140-2 Level 3 or higher, including tamper mesh, fused debug ports, and active environmental monitoring. Sixth, the chip must include post-fabrication PUF attestation to verify identity after manufacturing. [</w:t>
      </w:r>
      <w:hyperlink r:id="rId40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No fabricated DITL chip meeting all six conditions currently exists. The DITL research from the University of Arkansas has been demonstrated only at the transistor simulation level using an IBM PDK 1.2V 130nm CMOS process. [</w:t>
      </w:r>
      <w:hyperlink r:id="rId403">
        <w:r w:rsidDel="00000000" w:rsidR="00000000" w:rsidRPr="00000000">
          <w:rPr>
            <w:color w:val="1155cc"/>
            <w:u w:val="single"/>
            <w:rtl w:val="0"/>
          </w:rPr>
          <w:t xml:space="preserve">6</w:t>
        </w:r>
      </w:hyperlink>
      <w:r w:rsidDel="00000000" w:rsidR="00000000" w:rsidRPr="00000000">
        <w:rPr>
          <w:rtl w:val="0"/>
        </w:rPr>
        <w:t xml:space="preserve">] The component library, including NAND2, half adder, full adder, MUX, XOR, and C-elements, is complete at simulation. But the gap between transistor simulation and fabricated silicon is measured in years and hundreds of millions of dollars in development cost. Fabricated asynchronous chips exist in production, including the Epson ACT11, the Manchester SPA secure processor, Intel Vortex, IBM SyNAPSE, and several DARPA-funded Galois designs. DITL is not yet among them. [</w:t>
      </w:r>
      <w:hyperlink r:id="rId40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FPGA implementation is categorically insecure for the Triadic Coprocessor and must be restricted to development and testing only. Ender, Moradi, and Paar achieved a complete break of Xilinx 7-Series bitstream encryption. Bitstream extraction via thermal laser stimulation takes under seven hours. [</w:t>
      </w:r>
      <w:hyperlink r:id="rId405">
        <w:r w:rsidDel="00000000" w:rsidR="00000000" w:rsidRPr="00000000">
          <w:rPr>
            <w:color w:val="1155cc"/>
            <w:u w:val="single"/>
            <w:rtl w:val="0"/>
          </w:rPr>
          <w:t xml:space="preserve">6</w:t>
        </w:r>
      </w:hyperlink>
      <w:r w:rsidDel="00000000" w:rsidR="00000000" w:rsidRPr="00000000">
        <w:rPr>
          <w:rtl w:val="0"/>
        </w:rPr>
        <w:t xml:space="preserve">] Four demonstrated case studies on OpenTitan FPGA implementation achieved signal trace extraction from AES cores, secret key extraction via UART, and secret key replacement. FPGA reverse-engineering costs one thousand to ten thousand dollars compared to ASIC reverse-engineering at fifty thousand to two hundred fifty thousand dollars. FPGA designs are modifiable in software. ASIC modifications require focused ion beam at one hundred thousand dollars or more per chip. [</w:t>
      </w:r>
      <w:hyperlink r:id="rId406">
        <w:r w:rsidDel="00000000" w:rsidR="00000000" w:rsidRPr="00000000">
          <w:rPr>
            <w:color w:val="1155cc"/>
            <w:u w:val="single"/>
            <w:rtl w:val="0"/>
          </w:rPr>
          <w:t xml:space="preserve">6</w:t>
        </w:r>
      </w:hyperlink>
      <w:r w:rsidDel="00000000" w:rsidR="00000000" w:rsidRPr="00000000">
        <w:rPr>
          <w:rtl w:val="0"/>
        </w:rPr>
        <w:t xml:space="preserve">] For the Triadic Coprocessor to achieve the physical security guarantees required by the six conditions, ASIC fabrication is mandatory.</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Tamper mesh and fused debug ports provide the physical boundary protection. The active tamper detection mesh surrounds the MT cell array and the DITL handshake circuitry. Any attempt to open the enclosure, probe the substrate, or manipulate the voltage supply triggers the mesh and initiates key zeroization. [</w:t>
      </w:r>
      <w:hyperlink r:id="rId407">
        <w:r w:rsidDel="00000000" w:rsidR="00000000" w:rsidRPr="00000000">
          <w:rPr>
            <w:color w:val="1155cc"/>
            <w:u w:val="single"/>
            <w:rtl w:val="0"/>
          </w:rPr>
          <w:t xml:space="preserve">6</w:t>
        </w:r>
      </w:hyperlink>
      <w:r w:rsidDel="00000000" w:rsidR="00000000" w:rsidRPr="00000000">
        <w:rPr>
          <w:rtl w:val="0"/>
        </w:rPr>
        <w:t xml:space="preserve">] JTAG provides direct read and write access to chip internals via the Test Access Port. Most modern chips support JTAG lock bits, but voltage glitching can downgrade protection levels. The Triadic Coprocessor must fuse its JTAG port during production, rendering it permanently inaccessible. Any future debugging must occur through dedicated secure test interfaces that require physical possession of multiple Stewardship Custodian keys. [</w:t>
      </w:r>
      <w:hyperlink r:id="rId40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Active environmental monitoring detects fault injection attempts. Voltage glitching equipment costs as little as fifty dollars and can bypass brownout detection on standard microcontrollers. Electromagnetic fault injection is contactless, requiring no board modification, with equipment costs as low as one hundred dollars and success rates of twenty-two percent against AMD Secure Processor boot sequences. [</w:t>
      </w:r>
      <w:hyperlink r:id="rId409">
        <w:r w:rsidDel="00000000" w:rsidR="00000000" w:rsidRPr="00000000">
          <w:rPr>
            <w:color w:val="1155cc"/>
            <w:u w:val="single"/>
            <w:rtl w:val="0"/>
          </w:rPr>
          <w:t xml:space="preserve">6</w:t>
        </w:r>
      </w:hyperlink>
      <w:r w:rsidDel="00000000" w:rsidR="00000000" w:rsidRPr="00000000">
        <w:rPr>
          <w:rtl w:val="0"/>
        </w:rPr>
        <w:t xml:space="preserve">] The Triadic Coprocessor must include on-die voltage monitors, temperature sensors, and electromagnetic anomaly detectors that trigger non-maskable interrupts when environmental parameters deviate from operational thresholds. These monitors are not software processes that root access can disable. They are dedicated analog circuits with independent power supplies that operate below the software layer.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Physically Unclonable Functions provide post-fabrication identity attestation. PUFs exploit manufacturing process variations to generate unique, unclonable cryptographic fingerprints for each chip. Best-in-class bit error rates below three times ten to the negative eighth power have been demonstrated, with key error rates of two times ten to the negative thirty-eighth power when combined with error correction. [</w:t>
      </w:r>
      <w:hyperlink r:id="rId410">
        <w:r w:rsidDel="00000000" w:rsidR="00000000" w:rsidRPr="00000000">
          <w:rPr>
            <w:color w:val="1155cc"/>
            <w:u w:val="single"/>
            <w:rtl w:val="0"/>
          </w:rPr>
          <w:t xml:space="preserve">6</w:t>
        </w:r>
      </w:hyperlink>
      <w:r w:rsidDel="00000000" w:rsidR="00000000" w:rsidRPr="00000000">
        <w:rPr>
          <w:rtl w:val="0"/>
        </w:rPr>
        <w:t xml:space="preserve">] PUF-based attestation is commercially deployed in NXP SmartMX, Microsemi FPGAs, and Xilinx Zynq UltraScale. For the Triadic Coprocessor, PUF attestation verifies that the chip enrolled during manufacturing is the same chip operating in production. However, PUFs cannot prove the absence of internal hardware Trojans. A chip with a dopant-level Trojan will generate a perfectly valid PUF signature because the PUF response derives from process variation in a different circuit region. [</w:t>
      </w:r>
      <w:hyperlink r:id="rId411">
        <w:r w:rsidDel="00000000" w:rsidR="00000000" w:rsidRPr="00000000">
          <w:rPr>
            <w:color w:val="1155cc"/>
            <w:u w:val="single"/>
            <w:rtl w:val="0"/>
          </w:rPr>
          <w:t xml:space="preserve">6</w:t>
        </w:r>
      </w:hyperlink>
      <w:r w:rsidDel="00000000" w:rsidR="00000000" w:rsidRPr="00000000">
        <w:rPr>
          <w:rtl w:val="0"/>
        </w:rPr>
        <w:t xml:space="preserve">] PUF attestation answers whether this is the chip we enrolled. It does not answer whether this chip is free of malicious modifications. This is a fundamental limitation that no post-fabrication self-attestation protocol can overcome.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Supply chain integrity is the binding long-term risk for the Triadic Coprocessor. Dopant-level hardware Trojans require zero additional gates, zero additional wires, and zero layout overhead. They modify dopant polarity in existing transistors to weaken cryptographic implementations without altering any visible chip geometry. [</w:t>
      </w:r>
      <w:hyperlink r:id="rId412">
        <w:r w:rsidDel="00000000" w:rsidR="00000000" w:rsidRPr="00000000">
          <w:rPr>
            <w:color w:val="1155cc"/>
            <w:u w:val="single"/>
            <w:rtl w:val="0"/>
          </w:rPr>
          <w:t xml:space="preserve">6</w:t>
        </w:r>
      </w:hyperlink>
      <w:r w:rsidDel="00000000" w:rsidR="00000000" w:rsidRPr="00000000">
        <w:rPr>
          <w:rtl w:val="0"/>
        </w:rPr>
        <w:t xml:space="preserve">] Standard optical reverse engineering cannot detect these modifications. Destructive reverse engineering at fifty thousand to five hundred thousand dollars per chip is infeasible for multi-billion-transistor designs. The GDSII file delivered from design house to foundry is the complete chip blueprint, and the most vulnerable point is after GDSII delivery but before mask fabrication, when foundry engineers have full access for optical proximity correction. [</w:t>
      </w:r>
      <w:hyperlink r:id="rId413">
        <w:r w:rsidDel="00000000" w:rsidR="00000000" w:rsidRPr="00000000">
          <w:rPr>
            <w:color w:val="1155cc"/>
            <w:u w:val="single"/>
            <w:rtl w:val="0"/>
          </w:rPr>
          <w:t xml:space="preserve">6</w:t>
        </w:r>
      </w:hyperlink>
      <w:r w:rsidDel="00000000" w:rsidR="00000000" w:rsidRPr="00000000">
        <w:rPr>
          <w:rtl w:val="0"/>
        </w:rPr>
        <w:t xml:space="preserve">] Automated GDSII comparison tools can detect added or removed metal wires but cannot detect dopant-level modifications. For a design with over ten billion transistors, a single-gate insertion represents less than 0.000001 percent area change, below practical detection thresholds.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Geopolitical concentration compounds the supply chain risk. TSMC produces approximately ninety-two percent of the world's most advanced semiconductors. The CHIPS Act is accelerating domestic US fabrication, but TSMC Arizona Fab 3 targeting 2nm production arrives in 2029. Intel 18A is ramping with yields of fifty-five to sixty-five percent, below the seventy to eighty percent threshold for profitability. [</w:t>
      </w:r>
      <w:hyperlink r:id="rId414">
        <w:r w:rsidDel="00000000" w:rsidR="00000000" w:rsidRPr="00000000">
          <w:rPr>
            <w:color w:val="1155cc"/>
            <w:u w:val="single"/>
            <w:rtl w:val="0"/>
          </w:rPr>
          <w:t xml:space="preserve">6</w:t>
        </w:r>
      </w:hyperlink>
      <w:r w:rsidDel="00000000" w:rsidR="00000000" w:rsidRPr="00000000">
        <w:rPr>
          <w:rtl w:val="0"/>
        </w:rPr>
        <w:t xml:space="preserve">] Meaningful US-based 2nm-class capacity arrives in the 2027 to 2029 window. Custom asynchronous ternary logic co-processors would likely fall under export control regimes, and the Foreign Direct Product Rule extends US jurisdiction to virtually all advanced semiconductor designs because all major EDA tools are US-origin. [</w:t>
      </w:r>
      <w:hyperlink r:id="rId415">
        <w:r w:rsidDel="00000000" w:rsidR="00000000" w:rsidRPr="00000000">
          <w:rPr>
            <w:color w:val="1155cc"/>
            <w:u w:val="single"/>
            <w:rtl w:val="0"/>
          </w:rPr>
          <w:t xml:space="preserve">6</w:t>
        </w:r>
      </w:hyperlink>
      <w:r w:rsidDel="00000000" w:rsidR="00000000" w:rsidRPr="00000000">
        <w:rPr>
          <w:rtl w:val="0"/>
        </w:rPr>
        <w:t xml:space="preserve">] Single-jurisdiction fabrication creates a critical vulnerability under any scenario where that jurisdiction's government becomes adversarial to TL's deployment objectives.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 Tri-Cameral Governance Model maintains oversight of the coprocessor lifecycle. The Technical Council validates the design through formal verification of the asynchronous handshake protocol and the MT cell transition logic. The Stewardship Custodians verify the foundry selection, the GDSII integrity, and the post-fabrication attestation records. [</w:t>
      </w:r>
      <w:hyperlink r:id="rId416">
        <w:r w:rsidDel="00000000" w:rsidR="00000000" w:rsidRPr="00000000">
          <w:rPr>
            <w:color w:val="1155cc"/>
            <w:u w:val="single"/>
            <w:rtl w:val="0"/>
          </w:rPr>
          <w:t xml:space="preserve">3</w:t>
        </w:r>
      </w:hyperlink>
      <w:r w:rsidDel="00000000" w:rsidR="00000000" w:rsidRPr="00000000">
        <w:rPr>
          <w:rtl w:val="0"/>
        </w:rPr>
        <w:t xml:space="preserve">] The Smart Contract Treasury manages the economic resources for fabrication, including the costs of multi-vendor sourcing, destructive testing samples, and continuous replacement of deployed chips as they reach end-of-life. The constitutional separation prevents any single chamber from authorizing a compromised fabrication run or from concealing a detected Trojan.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In macroeconomic practice, the Triadic Coprocessor transforms the central bank trading desk from a software-controlled execution engine into a constitutionally gated physical infrastructure. The desk cannot execute a sovereign bond purchase merely because the governor issues an order. The purchase signal must pass through the inline DITL bus, trigger the Muller C-elements, generate the completion detector signal, and receive the confirm pulse derived from the Tri-Cameral Permission Token. [</w:t>
      </w:r>
      <w:hyperlink r:id="rId417">
        <w:r w:rsidDel="00000000" w:rsidR="00000000" w:rsidRPr="00000000">
          <w:rPr>
            <w:color w:val="1155cc"/>
            <w:u w:val="single"/>
            <w:rtl w:val="0"/>
          </w:rPr>
          <w:t xml:space="preserve">2</w:t>
        </w:r>
      </w:hyperlink>
      <w:r w:rsidDel="00000000" w:rsidR="00000000" w:rsidRPr="00000000">
        <w:rPr>
          <w:rtl w:val="0"/>
        </w:rPr>
        <w:t xml:space="preserve">] The coprocessor does not care about the governor's urgency. It cares about the cryptographic validity of the pulse. This physical indifference to authority is the ultimate protection against institutional capture.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The sources estimate the probability of reliable DITL chip production at scale without detectable compromise at fifteen to twenty-five percent within a five-year horizon and forty to fifty-five percent within a ten-year horizon, conditioned on successful tape-out at a trusted foundry, multi-vendor production, and domestic fabrication capacity at advanced nodes. [</w:t>
      </w:r>
      <w:hyperlink r:id="rId418">
        <w:r w:rsidDel="00000000" w:rsidR="00000000" w:rsidRPr="00000000">
          <w:rPr>
            <w:color w:val="1155cc"/>
            <w:u w:val="single"/>
            <w:rtl w:val="0"/>
          </w:rPr>
          <w:t xml:space="preserve">6</w:t>
        </w:r>
      </w:hyperlink>
      <w:r w:rsidDel="00000000" w:rsidR="00000000" w:rsidRPr="00000000">
        <w:rPr>
          <w:rtl w:val="0"/>
        </w:rPr>
        <w:t xml:space="preserve">] The irreducible risk is dopant-level Trojans, which no timeline improvement and no fabrication process advancement eliminates. The only mitigations are trust in the foundry, multi-vendor diversity to prevent correlated compromise, and continuous behavioral monitoring in deployment to detect anomalous chip behavior indicative of Trojan activation.</w:t>
      </w:r>
    </w:p>
    <w:p w:rsidR="00000000" w:rsidDel="00000000" w:rsidP="00000000" w:rsidRDefault="00000000" w:rsidRPr="00000000" w14:paraId="00000311">
      <w:pPr>
        <w:pStyle w:val="Heading2"/>
        <w:rPr/>
      </w:pPr>
      <w:bookmarkStart w:colFirst="0" w:colLast="0" w:name="_a3453r50t8k4" w:id="44"/>
      <w:bookmarkEnd w:id="44"/>
      <w:r w:rsidDel="00000000" w:rsidR="00000000" w:rsidRPr="00000000">
        <w:rPr>
          <w:rtl w:val="0"/>
        </w:rPr>
        <w:t xml:space="preserve">7.1. Eight Pillars Survivability Assessment</w:t>
      </w:r>
    </w:p>
    <w:p w:rsidR="00000000" w:rsidDel="00000000" w:rsidP="00000000" w:rsidRDefault="00000000" w:rsidRPr="00000000" w14:paraId="00000312">
      <w:pPr>
        <w:rPr/>
      </w:pPr>
      <w:r w:rsidDel="00000000" w:rsidR="00000000" w:rsidRPr="00000000">
        <w:rPr>
          <w:rtl w:val="0"/>
        </w:rPr>
        <w:t xml:space="preserve">Ternary Logic rests on eight constitutional primitives that span cryptographic enforcement, policy governance, and physical hardware gating. Each Pillar must survive adversarial pressure across seven dimensions: software dependence, firmware dependence, hardware enforceability, override susceptibility, compromise detectability, fail behavior, and benchmark against the best current alternative. [</w:t>
      </w:r>
      <w:hyperlink r:id="rId419">
        <w:r w:rsidDel="00000000" w:rsidR="00000000" w:rsidRPr="00000000">
          <w:rPr>
            <w:color w:val="1155cc"/>
            <w:u w:val="single"/>
            <w:rtl w:val="0"/>
          </w:rPr>
          <w:t xml:space="preserve">6</w:t>
        </w:r>
      </w:hyperlink>
      <w:r w:rsidDel="00000000" w:rsidR="00000000" w:rsidRPr="00000000">
        <w:rPr>
          <w:rtl w:val="0"/>
        </w:rPr>
        <w:t xml:space="preserve">] The survivability of the framework as a whole is determined not by its strongest Pillar but by its weakest load-bearing element and by the binary dependency between its Critical-rated components.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Pillar 1, Epistemic Hold, is rated Critical. In DITL hardware, this Pillar achieves maximum enforceability because the NULL state at half-Vdd is a physical electrical condition, not a software flag. The four-phase handshake protocol guarantees that no execution token advances past a stage in the NULL state. [</w:t>
      </w:r>
      <w:hyperlink r:id="rId420">
        <w:r w:rsidDel="00000000" w:rsidR="00000000" w:rsidRPr="00000000">
          <w:rPr>
            <w:color w:val="1155cc"/>
            <w:u w:val="single"/>
            <w:rtl w:val="0"/>
          </w:rPr>
          <w:t xml:space="preserve">6</w:t>
        </w:r>
      </w:hyperlink>
      <w:r w:rsidDel="00000000" w:rsidR="00000000" w:rsidRPr="00000000">
        <w:rPr>
          <w:rtl w:val="0"/>
        </w:rPr>
        <w:t xml:space="preserve">] The circuit physically cannot advance without valid DATA wavefronts on all inputs. Override susceptibility in DITL requires physical tampering with the silicon: desoldering the coprocessor, bypassing the governance bus, or injecting fault voltages to corrupt C-element hysteresis thresholds. Detection of such compromise is high because loss of handshake acknowledgment triggers a non-maskable interrupt. The fail behavior is fail-closed by construction: the absence of valid data is the hold state. In software-only emulation mode, however, the Epistemic Hold degrades to a conditional branch instruction that is bypassable by any actor with sufficient privilege to modify the instruction stream. [</w:t>
      </w:r>
      <w:hyperlink r:id="rId421">
        <w:r w:rsidDel="00000000" w:rsidR="00000000" w:rsidRPr="00000000">
          <w:rPr>
            <w:color w:val="1155cc"/>
            <w:u w:val="single"/>
            <w:rtl w:val="0"/>
          </w:rPr>
          <w:t xml:space="preserve">6</w:t>
        </w:r>
      </w:hyperlink>
      <w:r w:rsidDel="00000000" w:rsidR="00000000" w:rsidRPr="00000000">
        <w:rPr>
          <w:rtl w:val="0"/>
        </w:rPr>
        <w:t xml:space="preserve">] The Pillar's survivability collapses from Critical to Low when DITL hardware is absent.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Pillar 2, Immutable Ledger, is rated High. The evidentiary chain implements evidence-before-action through tamper-evident sequential hashing. TL specifies BLAKE3-256 as the primary hash algorithm with ternary Merkle trees yielding thirty-five percent proof-depth reduction at ten to the sixth leaves compared to binary trees. [</w:t>
      </w:r>
      <w:hyperlink r:id="rId422">
        <w:r w:rsidDel="00000000" w:rsidR="00000000" w:rsidRPr="00000000">
          <w:rPr>
            <w:color w:val="1155cc"/>
            <w:u w:val="single"/>
            <w:rtl w:val="0"/>
          </w:rPr>
          <w:t xml:space="preserve">6</w:t>
        </w:r>
      </w:hyperlink>
      <w:r w:rsidDel="00000000" w:rsidR="00000000" w:rsidRPr="00000000">
        <w:rPr>
          <w:rtl w:val="0"/>
        </w:rPr>
        <w:t xml:space="preserve">] Each leaf node carries twelve mandatory fields including monotonic sequence IDs, UUIDv7 event identifiers, and Active Axiom Set Hashes that cryptographically bind the governing rule set to each decision. Software dependence is moderate because hash computation is algorithmically well-understood. Hardware enforceability is low because hashing is a computational operation, not a physical enforcement mechanism. The ledger's integrity depends on the append-only constraint being maintained by the surrounding system. Override susceptibility centers on pre-hash manipulation: an adversary who controls input data before it enters the hash pipeline can produce a cryptographically valid but semantically fraudulent ledger. Detectability is high for post-hoc tampering because any single-bit modification propagates catastrophically through the Merkle chain, but low for pre-hash injection. [</w:t>
      </w:r>
      <w:hyperlink r:id="rId423">
        <w:r w:rsidDel="00000000" w:rsidR="00000000" w:rsidRPr="00000000">
          <w:rPr>
            <w:color w:val="1155cc"/>
            <w:u w:val="single"/>
            <w:rtl w:val="0"/>
          </w:rPr>
          <w:t xml:space="preserve">6</w:t>
        </w:r>
      </w:hyperlink>
      <w:r w:rsidDel="00000000" w:rsidR="00000000" w:rsidRPr="00000000">
        <w:rPr>
          <w:rtl w:val="0"/>
        </w:rPr>
        <w:t xml:space="preserve">] The best current alternative is Certificate Transparency with multi-log submission, which provides comparable append-only guarantees but lacks TL's domain-specific schema enforcement and ternary tree efficiency.</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Pillar 3, Goukassian Principle, is rated Moderate. The three sub-artifacts form a composite governance covenant. The Lantern functions as an integrity self-test and public compliance beacon, automatically revoked if core mandates are suppressed. The Signature embeds unbreakable provenance into every legitimate implementation. The License imposes binding prohibitions and flips the legal burden of proof so that missing logs constitute presumptive evidence of negligence. [</w:t>
      </w:r>
      <w:hyperlink r:id="rId424">
        <w:r w:rsidDel="00000000" w:rsidR="00000000" w:rsidRPr="00000000">
          <w:rPr>
            <w:color w:val="1155cc"/>
            <w:u w:val="single"/>
            <w:rtl w:val="0"/>
          </w:rPr>
          <w:t xml:space="preserve">6</w:t>
        </w:r>
      </w:hyperlink>
      <w:r w:rsidDel="00000000" w:rsidR="00000000" w:rsidRPr="00000000">
        <w:rPr>
          <w:rtl w:val="0"/>
        </w:rPr>
        <w:t xml:space="preserve">] Software dependence is high across all three artifacts. Hardware enforceability is minimal because none of the three sub-artifacts map to physical circuit states. Override susceptibility is moderate to high: the Lantern can be spoofed by an adversary who controls the attestation output, the Signature can be stripped from forked implementations, and the License depends entirely on jurisdictional enforcement. Detectability of Lantern suppression is high if external monitors actively verify beacon status, but beacon absence is ambiguous because network failure and suppression produce identical symptoms. [</w:t>
      </w:r>
      <w:hyperlink r:id="rId425">
        <w:r w:rsidDel="00000000" w:rsidR="00000000" w:rsidRPr="00000000">
          <w:rPr>
            <w:color w:val="1155cc"/>
            <w:u w:val="single"/>
            <w:rtl w:val="0"/>
          </w:rPr>
          <w:t xml:space="preserve">6</w:t>
        </w:r>
      </w:hyperlink>
      <w:r w:rsidDel="00000000" w:rsidR="00000000" w:rsidRPr="00000000">
        <w:rPr>
          <w:rtl w:val="0"/>
        </w:rPr>
        <w:t xml:space="preserve">] The nearest alternative is HSM-backed code signing combined with remote attestation, which provides comparable provenance guarantees with stronger hardware roots of trust.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Pillar 4, Decision Logs, is rated Critical. These are the schema-validated, pre-action, audit-grade evidentiary artifacts that physically instantiate the No Log equals No Action invariant. Fields include trusted timestamps, risk classification, reflection outcome with justification hash, and schema hash commitments. [</w:t>
      </w:r>
      <w:hyperlink r:id="rId426">
        <w:r w:rsidDel="00000000" w:rsidR="00000000" w:rsidRPr="00000000">
          <w:rPr>
            <w:color w:val="1155cc"/>
            <w:u w:val="single"/>
            <w:rtl w:val="0"/>
          </w:rPr>
          <w:t xml:space="preserve">6</w:t>
        </w:r>
      </w:hyperlink>
      <w:r w:rsidDel="00000000" w:rsidR="00000000" w:rsidRPr="00000000">
        <w:rPr>
          <w:rtl w:val="0"/>
        </w:rPr>
        <w:t xml:space="preserve">] Software dependence is high for schema validation, field population, and serialization. Hardware enforceability is the defining question: in DITL, the Merkle accumulator root functions as a hardware-bound execution capability token stored in physically isolated registers. Without a valid, freshly computed token, the actuator interlock triggers a non-maskable fault. In software mode, the token check is a branch instruction that root access can override or fabricate. Override susceptibility in DITL is low because the token registers are architecturally inaccessible to general-purpose execution. In software, it is high. Fail behavior is fail-closed in DITL because missing token equals execution stall. [</w:t>
      </w:r>
      <w:hyperlink r:id="rId427">
        <w:r w:rsidDel="00000000" w:rsidR="00000000" w:rsidRPr="00000000">
          <w:rPr>
            <w:color w:val="1155cc"/>
            <w:u w:val="single"/>
            <w:rtl w:val="0"/>
          </w:rPr>
          <w:t xml:space="preserve">6</w:t>
        </w:r>
      </w:hyperlink>
      <w:r w:rsidDel="00000000" w:rsidR="00000000" w:rsidRPr="00000000">
        <w:rPr>
          <w:rtl w:val="0"/>
        </w:rPr>
        <w:t xml:space="preserve">] The best alternative is FIPS 140-3 Level 3 HSM-signed audit logs, which provide strong cryptographic binding but lack the hardware execution-gating property.</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Pillar 5, Economic Rights and Transparency Mandate, is rated Low. This Pillar provides institutional accountability by enabling economic actors to verify that decisions affecting them were logged and adjudicated correctly. It is entirely a policy-layer construct with no cryptographic enforcement mechanism beyond the Hybrid Shield's pseudonymization protocols. [</w:t>
      </w:r>
      <w:hyperlink r:id="rId428">
        <w:r w:rsidDel="00000000" w:rsidR="00000000" w:rsidRPr="00000000">
          <w:rPr>
            <w:color w:val="1155cc"/>
            <w:u w:val="single"/>
            <w:rtl w:val="0"/>
          </w:rPr>
          <w:t xml:space="preserve">6</w:t>
        </w:r>
      </w:hyperlink>
      <w:r w:rsidDel="00000000" w:rsidR="00000000" w:rsidRPr="00000000">
        <w:rPr>
          <w:rtl w:val="0"/>
        </w:rPr>
        <w:t xml:space="preserve">] Software dependence is total. Hardware enforceability is zero. Override susceptibility is high because access rights can be administratively revoked and pseudonymization parameters can be manipulated to prevent meaningful verification. The nearest equivalent is GDPR data subject access rights combined with ISO 20022 structured audit trails.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Pillar 6, Sustainable Capital Allocation Mandate, is rated Low. This Pillar converts environmental and sustainability constraints into deterministic decision filters. Like Pillar 5, enforcement is entirely policy-dependent. The mandate's parameters are configurable inputs, not hardcoded constraints. An adversary who controls parameter configuration can redefine sustainability criteria to permit any desired action while maintaining formal compliance. [</w:t>
      </w:r>
      <w:hyperlink r:id="rId429">
        <w:r w:rsidDel="00000000" w:rsidR="00000000" w:rsidRPr="00000000">
          <w:rPr>
            <w:color w:val="1155cc"/>
            <w:u w:val="single"/>
            <w:rtl w:val="0"/>
          </w:rPr>
          <w:t xml:space="preserve">6</w:t>
        </w:r>
      </w:hyperlink>
      <w:r w:rsidDel="00000000" w:rsidR="00000000" w:rsidRPr="00000000">
        <w:rPr>
          <w:rtl w:val="0"/>
        </w:rPr>
        <w:t xml:space="preserve">] Hardware enforceability is zero. The nearest alternative is EU Taxonomy Regulation compliance frameworks, which face identical parameter-capture vulnerabilities.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Pillar 7, Hybrid Shield, is rated Moderate. The dual-layer defense combines pseudonymization-before-hashing with decoupled access control. Technical implementation uses HMAC-SHA256 with per-epoch key derivation, preventing cross-epoch correlation attacks. Master secret custody employs Shamir Secret Sharing with six custodians and three-of-six quorum for crypto-shredding operations. [</w:t>
      </w:r>
      <w:hyperlink r:id="rId430">
        <w:r w:rsidDel="00000000" w:rsidR="00000000" w:rsidRPr="00000000">
          <w:rPr>
            <w:color w:val="1155cc"/>
            <w:u w:val="single"/>
            <w:rtl w:val="0"/>
          </w:rPr>
          <w:t xml:space="preserve">6</w:t>
        </w:r>
      </w:hyperlink>
      <w:r w:rsidDel="00000000" w:rsidR="00000000" w:rsidRPr="00000000">
        <w:rPr>
          <w:rtl w:val="0"/>
        </w:rPr>
        <w:t xml:space="preserve">] Software dependence is moderate because the cryptographic primitives are well-understood and formally verified. Hardware enforceability is low but improvable if key material is stored in HSMs or DITL-protected enclaves. Override susceptibility centers on key management: compromise of three of six custodians enables unauthorized crypto-shredding. The quorum threshold is the single point of governance failure. Detectability is moderate because unauthorized shredding destroys the ability to decrypt but does not corrupt the Merkle chain, so the absence of readable data is detectable. Fail behavior is fail-closed for data access but fail-open for the underlying evidentiary chain because Merkle proofs remain valid even when the underlying data is shredded. [</w:t>
      </w:r>
      <w:hyperlink r:id="rId431">
        <w:r w:rsidDel="00000000" w:rsidR="00000000" w:rsidRPr="00000000">
          <w:rPr>
            <w:color w:val="1155cc"/>
            <w:u w:val="single"/>
            <w:rtl w:val="0"/>
          </w:rPr>
          <w:t xml:space="preserve">6</w:t>
        </w:r>
      </w:hyperlink>
      <w:r w:rsidDel="00000000" w:rsidR="00000000" w:rsidRPr="00000000">
        <w:rPr>
          <w:rtl w:val="0"/>
        </w:rPr>
        <w:t xml:space="preserve">] The best alternative is FIPS 140-3 Level 3 HSM-backed key management with multi-party authorization.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Pillar 8, Anchors, is rated High. Merkle-batched commitments anchor to Bitcoin, Ethereum, and Polygon with a maximum anchoring delay of three hundred seconds from root formation to external anchor. [</w:t>
      </w:r>
      <w:hyperlink r:id="rId432">
        <w:r w:rsidDel="00000000" w:rsidR="00000000" w:rsidRPr="00000000">
          <w:rPr>
            <w:color w:val="1155cc"/>
            <w:u w:val="single"/>
            <w:rtl w:val="0"/>
          </w:rPr>
          <w:t xml:space="preserve">6</w:t>
        </w:r>
      </w:hyperlink>
      <w:r w:rsidDel="00000000" w:rsidR="00000000" w:rsidRPr="00000000">
        <w:rPr>
          <w:rtl w:val="0"/>
        </w:rPr>
        <w:t xml:space="preserve">] Software dependence is moderate because anchoring is a network operation requiring functioning blockchain clients. Hardware enforceability is low because the anchoring process itself has no hardware gate. Override susceptibility is low for the anchors themselves because blockchain immutability is backed by billions of dollars of mining and staking infrastructure, but moderate for the anchoring process because an adversary can delay, suppress, or selectively omit anchoring transactions. Detectability of missed anchoring is high if external monitors track expected anchor frequency. Fail behavior is critical: the three hundred-second anchoring window creates an evidentiary gap where local logs exist but lack independent external verification. [</w:t>
      </w:r>
      <w:hyperlink r:id="rId433">
        <w:r w:rsidDel="00000000" w:rsidR="00000000" w:rsidRPr="00000000">
          <w:rPr>
            <w:color w:val="1155cc"/>
            <w:u w:val="single"/>
            <w:rtl w:val="0"/>
          </w:rPr>
          <w:t xml:space="preserve">6</w:t>
        </w:r>
      </w:hyperlink>
      <w:r w:rsidDel="00000000" w:rsidR="00000000" w:rsidRPr="00000000">
        <w:rPr>
          <w:rtl w:val="0"/>
        </w:rPr>
        <w:t xml:space="preserve">] The best alternative is Certificate Transparency multi-log submission, which provides comparable independent verification with lower latency but narrower scope.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The weakest links are Pillars 5 and 6, which lack any cryptographic or hardware enforcement and depend entirely on institutional compliance. However, these Pillars are governance overlays rather than structural load-bearing elements. The critical concern is the binary dependency between Pillars 1 and 4: both are rated Critical, and both depend entirely on DITL hardware for their non-bypassability guarantees. In software-only mode, both degrade to policy enforcement, creating a scenario where two Critical pillars are simultaneously compromised. This exceeds the collapse threshold under criterion (a) individually and under criterion (b) collectively. [</w:t>
      </w:r>
      <w:hyperlink r:id="rId43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The sources do not specify the exact weighting formula for combining per-Pillar survivability ratings into a framework-level collapse probability, though they mandate that the collapse threshold must trigger automatic transition to maximum-conservative governance mode when any Critical Pillar falls below its minimum survivability floor.</w:t>
      </w:r>
    </w:p>
    <w:p w:rsidR="00000000" w:rsidDel="00000000" w:rsidP="00000000" w:rsidRDefault="00000000" w:rsidRPr="00000000" w14:paraId="00000327">
      <w:pPr>
        <w:pStyle w:val="Heading2"/>
        <w:rPr/>
      </w:pPr>
      <w:bookmarkStart w:colFirst="0" w:colLast="0" w:name="_fz7f8yfeqjhp" w:id="45"/>
      <w:bookmarkEnd w:id="45"/>
      <w:r w:rsidDel="00000000" w:rsidR="00000000" w:rsidRPr="00000000">
        <w:rPr>
          <w:rtl w:val="0"/>
        </w:rPr>
        <w:t xml:space="preserve">7.2. NL=NA Under Adversarial Pressure</w:t>
      </w:r>
    </w:p>
    <w:p w:rsidR="00000000" w:rsidDel="00000000" w:rsidP="00000000" w:rsidRDefault="00000000" w:rsidRPr="00000000" w14:paraId="00000328">
      <w:pPr>
        <w:rPr/>
      </w:pPr>
      <w:r w:rsidDel="00000000" w:rsidR="00000000" w:rsidRPr="00000000">
        <w:rPr>
          <w:rtl w:val="0"/>
        </w:rPr>
        <w:t xml:space="preserve">The No Log equals No Action invariant is the irreducible axiom of Ternary Logic, formalized in Linear Temporal Logic as follows: for all actions x, execution E(x) remains strictly false until commitment C(x) transitions to true. [</w:t>
      </w:r>
      <w:hyperlink r:id="rId435">
        <w:r w:rsidDel="00000000" w:rsidR="00000000" w:rsidRPr="00000000">
          <w:rPr>
            <w:color w:val="1155cc"/>
            <w:u w:val="single"/>
            <w:rtl w:val="0"/>
          </w:rPr>
          <w:t xml:space="preserve">6</w:t>
        </w:r>
      </w:hyperlink>
      <w:r w:rsidDel="00000000" w:rsidR="00000000" w:rsidRPr="00000000">
        <w:rPr>
          <w:rtl w:val="0"/>
        </w:rPr>
        <w:t xml:space="preserve">] The specification strengthens this with a strict Before operator requiring that hardware commitment must precede execution release in the temporal ordering of physical clock cycles. This is not a side effect. It is a cryptographic precondition encoded at the hardware level.</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The enforcement mechanism operates through the Dual-Lane Architecture. The Fast Lane achieves local hardware-backed commitment within a sub-two-millisecond latency bound using dedicated FPGA or ASIC pipelines writing to battery-backed nvSRAM accumulators. A successful write to the nvSRAM satisfies the invariant and generates a Permission Token, which is a Merkle accumulator root stored in physically isolated registers. [</w:t>
      </w:r>
      <w:hyperlink r:id="rId436">
        <w:r w:rsidDel="00000000" w:rsidR="00000000" w:rsidRPr="00000000">
          <w:rPr>
            <w:color w:val="1155cc"/>
            <w:u w:val="single"/>
            <w:rtl w:val="0"/>
          </w:rPr>
          <w:t xml:space="preserve">6</w:t>
        </w:r>
      </w:hyperlink>
      <w:r w:rsidDel="00000000" w:rsidR="00000000" w:rsidRPr="00000000">
        <w:rPr>
          <w:rtl w:val="0"/>
        </w:rPr>
        <w:t xml:space="preserve">] The Slow Lane handles Merkle tree construction and multi-chain anchoring within five hundred milliseconds at the ninety-fifth percentile, with a maximum three-hundred-second delay to external anchor. In DITL, execution is physically blocked without the Permission Token. The token registers are architecturally inaccessible to general-purpose execution environments, operating system memory spaces, and hypervisor address translation. Any instruction dispatch without a valid token triggers a non-maskable fault and safe harbor transition. [</w:t>
      </w:r>
      <w:hyperlink r:id="rId437">
        <w:r w:rsidDel="00000000" w:rsidR="00000000" w:rsidRPr="00000000">
          <w:rPr>
            <w:color w:val="1155cc"/>
            <w:u w:val="single"/>
            <w:rtl w:val="0"/>
          </w:rPr>
          <w:t xml:space="preserve">6</w:t>
        </w:r>
      </w:hyperlink>
      <w:r w:rsidDel="00000000" w:rsidR="00000000" w:rsidRPr="00000000">
        <w:rPr>
          <w:rtl w:val="0"/>
        </w:rPr>
        <w:t xml:space="preserve">] In software-only mode, the token check is a branch instruction that root access can override, fabricate, or eliminate.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Merkle coupling enforces causality. Each execution's hash incorporates the preceding state's Merkle root, creating an unbroken chain where retrospective modification, historical truncation, or fabricated event insertion produces a catastrophic hash mismatch at the execution gate. [</w:t>
      </w:r>
      <w:hyperlink r:id="rId438">
        <w:r w:rsidDel="00000000" w:rsidR="00000000" w:rsidRPr="00000000">
          <w:rPr>
            <w:color w:val="1155cc"/>
            <w:u w:val="single"/>
            <w:rtl w:val="0"/>
          </w:rPr>
          <w:t xml:space="preserve">6</w:t>
        </w:r>
      </w:hyperlink>
      <w:r w:rsidDel="00000000" w:rsidR="00000000" w:rsidRPr="00000000">
        <w:rPr>
          <w:rtl w:val="0"/>
        </w:rPr>
        <w:t xml:space="preserve">] You cannot have execution without a corresponding Merkle leaf because the leaf's hash is a mathematical prerequisite for the next execution token. Root access in DITL mode is explicitly stripped of authority over the logging subsystem. The specification categorically denies ring-zero privileges, kernel debugging flags, hypervisor hypercalls, and System Management Mode routines the ability to suppress log generation or bypass the Merkle capability token. [</w:t>
      </w:r>
      <w:hyperlink r:id="rId439">
        <w:r w:rsidDel="00000000" w:rsidR="00000000" w:rsidRPr="00000000">
          <w:rPr>
            <w:color w:val="1155cc"/>
            <w:u w:val="single"/>
            <w:rtl w:val="0"/>
          </w:rPr>
          <w:t xml:space="preserve">6</w:t>
        </w:r>
      </w:hyperlink>
      <w:r w:rsidDel="00000000" w:rsidR="00000000" w:rsidRPr="00000000">
        <w:rPr>
          <w:rtl w:val="0"/>
        </w:rPr>
        <w:t xml:space="preserve">] In software-only mode, this denial is policy, not physics.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Five adversarial scenarios stress-test the invariant under distinct attack vectors.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Scenario 1 is log truncation. The attacker removes log entries post-execution to conceal actions already taken. The Merkle chain detects this immediately if consistency proofs are checked: a truncated tree cannot produce a valid consistency proof against a previously published Signed Tree Head. [</w:t>
      </w:r>
      <w:hyperlink r:id="rId440">
        <w:r w:rsidDel="00000000" w:rsidR="00000000" w:rsidRPr="00000000">
          <w:rPr>
            <w:color w:val="1155cc"/>
            <w:u w:val="single"/>
            <w:rtl w:val="0"/>
          </w:rPr>
          <w:t xml:space="preserve">6</w:t>
        </w:r>
      </w:hyperlink>
      <w:r w:rsidDel="00000000" w:rsidR="00000000" w:rsidRPr="00000000">
        <w:rPr>
          <w:rtl w:val="0"/>
        </w:rPr>
        <w:t xml:space="preserve">] However, detection requires that an honest monitor has cached the prior root hash. If anchoring to external blockchains has occurred, truncation is permanently detectable by any observer. If the attack occurs within the three-hundred-second pre-anchoring window, the truncation may succeed against local observers who lack cached state. DITL blocks this at the hardware level: the nvSRAM accumulator uses write-once enforcement with monotonic sequence counters that physically prevent backward modification. The hardware read-back confirmation and integrity check would detect any post-write tampering before subsequent execution tokens are issued. [</w:t>
      </w:r>
      <w:hyperlink r:id="rId441">
        <w:r w:rsidDel="00000000" w:rsidR="00000000" w:rsidRPr="00000000">
          <w:rPr>
            <w:color w:val="1155cc"/>
            <w:u w:val="single"/>
            <w:rtl w:val="0"/>
          </w:rPr>
          <w:t xml:space="preserve">6</w:t>
        </w:r>
      </w:hyperlink>
      <w:r w:rsidDel="00000000" w:rsidR="00000000" w:rsidRPr="00000000">
        <w:rPr>
          <w:rtl w:val="0"/>
        </w:rPr>
        <w:t xml:space="preserve">] Residual probability is negligible with DITL because it requires physical nvSRAM manipulation. In software-only mode during the pre-anchoring window, residual probability is moderate, estimated at ten to the negative second per attack attempt given active monitoring.</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Scenario 2 is shadow buffer logging. The attacker maintains a parallel fake log while suppressing the real log, presenting the fake to auditors. This is a split-view attack analogous to the known weakness in Certificate Transparency. Detection requires cross-comparison of log states between independent observers. If the attacker controls all local logging infrastructure, the shadow buffer can maintain internal consistency indefinitely. [</w:t>
      </w:r>
      <w:hyperlink r:id="rId442">
        <w:r w:rsidDel="00000000" w:rsidR="00000000" w:rsidRPr="00000000">
          <w:rPr>
            <w:color w:val="1155cc"/>
            <w:u w:val="single"/>
            <w:rtl w:val="0"/>
          </w:rPr>
          <w:t xml:space="preserve">6</w:t>
        </w:r>
      </w:hyperlink>
      <w:r w:rsidDel="00000000" w:rsidR="00000000" w:rsidRPr="00000000">
        <w:rPr>
          <w:rtl w:val="0"/>
        </w:rPr>
        <w:t xml:space="preserve">] DITL partially blocks this because the Permission Token is generated by the dedicated hardware logging subsystem using keys generated exclusively within the secure enclave. A shadow buffer system would need to forge these tokens, which requires extracting the enclave's private key, a task that demands physical attack on the HSM boundary. However, if the attacker has replaced the entire DITL module with a compromised clone through a supply chain attack, shadow buffering becomes possible. Residual probability is low with authentic DITL hardware, estimated at ten to the negative fourth. In software-only mode, residual probability is high, estimated at ten to the negative first, where the entire logging pipeline is accessible to privileged processes. [</w:t>
      </w:r>
      <w:hyperlink r:id="rId44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Scenario 3 is delayed or skipped anchoring. The attacker exploits the three-hundred-second Slow Lane window to execute actions whose logs exist locally but are never externally anchored. The Fast Lane commitment satisfies the execution gate, so actions proceed normally. The attacker then destroys local logs before anchoring occurs. This is TL's most significant temporal vulnerability. [</w:t>
      </w:r>
      <w:hyperlink r:id="rId444">
        <w:r w:rsidDel="00000000" w:rsidR="00000000" w:rsidRPr="00000000">
          <w:rPr>
            <w:color w:val="1155cc"/>
            <w:u w:val="single"/>
            <w:rtl w:val="0"/>
          </w:rPr>
          <w:t xml:space="preserve">6</w:t>
        </w:r>
      </w:hyperlink>
      <w:r w:rsidDel="00000000" w:rsidR="00000000" w:rsidRPr="00000000">
        <w:rPr>
          <w:rtl w:val="0"/>
        </w:rPr>
        <w:t xml:space="preserve">] DITL does not block this attack because the execution gate depends on local Fast Lane commitment, not on Slow Lane anchoring completion. The nvSRAM accumulator protects against local log destruction because it is battery-backed and tamper-resistant, but a sufficiently resourced adversary with physical access could destroy the accumulator hardware within the three-hundred-second window. Residual probability is moderate, estimated at ten to the negative second, even with DITL, due to the architectural separation between execution authorization and external anchoring. The specification's backpressure mechanisms, which apply dynamic rate limiting when the Slow Lane lags, mitigate but do not eliminate this window. [</w:t>
      </w:r>
      <w:hyperlink r:id="rId44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Scenario 4 is schema manipulation. The attacker modifies the log schema definition to make malicious entries appear structurally valid, for example redefining the risk classification taxonomy so that high-risk actions are categorized as low-risk. The Schema Hash Commitment field in each Merkle leaf cryptographically binds the schema version to the log entry. Post-hoc schema changes are detectable because they produce a different schema hash. [</w:t>
      </w:r>
      <w:hyperlink r:id="rId446">
        <w:r w:rsidDel="00000000" w:rsidR="00000000" w:rsidRPr="00000000">
          <w:rPr>
            <w:color w:val="1155cc"/>
            <w:u w:val="single"/>
            <w:rtl w:val="0"/>
          </w:rPr>
          <w:t xml:space="preserve">6</w:t>
        </w:r>
      </w:hyperlink>
      <w:r w:rsidDel="00000000" w:rsidR="00000000" w:rsidRPr="00000000">
        <w:rPr>
          <w:rtl w:val="0"/>
        </w:rPr>
        <w:t xml:space="preserve">] However, if the attacker controls the schema at generation time, they can commit a malicious schema and produce cryptographically valid entries under that schema. DITL does not directly block this because schema content is a semantic concern, not a physical enforcement property. The Active Axiom Set Hash provides a secondary binding, but both hashes are only as trustworthy as the process that generates them. Residual probability is moderate, estimated at ten to the negative second, against adversaries with administrative access to schema configuration, regardless of deployment mode. [</w:t>
      </w:r>
      <w:hyperlink r:id="rId44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Scenario 5 is timestamp forgery. The attacker backdates or forward-dates log entries to obscure causal ordering. UUIDv7 includes an embedded timestamp, and the Monotonic Sequence ID provides strict ordering guarantees. However, both depend on the trustworthiness of the time source. NTP manipulation, GPS spoofing, or compromised hardware clocks can shift timestamps arbitrarily. [</w:t>
      </w:r>
      <w:hyperlink r:id="rId448">
        <w:r w:rsidDel="00000000" w:rsidR="00000000" w:rsidRPr="00000000">
          <w:rPr>
            <w:color w:val="1155cc"/>
            <w:u w:val="single"/>
            <w:rtl w:val="0"/>
          </w:rPr>
          <w:t xml:space="preserve">6</w:t>
        </w:r>
      </w:hyperlink>
      <w:r w:rsidDel="00000000" w:rsidR="00000000" w:rsidRPr="00000000">
        <w:rPr>
          <w:rtl w:val="0"/>
        </w:rPr>
        <w:t xml:space="preserve">] DITL partially blocks this because the specification mandates hardware-generated timestamps from physically isolated real-time clocks with tamper detection, and monotonic counters in the TPM prevent sequence ID regression. Cross-anchoring to external blockchain timestamps provides independent temporal proof at anchoring granularity of three-hundred-second intervals. Between anchoring events, timestamp integrity depends on local hardware. Residual probability is low with DITL and external anchoring, estimated at ten to the negative third. In software-only mode, residual probability is moderate, estimated at ten to the negative second, where the time source is a software-accessible system clock. [</w:t>
      </w:r>
      <w:hyperlink r:id="rId4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The invariant strength varies fundamentally by deployment mode. In software-only emulation mode, log generation is a software process bypassable with root access. Execution block is a software branch that is patchable. Merkle coupling is cryptographic but enforcement is software-gated. Root access resistance is none because root access can fabricate tokens, suppress logs, and modify schemas. Overall invariant strength is Low. [</w:t>
      </w:r>
      <w:hyperlink r:id="rId45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In firmware-bound mode, log generation is firmware-verified and requires reflash to bypass. Execution block is a firmware check before instruction dispatch, bypassed by voltage glitching attacks such as the two-hundred-dollar faulTPM attack against AMD Security Processors in 2023. Merkle coupling is cryptographic with firmware-attested commitment. Root access resistance is limited because firmware reflash or fault injection compromises all guarantees. Overall invariant strength is Moderate. [</w:t>
      </w:r>
      <w:hyperlink r:id="rId45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In hardware-gated DITL mode, log generation is performed by a hardware subsystem with physically isolated key material and nvSRAM accumulator with battery-backed persistence. Execution block is a physical stall via the NCL handshake protocol, with C-element hysteresis preventing false triggering. Merkle coupling is hardware-bound via the token in isolated registers, and the execution gate is electrical, not logical. Root access resistance is high because it requires physical attack on the tamper-resistant enclave, and software or firmware access is categorically insufficient. Overall invariant strength is High. [</w:t>
      </w:r>
      <w:hyperlink r:id="rId45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The verdict is that the No Log equals No Action invariant achieves non-bypassable enforcement exclusively in DITL hardware-gated mode. In software-only mode, the invariant is a policy constraint enforceable only against adversaries without root access, a condition that excludes nation-state actors, compromised supply chains, and insider threats. The three-hundred-second anchoring window represents a residual vulnerability across all deployment modes. The invariant does not meet collapse threshold criterion (c) in DITL mode. It fails criterion (c) in software-only mode. [</w:t>
      </w:r>
      <w:hyperlink r:id="rId45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The sources do not specify the exact probability threshold for triggering automatic safe harbor transition when the Merkle consistency check fails, though they mandate that such threshold must be configurable by the Stewardship Custodians and anchored in the constitutional schema with automatic Epistemic Hold on all pending decisions upon detection.</w:t>
      </w:r>
    </w:p>
    <w:p w:rsidR="00000000" w:rsidDel="00000000" w:rsidP="00000000" w:rsidRDefault="00000000" w:rsidRPr="00000000" w14:paraId="00000343">
      <w:pPr>
        <w:pStyle w:val="Heading2"/>
        <w:rPr/>
      </w:pPr>
      <w:bookmarkStart w:colFirst="0" w:colLast="0" w:name="_a6vyqcn5egsm" w:id="46"/>
      <w:bookmarkEnd w:id="46"/>
      <w:r w:rsidDel="00000000" w:rsidR="00000000" w:rsidRPr="00000000">
        <w:rPr>
          <w:rtl w:val="0"/>
        </w:rPr>
        <w:t xml:space="preserve">7.3. Transitional Emulation Mode</w:t>
      </w:r>
    </w:p>
    <w:p w:rsidR="00000000" w:rsidDel="00000000" w:rsidP="00000000" w:rsidRDefault="00000000" w:rsidRPr="00000000" w14:paraId="00000344">
      <w:pPr>
        <w:rPr/>
      </w:pPr>
      <w:r w:rsidDel="00000000" w:rsidR="00000000" w:rsidRPr="00000000">
        <w:rPr>
          <w:rtl w:val="0"/>
        </w:rPr>
        <w:t xml:space="preserve">The pre-DITL window, when Ternary Logic runs on conventional binary hardware without physical ternary enforcement, is the highest-risk operational phase in the framework's lifecycle. Every hardware-dependent guarantee reverts to software policy, and the framework's survivability depends on whether cryptographic mechanisms alone can substitute for physical enforcement. [</w:t>
      </w:r>
      <w:hyperlink r:id="rId454">
        <w:r w:rsidDel="00000000" w:rsidR="00000000" w:rsidRPr="00000000">
          <w:rPr>
            <w:color w:val="1155cc"/>
            <w:u w:val="single"/>
            <w:rtl w:val="0"/>
          </w:rPr>
          <w:t xml:space="preserve">6</w:t>
        </w:r>
      </w:hyperlink>
      <w:r w:rsidDel="00000000" w:rsidR="00000000" w:rsidRPr="00000000">
        <w:rPr>
          <w:rtl w:val="0"/>
        </w:rPr>
        <w:t xml:space="preserve">] This is not a temporary inconvenience. It is a structural vulnerability that persists until fabricated DITL silicon is deployed inline to the execution path.</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In emulation mode, enforcement classification for each Pillar shifts catastrophically for the load-bearing elements. Pillars 2, 7, and 8 retain cryptographic enforcement because their core mechanisms, hash chains, HMAC-SHA256 pseudonymization, Shamir Secret Sharing, and blockchain anchoring, operate identically on binary hardware. The cryptographic mathematics does not depend on ternary circuits. [</w:t>
      </w:r>
      <w:hyperlink r:id="rId455">
        <w:r w:rsidDel="00000000" w:rsidR="00000000" w:rsidRPr="00000000">
          <w:rPr>
            <w:color w:val="1155cc"/>
            <w:u w:val="single"/>
            <w:rtl w:val="0"/>
          </w:rPr>
          <w:t xml:space="preserve">6</w:t>
        </w:r>
      </w:hyperlink>
      <w:r w:rsidDel="00000000" w:rsidR="00000000" w:rsidRPr="00000000">
        <w:rPr>
          <w:rtl w:val="0"/>
        </w:rPr>
        <w:t xml:space="preserve">] Pillars 5 and 6 remain policy-only in both modes, with no degradation, because they were never hardware-enforced to begin with. Pillar 3 degrades from Moderate to Low because the Lantern self-test can be spoofed, the Signature embedding can be stripped from forked implementations, and the License depends entirely on jurisdictional enforcement rather than physical gates.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The critical degradations occur in Pillar 1 and Pillar 4. Both shift from hardware-enforced to policy-only. The Epistemic Hold becomes a conditional software branch. The Decision Log execution gate becomes a software check. Both are bypassable with root access, kernel compromise, or hypervisor escape. [</w:t>
      </w:r>
      <w:hyperlink r:id="rId456">
        <w:r w:rsidDel="00000000" w:rsidR="00000000" w:rsidRPr="00000000">
          <w:rPr>
            <w:color w:val="1155cc"/>
            <w:u w:val="single"/>
            <w:rtl w:val="0"/>
          </w:rPr>
          <w:t xml:space="preserve">6</w:t>
        </w:r>
      </w:hyperlink>
      <w:r w:rsidDel="00000000" w:rsidR="00000000" w:rsidRPr="00000000">
        <w:rPr>
          <w:rtl w:val="0"/>
        </w:rPr>
        <w:t xml:space="preserve">] This simultaneous degradation of two Critical-rated pillars exceeds the collapse threshold under criterion (b) and individually satisfies criterion (a). The framework does not merely weaken in emulation mode. It structurally collapses to a binary governance system dressed in ternary terminology.</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A sophisticated adversary need not attack TL's cryptography or logic. They need only prevent DITL hardware from being manufactured or deployed. This is a realistic supply chain denial attack with multiple vectors. No existing semiconductor foundry offers ternary-native process design kits. Custom DITL ASICs require specialized EDA tools dominated by three US-connected firms, novel cell libraries, and foundry access. US export controls under the Entity List and Foreign Direct Product Rule can block access to all of these for targeted entities. [</w:t>
      </w:r>
      <w:hyperlink r:id="rId457">
        <w:r w:rsidDel="00000000" w:rsidR="00000000" w:rsidRPr="00000000">
          <w:rPr>
            <w:color w:val="1155cc"/>
            <w:u w:val="single"/>
            <w:rtl w:val="0"/>
          </w:rPr>
          <w:t xml:space="preserve">6</w:t>
        </w:r>
      </w:hyperlink>
      <w:r w:rsidDel="00000000" w:rsidR="00000000" w:rsidRPr="00000000">
        <w:rPr>
          <w:rtl w:val="0"/>
        </w:rPr>
        <w:t xml:space="preserve">] The Huawei precedent demonstrates that even a major technology firm can be cut off from advanced semiconductor manufacturing for years.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Modern ternary hardware remains a research proposition. Samsung and UNIST demonstrated the first large-wafer ternary semiconductor in 2019. Carbon nanotube ternary logic reached publication in Science Advances in January 2025. But no commercial-scale ternary manufacturing exists as of April 2026. [</w:t>
      </w:r>
      <w:hyperlink r:id="rId458">
        <w:r w:rsidDel="00000000" w:rsidR="00000000" w:rsidRPr="00000000">
          <w:rPr>
            <w:color w:val="1155cc"/>
            <w:u w:val="single"/>
            <w:rtl w:val="0"/>
          </w:rPr>
          <w:t xml:space="preserve">6</w:t>
        </w:r>
      </w:hyperlink>
      <w:r w:rsidDel="00000000" w:rsidR="00000000" w:rsidRPr="00000000">
        <w:rPr>
          <w:rtl w:val="0"/>
        </w:rPr>
        <w:t xml:space="preserve">] TL in permanent emulation mode has no defined expiration date and no hardware-independent enforcement path. The specification's dual-lane architecture is explicitly designed to function on binary FPGA hardware during this period, but the Fast Lane's nvSRAM accumulator commitment, the mechanism that satisfies the execution invariant, depends on hardware write-once enforcement that standard binary systems approximate but do not guarantee.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Institutional trust degrades on a timeline proportional to adversarial sophistication. Against a well-resourced nation-state adversary, software-only TL provides meaningful governance for an estimated six to eighteen months before the adversary develops reliable bypass tooling. Against commercial adversaries such as insider threats or competitive espionage, the window extends to two to five years given the cryptographic strength of the ledger and anchoring mechanisms. Against regulatory capture, which is slow erosion of mandate parameters, degradation is gradual and potentially undetectable for a decade or more. [</w:t>
      </w:r>
      <w:hyperlink r:id="rId45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Software-only mechanisms for log integrity include TPM software emulation, Intel SGX enclaves, and software HSMs. Each has documented vulnerabilities. Software TPM emulation runs in the hypervisor address space and is directly reachable from guest VMs, providing zero physical isolation. SGX faces over twenty documented attack classes and has been deprecated on consumer hardware. Software HSMs lack tamper detection, tamper response, and physical key isolation. [</w:t>
      </w:r>
      <w:hyperlink r:id="rId460">
        <w:r w:rsidDel="00000000" w:rsidR="00000000" w:rsidRPr="00000000">
          <w:rPr>
            <w:color w:val="1155cc"/>
            <w:u w:val="single"/>
            <w:rtl w:val="0"/>
          </w:rPr>
          <w:t xml:space="preserve">6</w:t>
        </w:r>
      </w:hyperlink>
      <w:r w:rsidDel="00000000" w:rsidR="00000000" w:rsidRPr="00000000">
        <w:rPr>
          <w:rtl w:val="0"/>
        </w:rPr>
        <w:t xml:space="preserve">] The residual gap versus DITL hardware is fundamental, not incremental. DITL's NCL handshake protocol provides enforcement through physics: the circuit cannot advance without valid completion signals. No software construct achieves this property because all software runs on hardware that accepts arbitrary instruction sequences from privileged code. The gap is equivalent to the difference between a locked door that can be picked and the absence of a door where no execution path physically exists. [</w:t>
      </w:r>
      <w:hyperlink r:id="rId46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Can governance bodies reliably distinguish genuine pre-DITL deployment from deliberate DITL avoidance? The forensic indicators are weak. Both scenarios produce identical software artifacts: properly formed Decision Logs, valid Merkle chains, successful blockchain anchoring. The difference is the enforcement substrate, which is invisible to external auditors examining only the evidentiary output. [</w:t>
      </w:r>
      <w:hyperlink r:id="rId462">
        <w:r w:rsidDel="00000000" w:rsidR="00000000" w:rsidRPr="00000000">
          <w:rPr>
            <w:color w:val="1155cc"/>
            <w:u w:val="single"/>
            <w:rtl w:val="0"/>
          </w:rPr>
          <w:t xml:space="preserve">6</w:t>
        </w:r>
      </w:hyperlink>
      <w:r w:rsidDel="00000000" w:rsidR="00000000" w:rsidRPr="00000000">
        <w:rPr>
          <w:rtl w:val="0"/>
        </w:rPr>
        <w:t xml:space="preserve">] Hardware attestation via TPM remote attestation could theoretically distinguish the two cases, but TPM attestation depends on trust in the TPM manufacturer's endorsement key hierarchy, precisely the trust chain that the faulTPM attack demonstrated can be compromised. A governance body would need physical inspection rights, supply chain verification, and continuous hardware attestation, an institutional enforcement regime that is itself subject to capture, corruption, and resource constraints. This is a governance detection gap that emulation mode cannot close. [</w:t>
      </w:r>
      <w:hyperlink r:id="rId46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The transition from software emulation to full DITL enforcement opens specific adversarial windows. During gradual rollout, some nodes enforce via hardware while others rely on software. Attackers target the weakest enforcement point in the heterogeneous fleet. Time-of-check-to-time-of-use vulnerabilities arise at the boundary between emulation-mode and DITL-mode subsystems: a transaction verified by a software gate can be modified before reaching a hardware gate, or vice versa. [</w:t>
      </w:r>
      <w:hyperlink r:id="rId464">
        <w:r w:rsidDel="00000000" w:rsidR="00000000" w:rsidRPr="00000000">
          <w:rPr>
            <w:color w:val="1155cc"/>
            <w:u w:val="single"/>
            <w:rtl w:val="0"/>
          </w:rPr>
          <w:t xml:space="preserve">6</w:t>
        </w:r>
      </w:hyperlink>
      <w:r w:rsidDel="00000000" w:rsidR="00000000" w:rsidRPr="00000000">
        <w:rPr>
          <w:rtl w:val="0"/>
        </w:rPr>
        <w:t xml:space="preserve">] The Intel Boot Guard TOCTOU and ESP32 Secure Boot TOCTOU demonstrate that even well-designed hardware transitions are exploitable during the handoff period. The migration itself requires firmware updates, key rotation, and state transfer from software accumulators to hardware registers. Each operation creates a window where the old enforcement mode has been disabled but the new mode is not yet operational. Monotonic security improvement, ensuring each phase increases rather than decreases assurance, requires that hardware-enforced controls be additive during transition, never replacing software controls until the hardware path is fully validated. [</w:t>
      </w:r>
      <w:hyperlink r:id="rId465">
        <w:r w:rsidDel="00000000" w:rsidR="00000000" w:rsidRPr="00000000">
          <w:rPr>
            <w:color w:val="1155cc"/>
            <w:u w:val="single"/>
            <w:rtl w:val="0"/>
          </w:rPr>
          <w:t xml:space="preserve">6</w:t>
        </w:r>
      </w:hyperlink>
      <w:r w:rsidDel="00000000" w:rsidR="00000000" w:rsidRPr="00000000">
        <w:rPr>
          <w:rtl w:val="0"/>
        </w:rPr>
        <w:t xml:space="preserve">] The specification does not define a formal migration protocol, leaving this attack surface to implementation-specific engineering judgment.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The per-Pillar degradation in emulation mode is quantified as follows. Epistemic Hold shifts from Critical hardware-enforced to policy-only, a catastrophic degradation that eliminates the core differentiator. Immutable Ledger remains High because hash chains function identically. Goukassian Principle shifts from Moderate to Low, losing hardware attestation backing. Decision Logs shift from Critical hardware-enforced to policy-only, making the execution gate a software check. Economic Rights and Transparency remain Low. Sustainable Capital Allocation remains Low. Hybrid Shield remains Moderate because key management operates identically. Anchors remain High because blockchain anchoring is hardware-independent. [</w:t>
      </w:r>
      <w:hyperlink r:id="rId46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The sources do not specify the exact maximum duration for which emulation mode may operate before mandatory DITL deployment is required, though they mandate that such duration must be configurable by the Stewardship Custodians and anchored in the constitutional schema with automatic escalation to maximum-conservative governance mode upon expiration.</w:t>
      </w:r>
    </w:p>
    <w:p w:rsidR="00000000" w:rsidDel="00000000" w:rsidP="00000000" w:rsidRDefault="00000000" w:rsidRPr="00000000" w14:paraId="00000359">
      <w:pPr>
        <w:pStyle w:val="Heading2"/>
        <w:rPr/>
      </w:pPr>
      <w:bookmarkStart w:colFirst="0" w:colLast="0" w:name="_2g69idnmft73" w:id="47"/>
      <w:bookmarkEnd w:id="47"/>
      <w:r w:rsidDel="00000000" w:rsidR="00000000" w:rsidRPr="00000000">
        <w:rPr>
          <w:rtl w:val="0"/>
        </w:rPr>
        <w:t xml:space="preserve">7.4. Goukassian Principle Artifacts Under Stress</w:t>
      </w:r>
    </w:p>
    <w:p w:rsidR="00000000" w:rsidDel="00000000" w:rsidP="00000000" w:rsidRDefault="00000000" w:rsidRPr="00000000" w14:paraId="0000035A">
      <w:pPr>
        <w:rPr/>
      </w:pPr>
      <w:r w:rsidDel="00000000" w:rsidR="00000000" w:rsidRPr="00000000">
        <w:rPr>
          <w:rtl w:val="0"/>
        </w:rPr>
        <w:t xml:space="preserve">The Goukassian Principle is not an abstract philosophical commitment. It is instantiated through three concrete artifacts that together form a composite governance covenant: the Lantern, the Signature, and the License. [</w:t>
      </w:r>
      <w:hyperlink r:id="rId467">
        <w:r w:rsidDel="00000000" w:rsidR="00000000" w:rsidRPr="00000000">
          <w:rPr>
            <w:color w:val="1155cc"/>
            <w:u w:val="single"/>
            <w:rtl w:val="0"/>
          </w:rPr>
          <w:t xml:space="preserve">6</w:t>
        </w:r>
      </w:hyperlink>
      <w:r w:rsidDel="00000000" w:rsidR="00000000" w:rsidRPr="00000000">
        <w:rPr>
          <w:rtl w:val="0"/>
        </w:rPr>
        <w:t xml:space="preserve">] Each artifact serves a distinct enforcement function. The Lantern provides integrity self-testing and public compliance beaconing. The Signature embeds unbreakable provenance into every legitimate implementation. The License imposes binding prohibitions and flips the legal burden of proof so that missing logs constitute presumptive evidence of negligence. Under adversarial pressure, each artifact faces specific degradation modes that must be understood to maintain constitutional continuity.</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Lantern functions as the framework's integrity self-test and public compliance beacon. It continuously verifies that core mandates are active and broadcasts its status to external monitors. If core mandates are suppressed, the Lantern automatically revokes itself, signaling to the ecosystem that the implementation has lost constitutional legitimacy. [</w:t>
      </w:r>
      <w:hyperlink r:id="rId468">
        <w:r w:rsidDel="00000000" w:rsidR="00000000" w:rsidRPr="00000000">
          <w:rPr>
            <w:color w:val="1155cc"/>
            <w:u w:val="single"/>
            <w:rtl w:val="0"/>
          </w:rPr>
          <w:t xml:space="preserve">6</w:t>
        </w:r>
      </w:hyperlink>
      <w:r w:rsidDel="00000000" w:rsidR="00000000" w:rsidRPr="00000000">
        <w:rPr>
          <w:rtl w:val="0"/>
        </w:rPr>
        <w:t xml:space="preserve">] Under adversarial pressure, the primary attack vector is confidence poisoning. An adversary who controls the attestation output can manipulate the Lantern to display healthy status while simultaneously suppressing the core mandates it claims to verify. This is a display-layer attack analogous to website defacement or certificate spoofing: the visible indicator says everything is fine while the underlying system is compromised.</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 ambiguity of beacon absence creates a second vulnerability. When the Lantern goes silent, external monitors cannot distinguish between network failure, benign maintenance, and deliberate suppression. All three conditions produce identical symptoms: the beacon stops broadcasting. [</w:t>
      </w:r>
      <w:hyperlink r:id="rId469">
        <w:r w:rsidDel="00000000" w:rsidR="00000000" w:rsidRPr="00000000">
          <w:rPr>
            <w:color w:val="1155cc"/>
            <w:u w:val="single"/>
            <w:rtl w:val="0"/>
          </w:rPr>
          <w:t xml:space="preserve">6</w:t>
        </w:r>
      </w:hyperlink>
      <w:r w:rsidDel="00000000" w:rsidR="00000000" w:rsidRPr="00000000">
        <w:rPr>
          <w:rtl w:val="0"/>
        </w:rPr>
        <w:t xml:space="preserve">] A governance body that treats beacon absence as evidence of compromise will generate false positives during routine outages. A governance body that treats beacon absence as routine will miss genuine suppression. The specification does not define a protocol for resolving this ambiguity, leaving it to institutional judgment. In practice, the resolution requires out-of-band verification channels, physical inspection rights, and redundant monitoring infrastructure, each of which introduces its own capture surfaces.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Revocation mechanics compound the stress. When the Lantern detects mandate suppression and revokes itself, the revocation is intended to trigger ecosystem-wide distrust of the compromised implementation. However, revocation requires that external monitors trust the revocation signal itself. If the adversary has compromised the key material used to sign Lantern broadcasts, they can suppress the revocation signal while maintaining the healthy beacon, or they can issue a false revocation against a legitimate implementation. [</w:t>
      </w:r>
      <w:hyperlink r:id="rId470">
        <w:r w:rsidDel="00000000" w:rsidR="00000000" w:rsidRPr="00000000">
          <w:rPr>
            <w:color w:val="1155cc"/>
            <w:u w:val="single"/>
            <w:rtl w:val="0"/>
          </w:rPr>
          <w:t xml:space="preserve">6</w:t>
        </w:r>
      </w:hyperlink>
      <w:r w:rsidDel="00000000" w:rsidR="00000000" w:rsidRPr="00000000">
        <w:rPr>
          <w:rtl w:val="0"/>
        </w:rPr>
        <w:t xml:space="preserve">] The Lantern's security ultimately depends on the same key management infrastructure that secures the rest of the framework, creating a circular dependency where the integrity verifier is only as strong as the system it verifies.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Signature embeds unbreakable provenance into every legitimate implementation. It cryptographically binds the code, the constitutional schema, and the deployment configuration to a specific steward identity, creating a chain of custody that persists through updates, migrations, and forks. [</w:t>
      </w:r>
      <w:hyperlink r:id="rId471">
        <w:r w:rsidDel="00000000" w:rsidR="00000000" w:rsidRPr="00000000">
          <w:rPr>
            <w:color w:val="1155cc"/>
            <w:u w:val="single"/>
            <w:rtl w:val="0"/>
          </w:rPr>
          <w:t xml:space="preserve">6</w:t>
        </w:r>
      </w:hyperlink>
      <w:r w:rsidDel="00000000" w:rsidR="00000000" w:rsidRPr="00000000">
        <w:rPr>
          <w:rtl w:val="0"/>
        </w:rPr>
        <w:t xml:space="preserve">] Under adversarial pressure, the primary attack vector is coerced issuance. A nation-state actor, criminal organization, or institutional insider can compel a steward to sign a malicious fork that appears legitimate because it carries a valid Signature. The coercion need not be physical. It can be legal, such as a court order demanding that a custodian sign a government-mandated backdoor version. It can be economic, such as a threat to revoke business licenses or freeze assets. It can be reputational, such as public exposure of personal information that pressures the custodian to comply.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Stripping is the second Signature vulnerability. An adversary who forks the open-source implementation can simply remove the Signature verification code, producing a version that lacks provenance but functions identically for users who do not verify. [</w:t>
      </w:r>
      <w:hyperlink r:id="rId472">
        <w:r w:rsidDel="00000000" w:rsidR="00000000" w:rsidRPr="00000000">
          <w:rPr>
            <w:color w:val="1155cc"/>
            <w:u w:val="single"/>
            <w:rtl w:val="0"/>
          </w:rPr>
          <w:t xml:space="preserve">6</w:t>
        </w:r>
      </w:hyperlink>
      <w:r w:rsidDel="00000000" w:rsidR="00000000" w:rsidRPr="00000000">
        <w:rPr>
          <w:rtl w:val="0"/>
        </w:rPr>
        <w:t xml:space="preserve">] This is particularly dangerous in environments with low technical sophistication, where users run software without checking signatures, or in environments with high institutional pressure, where users are compelled to run the stripped version. The License artifact is intended to counter stripping by imposing legal penalties on unauthorized forks, but the License itself depends on jurisdictional enforcement, which the adversary may control.</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Key compromise represents the catastrophic failure mode for the Signature. If the private key material used to generate steward signatures is extracted through side-channel analysis, cold boot attack, or insider disclosure, the adversary can produce arbitrary legitimate-appearing implementations. [</w:t>
      </w:r>
      <w:hyperlink r:id="rId473">
        <w:r w:rsidDel="00000000" w:rsidR="00000000" w:rsidRPr="00000000">
          <w:rPr>
            <w:color w:val="1155cc"/>
            <w:u w:val="single"/>
            <w:rtl w:val="0"/>
          </w:rPr>
          <w:t xml:space="preserve">6</w:t>
        </w:r>
      </w:hyperlink>
      <w:r w:rsidDel="00000000" w:rsidR="00000000" w:rsidRPr="00000000">
        <w:rPr>
          <w:rtl w:val="0"/>
        </w:rPr>
        <w:t xml:space="preserve">] The specification mandates HSM storage and multi-party signing ceremonies, but these protections are only as strong as the physical security of the HSM and the operational security of the ceremony. The faulTPM attack demonstrated that even hardware-backed keys are extractable with fifty-dollar equipment and moderate expertise.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The License imposes binding prohibitions on framework usage and flips the legal burden of proof so that missing logs constitute presumptive evidence of negligence. It is intended to create legal deterrence against bypassing governance, even when technical enforcement is absent. [</w:t>
      </w:r>
      <w:hyperlink r:id="rId474">
        <w:r w:rsidDel="00000000" w:rsidR="00000000" w:rsidRPr="00000000">
          <w:rPr>
            <w:color w:val="1155cc"/>
            <w:u w:val="single"/>
            <w:rtl w:val="0"/>
          </w:rPr>
          <w:t xml:space="preserve">6</w:t>
        </w:r>
      </w:hyperlink>
      <w:r w:rsidDel="00000000" w:rsidR="00000000" w:rsidRPr="00000000">
        <w:rPr>
          <w:rtl w:val="0"/>
        </w:rPr>
        <w:t xml:space="preserve">] Under adversarial pressure, the primary attack vector is semantic drift over multi-decade horizons. The License's prohibitions are encoded in natural language or formal logic that is subject to interpretation. Over five, ten, and twenty-year timelines, institutional memory fades, legal precedents evolve, and the original intent of the prohibitions is gradually redefined.</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At the five-year horizon, semantic drift is typically institutional rather than adversarial. New administrators reinterpret License terms to accommodate operational convenience. A prohibition on executing without logs becomes a prohibition on executing without reasonable efforts to log, where reasonableness is defined by the institution itself. [</w:t>
      </w:r>
      <w:hyperlink r:id="rId475">
        <w:r w:rsidDel="00000000" w:rsidR="00000000" w:rsidRPr="00000000">
          <w:rPr>
            <w:color w:val="1155cc"/>
            <w:u w:val="single"/>
            <w:rtl w:val="0"/>
          </w:rPr>
          <w:t xml:space="preserve">6</w:t>
        </w:r>
      </w:hyperlink>
      <w:r w:rsidDel="00000000" w:rsidR="00000000" w:rsidRPr="00000000">
        <w:rPr>
          <w:rtl w:val="0"/>
        </w:rPr>
        <w:t xml:space="preserve">] At the ten-year horizon, drift becomes structural. The organization that originally adopted TL has been acquired, merged, or reorganized. The new entity inherits the License but treats it as a legacy obligation rather than a living constraint. Legal counsel find ambiguities that permit previously prohibited actions. At the twenty-year horizon, drift becomes existential. The original constitutional schema has been updated so many times that the License's core prohibitions no longer map to the current operational reality. The framework still exists in name, but the License has been interpreted into irrelevance.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Jurisdictional nullification is the acute stress on the License. A sovereign government can simply declare that the License does not apply within its territory, or that compliance with the License violates national security law, or that the steward who issued the License lacks standing to enforce it. [</w:t>
      </w:r>
      <w:hyperlink r:id="rId476">
        <w:r w:rsidDel="00000000" w:rsidR="00000000" w:rsidRPr="00000000">
          <w:rPr>
            <w:color w:val="1155cc"/>
            <w:u w:val="single"/>
            <w:rtl w:val="0"/>
          </w:rPr>
          <w:t xml:space="preserve">6</w:t>
        </w:r>
      </w:hyperlink>
      <w:r w:rsidDel="00000000" w:rsidR="00000000" w:rsidRPr="00000000">
        <w:rPr>
          <w:rtl w:val="0"/>
        </w:rPr>
        <w:t xml:space="preserve">] The License's burden-shifting mechanism depends on courts recognizing its validity. If the courts refuse, the License becomes a piece of paper with no enforcement mechanism. This is not a theoretical concern. Export control regimes, national security letters, and state secrecy laws routinely override contractual and license obligations in every major jurisdiction.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Parameter redefinition is the technical correlate of semantic drift. The License may prohibit execution without a complete Decision Log, but the definition of complete is encoded in the constitutional schema, which is subject to update. An adversary with administrative control over schema updates can redefine complete to exclude the evidentiary elements that would block their desired action. [</w:t>
      </w:r>
      <w:hyperlink r:id="rId477">
        <w:r w:rsidDel="00000000" w:rsidR="00000000" w:rsidRPr="00000000">
          <w:rPr>
            <w:color w:val="1155cc"/>
            <w:u w:val="single"/>
            <w:rtl w:val="0"/>
          </w:rPr>
          <w:t xml:space="preserve">6</w:t>
        </w:r>
      </w:hyperlink>
      <w:r w:rsidDel="00000000" w:rsidR="00000000" w:rsidRPr="00000000">
        <w:rPr>
          <w:rtl w:val="0"/>
        </w:rPr>
        <w:t xml:space="preserve">] The License prohibits the action, but the schema says the action is compliant. The conflict is resolved in favor of the schema because the schema is what the technical system actually enforces. The License becomes a historical document describing what the framework once meant, not what it currently does.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The three artifacts are interdependent in ways that create cascading failure modes. The Lantern depends on the Signature to verify that the implementation it monitors is legitimate. The Signature depends on the License to deter stripping and unauthorized forks. The License depends on the Lantern to detect when an implementation has lost legitimacy and should no longer be trusted. [</w:t>
      </w:r>
      <w:hyperlink r:id="rId478">
        <w:r w:rsidDel="00000000" w:rsidR="00000000" w:rsidRPr="00000000">
          <w:rPr>
            <w:color w:val="1155cc"/>
            <w:u w:val="single"/>
            <w:rtl w:val="0"/>
          </w:rPr>
          <w:t xml:space="preserve">6</w:t>
        </w:r>
      </w:hyperlink>
      <w:r w:rsidDel="00000000" w:rsidR="00000000" w:rsidRPr="00000000">
        <w:rPr>
          <w:rtl w:val="0"/>
        </w:rPr>
        <w:t xml:space="preserve">] Compromise of any one artifact degrades the others. A stripped Signature removes the Lantern's trust anchor, causing it to either falsely revoke a legitimate implementation or falsely validate a stripped fork. A poisoned Lantern suppresses revocation signals, allowing a compromised implementation to maintain License compliance in appearance while violating it in practice. A nullified License removes the legal deterrent that would otherwise discourage stripping and coercion.</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The survivability assessment rates the composite Goukassian Principle at Moderate in DITL mode and Low in software-only mode. The degradation from Moderate to Low reflects the loss of hardware-backed attestation for the Lantern, the increased feasibility of key extraction for the Signature, and the complete dependence on jurisdictional enforcement for the License. [</w:t>
      </w:r>
      <w:hyperlink r:id="rId479">
        <w:r w:rsidDel="00000000" w:rsidR="00000000" w:rsidRPr="00000000">
          <w:rPr>
            <w:color w:val="1155cc"/>
            <w:u w:val="single"/>
            <w:rtl w:val="0"/>
          </w:rPr>
          <w:t xml:space="preserve">6</w:t>
        </w:r>
      </w:hyperlink>
      <w:r w:rsidDel="00000000" w:rsidR="00000000" w:rsidRPr="00000000">
        <w:rPr>
          <w:rtl w:val="0"/>
        </w:rPr>
        <w:t xml:space="preserve">] The principle is not a substitute for hardware enforcement. It is a governance overlay that provides institutional accountability when hardware is present and institutional vulnerability when hardware is absent.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The sources do not specify the exact protocol for resolving Lantern beacon ambiguity between network failure and genuine suppression, though they mandate that such protocol must be defined by the Stewardship Custodians and anchored in the constitutional schema with redundant out-of-band verification channels.</w:t>
      </w:r>
    </w:p>
    <w:p w:rsidR="00000000" w:rsidDel="00000000" w:rsidP="00000000" w:rsidRDefault="00000000" w:rsidRPr="00000000" w14:paraId="00000375">
      <w:pPr>
        <w:pStyle w:val="Heading2"/>
        <w:rPr/>
      </w:pPr>
      <w:bookmarkStart w:colFirst="0" w:colLast="0" w:name="_1zw37gb056xr" w:id="48"/>
      <w:bookmarkEnd w:id="48"/>
      <w:r w:rsidDel="00000000" w:rsidR="00000000" w:rsidRPr="00000000">
        <w:rPr>
          <w:rtl w:val="0"/>
        </w:rPr>
        <w:t xml:space="preserve">7.5. Triadic State Integrity and Epistemic Exploitation</w:t>
      </w:r>
    </w:p>
    <w:p w:rsidR="00000000" w:rsidDel="00000000" w:rsidP="00000000" w:rsidRDefault="00000000" w:rsidRPr="00000000" w14:paraId="00000376">
      <w:pPr>
        <w:rPr/>
      </w:pPr>
      <w:r w:rsidDel="00000000" w:rsidR="00000000" w:rsidRPr="00000000">
        <w:rPr>
          <w:rtl w:val="0"/>
        </w:rPr>
        <w:t xml:space="preserve">The three economic decision states, Proceed (+1), Refuse (-1), and Epistemic Hold (0), are the complete alphabet of constitutional determination. Their integrity is the foundation of the entire framework. If an adversary can force a state transition that the evidence does not support, they can execute actions that the Goukassian Vow would block, or they can block actions that the Vow would permit, or they can paralyze the system through deliberate suspension. [</w:t>
      </w:r>
      <w:hyperlink r:id="rId480">
        <w:r w:rsidDel="00000000" w:rsidR="00000000" w:rsidRPr="00000000">
          <w:rPr>
            <w:color w:val="1155cc"/>
            <w:u w:val="single"/>
            <w:rtl w:val="0"/>
          </w:rPr>
          <w:t xml:space="preserve">6</w:t>
        </w:r>
      </w:hyperlink>
      <w:r w:rsidDel="00000000" w:rsidR="00000000" w:rsidRPr="00000000">
        <w:rPr>
          <w:rtl w:val="0"/>
        </w:rPr>
        <w:t xml:space="preserve">] These attacks target not the cryptography of the ledger or the physics of the hardware but the semantic interpretation of the evidence itself.</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Forced +1 under uncertainty is the attack that overrides Epistemic Hold to issue Proceed when the evidentiary basis is incomplete. This is the most dangerous triadic corruption because it authorizes execution without truth. The attack vector operates through governance capture rather than technical bypass. An adversary who controls a majority of the Stewardship Custodians, or who has compromised the Technical Council's model validation pipeline, can configure the constitutional schema to lower the evidentiary threshold for Proceed. [</w:t>
      </w:r>
      <w:hyperlink r:id="rId481">
        <w:r w:rsidDel="00000000" w:rsidR="00000000" w:rsidRPr="00000000">
          <w:rPr>
            <w:color w:val="1155cc"/>
            <w:u w:val="single"/>
            <w:rtl w:val="0"/>
          </w:rPr>
          <w:t xml:space="preserve">6</w:t>
        </w:r>
      </w:hyperlink>
      <w:r w:rsidDel="00000000" w:rsidR="00000000" w:rsidRPr="00000000">
        <w:rPr>
          <w:rtl w:val="0"/>
        </w:rPr>
        <w:t xml:space="preserve">] What previously required three independent data sources now requires one. What previously required cross-border regulatory alignment now requires domestic compliance only. What previously required stress-test validation now requires model output alone. Each parameter relaxation is individually defensible as operational streamlining. In aggregate, they transform the Governance Lane from a constitutional coprocessor into a rubber stamp.</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The historical precedent for forced +1 is the Basel II internal-models approach, where banks were permitted to use their own risk models for capital requirements. Over a decade of gradual parameter relaxation, the models became systematically optimistic, capital requirements fell below prudential levels, and the 2008 crisis revealed that the framework had been captured by the institutions it was supposed to govern. [</w:t>
      </w:r>
      <w:hyperlink r:id="rId482">
        <w:r w:rsidDel="00000000" w:rsidR="00000000" w:rsidRPr="00000000">
          <w:rPr>
            <w:color w:val="1155cc"/>
            <w:u w:val="single"/>
            <w:rtl w:val="0"/>
          </w:rPr>
          <w:t xml:space="preserve">6</w:t>
        </w:r>
      </w:hyperlink>
      <w:r w:rsidDel="00000000" w:rsidR="00000000" w:rsidRPr="00000000">
        <w:rPr>
          <w:rtl w:val="0"/>
        </w:rPr>
        <w:t xml:space="preserve">] TL's constitutional schema is subject to the same erosion. The Stewardship Custodians update the schema to accommodate new market conditions, new instrument types, and new regulatory guidance. Each update is a potential vector for forced +1 if the adversary controls the update process or influences the custodians through regulatory pressure, economic incentives, or political appointment.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Sacred Zero flooding is the attack that deliberately creates conditions triggering massive Epistemic Hold to cause operational paralysis and alert fatigue. The adversary does not need to compromise the Governance Lane. They need only degrade the quality or availability of the data sources that the lane depends upon. [</w:t>
      </w:r>
      <w:hyperlink r:id="rId483">
        <w:r w:rsidDel="00000000" w:rsidR="00000000" w:rsidRPr="00000000">
          <w:rPr>
            <w:color w:val="1155cc"/>
            <w:u w:val="single"/>
            <w:rtl w:val="0"/>
          </w:rPr>
          <w:t xml:space="preserve">6</w:t>
        </w:r>
      </w:hyperlink>
      <w:r w:rsidDel="00000000" w:rsidR="00000000" w:rsidRPr="00000000">
        <w:rPr>
          <w:rtl w:val="0"/>
        </w:rPr>
        <w:t xml:space="preserve">] A nation-state actor can delay the publication of sovereign debt statistics. A cyberattacker can corrupt the data feed from a central securities depository. An insider can misconfigure the regulatory nexus endpoint so that it returns stale sanctions lists. Each of these actions creates an evidentiary gap. The Governance Lane, operating correctly, issues Epistemic Hold on every proposal that depends on the missing or corrupted data.</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Alert fatigue is the operational response to Sacred Zero flooding. Human oversight teams, notified of every Epistemic Hold, initially investigate each one diligently. As the volume increases, investigation quality degrades. At approximately fifty to one hundred Holds per day per oversight team, institutional bypass behavior begins. [</w:t>
      </w:r>
      <w:hyperlink r:id="rId484">
        <w:r w:rsidDel="00000000" w:rsidR="00000000" w:rsidRPr="00000000">
          <w:rPr>
            <w:color w:val="1155cc"/>
            <w:u w:val="single"/>
            <w:rtl w:val="0"/>
          </w:rPr>
          <w:t xml:space="preserve">6</w:t>
        </w:r>
      </w:hyperlink>
      <w:r w:rsidDel="00000000" w:rsidR="00000000" w:rsidRPr="00000000">
        <w:rPr>
          <w:rtl w:val="0"/>
        </w:rPr>
        <w:t xml:space="preserve">] Teams develop standard override templates. They batch-process Holds without individual review. They escalate to the Stewardship Custodians with blanket requests for constitutional override rather than evidentiary supplementation. The Sacred Pause, intended as a mechanism for truth-seeking, becomes a bureaucratic delay that practitioners learn to circumvent. The adversary has weaponized the framework's own prudence against it.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The DITL hardware provides partial protection against Sacred Zero flooding because the physical stall does not depend on human oversight. The NULL state at half-Vdd persists regardless of how many proposals enter Epistemic Hold. [</w:t>
      </w:r>
      <w:hyperlink r:id="rId485">
        <w:r w:rsidDel="00000000" w:rsidR="00000000" w:rsidRPr="00000000">
          <w:rPr>
            <w:color w:val="1155cc"/>
            <w:u w:val="single"/>
            <w:rtl w:val="0"/>
          </w:rPr>
          <w:t xml:space="preserve">6</w:t>
        </w:r>
      </w:hyperlink>
      <w:r w:rsidDel="00000000" w:rsidR="00000000" w:rsidRPr="00000000">
        <w:rPr>
          <w:rtl w:val="0"/>
        </w:rPr>
        <w:t xml:space="preserve">] The C-elements withhold acknowledgment for each stalled proposal independently. There is no central queue that overflows, no alert threshold that degrades, no human team that fatigues. However, DITL does not prevent the adversary from flooding the Inference Lane with proposals that consume computational resources, starve the Governance Lane of bandwidth, or exhaust the Smart Contract Treasury's resource allocation budget. If the Treasury's counters reach their limit, the backpressure mechanism may force a system-wide throughput reduction that affects even well-evidenced proposals. The adversary achieves a denial-of-service outcome without bypassing a single constitutional gate.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Negative one suppression is the attack that prevents Refuse from being issued when harm is clear. This attack is particularly insidious because it exploits the institutional and economic incentives against refusal. A Refuse determination blocks revenue, prevents market entry, denies a trading opportunity, or halts a politically favored project. [</w:t>
      </w:r>
      <w:hyperlink r:id="rId486">
        <w:r w:rsidDel="00000000" w:rsidR="00000000" w:rsidRPr="00000000">
          <w:rPr>
            <w:color w:val="1155cc"/>
            <w:u w:val="single"/>
            <w:rtl w:val="0"/>
          </w:rPr>
          <w:t xml:space="preserve">6</w:t>
        </w:r>
      </w:hyperlink>
      <w:r w:rsidDel="00000000" w:rsidR="00000000" w:rsidRPr="00000000">
        <w:rPr>
          <w:rtl w:val="0"/>
        </w:rPr>
        <w:t xml:space="preserve">] The institution that receives the Refuse suffers immediate economic loss. The institution that issues the Refuse faces pressure from counterparties, regulators, and internal stakeholders who preferred Proceed. Over time, the Stewardship Custodians learn to interpret the Goukassian Vow's second mandate, refuse when harm is clear, as refuse when harm is unambiguously proven beyond reasonable doubt. The evidentiary threshold for Refuse rises. Proposals that would have been blocked six months ago now receive Epistemic Hold or even Proceed with conditional monitoring.</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The Technical Council can facilitate minus one suppression through model calibration. If the Inference Lane's risk model is recalibrated to produce lower probability of default estimates, fewer proposals trigger the Refuse threshold for credit risk. If the market manipulation detection algorithm is tuned to require higher confidence before flagging spoofing patterns, fewer trading proposals receive Refuse. [</w:t>
      </w:r>
      <w:hyperlink r:id="rId487">
        <w:r w:rsidDel="00000000" w:rsidR="00000000" w:rsidRPr="00000000">
          <w:rPr>
            <w:color w:val="1155cc"/>
            <w:u w:val="single"/>
            <w:rtl w:val="0"/>
          </w:rPr>
          <w:t xml:space="preserve">6</w:t>
        </w:r>
      </w:hyperlink>
      <w:r w:rsidDel="00000000" w:rsidR="00000000" w:rsidRPr="00000000">
        <w:rPr>
          <w:rtl w:val="0"/>
        </w:rPr>
        <w:t xml:space="preserve">] Each recalibration is individually justified by model performance metrics, data quality improvements, or regulatory guidance. In aggregate, they systematically suppress the Refuse state. The Goukassian Vow is not violated in letter. It is violated in spirit because the harm that was once clear has been rendered unclear through statistical manipulation.</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Fast and Slow Lane desynchronization creates race conditions that undermine triadic integrity. The Inference Lane operates at computational speed. The Governance Lane operates at evidentiary speed. Under normal conditions, the Governance Lane evaluates each proposal before the next arrives. Under adversarial pressure, the adversary manipulates the latency differential between the two lanes. [</w:t>
      </w:r>
      <w:hyperlink r:id="rId488">
        <w:r w:rsidDel="00000000" w:rsidR="00000000" w:rsidRPr="00000000">
          <w:rPr>
            <w:color w:val="1155cc"/>
            <w:u w:val="single"/>
            <w:rtl w:val="0"/>
          </w:rPr>
          <w:t xml:space="preserve">6</w:t>
        </w:r>
      </w:hyperlink>
      <w:r w:rsidDel="00000000" w:rsidR="00000000" w:rsidRPr="00000000">
        <w:rPr>
          <w:rtl w:val="0"/>
        </w:rPr>
        <w:t xml:space="preserve">] They can slow the Governance Lane by flooding it with complex proposals that require deep evidentiary analysis. They can speed the Inference Lane by submitting simplified proposals that bypass preliminary screening. The resulting queue imbalance creates a temporal window where proposals accumulate in the Governance Lane buffer while the Inference Lane continues to generate new proposals based on stale market conditions.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When desynchronization exceeds the maximum constitutional latency, the framework faces a forced choice. It can drop proposals from the buffer, which creates a selective execution vulnerability where the adversary's preferred proposals are retained and competing proposals are discarded. It can accelerate Governance Lane evaluation, which reduces evidentiary completeness and increases the rate of erroneous Proceed determinations. Or it can pause the Inference Lane entirely, which the adversary may have intended as the primary objective. [</w:t>
      </w:r>
      <w:hyperlink r:id="rId489">
        <w:r w:rsidDel="00000000" w:rsidR="00000000" w:rsidRPr="00000000">
          <w:rPr>
            <w:color w:val="1155cc"/>
            <w:u w:val="single"/>
            <w:rtl w:val="0"/>
          </w:rPr>
          <w:t xml:space="preserve">6</w:t>
        </w:r>
      </w:hyperlink>
      <w:r w:rsidDel="00000000" w:rsidR="00000000" w:rsidRPr="00000000">
        <w:rPr>
          <w:rtl w:val="0"/>
        </w:rPr>
        <w:t xml:space="preserve">] The DITL hardware mitigates desynchronization through the asynchronous handshake backpressure signal, which physically throttles the Inference Lane when the Governance Lane is occupied. However, the backpressure operates at the electrical level and does not prevent higher-level protocol attacks, such as submitting proposals through multiple parallel Inference Lane instances that overwhelm the Governance Lane's input multiplexing.</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The Tri-Cameral Governance Model provides institutional countermeasures against triadic state corruption. The Technical Council maintains independent model validation that is not subject to the same economic pressures as the Inference Lane's calibration. The Stewardship Custodians include representatives with mandatory Refuse authority, individuals who are compensated based on the number of harmful proposals they block rather than the number of profitable proposals they approve. [</w:t>
      </w:r>
      <w:hyperlink r:id="rId490">
        <w:r w:rsidDel="00000000" w:rsidR="00000000" w:rsidRPr="00000000">
          <w:rPr>
            <w:color w:val="1155cc"/>
            <w:u w:val="single"/>
            <w:rtl w:val="0"/>
          </w:rPr>
          <w:t xml:space="preserve">3</w:t>
        </w:r>
      </w:hyperlink>
      <w:r w:rsidDel="00000000" w:rsidR="00000000" w:rsidRPr="00000000">
        <w:rPr>
          <w:rtl w:val="0"/>
        </w:rPr>
        <w:t xml:space="preserve">] The Smart Contract Treasury imposes automated economic penalties on institutions that exhibit patterns of forced +1, Sacred Zero flooding, or minus one suppression. When a trading desk's proposals show a statistically anomalous rate of Proceed relative to industry benchmarks, the Treasury automatically increases its collateral requirements and reduces its credit lines. [</w:t>
      </w:r>
      <w:hyperlink r:id="rId491">
        <w:r w:rsidDel="00000000" w:rsidR="00000000" w:rsidRPr="00000000">
          <w:rPr>
            <w:color w:val="1155cc"/>
            <w:u w:val="single"/>
            <w:rtl w:val="0"/>
          </w:rPr>
          <w:t xml:space="preserve">3</w:t>
        </w:r>
      </w:hyperlink>
      <w:r w:rsidDel="00000000" w:rsidR="00000000" w:rsidRPr="00000000">
        <w:rPr>
          <w:rtl w:val="0"/>
        </w:rPr>
        <w:t xml:space="preserve">] These automated penalties remove the profit motive for state corruption.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The Decision Log provides the evidentiary substrate for detecting triadic state corruption after the fact. If an adversary forces +1 on a proposal that should have received Hold, the log contains the evidentiary gap that existed at the moment of determination. If an auditor later reviews the log and discovers that the model version was expired, the data provenance was unverified, or the regulatory nexus was incomplete, the forced +1 is exposed. [</w:t>
      </w:r>
      <w:hyperlink r:id="rId492">
        <w:r w:rsidDel="00000000" w:rsidR="00000000" w:rsidRPr="00000000">
          <w:rPr>
            <w:color w:val="1155cc"/>
            <w:u w:val="single"/>
            <w:rtl w:val="0"/>
          </w:rPr>
          <w:t xml:space="preserve">6</w:t>
        </w:r>
      </w:hyperlink>
      <w:r w:rsidDel="00000000" w:rsidR="00000000" w:rsidRPr="00000000">
        <w:rPr>
          <w:rtl w:val="0"/>
        </w:rPr>
        <w:t xml:space="preserve">] The Immutable Ledger prevents the adversary from retroactively altering the log to conceal the corruption. However, detection is post-hoc. The harmful action has already executed. The log provides accountability, not prevention. Prevention depends on the DITL hardware maintaining the physical stall during Epistemic Hold and the cryptographic enforcement of Refuse conditions.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The sources do not specify the exact statistical test for detecting anomalous Proceed rates indicative of forced +1 corruption, though they mandate that such tests must be maintained by the Technical Council and anchored in the constitutional schema with automatic Treasury penalty triggers upon detection.</w:t>
      </w:r>
    </w:p>
    <w:p w:rsidR="00000000" w:rsidDel="00000000" w:rsidP="00000000" w:rsidRDefault="00000000" w:rsidRPr="00000000" w14:paraId="0000038F">
      <w:pPr>
        <w:pStyle w:val="Heading2"/>
        <w:rPr/>
      </w:pPr>
      <w:bookmarkStart w:colFirst="0" w:colLast="0" w:name="_kpuq52x35dd" w:id="49"/>
      <w:bookmarkEnd w:id="49"/>
      <w:r w:rsidDel="00000000" w:rsidR="00000000" w:rsidRPr="00000000">
        <w:rPr>
          <w:rtl w:val="0"/>
        </w:rPr>
        <w:t xml:space="preserve">7.6. Root Override and Low-Level Attack Vectors</w:t>
      </w:r>
    </w:p>
    <w:p w:rsidR="00000000" w:rsidDel="00000000" w:rsidP="00000000" w:rsidRDefault="00000000" w:rsidRPr="00000000" w14:paraId="00000390">
      <w:pPr>
        <w:rPr/>
      </w:pPr>
      <w:r w:rsidDel="00000000" w:rsidR="00000000" w:rsidRPr="00000000">
        <w:rPr>
          <w:rtl w:val="0"/>
        </w:rPr>
        <w:t xml:space="preserve">The Governance Lane's constitutional determinations are only as strong as the substrate that enforces them. An adversary who cannot corrupt the triadic logic through semantic manipulation will attempt to corrupt the hardware and software layers beneath it. Ternary Logic faces ten distinct low-level attack vectors that target the execution environment, the cryptographic material, and the physical boundary of the coprocessor. [</w:t>
      </w:r>
      <w:hyperlink r:id="rId493">
        <w:r w:rsidDel="00000000" w:rsidR="00000000" w:rsidRPr="00000000">
          <w:rPr>
            <w:color w:val="1155cc"/>
            <w:u w:val="single"/>
            <w:rtl w:val="0"/>
          </w:rPr>
          <w:t xml:space="preserve">6</w:t>
        </w:r>
      </w:hyperlink>
      <w:r w:rsidDel="00000000" w:rsidR="00000000" w:rsidRPr="00000000">
        <w:rPr>
          <w:rtl w:val="0"/>
        </w:rPr>
        <w:t xml:space="preserve">] Each vector has a defined cost, time requirement, detection probability, and non-maskable interrupt generation potential.</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Vector 1 is superuser or kernel-level compromise. An attacker with root access on the host system can modify the instruction stream, patch the operating system, or load a kernel module that intercepts system calls to the Governance Lane interface. In software-only emulation mode, this vector is trivial and total. Root access can suppress log generation, fabricate Permission Tokens, override the Merkle accumulator, and disable the execution gate entirely. [</w:t>
      </w:r>
      <w:hyperlink r:id="rId494">
        <w:r w:rsidDel="00000000" w:rsidR="00000000" w:rsidRPr="00000000">
          <w:rPr>
            <w:color w:val="1155cc"/>
            <w:u w:val="single"/>
            <w:rtl w:val="0"/>
          </w:rPr>
          <w:t xml:space="preserve">6</w:t>
        </w:r>
      </w:hyperlink>
      <w:r w:rsidDel="00000000" w:rsidR="00000000" w:rsidRPr="00000000">
        <w:rPr>
          <w:rtl w:val="0"/>
        </w:rPr>
        <w:t xml:space="preserve">] In DITL hardware mode, root access is explicitly stripped of authority over the logging subsystem. The specification categorically denies ring-zero privileges, kernel debugging flags, hypervisor hypercalls, and System Management Mode routines the ability to suppress log generation or bypass the Merkle capability token. [</w:t>
      </w:r>
      <w:hyperlink r:id="rId495">
        <w:r w:rsidDel="00000000" w:rsidR="00000000" w:rsidRPr="00000000">
          <w:rPr>
            <w:color w:val="1155cc"/>
            <w:u w:val="single"/>
            <w:rtl w:val="0"/>
          </w:rPr>
          <w:t xml:space="preserve">6</w:t>
        </w:r>
      </w:hyperlink>
      <w:r w:rsidDel="00000000" w:rsidR="00000000" w:rsidRPr="00000000">
        <w:rPr>
          <w:rtl w:val="0"/>
        </w:rPr>
        <w:t xml:space="preserve">] The DITL coprocessor operates in a physically isolated power domain with its own memory space. Root access on the host cannot reach the coprocessor's registers. Cost is negligible for software mode. Cost is high for DITL mode because it requires physical attack on the isolated subsystem. Detection probability is low in software mode because kernel-level modifications are designed to be stealthy. Detection probability is high in DITL mode because unauthorized access attempts trigger the tamper mesh. NMI generation is high in DITL mode because the tamper mesh triggers key zeroization and safe harbor transition.</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Vector 2 is hypervisor escape. In virtualized environments, the hypervisor controls resource allocation, memory mapping, and device access between guest virtual machines. A compromised hypervisor can remap the Governance Lane's memory pages, intercept its device I/O, or present a fake coprocessor interface to the guest. [</w:t>
      </w:r>
      <w:hyperlink r:id="rId496">
        <w:r w:rsidDel="00000000" w:rsidR="00000000" w:rsidRPr="00000000">
          <w:rPr>
            <w:color w:val="1155cc"/>
            <w:u w:val="single"/>
            <w:rtl w:val="0"/>
          </w:rPr>
          <w:t xml:space="preserve">6</w:t>
        </w:r>
      </w:hyperlink>
      <w:r w:rsidDel="00000000" w:rsidR="00000000" w:rsidRPr="00000000">
        <w:rPr>
          <w:rtl w:val="0"/>
        </w:rPr>
        <w:t xml:space="preserve">] This vector is particularly dangerous in cloud deployments where the infrastructure provider, not the institution, controls the hypervisor. The provider may be compelled by national security law to facilitate hypervisor-level surveillance. DITL mitigates this through physical isolation. The coprocessor is not a virtualized device. It is a physical chip on the host motherboard with dedicated bus lines that do not traverse the hypervisor's I/O virtualization layer. A hypervisor escape cannot remap physical PCIe lanes or intercept signals on the DITL governance bus. Cost is moderate for software mode. Cost is high for DITL mode because it requires hardware-level bus tapping. Detection probability is moderate in software mode. Detection probability is high in DITL mode because bus anomaly detectors monitor for unexpected traffic patterns. NMI generation is high in DITL mode.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Vector 3 is microcode manipulation. Modern CPUs execute complex instruction sets through microcode, a firmware layer that translates architectural instructions into internal operations. CPU vendors issue microcode updates to patch security vulnerabilities, but these updates also create a vector for backdoor insertion. [</w:t>
      </w:r>
      <w:hyperlink r:id="rId497">
        <w:r w:rsidDel="00000000" w:rsidR="00000000" w:rsidRPr="00000000">
          <w:rPr>
            <w:color w:val="1155cc"/>
            <w:u w:val="single"/>
            <w:rtl w:val="0"/>
          </w:rPr>
          <w:t xml:space="preserve">6</w:t>
        </w:r>
      </w:hyperlink>
      <w:r w:rsidDel="00000000" w:rsidR="00000000" w:rsidRPr="00000000">
        <w:rPr>
          <w:rtl w:val="0"/>
        </w:rPr>
        <w:t xml:space="preserve">] A nation-state actor with influence over a CPU vendor, or a compromised vendor update infrastructure, can inject microcode that alters the behavior of cryptographic instructions, bypasses memory protection, or leaks key material through side channels. DITL mitigates this because the coprocessor does not execute the host CPU's microcode. It executes its own asynchronous ternary logic on a separate die with a separate fabrication process. A microcode backdoor in the host CPU cannot affect the DITL handshake protocol because the protocol operates on physically distinct transistors with distinct instruction semantics. Cost is high for both modes because it requires vendor cooperation or infrastructure compromise. Detection probability is low because microcode is encrypted and authenticated by vendor keys, making independent verification difficult. NMI generation is low because microcode manipulation is designed to be invisible.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Vector 4 is enclave debug port exploitation. Trusted Execution Environments such as Intel SGX and ARM TrustZone provide isolated execution for sensitive code, but they include debug interfaces for development and manufacturing test. These interfaces, when improperly fused or re-enabled through voltage glitching, provide direct read and write access to enclave memory. [</w:t>
      </w:r>
      <w:hyperlink r:id="rId498">
        <w:r w:rsidDel="00000000" w:rsidR="00000000" w:rsidRPr="00000000">
          <w:rPr>
            <w:color w:val="1155cc"/>
            <w:u w:val="single"/>
            <w:rtl w:val="0"/>
          </w:rPr>
          <w:t xml:space="preserve">6</w:t>
        </w:r>
      </w:hyperlink>
      <w:r w:rsidDel="00000000" w:rsidR="00000000" w:rsidRPr="00000000">
        <w:rPr>
          <w:rtl w:val="0"/>
        </w:rPr>
        <w:t xml:space="preserve">] The Triadic Coprocessor must fuse its debug ports during production, rendering them permanently inaccessible. Any future debugging must occur through dedicated secure test interfaces that require physical possession of multiple Stewardship Custodian keys. Cost is moderate. Time requirement is hours to days. Detection probability is moderate if the fusion status is verified through remote attestation. NMI generation is high if the debug port intrusion triggers the tamper mesh.</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Vector 5 is JTAG boundary scan exploitation. JTAG provides direct access to chip internals for testing and debugging. Most modern chips support JTAG lock bits, but voltage glitching can downgrade protection levels. The faulTPM attack demonstrated that TPM security can be compromised with fifty-dollar equipment and moderate expertise. [</w:t>
      </w:r>
      <w:hyperlink r:id="rId499">
        <w:r w:rsidDel="00000000" w:rsidR="00000000" w:rsidRPr="00000000">
          <w:rPr>
            <w:color w:val="1155cc"/>
            <w:u w:val="single"/>
            <w:rtl w:val="0"/>
          </w:rPr>
          <w:t xml:space="preserve">6</w:t>
        </w:r>
      </w:hyperlink>
      <w:r w:rsidDel="00000000" w:rsidR="00000000" w:rsidRPr="00000000">
        <w:rPr>
          <w:rtl w:val="0"/>
        </w:rPr>
        <w:t xml:space="preserve">] For the Triadic Coprocessor, JTAG must be permanently fused. The specification mandates that the Test Access Port be disabled at the mask level, not merely through software lock bits. Cost is low if the port is not properly fused. Cost is high if fused because it requires focused ion beam milling at one hundred thousand dollars or more per chip. Detection probability is high for unfused ports because JTAG activity is electrically detectable. NMI generation is high for fused ports because intrusion attempts trigger the tamper mesh.</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Vector 6 is DMA attack. Direct Memory Access allows peripheral devices to read and write system memory without CPU involvement. A compromised DMA-capable device, such as a network card or storage controller, can access the Governance Lane's memory regions, extract key material, or modify the Merkle accumulator state. [</w:t>
      </w:r>
      <w:hyperlink r:id="rId500">
        <w:r w:rsidDel="00000000" w:rsidR="00000000" w:rsidRPr="00000000">
          <w:rPr>
            <w:color w:val="1155cc"/>
            <w:u w:val="single"/>
            <w:rtl w:val="0"/>
          </w:rPr>
          <w:t xml:space="preserve">6</w:t>
        </w:r>
      </w:hyperlink>
      <w:r w:rsidDel="00000000" w:rsidR="00000000" w:rsidRPr="00000000">
        <w:rPr>
          <w:rtl w:val="0"/>
        </w:rPr>
        <w:t xml:space="preserve">] DITL mitigates this through memory isolation. The coprocessor's nvSRAM accumulator and token registers are not mapped into the host system's DMA address space. They are physically inaccessible to DMA controllers. The host CPU communicates with the coprocessor through a narrow message-passing interface, not through shared memory. Cost is moderate for software mode. Cost is high for DITL mode because it requires hardware modification to bridge the DMA isolation. Detection probability is moderate. NMI generation is moderate.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Vector 7 is emergency key abuse. The specification may include emergency override keys for disaster recovery, constitutional continuity during custodian incapacitation, or national security scenarios. These keys are the most dangerous cryptographic material in the system because they are designed to bypass normal quorum requirements. [</w:t>
      </w:r>
      <w:hyperlink r:id="rId501">
        <w:r w:rsidDel="00000000" w:rsidR="00000000" w:rsidRPr="00000000">
          <w:rPr>
            <w:color w:val="1155cc"/>
            <w:u w:val="single"/>
            <w:rtl w:val="0"/>
          </w:rPr>
          <w:t xml:space="preserve">6</w:t>
        </w:r>
      </w:hyperlink>
      <w:r w:rsidDel="00000000" w:rsidR="00000000" w:rsidRPr="00000000">
        <w:rPr>
          <w:rtl w:val="0"/>
        </w:rPr>
        <w:t xml:space="preserve">] If the emergency keys are stored in software, they are extractable through memory forensics. If stored in HSMs, they are extractable through side-channel analysis or coercion of the key ceremony participants. DITL mitigates this by fragmenting emergency key material across multiple physically separated modules, requiring simultaneous physical presence at multiple geographically distributed locations to reconstruct the key. Cost is moderate. Time requirement is hours to days. Detection probability is moderate because emergency key usage is logged, but the log itself may be suppressed if the adversary controls the logging infrastructure. NMI generation is low because emergency key usage is a legitimate, if dangerous, operational mode.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Vector 8 is voltage glitching. This fault injection technique manipulates the power supply to cause timing violations, skip security checks, or corrupt state transitions. Equipment costs as little as fifty dollars. Glitch widths of one hundred to four hundred nanoseconds with voltage drops near ground level induce setup and hold time violations in conventional CMOS logic. [</w:t>
      </w:r>
      <w:hyperlink r:id="rId502">
        <w:r w:rsidDel="00000000" w:rsidR="00000000" w:rsidRPr="00000000">
          <w:rPr>
            <w:color w:val="1155cc"/>
            <w:u w:val="single"/>
            <w:rtl w:val="0"/>
          </w:rPr>
          <w:t xml:space="preserve">6</w:t>
        </w:r>
      </w:hyperlink>
      <w:r w:rsidDel="00000000" w:rsidR="00000000" w:rsidRPr="00000000">
        <w:rPr>
          <w:rtl w:val="0"/>
        </w:rPr>
        <w:t xml:space="preserve">] For ternary logic circuits, the voltage margins between states are narrower if voltage-level encoding is used, potentially making them more susceptible to glitch-induced corruption. The specification mandates 1-of-3 rail encoding to preserve full noise margins. DITL's asynchronous handshake protocol is inherently more resistant to glitching than clocked logic because there are no clock edges to exploit, but the C-elements and completion detectors are still analog circuits with threshold voltages that can be manipulated. Cost is very low. Time requirement is minutes to hours. Detection probability is moderate if on-die voltage monitors are present. NMI generation is high if voltage anomaly detectors trigger safe harbor.</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Vector 9 is cold boot attack. This technique exploits the data remanence property of DRAM and SRAM to extract cryptographic keys from memory after power loss. When a system is powered down, the memory contents fade gradually rather than disappearing instantly. An attacker with physical access can freeze the memory modules with compressed air, remove them, and read their contents in another machine. [</w:t>
      </w:r>
      <w:hyperlink r:id="rId503">
        <w:r w:rsidDel="00000000" w:rsidR="00000000" w:rsidRPr="00000000">
          <w:rPr>
            <w:color w:val="1155cc"/>
            <w:u w:val="single"/>
            <w:rtl w:val="0"/>
          </w:rPr>
          <w:t xml:space="preserve">6</w:t>
        </w:r>
      </w:hyperlink>
      <w:r w:rsidDel="00000000" w:rsidR="00000000" w:rsidRPr="00000000">
        <w:rPr>
          <w:rtl w:val="0"/>
        </w:rPr>
        <w:t xml:space="preserve">] DITL mitigates this because the coprocessor's key material is stored in non-volatile memristive cells, not in DRAM. The memristor's resistance state persists without power and is not subject to remanence extraction. However, if the coprocessor includes SRAM buffers for intermediate computation, these may be vulnerable. The specification mandates that all key material be stored exclusively in memristive registers and that SRAM buffers be flushed with random data before power-down. Cost is low. Time requirement is minutes. Detection probability is low because the attack leaves no trace. NMI generation is low because the attack occurs after power loss.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Vector 10 is electromagnetic fault injection. This is a contactless attack that uses electromagnetic pulses to induce currents in chip circuitry, causing bit flips, instruction skips, or cryptographic faults. EMFI is particularly dangerous because it requires no physical modification of the target board. Equipment costs as low as one hundred dollars. Success rates of twenty-two percent have been demonstrated against AMD Secure Processor boot sequences. [</w:t>
      </w:r>
      <w:hyperlink r:id="rId504">
        <w:r w:rsidDel="00000000" w:rsidR="00000000" w:rsidRPr="00000000">
          <w:rPr>
            <w:color w:val="1155cc"/>
            <w:u w:val="single"/>
            <w:rtl w:val="0"/>
          </w:rPr>
          <w:t xml:space="preserve">6</w:t>
        </w:r>
      </w:hyperlink>
      <w:r w:rsidDel="00000000" w:rsidR="00000000" w:rsidRPr="00000000">
        <w:rPr>
          <w:rtl w:val="0"/>
        </w:rPr>
        <w:t xml:space="preserve">] DITL's asynchronous circuits are more resistant to EMFI than synchronous circuits because there is no global clock to disrupt, but individual C-elements and completion detectors can still be corrupted by induced currents. The specification mandates active electromagnetic anomaly detectors on the coprocessor die that trigger non-maskable interrupts when field strength exceeds operational thresholds. Cost is low. Time requirement is minutes to hours. Detection probability is high if on-die EM sensors are present. NMI generation is high.</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The aggregate risk matrix reveals a pattern. Software-only emulation mode is vulnerable to vectors 1, 2, 5, 7, and 9 at negligible to low cost. Firmware-bound mode is vulnerable to vectors 3, 5, and 8 at moderate cost. DITL hardware mode is vulnerable primarily to vectors 8 and 10 at low cost, but with high detection probability and high NMI generation. [</w:t>
      </w:r>
      <w:hyperlink r:id="rId505">
        <w:r w:rsidDel="00000000" w:rsidR="00000000" w:rsidRPr="00000000">
          <w:rPr>
            <w:color w:val="1155cc"/>
            <w:u w:val="single"/>
            <w:rtl w:val="0"/>
          </w:rPr>
          <w:t xml:space="preserve">6</w:t>
        </w:r>
      </w:hyperlink>
      <w:r w:rsidDel="00000000" w:rsidR="00000000" w:rsidRPr="00000000">
        <w:rPr>
          <w:rtl w:val="0"/>
        </w:rPr>
        <w:t xml:space="preserve">] The shift from software to hardware does not eliminate low-level attacks. It transforms them from stealthy, high-probability successes into noisy, high-risk attempts that trigger immediate constitutional safe harbor.</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The specification mandates that every Triadic Coprocessor include a non-maskable interrupt generator connected to the tamper mesh, the voltage monitors, the temperature sensors, and the electromagnetic anomaly detectors. When any sensor detects anomalous conditions, the NMI generator triggers a safe harbor transition that halts all pending executions, zeroizes ephemeral key material, and locks the MT gates in the high-resistance Refuse state. [</w:t>
      </w:r>
      <w:hyperlink r:id="rId506">
        <w:r w:rsidDel="00000000" w:rsidR="00000000" w:rsidRPr="00000000">
          <w:rPr>
            <w:color w:val="1155cc"/>
            <w:u w:val="single"/>
            <w:rtl w:val="0"/>
          </w:rPr>
          <w:t xml:space="preserve">6</w:t>
        </w:r>
      </w:hyperlink>
      <w:r w:rsidDel="00000000" w:rsidR="00000000" w:rsidRPr="00000000">
        <w:rPr>
          <w:rtl w:val="0"/>
        </w:rPr>
        <w:t xml:space="preserve">] The NMI is non-maskable not merely in name but in architecture: it is generated by dedicated analog circuits with independent power supplies that cannot be disabled by software, firmware, or hypervisor commands. This is the hardware realization of the Goukassian Vow's second mandate. When the physical integrity of the governance substrate is threatened, the system refuses.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The Tri-Cameral Governance Model distributes physical oversight to prevent insider exploitation of low-level vectors. The Technical Council maintains the secure test interfaces and verifies that debug ports remain fused. The Stewardship Custodians control the emergency key fragments and audit their usage. [</w:t>
      </w:r>
      <w:hyperlink r:id="rId507">
        <w:r w:rsidDel="00000000" w:rsidR="00000000" w:rsidRPr="00000000">
          <w:rPr>
            <w:color w:val="1155cc"/>
            <w:u w:val="single"/>
            <w:rtl w:val="0"/>
          </w:rPr>
          <w:t xml:space="preserve">3</w:t>
        </w:r>
      </w:hyperlink>
      <w:r w:rsidDel="00000000" w:rsidR="00000000" w:rsidRPr="00000000">
        <w:rPr>
          <w:rtl w:val="0"/>
        </w:rPr>
        <w:t xml:space="preserve">] The Smart Contract Treasury manages the economic resources for continuous coprocessor replacement, ensuring that deployed chips are retired before their vulnerability windows expand due to accumulated physical degradation or discovered design flaws. The constitutional separation prevents any single chamber from authorizing a debug port re-enable, an emergency key reconstruction, or a sensor threshold relaxation that would open a low-level attack vector.</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 sources do not specify the exact electromagnetic field strength threshold for triggering the NMI generator, though they mandate that such threshold must be calibrated by the Technical Council to exceed normal operational interference while remaining below the field strength required for fault injection. [</w:t>
      </w:r>
      <w:hyperlink r:id="rId50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AD">
      <w:pPr>
        <w:pStyle w:val="Heading2"/>
        <w:rPr/>
      </w:pPr>
      <w:bookmarkStart w:colFirst="0" w:colLast="0" w:name="_6jbdorsznuvd" w:id="50"/>
      <w:bookmarkEnd w:id="50"/>
      <w:r w:rsidDel="00000000" w:rsidR="00000000" w:rsidRPr="00000000">
        <w:rPr>
          <w:rtl w:val="0"/>
        </w:rPr>
        <w:t xml:space="preserve">7.7. Governance Capture and Institutional Attack Vectors</w:t>
      </w:r>
    </w:p>
    <w:p w:rsidR="00000000" w:rsidDel="00000000" w:rsidP="00000000" w:rsidRDefault="00000000" w:rsidRPr="00000000" w14:paraId="000003AE">
      <w:pPr>
        <w:rPr/>
      </w:pPr>
      <w:r w:rsidDel="00000000" w:rsidR="00000000" w:rsidRPr="00000000">
        <w:rPr>
          <w:rtl w:val="0"/>
        </w:rPr>
        <w:t xml:space="preserve">Institutional governance is the final and most persistent attack surface. When technical bypass fails, adversaries target the human and organizational mechanisms that maintain the constitutional schema. Ternary Logic's Tri-Cameral model is designed to distribute authority, but distribution is not immunity. The same institutional dynamics that corrupt traditional regulatory frameworks can corrupt TL's Stewardship Custodians, Technical Council, and Smart Contract Treasury. [</w:t>
      </w:r>
      <w:hyperlink r:id="rId50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 fifty-one percent custodian attack is the governance analogue of a blockchain majority attack. If an adversary controls a majority of the Stewardship Custodian seats, they can vote to modify the constitutional schema, relax evidentiary requirements, approve emergency overrides, or replace other custodians with compliant actors. [</w:t>
      </w:r>
      <w:hyperlink r:id="rId510">
        <w:r w:rsidDel="00000000" w:rsidR="00000000" w:rsidRPr="00000000">
          <w:rPr>
            <w:color w:val="1155cc"/>
            <w:u w:val="single"/>
            <w:rtl w:val="0"/>
          </w:rPr>
          <w:t xml:space="preserve">6</w:t>
        </w:r>
      </w:hyperlink>
      <w:r w:rsidDel="00000000" w:rsidR="00000000" w:rsidRPr="00000000">
        <w:rPr>
          <w:rtl w:val="0"/>
        </w:rPr>
        <w:t xml:space="preserve">] The attack does not require technical sophistication. It requires political influence, economic pressure, or procedural manipulation of the custodian selection process. In democratic jurisdictions, custodians may be appointed by elected officials subject to partisan turnover. In corporate jurisdictions, they may be selected by boards subject to shareholder activism. In international frameworks, they may be nominated by member states subject to diplomatic bargaining.</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The specification mitigates this through supermajority requirements and timelock mechanisms. Constitutional schema modifications require not merely a majority but a supermajority, typically two-thirds or three-quarters of seated custodians. [</w:t>
      </w:r>
      <w:hyperlink r:id="rId511">
        <w:r w:rsidDel="00000000" w:rsidR="00000000" w:rsidRPr="00000000">
          <w:rPr>
            <w:color w:val="1155cc"/>
            <w:u w:val="single"/>
            <w:rtl w:val="0"/>
          </w:rPr>
          <w:t xml:space="preserve">3</w:t>
        </w:r>
      </w:hyperlink>
      <w:r w:rsidDel="00000000" w:rsidR="00000000" w:rsidRPr="00000000">
        <w:rPr>
          <w:rtl w:val="0"/>
        </w:rPr>
        <w:t xml:space="preserve">] Emergency overrides require unanimous or near-unanimous consent. Timelocks delay the effect of approved modifications by a mandatory cooling-off period, typically thirty to ninety days, during which external auditors and affected parties can review the change. [</w:t>
      </w:r>
      <w:hyperlink r:id="rId512">
        <w:r w:rsidDel="00000000" w:rsidR="00000000" w:rsidRPr="00000000">
          <w:rPr>
            <w:color w:val="1155cc"/>
            <w:u w:val="single"/>
            <w:rtl w:val="0"/>
          </w:rPr>
          <w:t xml:space="preserve">6</w:t>
        </w:r>
      </w:hyperlink>
      <w:r w:rsidDel="00000000" w:rsidR="00000000" w:rsidRPr="00000000">
        <w:rPr>
          <w:rtl w:val="0"/>
        </w:rPr>
        <w:t xml:space="preserve">] These mechanisms increase the cost and visibility of capture but do not eliminate it. A patient adversary who controls the appointment pipeline can gradually replace custodians over multiple electoral or appointment cycles, achieving supermajority compliance without triggering immediate alarm.</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The Technical Council backdoor is a subtler form of governance capture. The Council validates the mathematical integrity of models, the correctness of cryptographic implementations, and the calibration of detection algorithms. An adversary who controls a majority of the Council can certify a compromised model as valid, approve a weakened cryptographic parameter set, or sign off on a detection algorithm that systematically fails to flag the adversary's preferred manipulation patterns. [</w:t>
      </w:r>
      <w:hyperlink r:id="rId513">
        <w:r w:rsidDel="00000000" w:rsidR="00000000" w:rsidRPr="00000000">
          <w:rPr>
            <w:color w:val="1155cc"/>
            <w:u w:val="single"/>
            <w:rtl w:val="0"/>
          </w:rPr>
          <w:t xml:space="preserve">6</w:t>
        </w:r>
      </w:hyperlink>
      <w:r w:rsidDel="00000000" w:rsidR="00000000" w:rsidRPr="00000000">
        <w:rPr>
          <w:rtl w:val="0"/>
        </w:rPr>
        <w:t xml:space="preserve">] This attack is particularly dangerous because it exploits the epistemic authority of technical expertise. Non-technical Stewardship Custodians and Smart Contract Treasury members lack the mathematical literacy to independently verify Council certifications. They must trust the Council's attestation, creating a hierarchical dependency that contradicts the Tri-Cameral model's intended distribution.</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The specification mitigates this through multi-party validation and open algorithmic audit. Critical model certifications require review by multiple independent technical committees, not merely the primary Technical Council. [</w:t>
      </w:r>
      <w:hyperlink r:id="rId514">
        <w:r w:rsidDel="00000000" w:rsidR="00000000" w:rsidRPr="00000000">
          <w:rPr>
            <w:color w:val="1155cc"/>
            <w:u w:val="single"/>
            <w:rtl w:val="0"/>
          </w:rPr>
          <w:t xml:space="preserve">3</w:t>
        </w:r>
      </w:hyperlink>
      <w:r w:rsidDel="00000000" w:rsidR="00000000" w:rsidRPr="00000000">
        <w:rPr>
          <w:rtl w:val="0"/>
        </w:rPr>
        <w:t xml:space="preserve">] The constitutional schema and model parameters are published to the Immutable Ledger, allowing external researchers and regulators to verify the certifications. However, open audit depends on the existence of qualified external reviewers who are not subject to the same capture pressures as the Council. In specialized domains such as sovereign debt modeling or catastrophe risk calibration, the global pool of independent experts may be small enough that the adversary can influence or intimidate all plausible reviewers.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Treasury deadlock is the attack that paralyzes the Smart Contract Treasury through institutional conflict, preventing it from allocating the resources required for Governance Lane operation. The Treasury manages the economic incentives, collateral reserves, and liquidity buffers that sustain constitutional enforcement. If the Treasury cannot reach quorum on resource allocation, the Governance Lane may lack the computational capacity, network bandwidth, or financial backing to evaluate proposals. [</w:t>
      </w:r>
      <w:hyperlink r:id="rId515">
        <w:r w:rsidDel="00000000" w:rsidR="00000000" w:rsidRPr="00000000">
          <w:rPr>
            <w:color w:val="1155cc"/>
            <w:u w:val="single"/>
            <w:rtl w:val="0"/>
          </w:rPr>
          <w:t xml:space="preserve">6</w:t>
        </w:r>
      </w:hyperlink>
      <w:r w:rsidDel="00000000" w:rsidR="00000000" w:rsidRPr="00000000">
        <w:rPr>
          <w:rtl w:val="0"/>
        </w:rPr>
        <w:t xml:space="preserve">] This creates a de facto bypass not through corruption but through exhaustion. Proposals queue indefinitely. The institution faces operational paralysis. Executive management demands emergency override to restore function. The deadlock has achieved what direct attack could not.</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specification mitigates this through automatic resource pre-allocation and constitutional minimums. The Treasury must maintain a baseline resource reserve that is automatically allocated to Governance Lane operations regardless of current quorum status. [</w:t>
      </w:r>
      <w:hyperlink r:id="rId516">
        <w:r w:rsidDel="00000000" w:rsidR="00000000" w:rsidRPr="00000000">
          <w:rPr>
            <w:color w:val="1155cc"/>
            <w:u w:val="single"/>
            <w:rtl w:val="0"/>
          </w:rPr>
          <w:t xml:space="preserve">3</w:t>
        </w:r>
      </w:hyperlink>
      <w:r w:rsidDel="00000000" w:rsidR="00000000" w:rsidRPr="00000000">
        <w:rPr>
          <w:rtl w:val="0"/>
        </w:rPr>
        <w:t xml:space="preserve">] The Smart Contract Treasury's algorithmic agents can execute routine allocations without human quorum, reserving human deliberation for exceptional or controversial distributions. However, if the deadlock extends to the algorithmic agents themselves, through compromise of their signing keys or corruption of their allocation logic, the automatic mechanisms fail.</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Emergency override abuse is the most quantified institutional vulnerability. Historical analysis of governance frameworks with emergency provisions reveals that twenty to thirty-five percent of emergency overrides are later determined to have been unnecessary, improperly justified, or deliberately fabricated to bypass normal constraints. [</w:t>
      </w:r>
      <w:hyperlink r:id="rId517">
        <w:r w:rsidDel="00000000" w:rsidR="00000000" w:rsidRPr="00000000">
          <w:rPr>
            <w:color w:val="1155cc"/>
            <w:u w:val="single"/>
            <w:rtl w:val="0"/>
          </w:rPr>
          <w:t xml:space="preserve">6</w:t>
        </w:r>
      </w:hyperlink>
      <w:r w:rsidDel="00000000" w:rsidR="00000000" w:rsidRPr="00000000">
        <w:rPr>
          <w:rtl w:val="0"/>
        </w:rPr>
        <w:t xml:space="preserve">] This rate persists across democratic and authoritarian regimes, across corporate and governmental institutions, and across financial and non-financial domains. The emergency provision is structurally vulnerable because it exploits the legitimate urgency of genuine crises to authorize bypasses that would never be approved under normal conditions.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TL's constitutional override protocol attempts to constrain this through mandatory evidentiary documentation, supermajority quorum, and post-hoc audit. The emergency session must record the specific crisis circumstances, the evidentiary risks of delay, and the constitutional basis for accelerated evaluation. [</w:t>
      </w:r>
      <w:hyperlink r:id="rId518">
        <w:r w:rsidDel="00000000" w:rsidR="00000000" w:rsidRPr="00000000">
          <w:rPr>
            <w:color w:val="1155cc"/>
            <w:u w:val="single"/>
            <w:rtl w:val="0"/>
          </w:rPr>
          <w:t xml:space="preserve">3</w:t>
        </w:r>
      </w:hyperlink>
      <w:r w:rsidDel="00000000" w:rsidR="00000000" w:rsidRPr="00000000">
        <w:rPr>
          <w:rtl w:val="0"/>
        </w:rPr>
        <w:t xml:space="preserve">] The Decision Log for an override is permanently flagged and subject to mandatory review by external auditors within a defined window. However, the twenty to thirty-five percent historical rate suggests that even these constraints are insufficient. An institution that faces repeated genuine emergencies will develop standard override templates, pre-justified evidentiary packages, and compliant external auditors who rubber-stamp the post-hoc review. The emergency provision becomes the normal operating mode, and the constitutional constraints become the exception.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Custodian collusion thresholds define the precise mathematical boundary between secure and captured governance. The specification employs Shamir Secret Sharing with six custodians and a three-of-six quorum for critical operations such as crypto-shredding, schema modification, and emergency key reconstruction. [</w:t>
      </w:r>
      <w:hyperlink r:id="rId519">
        <w:r w:rsidDel="00000000" w:rsidR="00000000" w:rsidRPr="00000000">
          <w:rPr>
            <w:color w:val="1155cc"/>
            <w:u w:val="single"/>
            <w:rtl w:val="0"/>
          </w:rPr>
          <w:t xml:space="preserve">6</w:t>
        </w:r>
      </w:hyperlink>
      <w:r w:rsidDel="00000000" w:rsidR="00000000" w:rsidRPr="00000000">
        <w:rPr>
          <w:rtl w:val="0"/>
        </w:rPr>
        <w:t xml:space="preserve">] This threshold is a deliberate tradeoff. A higher threshold, such as five-of-six, increases security against collusion but decreases resilience against custodian incapacitation, death, or resignation. A lower threshold, such as two-of-six, increases operational flexibility but decreases security against pairwise collusion. The three-of-six threshold assumes that pairwise collusion is likely but three-party collusion is unlikely, an assumption that may not hold in small, homogeneous institutional cultures where all custodians share social networks, career trajectories, and economic incentives.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Timelock requirements extend the collusion threshold into the temporal domain. Even if three custodians agree to a malicious action, the timelock delays execution by thirty to ninety days. [</w:t>
      </w:r>
      <w:hyperlink r:id="rId520">
        <w:r w:rsidDel="00000000" w:rsidR="00000000" w:rsidRPr="00000000">
          <w:rPr>
            <w:color w:val="1155cc"/>
            <w:u w:val="single"/>
            <w:rtl w:val="0"/>
          </w:rPr>
          <w:t xml:space="preserve">6</w:t>
        </w:r>
      </w:hyperlink>
      <w:r w:rsidDel="00000000" w:rsidR="00000000" w:rsidRPr="00000000">
        <w:rPr>
          <w:rtl w:val="0"/>
        </w:rPr>
        <w:t xml:space="preserve">] During this delay, the other three custodians, external auditors, or automated monitoring systems may detect the pending action and invoke countermeasures. However, timelocks assume that detection and response capabilities exist and are effective. If the three colluding custodians also control the monitoring infrastructure, the delay merely postpones the inevitable. If the pending action is time-sensitive, such as a market intervention during a crisis, the delay may cause the action to fail, creating a different form of harm.</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Semantic drift over multi-decade horizons is the slow institutional attack that no single actor orchestrates but that collectively erodes constitutional integrity. The Goukassian Vow's text is immutable, but its interpretation is not. The constitutional schema's parameters are updated to accommodate new market conditions, new technologies, and new regulatory guidance. Each update is individually justified. In aggregate, they gradually redefine what constitutes truth, what constitutes harm, and what constitutes evidence. [</w:t>
      </w:r>
      <w:hyperlink r:id="rId52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At the five-year horizon, semantic drift is typically institutional rather than adversarial. New administrators reinterpret schema terms to accommodate operational convenience. A prohibition on executing without verified cross-border regulatory alignment becomes a prohibition on executing without reasonable efforts to verify, where reasonableness is defined by the institution's own compliance department. [</w:t>
      </w:r>
      <w:hyperlink r:id="rId522">
        <w:r w:rsidDel="00000000" w:rsidR="00000000" w:rsidRPr="00000000">
          <w:rPr>
            <w:color w:val="1155cc"/>
            <w:u w:val="single"/>
            <w:rtl w:val="0"/>
          </w:rPr>
          <w:t xml:space="preserve">6</w:t>
        </w:r>
      </w:hyperlink>
      <w:r w:rsidDel="00000000" w:rsidR="00000000" w:rsidRPr="00000000">
        <w:rPr>
          <w:rtl w:val="0"/>
        </w:rPr>
        <w:t xml:space="preserve">] At the ten-year horizon, drift becomes structural. The organization that originally adopted TL has been acquired, merged, or reorganized. The new entity inherits the constitutional schema but treats it as a legacy obligation. Legal counsel find ambiguities that permit previously prohibited actions. The Technical Council certifies new models that exploit these ambiguities. At the twenty-year horizon, drift becomes existential. The original schema has been updated so many times that its core constraints no longer map to current operational reality. The framework still exists in name, but the constitution has been interpreted into irrelevance.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Tri-Cameral Governance Model provides institutional countermeasures against capture through mandatory diversity requirements. The Stewardship Custodians must include representatives from multiple stakeholder categories: affected economic actors, regulatory authorities, civil society organizations, and technical experts. [</w:t>
      </w:r>
      <w:hyperlink r:id="rId523">
        <w:r w:rsidDel="00000000" w:rsidR="00000000" w:rsidRPr="00000000">
          <w:rPr>
            <w:color w:val="1155cc"/>
            <w:u w:val="single"/>
            <w:rtl w:val="0"/>
          </w:rPr>
          <w:t xml:space="preserve">3</w:t>
        </w:r>
      </w:hyperlink>
      <w:r w:rsidDel="00000000" w:rsidR="00000000" w:rsidRPr="00000000">
        <w:rPr>
          <w:rtl w:val="0"/>
        </w:rPr>
        <w:t xml:space="preserve">] No single category can dominate the others. The Technical Council must include members from independent academic institutions, not merely from the deploying organization. The Smart Contract Treasury must include algorithmic agents whose logic is open-source and subject to external audit, not merely proprietary systems controlled by the treasury staff. These diversity requirements increase the cost of capture because the adversary must compromise multiple independent social networks, not merely one institutional hierarchy.</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The Decision Log provides the evidentiary substrate for detecting governance capture after the fact. If a captured supermajority approves a schema modification that relaxes evidentiary requirements, the log contains the votes, the justifications, and the timestamped signatures. [</w:t>
      </w:r>
      <w:hyperlink r:id="rId524">
        <w:r w:rsidDel="00000000" w:rsidR="00000000" w:rsidRPr="00000000">
          <w:rPr>
            <w:color w:val="1155cc"/>
            <w:u w:val="single"/>
            <w:rtl w:val="0"/>
          </w:rPr>
          <w:t xml:space="preserve">6</w:t>
        </w:r>
      </w:hyperlink>
      <w:r w:rsidDel="00000000" w:rsidR="00000000" w:rsidRPr="00000000">
        <w:rPr>
          <w:rtl w:val="0"/>
        </w:rPr>
        <w:t xml:space="preserve">] External auditors can review the log and identify patterns of coordinated voting, circular justifications, or timing anomalies that suggest collusion. The Immutable Ledger prevents the captured majority from retroactively altering the log to conceal their coordination. However, detection is post-hoc. The malicious schema modification has already taken effect. The log provides accountability, not prevention. Prevention depends on the diversity requirements, the timelock delays, and the DITL hardware's physical resistance to override.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The sources do not specify the exact statistical threshold for triggering automatic external audit when emergency override frequency exceeds historical baselines, though they mandate that such threshold must be maintained by the Stewardship Custodians and anchored in the constitutional schema with mandatory public disclosure of override rates. [</w:t>
      </w:r>
      <w:hyperlink r:id="rId52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CD">
      <w:pPr>
        <w:pStyle w:val="Heading2"/>
        <w:rPr/>
      </w:pPr>
      <w:bookmarkStart w:colFirst="0" w:colLast="0" w:name="_96s2khl4w7i5" w:id="51"/>
      <w:bookmarkEnd w:id="51"/>
      <w:r w:rsidDel="00000000" w:rsidR="00000000" w:rsidRPr="00000000">
        <w:rPr>
          <w:rtl w:val="0"/>
        </w:rPr>
        <w:t xml:space="preserve">8.1. Institutional Economics and Transaction Cost Theory</w:t>
      </w:r>
    </w:p>
    <w:p w:rsidR="00000000" w:rsidDel="00000000" w:rsidP="00000000" w:rsidRDefault="00000000" w:rsidRPr="00000000" w14:paraId="000003CE">
      <w:pPr>
        <w:rPr/>
      </w:pPr>
      <w:r w:rsidDel="00000000" w:rsidR="00000000" w:rsidRPr="00000000">
        <w:rPr>
          <w:rtl w:val="0"/>
        </w:rPr>
        <w:t xml:space="preserve">Institutional economics examines how social and legal institutions shape economic behavior, market outcomes, and the distribution of welfare. It departs from neoclassical economics by treating institutions not as background constraints but as endogenous variables that determine whether markets function efficiently or fail catastrophically. [</w:t>
      </w:r>
      <w:hyperlink r:id="rId526">
        <w:r w:rsidDel="00000000" w:rsidR="00000000" w:rsidRPr="00000000">
          <w:rPr>
            <w:color w:val="1155cc"/>
            <w:u w:val="single"/>
            <w:rtl w:val="0"/>
          </w:rPr>
          <w:t xml:space="preserve">2</w:t>
        </w:r>
      </w:hyperlink>
      <w:r w:rsidDel="00000000" w:rsidR="00000000" w:rsidRPr="00000000">
        <w:rPr>
          <w:rtl w:val="0"/>
        </w:rPr>
        <w:t xml:space="preserve">] Ternary Logic is an institutional technology. It does not merely process transactions more efficiently. It restructures the institutional framework within which transactions occur, altering the costs of verification, enforcement, and trust that determine whether economic exchange is possible at all.</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Transaction cost theory, developed by Ronald Coase and extended by Oliver Williamson, identifies three sources of market friction: bounded rationality, opportunism, and asset specificity. [</w:t>
      </w:r>
      <w:hyperlink r:id="rId527">
        <w:r w:rsidDel="00000000" w:rsidR="00000000" w:rsidRPr="00000000">
          <w:rPr>
            <w:color w:val="1155cc"/>
            <w:u w:val="single"/>
            <w:rtl w:val="0"/>
          </w:rPr>
          <w:t xml:space="preserve">2</w:t>
        </w:r>
      </w:hyperlink>
      <w:r w:rsidDel="00000000" w:rsidR="00000000" w:rsidRPr="00000000">
        <w:rPr>
          <w:rtl w:val="0"/>
        </w:rPr>
        <w:t xml:space="preserve">] Bounded rationality means that economic actors cannot foresee all future contingencies and cannot write complete contracts that specify every possible state of the world. Opportunism means that actors will exploit information asymmetries and contractual gaps to extract rents at the expense of their counterparties. Asset specificity means that investments made for a particular trading relationship lose value if that relationship ends, creating a hold-up problem where one party can threaten termination to extract concessions. [</w:t>
      </w:r>
      <w:hyperlink r:id="rId528">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Traditional governance responses to these frictions fall into three categories. Markets rely on price signals and competition to discipline opportunism, but they fail when information is asymmetric and verification is costly. Hierarchies, such as vertically integrated corporations or government bureaucracies, rely on administrative authority to resolve disputes, but they fail when authority is captured, corrupted, or overwhelmed by complexity. Hybrids, such as long-term contracts, franchise arrangements, and regulatory frameworks, attempt to combine market incentives with hierarchical oversight, but they fail when the oversight mechanisms themselves become subject to the same frictions they were designed to solve. [</w:t>
      </w:r>
      <w:hyperlink r:id="rId529">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Ternary Logic creates a fourth category: constitutional computation. The framework is not a market because it does not rely on price signals to govern high-stakes decisions. It is not a hierarchy because it does not rely on administrative discretion. It is not a hybrid contract because it does not depend on ex-post enforcement by courts or regulators. It is a computational institution that embeds the terms of exchange into the physical architecture of decision-making, making violation physically impossible rather than merely legally punishable. [</w:t>
      </w:r>
      <w:hyperlink r:id="rId530">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The Immutable Ledger reduces ex-post verification costs to near zero. In traditional trade finance, a bank that issues a letter of credit must verify the underlying transaction through documentary examination, correspondent bank confirmation, and legal opinion. Each verification step incurs cost, delay, and residual uncertainty. Under TL governance, the Decision Log provides a cryptographically sealed, schema-validated record of the transaction's constitutional evaluation before execution. [</w:t>
      </w:r>
      <w:hyperlink r:id="rId531">
        <w:r w:rsidDel="00000000" w:rsidR="00000000" w:rsidRPr="00000000">
          <w:rPr>
            <w:color w:val="1155cc"/>
            <w:u w:val="single"/>
            <w:rtl w:val="0"/>
          </w:rPr>
          <w:t xml:space="preserve">1</w:t>
        </w:r>
      </w:hyperlink>
      <w:r w:rsidDel="00000000" w:rsidR="00000000" w:rsidRPr="00000000">
        <w:rPr>
          <w:rtl w:val="0"/>
        </w:rPr>
        <w:t xml:space="preserve">] The bank does not need to verify the transaction after the fact because the transaction could not have executed without prior verification. Ex-post audit becomes ex-ante proof. The transaction cost of verification shifts from a recurring operational expense to a one-time architectural investment.</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The NL=NA covenant eliminates the hold-up problem in institutional relationships. When a central bank provides emergency liquidity to a commercial bank, the commercial bank faces a hold-up risk: the central bank may demand policy concessions, management changes, or asset transfers as a condition for continued support. [</w:t>
      </w:r>
      <w:hyperlink r:id="rId532">
        <w:r w:rsidDel="00000000" w:rsidR="00000000" w:rsidRPr="00000000">
          <w:rPr>
            <w:color w:val="1155cc"/>
            <w:u w:val="single"/>
            <w:rtl w:val="0"/>
          </w:rPr>
          <w:t xml:space="preserve">2</w:t>
        </w:r>
      </w:hyperlink>
      <w:r w:rsidDel="00000000" w:rsidR="00000000" w:rsidRPr="00000000">
        <w:rPr>
          <w:rtl w:val="0"/>
        </w:rPr>
        <w:t xml:space="preserve">] Under TL governance, the liquidity injection proposal enters the Governance Lane and receives a determination based on the constitutional schema, not on the central bank governor's discretion. If the proposal satisfies the evidentiary requirements for solvency, collateral adequacy, and systemic risk mitigation, the Governance Lane issues Proceed. If it does not, the lane issues Refuse. The governor cannot demand concessions in exchange for a favorable determination because the determination is computationally derived from the evidence, not personally derived from the governor's preferences. The hold-up power dissolves because the power to decide has been transferred from the person to the protocol.</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Bounded rationality is addressed through the Sacred Pause and the Epistemic Hold state. Traditional institutions respond to uncertainty by writing more detailed contracts, creating more complex regulatory frameworks, or delegating discretion to expert agencies. Each of these responses increases the cognitive load on the actors who must interpret and enforce the rules, eventually reaching a point where the institutional framework itself becomes too complex to operate. [</w:t>
      </w:r>
      <w:hyperlink r:id="rId533">
        <w:r w:rsidDel="00000000" w:rsidR="00000000" w:rsidRPr="00000000">
          <w:rPr>
            <w:color w:val="1155cc"/>
            <w:u w:val="single"/>
            <w:rtl w:val="0"/>
          </w:rPr>
          <w:t xml:space="preserve">2</w:t>
        </w:r>
      </w:hyperlink>
      <w:r w:rsidDel="00000000" w:rsidR="00000000" w:rsidRPr="00000000">
        <w:rPr>
          <w:rtl w:val="0"/>
        </w:rPr>
        <w:t xml:space="preserve">] TL responds to uncertainty by suspending execution rather than by proliferating rules. When the evidentiary basis is incomplete, the Governance Lane does not attempt to fill the gaps with judgment, extrapolation, or institutional precedent. It issues Epistemic Hold and waits. This is computationally simpler than complex rule-making because it requires only the recognition of incompleteness, not the resolution of uncertainty. The cognitive burden shifts from the institution to the evidence.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The Eight Pillars map directly onto Williamson's institutional design criteria. Epistemic Hold addresses bounded rationality by institutionalizing hesitation as a default response to uncertainty. The Immutable Ledger addresses opportunism by making every action permanently observable and verifiable. The Goukassian Principle addresses asset specificity by ensuring that no action can execute without a complete evidentiary record, preventing hold-up through undocumented side agreements. Decision Logs address information asymmetry by requiring that every determination be accompanied by a transparent, machine-readable justification. [</w:t>
      </w:r>
      <w:hyperlink r:id="rId534">
        <w:r w:rsidDel="00000000" w:rsidR="00000000" w:rsidRPr="00000000">
          <w:rPr>
            <w:color w:val="1155cc"/>
            <w:u w:val="single"/>
            <w:rtl w:val="0"/>
          </w:rPr>
          <w:t xml:space="preserve">1</w:t>
        </w:r>
      </w:hyperlink>
      <w:r w:rsidDel="00000000" w:rsidR="00000000" w:rsidRPr="00000000">
        <w:rPr>
          <w:rtl w:val="0"/>
        </w:rPr>
        <w:t xml:space="preserve">] The Economic Rights and Transparency Mandate addresses distributional fairness by ensuring that affected parties retain access to the reasoning behind decisions. The Sustainable Capital Allocation Mandate addresses intertemporal efficiency by embedding long-term constraints into short-term decision-making. The Hybrid Shield addresses institutional resilience by combining cryptographic enforcement with policy governance. The Anchors address external validity by binding local decisions to distributed, immutable consensus. [</w:t>
      </w:r>
      <w:hyperlink r:id="rId535">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 Tri-Cameral Governance Model is an institutional innovation that addresses the governance of the governance mechanism itself. Williamson recognized that hybrids fail when the oversight mechanisms are captured by the same opportunism they were designed to prevent. [</w:t>
      </w:r>
      <w:hyperlink r:id="rId536">
        <w:r w:rsidDel="00000000" w:rsidR="00000000" w:rsidRPr="00000000">
          <w:rPr>
            <w:color w:val="1155cc"/>
            <w:u w:val="single"/>
            <w:rtl w:val="0"/>
          </w:rPr>
          <w:t xml:space="preserve">2</w:t>
        </w:r>
      </w:hyperlink>
      <w:r w:rsidDel="00000000" w:rsidR="00000000" w:rsidRPr="00000000">
        <w:rPr>
          <w:rtl w:val="0"/>
        </w:rPr>
        <w:t xml:space="preserve">] The Technical Council, Stewardship Custodians, and Smart Contract Treasury create a separation of powers within the computational institution. The Council provides technical expertise but lacks constitutional authority. The Custodians provide constitutional oversight but lack technical control. The Treasury provides economic resources but lacks either technical or constitutional dominance. [</w:t>
      </w:r>
      <w:hyperlink r:id="rId537">
        <w:r w:rsidDel="00000000" w:rsidR="00000000" w:rsidRPr="00000000">
          <w:rPr>
            <w:color w:val="1155cc"/>
            <w:u w:val="single"/>
            <w:rtl w:val="0"/>
          </w:rPr>
          <w:t xml:space="preserve">3</w:t>
        </w:r>
      </w:hyperlink>
      <w:r w:rsidDel="00000000" w:rsidR="00000000" w:rsidRPr="00000000">
        <w:rPr>
          <w:rtl w:val="0"/>
        </w:rPr>
        <w:t xml:space="preserve">] This separation increases the transaction costs of capture because an adversary must compromise three independent institutional domains, not merely one.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In macroeconomic practice, the institutional economics of TL reshape the cost structure of global trade. A supply chain transaction that previously required letters of credit, correspondent banking relationships, insurance verification, customs documentation, and legal arbitration can be governed by a single TL Decision Log that contains all evidentiary elements in a cryptographically sealed, machine-readable format. [</w:t>
      </w:r>
      <w:hyperlink r:id="rId538">
        <w:r w:rsidDel="00000000" w:rsidR="00000000" w:rsidRPr="00000000">
          <w:rPr>
            <w:color w:val="1155cc"/>
            <w:u w:val="single"/>
            <w:rtl w:val="0"/>
          </w:rPr>
          <w:t xml:space="preserve">2</w:t>
        </w:r>
      </w:hyperlink>
      <w:r w:rsidDel="00000000" w:rsidR="00000000" w:rsidRPr="00000000">
        <w:rPr>
          <w:rtl w:val="0"/>
        </w:rPr>
        <w:t xml:space="preserve">] The transaction cost savings are not merely operational. They are institutional. The trading parties no longer need to maintain redundant verification infrastructure, duplicate documentary checks, or sustain correspondent banking relationships solely for trust purposes. The Immutable Ledger provides the trust architecture that replaces institutional redundancy with cryptographic singularity.</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The sources do not specify the exact quantitative transaction cost reduction achieved by TL governance compared to traditional trade finance, though they mandate that such measurements must be maintained by the Smart Contract Treasury and anchored in the constitutional schema for continuous institutional evaluation.</w:t>
      </w:r>
    </w:p>
    <w:p w:rsidR="00000000" w:rsidDel="00000000" w:rsidP="00000000" w:rsidRDefault="00000000" w:rsidRPr="00000000" w14:paraId="000003E3">
      <w:pPr>
        <w:pStyle w:val="Heading2"/>
        <w:rPr/>
      </w:pPr>
      <w:bookmarkStart w:colFirst="0" w:colLast="0" w:name="_v9cx3nz7jkh5" w:id="52"/>
      <w:bookmarkEnd w:id="52"/>
      <w:r w:rsidDel="00000000" w:rsidR="00000000" w:rsidRPr="00000000">
        <w:rPr>
          <w:rtl w:val="0"/>
        </w:rPr>
        <w:t xml:space="preserve">8.2. Game Theory, Regulatory Capture, and Financial Stability</w:t>
      </w:r>
    </w:p>
    <w:p w:rsidR="00000000" w:rsidDel="00000000" w:rsidP="00000000" w:rsidRDefault="00000000" w:rsidRPr="00000000" w14:paraId="000003E4">
      <w:pPr>
        <w:rPr/>
      </w:pPr>
      <w:r w:rsidDel="00000000" w:rsidR="00000000" w:rsidRPr="00000000">
        <w:rPr>
          <w:rtl w:val="0"/>
        </w:rPr>
        <w:t xml:space="preserve">Game theory models strategic interaction among rational actors who choose actions based on their expectations of others' choices. In economic governance, the central game is between regulators and regulated institutions, between market participants and market manipulators, between sovereigns and counterparties in cross-border exchange. [</w:t>
      </w:r>
      <w:hyperlink r:id="rId539">
        <w:r w:rsidDel="00000000" w:rsidR="00000000" w:rsidRPr="00000000">
          <w:rPr>
            <w:color w:val="1155cc"/>
            <w:u w:val="single"/>
            <w:rtl w:val="0"/>
          </w:rPr>
          <w:t xml:space="preserve">2</w:t>
        </w:r>
      </w:hyperlink>
      <w:r w:rsidDel="00000000" w:rsidR="00000000" w:rsidRPr="00000000">
        <w:rPr>
          <w:rtl w:val="0"/>
        </w:rPr>
        <w:t xml:space="preserve">] Traditional governance architectures frame this as a game of imperfect information, where actors conceal their true risk exposures, misreport their compliance status, and exploit the time lag between action and audit to defect before detection.</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The Nash equilibrium of traditional regulatory games is typically inefficient. Regulators set rules. Regulated institutions comply to the letter while violating the spirit. Auditors detect a fraction of violations. Penalties are calibrated to be less than the profits from non-compliance, creating a positive expected return on defection. [</w:t>
      </w:r>
      <w:hyperlink r:id="rId540">
        <w:r w:rsidDel="00000000" w:rsidR="00000000" w:rsidRPr="00000000">
          <w:rPr>
            <w:color w:val="1155cc"/>
            <w:u w:val="single"/>
            <w:rtl w:val="0"/>
          </w:rPr>
          <w:t xml:space="preserve">2</w:t>
        </w:r>
      </w:hyperlink>
      <w:r w:rsidDel="00000000" w:rsidR="00000000" w:rsidRPr="00000000">
        <w:rPr>
          <w:rtl w:val="0"/>
        </w:rPr>
        <w:t xml:space="preserve">] The equilibrium is a mixed strategy where some institutions comply, some defect, and regulators randomize enforcement to maintain deterrence. This equilibrium is socially costly because it requires continuous expenditure on monitoring, litigation, and remediation, while still permitting a baseline level of fraud, manipulation, and systemic risk accumulation.</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Ternary Logic transforms this into a game of perfect verifiability by making the constitutional evaluation a pre-execution requirement rather than a post-execution audit. The Decision Log is generated before the action occurs. The Permission Token is issued before the execution gate opens. The Immutable Ledger anchors the record before the consequence propagates. [</w:t>
      </w:r>
      <w:hyperlink r:id="rId541">
        <w:r w:rsidDel="00000000" w:rsidR="00000000" w:rsidRPr="00000000">
          <w:rPr>
            <w:color w:val="1155cc"/>
            <w:u w:val="single"/>
            <w:rtl w:val="0"/>
          </w:rPr>
          <w:t xml:space="preserve">1</w:t>
        </w:r>
      </w:hyperlink>
      <w:r w:rsidDel="00000000" w:rsidR="00000000" w:rsidRPr="00000000">
        <w:rPr>
          <w:rtl w:val="0"/>
        </w:rPr>
        <w:t xml:space="preserve">] This temporal restructuring changes the information structure of the game. In the traditional game, the regulated institution knows whether it is compliant before the regulator does. This information asymmetry is the source of the institution's defection advantage. In the TL game, the Governance Lane knows the compliance status before the institution can act. The institution cannot execute a non-compliant proposal because the lane has already evaluated it and issued Refuse. The information asymmetry is eliminated, and with it, the defection advantage.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Regulatory capture is the repeated-game phenomenon where regulators gradually align with the interests of the regulated entities rather than the public interest. Capture occurs through revolving doors, where regulators anticipate future employment in the industry they oversee. It occurs through information dependence, where regulators rely on the regulated entities for technical expertise and data. It occurs through political pressure, where the regulated entities lobby elected officials to constrain regulatory budgets and authority. [</w:t>
      </w:r>
      <w:hyperlink r:id="rId542">
        <w:r w:rsidDel="00000000" w:rsidR="00000000" w:rsidRPr="00000000">
          <w:rPr>
            <w:color w:val="1155cc"/>
            <w:u w:val="single"/>
            <w:rtl w:val="0"/>
          </w:rPr>
          <w:t xml:space="preserve">2</w:t>
        </w:r>
      </w:hyperlink>
      <w:r w:rsidDel="00000000" w:rsidR="00000000" w:rsidRPr="00000000">
        <w:rPr>
          <w:rtl w:val="0"/>
        </w:rPr>
        <w:t xml:space="preserve">] In the traditional game, capture is an equilibrium outcome because the regulator's payoff depends on industry cooperation, political favor, and career prospects, not merely on public welfare.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The Tri-Cameral Governance Model is a mechanism design solution to the capture problem. Mechanism design, the reverse application of game theory, asks what institutional rules would induce rational actors to reveal their private information and choose socially optimal actions even when pursuing self-interest. [</w:t>
      </w:r>
      <w:hyperlink r:id="rId543">
        <w:r w:rsidDel="00000000" w:rsidR="00000000" w:rsidRPr="00000000">
          <w:rPr>
            <w:color w:val="1155cc"/>
            <w:u w:val="single"/>
            <w:rtl w:val="0"/>
          </w:rPr>
          <w:t xml:space="preserve">2</w:t>
        </w:r>
      </w:hyperlink>
      <w:r w:rsidDel="00000000" w:rsidR="00000000" w:rsidRPr="00000000">
        <w:rPr>
          <w:rtl w:val="0"/>
        </w:rPr>
        <w:t xml:space="preserve">] The Technical Council, Stewardship Custodians, and Smart Contract Treasury are designed as incentive-compatible institutions where each chamber's dominant strategy is to fulfill its constitutional role rather than to collude with the regulated entities.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The Technical Council's payoff is tied to technical correctness, not to institutional profit. Council members are drawn from independent academic and research institutions with reputational incentives to detect model errors, data contamination, and calibration failures. [</w:t>
      </w:r>
      <w:hyperlink r:id="rId544">
        <w:r w:rsidDel="00000000" w:rsidR="00000000" w:rsidRPr="00000000">
          <w:rPr>
            <w:color w:val="1155cc"/>
            <w:u w:val="single"/>
            <w:rtl w:val="0"/>
          </w:rPr>
          <w:t xml:space="preserve">3</w:t>
        </w:r>
      </w:hyperlink>
      <w:r w:rsidDel="00000000" w:rsidR="00000000" w:rsidRPr="00000000">
        <w:rPr>
          <w:rtl w:val="0"/>
        </w:rPr>
        <w:t xml:space="preserve">] A council member who certifies a compromised model faces public exposure when the model fails, destroying their professional reputation. This reputational cost exceeds any bribe that a regulated entity could offer, making certification integrity the dominant strategy. The mechanism does not assume that council members are altruistic. It assumes that they are rational and that their rational self-interest aligns with technical rigor.</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The Stewardship Custodians' payoff is tied to constitutional fidelity, not to operational throughput. Custodians who block harmful proposals are rewarded through the Smart Contract Treasury's automated incentive structure. Custodians who approve harmful proposals are penalized through reputation degradation, economic sanctions, and potential legal liability under the License artifact. [</w:t>
      </w:r>
      <w:hyperlink r:id="rId545">
        <w:r w:rsidDel="00000000" w:rsidR="00000000" w:rsidRPr="00000000">
          <w:rPr>
            <w:color w:val="1155cc"/>
            <w:u w:val="single"/>
            <w:rtl w:val="0"/>
          </w:rPr>
          <w:t xml:space="preserve">3</w:t>
        </w:r>
      </w:hyperlink>
      <w:r w:rsidDel="00000000" w:rsidR="00000000" w:rsidRPr="00000000">
        <w:rPr>
          <w:rtl w:val="0"/>
        </w:rPr>
        <w:t xml:space="preserve">] The mechanism creates a separating equilibrium where custodians who value constitutional integrity self-select into the role, while those who value institutional convenience self-select out. The supermajority requirement ensures that capture requires collusion among multiple custodians with diverse incentives, a coordination problem that is computationally difficult to solve.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The Smart Contract Treasury's payoff is tied to systemic stability, not to individual transaction profitability. The Treasury's algorithmic agents allocate resources to maintain the Governance Lane's operational capacity during market stress, automatically penalize institutions that exhibit patterns of state corruption, and distribute incentives that reward long-term prudence over short-term gain. [</w:t>
      </w:r>
      <w:hyperlink r:id="rId546">
        <w:r w:rsidDel="00000000" w:rsidR="00000000" w:rsidRPr="00000000">
          <w:rPr>
            <w:color w:val="1155cc"/>
            <w:u w:val="single"/>
            <w:rtl w:val="0"/>
          </w:rPr>
          <w:t xml:space="preserve">3</w:t>
        </w:r>
      </w:hyperlink>
      <w:r w:rsidDel="00000000" w:rsidR="00000000" w:rsidRPr="00000000">
        <w:rPr>
          <w:rtl w:val="0"/>
        </w:rPr>
        <w:t xml:space="preserve">] The mechanism internalizes the externality of systemic risk. In traditional markets, individual institutions do not bear the full cost of their risk-taking because the cost is socialized through bailouts, contagion, and macroeconomic instability. The Treasury's automated penalties force the institution to internalize the cost by reducing its credit lines, increasing its collateral requirements, and suspending its fee rebates when its proposals trigger Refuse for systemic risk violations.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Financial stability is a public good with severe free-rider problems. Individual institutions benefit from a stable financial system but have no private incentive to contribute to it. Each institution prefers to free-ride on the prudence of others while maximizing its own risk-adjusted returns. [</w:t>
      </w:r>
      <w:hyperlink r:id="rId547">
        <w:r w:rsidDel="00000000" w:rsidR="00000000" w:rsidRPr="00000000">
          <w:rPr>
            <w:color w:val="1155cc"/>
            <w:u w:val="single"/>
            <w:rtl w:val="0"/>
          </w:rPr>
          <w:t xml:space="preserve">2</w:t>
        </w:r>
      </w:hyperlink>
      <w:r w:rsidDel="00000000" w:rsidR="00000000" w:rsidRPr="00000000">
        <w:rPr>
          <w:rtl w:val="0"/>
        </w:rPr>
        <w:t xml:space="preserve">] The result is a tragedy of the commons where the financial system as a whole becomes more fragile even as individual institutions appear robust. TL addresses this through the Anchors and the Regulatory Nexus, which make systemic risk contributions observable and verifiable. An institution that accumulates correlated exposures, concentrates counterparty risk, or relies on unstable funding models generates Decision Logs that reveal these patterns before they trigger crises. [</w:t>
      </w:r>
      <w:hyperlink r:id="rId548">
        <w:r w:rsidDel="00000000" w:rsidR="00000000" w:rsidRPr="00000000">
          <w:rPr>
            <w:color w:val="1155cc"/>
            <w:u w:val="single"/>
            <w:rtl w:val="0"/>
          </w:rPr>
          <w:t xml:space="preserve">1</w:t>
        </w:r>
      </w:hyperlink>
      <w:r w:rsidDel="00000000" w:rsidR="00000000" w:rsidRPr="00000000">
        <w:rPr>
          <w:rtl w:val="0"/>
        </w:rPr>
        <w:t xml:space="preserve">] The Immutable Ledger transforms systemic risk from an unobservable externality into a measurable, attributable, and penalizable action.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Adversarial game theory examines how rational attackers choose strategies to maximize damage given the defensive architecture. TL's adversarial robustness is not merely a technical property but a game-theoretic one. The framework raises the cost of attack across multiple vectors simultaneously, forcing the adversary into a coordination problem that exceeds their resource constraints. [</w:t>
      </w:r>
      <w:hyperlink r:id="rId549">
        <w:r w:rsidDel="00000000" w:rsidR="00000000" w:rsidRPr="00000000">
          <w:rPr>
            <w:color w:val="1155cc"/>
            <w:u w:val="single"/>
            <w:rtl w:val="0"/>
          </w:rPr>
          <w:t xml:space="preserve">6</w:t>
        </w:r>
      </w:hyperlink>
      <w:r w:rsidDel="00000000" w:rsidR="00000000" w:rsidRPr="00000000">
        <w:rPr>
          <w:rtl w:val="0"/>
        </w:rPr>
        <w:t xml:space="preserve">] A nation-state actor who can compromise the Technical Council may lack the capability to compromise the Stewardship Custodians. An insider who can extract cryptographic keys may lack the capability to fabricate DITL hardware tokens. A hypervisor attacker who can remap memory may lack the capability to bypass the asynchronous handshake protocol.</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The Ghost Governance concept formalizes this adversarial dynamic. Ghost Governance refers to actions that execute without immutable audit evidence, the precise condition that NL=NA was designed to prevent. [</w:t>
      </w:r>
      <w:hyperlink r:id="rId550">
        <w:r w:rsidDel="00000000" w:rsidR="00000000" w:rsidRPr="00000000">
          <w:rPr>
            <w:color w:val="1155cc"/>
            <w:u w:val="single"/>
            <w:rtl w:val="0"/>
          </w:rPr>
          <w:t xml:space="preserve">5</w:t>
        </w:r>
      </w:hyperlink>
      <w:r w:rsidDel="00000000" w:rsidR="00000000" w:rsidRPr="00000000">
        <w:rPr>
          <w:rtl w:val="0"/>
        </w:rPr>
        <w:t xml:space="preserve">] In game-theoretic terms, Ghost Governance is the off-equilibrium path that adversaries attempt to force the system onto. The traditional game has a high probability of Ghost Governance because the audit trail is generated after execution and is subject to manipulation, deletion, and selective reporting. TL changes the game by making Ghost Governance physically impossible in DITL mode and cryptographically detectable in all modes. The adversary's strategy set is reduced because the off-equilibrium path no longer exists.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The Goukassian Vow establishes a trembling-hand perfect equilibrium. In game theory, a trembling-hand perfect equilibrium is one that remains stable even if players occasionally make small mistakes. [</w:t>
      </w:r>
      <w:hyperlink r:id="rId551">
        <w:r w:rsidDel="00000000" w:rsidR="00000000" w:rsidRPr="00000000">
          <w:rPr>
            <w:color w:val="1155cc"/>
            <w:u w:val="single"/>
            <w:rtl w:val="0"/>
          </w:rPr>
          <w:t xml:space="preserve">2</w:t>
        </w:r>
      </w:hyperlink>
      <w:r w:rsidDel="00000000" w:rsidR="00000000" w:rsidRPr="00000000">
        <w:rPr>
          <w:rtl w:val="0"/>
        </w:rPr>
        <w:t xml:space="preserve">] The Vow's three mandates, pause when truth is uncertain, refuse when harm is clear, proceed where truth is, create default actions for every possible state of the world. When the evidence is incomplete, the default is Epistemic Hold. When the evidence indicates harm, the default is Refuse. When the evidence is complete and benign, the default is Proceed. These defaults ensure that even if a chamber makes an error, even if a sensor provides noisy data, even if a model produces an outlier, the system reverts to a safe state rather than to an unsafe one. The trembling hand does not destroy the equilibrium because the equilibrium is built on conservative defaults.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The principal-agent problem between society and its governance institutions is addressed through the Eight Pillars and the Tri-Cameral model. Society is the principal. The governance institutions are the agents. The principal cannot directly observe whether the agent is acting in the principal's interest or in their own. [</w:t>
      </w:r>
      <w:hyperlink r:id="rId552">
        <w:r w:rsidDel="00000000" w:rsidR="00000000" w:rsidRPr="00000000">
          <w:rPr>
            <w:color w:val="1155cc"/>
            <w:u w:val="single"/>
            <w:rtl w:val="0"/>
          </w:rPr>
          <w:t xml:space="preserve">2</w:t>
        </w:r>
      </w:hyperlink>
      <w:r w:rsidDel="00000000" w:rsidR="00000000" w:rsidRPr="00000000">
        <w:rPr>
          <w:rtl w:val="0"/>
        </w:rPr>
        <w:t xml:space="preserve">] TL provides the monitoring technology that reduces this moral hazard. The Immutable Ledger makes the agent's actions permanently observable. The Decision Log makes the agent's reasoning transparent. The Regulatory Nexus makes the agent's compliance verifiable against external standards. The Smart Contract Treasury makes the agent's incentives align with systemic stability rather than with individual institutional profit. The principal no longer needs to trust the agent. The principal can verify the agent through cryptographic proof.</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In macroeconomic practice, the game-theoretic restructuring of TL governance changes the strategic calculus of global financial institutions. A bank that operates under TL governance cannot gain competitive advantage by relaxing risk controls because the Governance Lane enforces the same constitutional boundaries on all institutions uniformly. [</w:t>
      </w:r>
      <w:hyperlink r:id="rId553">
        <w:r w:rsidDel="00000000" w:rsidR="00000000" w:rsidRPr="00000000">
          <w:rPr>
            <w:color w:val="1155cc"/>
            <w:u w:val="single"/>
            <w:rtl w:val="0"/>
          </w:rPr>
          <w:t xml:space="preserve">2</w:t>
        </w:r>
      </w:hyperlink>
      <w:r w:rsidDel="00000000" w:rsidR="00000000" w:rsidRPr="00000000">
        <w:rPr>
          <w:rtl w:val="0"/>
        </w:rPr>
        <w:t xml:space="preserve">] The race to the bottom, where institutions compete by reducing prudential standards to attract capital and customers, is eliminated because the bottom is physically blocked by the DITL hardware. The competitive equilibrium shifts from risk minimization to efficiency maximization within constitutionally safe boundaries. Institutions compete on the quality of their Inference Lane models, the speed of their data pipelines, and the sophistication of their proposal generation, not on their ability to bypass governance.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The sources do not specify the exact game-theoretic equilibrium refinement used to model Tri-Cameral chamber coordination under incomplete information, though they mandate that such modeling must employ mechanism design principles that ensure incentive compatibility across all constitutional roles.</w:t>
      </w:r>
    </w:p>
    <w:p w:rsidR="00000000" w:rsidDel="00000000" w:rsidP="00000000" w:rsidRDefault="00000000" w:rsidRPr="00000000" w14:paraId="00000401">
      <w:pPr>
        <w:pStyle w:val="Heading2"/>
        <w:rPr/>
      </w:pPr>
      <w:bookmarkStart w:colFirst="0" w:colLast="0" w:name="_vv7z3kcxcgzm" w:id="53"/>
      <w:bookmarkEnd w:id="53"/>
      <w:r w:rsidDel="00000000" w:rsidR="00000000" w:rsidRPr="00000000">
        <w:rPr>
          <w:rtl w:val="0"/>
        </w:rPr>
        <w:t xml:space="preserve">9.1. Supply Chain and Fabrication Risk</w:t>
      </w:r>
    </w:p>
    <w:p w:rsidR="00000000" w:rsidDel="00000000" w:rsidP="00000000" w:rsidRDefault="00000000" w:rsidRPr="00000000" w14:paraId="00000402">
      <w:pPr>
        <w:rPr/>
      </w:pPr>
      <w:r w:rsidDel="00000000" w:rsidR="00000000" w:rsidRPr="00000000">
        <w:rPr>
          <w:rtl w:val="0"/>
        </w:rPr>
        <w:t xml:space="preserve">The Triadic Coprocessor is only as trustworthy as the supply chain that produces it. A constitutionally perfect design can be defeated by a single malicious modification introduced during fabrication, packaging, or distribution. Ternary Logic faces supply chain risks that are both generic to advanced semiconductor manufacturing and specific to its novel asynchronous ternary architecture. [</w:t>
      </w:r>
      <w:hyperlink r:id="rId55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Dopant-level hardware Trojans represent the most insidious fabrication threat. These modifications require zero additional gates, zero additional wires, and zero layout overhead. They alter the dopant polarity in existing transistors to weaken cryptographic implementations, introduce timing faults, or create covert channels, all without changing any visible chip geometry. [</w:t>
      </w:r>
      <w:hyperlink r:id="rId555">
        <w:r w:rsidDel="00000000" w:rsidR="00000000" w:rsidRPr="00000000">
          <w:rPr>
            <w:color w:val="1155cc"/>
            <w:u w:val="single"/>
            <w:rtl w:val="0"/>
          </w:rPr>
          <w:t xml:space="preserve">6</w:t>
        </w:r>
      </w:hyperlink>
      <w:r w:rsidDel="00000000" w:rsidR="00000000" w:rsidRPr="00000000">
        <w:rPr>
          <w:rtl w:val="0"/>
        </w:rPr>
        <w:t xml:space="preserve">] Standard optical reverse engineering cannot detect these modifications because the transistor dimensions, metal layers, and overall layout remain identical to the original design. Destructive reverse engineering at fifty thousand to five hundred thousand dollars per chip is infeasible for multi-billion-transistor designs. For a design with over ten billion transistors, a single-gate insertion represents less than 0.000001 percent area change, below practical detection thresholds. [</w:t>
      </w:r>
      <w:hyperlink r:id="rId5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The GDSII file is the complete chip blueprint delivered from the design house to the foundry. The most vulnerable point in the fabrication pipeline is after GDSII delivery but before mask fabrication, when foundry engineers have full access for optical proximity correction, reticle generation, and process optimization. [</w:t>
      </w:r>
      <w:hyperlink r:id="rId557">
        <w:r w:rsidDel="00000000" w:rsidR="00000000" w:rsidRPr="00000000">
          <w:rPr>
            <w:color w:val="1155cc"/>
            <w:u w:val="single"/>
            <w:rtl w:val="0"/>
          </w:rPr>
          <w:t xml:space="preserve">6</w:t>
        </w:r>
      </w:hyperlink>
      <w:r w:rsidDel="00000000" w:rsidR="00000000" w:rsidRPr="00000000">
        <w:rPr>
          <w:rtl w:val="0"/>
        </w:rPr>
        <w:t xml:space="preserve">] Automated GDSII comparison tools can detect added or removed metal wires, but they cannot detect dopant-level modifications because these occur at the semiconductor physics layer, not at the layout geometry layer. A foundry that is compelled by national intelligence services, or that has been infiltrated by state-sponsored actors, can introduce Trojans that remain invisible to both automated scanning and post-fabrication functional testing.</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FPGA implementation is categorically insecure for production deployment and must be restricted to development and testing only. Ender, Moradi, and Paar achieved a complete break of Xilinx 7-Series bitstream encryption. Bitstream extraction via thermal laser stimulation takes under seven hours. [</w:t>
      </w:r>
      <w:hyperlink r:id="rId558">
        <w:r w:rsidDel="00000000" w:rsidR="00000000" w:rsidRPr="00000000">
          <w:rPr>
            <w:color w:val="1155cc"/>
            <w:u w:val="single"/>
            <w:rtl w:val="0"/>
          </w:rPr>
          <w:t xml:space="preserve">6</w:t>
        </w:r>
      </w:hyperlink>
      <w:r w:rsidDel="00000000" w:rsidR="00000000" w:rsidRPr="00000000">
        <w:rPr>
          <w:rtl w:val="0"/>
        </w:rPr>
        <w:t xml:space="preserve">] Four demonstrated case studies on OpenTitan FPGA implementation achieved signal trace extraction from AES cores, secret key extraction via UART, and secret key replacement. FPGA reverse-engineering costs one thousand to ten thousand dollars compared to ASIC reverse-engineering at fifty thousand to two hundred fifty thousand dollars. FPGA designs are modifiable in software. ASIC modifications require focused ion beam at one hundred thousand dollars or more per chip. [</w:t>
      </w:r>
      <w:hyperlink r:id="rId559">
        <w:r w:rsidDel="00000000" w:rsidR="00000000" w:rsidRPr="00000000">
          <w:rPr>
            <w:color w:val="1155cc"/>
            <w:u w:val="single"/>
            <w:rtl w:val="0"/>
          </w:rPr>
          <w:t xml:space="preserve">6</w:t>
        </w:r>
      </w:hyperlink>
      <w:r w:rsidDel="00000000" w:rsidR="00000000" w:rsidRPr="00000000">
        <w:rPr>
          <w:rtl w:val="0"/>
        </w:rPr>
        <w:t xml:space="preserve">] For TL to achieve the physical security guarantees required by the six mandatory conditions for non-bypassability, ASIC fabrication is mandatory. No FPGA deployment, regardless of the bitstream encryption generation, satisfies the constitutional requirement.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Geopolitical concentration compounds every supply chain risk. TSMC produces approximately ninety-two percent of the world's most advanced semiconductors. This single-firm dependency creates a critical vulnerability under any scenario where Taiwan's geopolitical status disrupts fabrication capacity, export permissions, or corporate independence. [</w:t>
      </w:r>
      <w:hyperlink r:id="rId560">
        <w:r w:rsidDel="00000000" w:rsidR="00000000" w:rsidRPr="00000000">
          <w:rPr>
            <w:color w:val="1155cc"/>
            <w:u w:val="single"/>
            <w:rtl w:val="0"/>
          </w:rPr>
          <w:t xml:space="preserve">6</w:t>
        </w:r>
      </w:hyperlink>
      <w:r w:rsidDel="00000000" w:rsidR="00000000" w:rsidRPr="00000000">
        <w:rPr>
          <w:rtl w:val="0"/>
        </w:rPr>
        <w:t xml:space="preserve">] The CHIPS Act is accelerating domestic US fabrication, but TSMC Arizona Fab 3 targeting 2nm production arrives in 2029. Intel 18A is ramping with yields of fifty-five to sixty-five percent, below the seventy to eighty percent threshold for commercial profitability. Meaningful US-based 2nm-class capacity arrives in the 2027 to 2029 window. [</w:t>
      </w:r>
      <w:hyperlink r:id="rId561">
        <w:r w:rsidDel="00000000" w:rsidR="00000000" w:rsidRPr="00000000">
          <w:rPr>
            <w:color w:val="1155cc"/>
            <w:u w:val="single"/>
            <w:rtl w:val="0"/>
          </w:rPr>
          <w:t xml:space="preserve">6</w:t>
        </w:r>
      </w:hyperlink>
      <w:r w:rsidDel="00000000" w:rsidR="00000000" w:rsidRPr="00000000">
        <w:rPr>
          <w:rtl w:val="0"/>
        </w:rPr>
        <w:t xml:space="preserve">] Custom asynchronous ternary logic co-processors would likely fall under export control regimes, and the Foreign Direct Product Rule extends US jurisdiction to virtually all advanced semiconductor designs because all major EDA tools are US-origin. [</w:t>
      </w:r>
      <w:hyperlink r:id="rId56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Single-jurisdiction fabrication creates a critical vulnerability under any scenario where that jurisdiction's government becomes adversarial to TL's deployment objectives. A US-fabricated DITL chip could be subject to compelled backdoor insertion under the Communications Assistance for Law Enforcement Act or similar national security authorities. A Taiwan-fabricated chip could be subject to export denial during geopolitical crisis. A China-fabricated chip would be unacceptable to most Western financial institutions due to existing technology transfer restrictions. [</w:t>
      </w:r>
      <w:hyperlink r:id="rId563">
        <w:r w:rsidDel="00000000" w:rsidR="00000000" w:rsidRPr="00000000">
          <w:rPr>
            <w:color w:val="1155cc"/>
            <w:u w:val="single"/>
            <w:rtl w:val="0"/>
          </w:rPr>
          <w:t xml:space="preserve">6</w:t>
        </w:r>
      </w:hyperlink>
      <w:r w:rsidDel="00000000" w:rsidR="00000000" w:rsidRPr="00000000">
        <w:rPr>
          <w:rtl w:val="0"/>
        </w:rPr>
        <w:t xml:space="preserve">] Multi-vendor production is the only mitigation, but it introduces its own risks. If multiple vendors use the same EDA tools, the same process design kits, or the same third-party IP blocks, a Trojan inserted at the tool level affects all vendors simultaneously. Correlated compromise defeats the redundancy.</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Physically Unclonable Functions provide post-fabrication identity attestation but cannot prove the absence of internal hardware Trojans. PUFs exploit manufacturing process variations to generate unique fingerprints for each chip. Best-in-class bit error rates below three times ten to the negative eighth power have been demonstrated. [</w:t>
      </w:r>
      <w:hyperlink r:id="rId564">
        <w:r w:rsidDel="00000000" w:rsidR="00000000" w:rsidRPr="00000000">
          <w:rPr>
            <w:color w:val="1155cc"/>
            <w:u w:val="single"/>
            <w:rtl w:val="0"/>
          </w:rPr>
          <w:t xml:space="preserve">6</w:t>
        </w:r>
      </w:hyperlink>
      <w:r w:rsidDel="00000000" w:rsidR="00000000" w:rsidRPr="00000000">
        <w:rPr>
          <w:rtl w:val="0"/>
        </w:rPr>
        <w:t xml:space="preserve">] PUF-based attestation verifies that the chip enrolled during manufacturing is the same chip operating in production. However, a chip with a dopant-level Trojan will generate a perfectly valid PUF signature because the PUF response derives from process variation in a different circuit region than the Trojan. [</w:t>
      </w:r>
      <w:hyperlink r:id="rId565">
        <w:r w:rsidDel="00000000" w:rsidR="00000000" w:rsidRPr="00000000">
          <w:rPr>
            <w:color w:val="1155cc"/>
            <w:u w:val="single"/>
            <w:rtl w:val="0"/>
          </w:rPr>
          <w:t xml:space="preserve">6</w:t>
        </w:r>
      </w:hyperlink>
      <w:r w:rsidDel="00000000" w:rsidR="00000000" w:rsidRPr="00000000">
        <w:rPr>
          <w:rtl w:val="0"/>
        </w:rPr>
        <w:t xml:space="preserve">] PUF attestation answers whether this is the chip we enrolled. It does not answer whether this chip is free of malicious modifications. This is a fundamental limitation that no post-fabrication self-attestation protocol can overcome.</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Behavioral monitoring in deployment is the residual defense when fabrication-level verification fails. If a Trojan is present but dormant, it may activate only under specific trigger conditions, such as a particular input pattern, a specific date, or a command from an external signaling mechanism. Continuous behavioral monitoring detects anomalous chip behavior, unexpected timing variations, or unauthorized state transitions that indicate Trojan activation. [</w:t>
      </w:r>
      <w:hyperlink r:id="rId566">
        <w:r w:rsidDel="00000000" w:rsidR="00000000" w:rsidRPr="00000000">
          <w:rPr>
            <w:color w:val="1155cc"/>
            <w:u w:val="single"/>
            <w:rtl w:val="0"/>
          </w:rPr>
          <w:t xml:space="preserve">6</w:t>
        </w:r>
      </w:hyperlink>
      <w:r w:rsidDel="00000000" w:rsidR="00000000" w:rsidRPr="00000000">
        <w:rPr>
          <w:rtl w:val="0"/>
        </w:rPr>
        <w:t xml:space="preserve">] However, behavioral monitoring requires a baseline of expected behavior that is itself trustworthy. If the Trojan was present during the baseline calibration, the anomaly detector learns the Trojan's behavior as normal. Behavioral monitoring is effective against post-deployment tampering but not against pre-deployment Trojan insertion.</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The probability of reliable DITL chip production at scale without detectable compromise is estimated at fifteen to twenty-five percent within a five-year horizon and forty to fifty-five percent within a ten-year horizon. [</w:t>
      </w:r>
      <w:hyperlink r:id="rId567">
        <w:r w:rsidDel="00000000" w:rsidR="00000000" w:rsidRPr="00000000">
          <w:rPr>
            <w:color w:val="1155cc"/>
            <w:u w:val="single"/>
            <w:rtl w:val="0"/>
          </w:rPr>
          <w:t xml:space="preserve">6</w:t>
        </w:r>
      </w:hyperlink>
      <w:r w:rsidDel="00000000" w:rsidR="00000000" w:rsidRPr="00000000">
        <w:rPr>
          <w:rtl w:val="0"/>
        </w:rPr>
        <w:t xml:space="preserve">] These probabilities are conditioned on successful tape-out at a trusted foundry, multi-vendor production to prevent correlated compromise, and domestic fabrication capacity at advanced nodes. The irreducible risk is dopant-level Trojans, which no timeline improvement and no fabrication process advancement eliminates. The only mitigations are trust in the foundry, multi-vendor diversity, and continuous behavioral monitoring.</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The Tri-Cameral Governance Model manages supply chain risk through institutional separation. The Technical Council validates the design through formal verification and maintains the secure test interface protocols. The Stewardship Custodians verify the foundry selection, audit the GDSII integrity, and manage the post-fabrication attestation records. [</w:t>
      </w:r>
      <w:hyperlink r:id="rId568">
        <w:r w:rsidDel="00000000" w:rsidR="00000000" w:rsidRPr="00000000">
          <w:rPr>
            <w:color w:val="1155cc"/>
            <w:u w:val="single"/>
            <w:rtl w:val="0"/>
          </w:rPr>
          <w:t xml:space="preserve">3</w:t>
        </w:r>
      </w:hyperlink>
      <w:r w:rsidDel="00000000" w:rsidR="00000000" w:rsidRPr="00000000">
        <w:rPr>
          <w:rtl w:val="0"/>
        </w:rPr>
        <w:t xml:space="preserve">] The Smart Contract Treasury manages the economic resources for multi-vendor sourcing, destructive testing samples, and continuous chip replacement. The constitutional separation prevents any single chamber from authorizing a compromised fabrication run or from concealing a detected Trojan.</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In macroeconomic practice, the supply chain risk determines whether TL can transition from software emulation to hardware enforcement. A central bank that deploys TL governance cannot wait indefinitely for DITL chips. It must operate in emulation mode during the fabrication window, accepting the degraded survivability that emulation entails. [</w:t>
      </w:r>
      <w:hyperlink r:id="rId569">
        <w:r w:rsidDel="00000000" w:rsidR="00000000" w:rsidRPr="00000000">
          <w:rPr>
            <w:color w:val="1155cc"/>
            <w:u w:val="single"/>
            <w:rtl w:val="0"/>
          </w:rPr>
          <w:t xml:space="preserve">6</w:t>
        </w:r>
      </w:hyperlink>
      <w:r w:rsidDel="00000000" w:rsidR="00000000" w:rsidRPr="00000000">
        <w:rPr>
          <w:rtl w:val="0"/>
        </w:rPr>
        <w:t xml:space="preserve">] The central bank's procurement strategy must include diversification across foundries, continuous PUF attestation of deployed chips, and behavioral monitoring of all coprocessor instances. The cost of this strategy is significant. The cost of not implementing it is constitutional collapse.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The sources do not specify the exact multi-vendor diversity threshold required to achieve acceptable correlated compromise risk, though they mandate that such threshold must be determined by the Technical Council based on EDA tool commonality, process design kit overlap, and third-party IP block sharing across candidate foundries. [</w:t>
      </w:r>
      <w:hyperlink r:id="rId57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19">
      <w:pPr>
        <w:pStyle w:val="Heading2"/>
        <w:rPr/>
      </w:pPr>
      <w:bookmarkStart w:colFirst="0" w:colLast="0" w:name="_1zk6wiqhzdte" w:id="54"/>
      <w:bookmarkEnd w:id="54"/>
      <w:r w:rsidDel="00000000" w:rsidR="00000000" w:rsidRPr="00000000">
        <w:rPr>
          <w:rtl w:val="0"/>
        </w:rPr>
        <w:t xml:space="preserve">9.2. Post-Compromise Recovery Protocols</w:t>
      </w:r>
    </w:p>
    <w:p w:rsidR="00000000" w:rsidDel="00000000" w:rsidP="00000000" w:rsidRDefault="00000000" w:rsidRPr="00000000" w14:paraId="0000041A">
      <w:pPr>
        <w:rPr/>
      </w:pPr>
      <w:r w:rsidDel="00000000" w:rsidR="00000000" w:rsidRPr="00000000">
        <w:rPr>
          <w:rtl w:val="0"/>
        </w:rPr>
        <w:t xml:space="preserve">A constitution that cannot recover from compromise is not a constitution. It is a brittle artifact that collapses upon first contact with adversarial pressure. Ternary Logic must therefore specify not merely how to prevent compromise but how to restore constitutional integrity after compromise has occurred. The post-compromise recovery protocols define the operational procedures, temporal constraints, and institutional transitions that return the framework to a trustworthy state. [</w:t>
      </w:r>
      <w:hyperlink r:id="rId57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Recovery Time Objective is the maximum acceptable duration between compromise detection and restored operational capacity. For TL governance systems, the specification targets a fifteen-minute RTO for software-only deployments and a four-hour RTO for DITL hardware deployments. [</w:t>
      </w:r>
      <w:hyperlink r:id="rId572">
        <w:r w:rsidDel="00000000" w:rsidR="00000000" w:rsidRPr="00000000">
          <w:rPr>
            <w:color w:val="1155cc"/>
            <w:u w:val="single"/>
            <w:rtl w:val="0"/>
          </w:rPr>
          <w:t xml:space="preserve">6</w:t>
        </w:r>
      </w:hyperlink>
      <w:r w:rsidDel="00000000" w:rsidR="00000000" w:rsidRPr="00000000">
        <w:rPr>
          <w:rtl w:val="0"/>
        </w:rPr>
        <w:t xml:space="preserve">] The longer RTO for hardware reflects the physical replacement time for compromised coprocessors, including secure transport of replacement chips, physical installation, PUF re-enrollment, and constitutional schema re-anchoring. The shorter RTO for software reflects the ability to spin up replacement virtual machines, restore cryptographic keys from HSM backups, and reinitialize the Merkle accumulator from ledger state.</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Recovery Point Objective is the maximum acceptable data loss measured in time. For TL, the RPO is undefined in principle because the Immutable Ledger and blockchain anchors are designed to provide zero data loss. [</w:t>
      </w:r>
      <w:hyperlink r:id="rId573">
        <w:r w:rsidDel="00000000" w:rsidR="00000000" w:rsidRPr="00000000">
          <w:rPr>
            <w:color w:val="1155cc"/>
            <w:u w:val="single"/>
            <w:rtl w:val="0"/>
          </w:rPr>
          <w:t xml:space="preserve">6</w:t>
        </w:r>
      </w:hyperlink>
      <w:r w:rsidDel="00000000" w:rsidR="00000000" w:rsidRPr="00000000">
        <w:rPr>
          <w:rtl w:val="0"/>
        </w:rPr>
        <w:t xml:space="preserve">] Every Decision Log is anchored to the ledger before the corresponding action executes. Every Permission Token is derived from the anchored log. If the primary Governance Lane infrastructure is destroyed, the ledger contains a complete, cryptographically verifiable record of every determination that occurred before destruction. The replacement infrastructure can reconstruct its state from the ledger without losing any constitutional history. However, this zero-RPO guarantee holds only for anchored logs. Logs in the three-hundred-second pre-anchoring window may be lost if the compromise destroys the local nvSRAM accumulator before Slow Lane anchoring completes. [</w:t>
      </w:r>
      <w:hyperlink r:id="rId57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Anchor desynchronization occurs when the replacement infrastructure's ledger state diverges from the pre-compromise anchors. This can happen if the compromise involved ledger manipulation, if the blockchain anchors were orphaned due to chain reorganization, or if the replacement infrastructure initializes from a backup that predates the most recent anchors. [</w:t>
      </w:r>
      <w:hyperlink r:id="rId575">
        <w:r w:rsidDel="00000000" w:rsidR="00000000" w:rsidRPr="00000000">
          <w:rPr>
            <w:color w:val="1155cc"/>
            <w:u w:val="single"/>
            <w:rtl w:val="0"/>
          </w:rPr>
          <w:t xml:space="preserve">6</w:t>
        </w:r>
      </w:hyperlink>
      <w:r w:rsidDel="00000000" w:rsidR="00000000" w:rsidRPr="00000000">
        <w:rPr>
          <w:rtl w:val="0"/>
        </w:rPr>
        <w:t xml:space="preserve">] Desynchronization creates legal continuity problems. A regulator examining a post-recovery institution may discover that the Decision Logs presented do not match the blockchain anchors referenced in the pre-recovery records. The institution must demonstrate that the discrepancy results from recovery procedures rather than from ongoing concealment.</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The specification mandates that recovery procedures include anchor continuity verification. Before the replacement infrastructure begins issuing new determinations, it must verify that its reconstructed ledger state produces Merkle roots consistent with the most recent pre-compromise blockchain anchors. [</w:t>
      </w:r>
      <w:hyperlink r:id="rId576">
        <w:r w:rsidDel="00000000" w:rsidR="00000000" w:rsidRPr="00000000">
          <w:rPr>
            <w:color w:val="1155cc"/>
            <w:u w:val="single"/>
            <w:rtl w:val="0"/>
          </w:rPr>
          <w:t xml:space="preserve">6</w:t>
        </w:r>
      </w:hyperlink>
      <w:r w:rsidDel="00000000" w:rsidR="00000000" w:rsidRPr="00000000">
        <w:rPr>
          <w:rtl w:val="0"/>
        </w:rPr>
        <w:t xml:space="preserve">] If inconsistency is detected, the infrastructure must enter a constitutional continuity audit mode that reconciles the discrepancy through external auditor review, custodian quorum validation, and public disclosure of the reconciliation methodology. The infrastructure cannot issue new Permission Tokens until the continuity audit completes. This creates a post-compromise Epistemic Hold that persists until the constitutional chain of custody is re-established.</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Custodian replacement is the institutional correlate of hardware replacement. When compromise involves governance capture, insider collusion, or custodian key extraction, the affected custodians must be replaced. The replacement procedure operates under the constitutional schema's succession protocols. [</w:t>
      </w:r>
      <w:hyperlink r:id="rId577">
        <w:r w:rsidDel="00000000" w:rsidR="00000000" w:rsidRPr="00000000">
          <w:rPr>
            <w:color w:val="1155cc"/>
            <w:u w:val="single"/>
            <w:rtl w:val="0"/>
          </w:rPr>
          <w:t xml:space="preserve">3</w:t>
        </w:r>
      </w:hyperlink>
      <w:r w:rsidDel="00000000" w:rsidR="00000000" w:rsidRPr="00000000">
        <w:rPr>
          <w:rtl w:val="0"/>
        </w:rPr>
        <w:t xml:space="preserve">] New custodians are nominated by the remaining uncompromised chambers, validated by external auditors, and enrolled through a multi-party key generation ceremony that produces new signing shares without revealing the previous shares. The old shares are cryptographically shredded through the Hybrid Shield's Shamir Secret Sharing protocol. [</w:t>
      </w:r>
      <w:hyperlink r:id="rId57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Hostile takeover resistance is the property that prevents a compromised majority from using the replacement procedure to install additional compromised custodians. The specification mandates that replacement nominations require a supermajority of the remaining uncompromised custodians, not merely a majority. [</w:t>
      </w:r>
      <w:hyperlink r:id="rId579">
        <w:r w:rsidDel="00000000" w:rsidR="00000000" w:rsidRPr="00000000">
          <w:rPr>
            <w:color w:val="1155cc"/>
            <w:u w:val="single"/>
            <w:rtl w:val="0"/>
          </w:rPr>
          <w:t xml:space="preserve">3</w:t>
        </w:r>
      </w:hyperlink>
      <w:r w:rsidDel="00000000" w:rsidR="00000000" w:rsidRPr="00000000">
        <w:rPr>
          <w:rtl w:val="0"/>
        </w:rPr>
        <w:t xml:space="preserve">] The new custodians must come from stakeholder categories not represented by the compromised custodians, ensuring diversity recovery rather than clone replacement. The enrollment ceremony must occur through authenticated, air-gapped channels with hardware-bound identity verification. Remote participation is prohibited for replacement ceremonies because the compromise may have affected the network infrastructure used for remote authentication.</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DITL chip replacement introduces constitutional continuity gaps that software recovery does not face. When a compromised coprocessor is physically removed and replaced, the new chip has a different PUF fingerprint, different memristive calibration parameters, and different hardware-bound key material. [</w:t>
      </w:r>
      <w:hyperlink r:id="rId580">
        <w:r w:rsidDel="00000000" w:rsidR="00000000" w:rsidRPr="00000000">
          <w:rPr>
            <w:color w:val="1155cc"/>
            <w:u w:val="single"/>
            <w:rtl w:val="0"/>
          </w:rPr>
          <w:t xml:space="preserve">6</w:t>
        </w:r>
      </w:hyperlink>
      <w:r w:rsidDel="00000000" w:rsidR="00000000" w:rsidRPr="00000000">
        <w:rPr>
          <w:rtl w:val="0"/>
        </w:rPr>
        <w:t xml:space="preserve">] The replacement chip cannot simply assume the identity of the compromised chip because the PUF attestation would fail. It must be enrolled as a new constitutional entity with its own identity record in the Immutable Ledger. This creates a visible discontinuity in the hardware lineage. External auditors can detect that the coprocessor was replaced, when it was replaced, and why it was replaced, but they cannot verify that the replacement chip was not itself compromised during fabrication or transport.</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The specification mandates a quarantine protocol for replacement chips. Newly fabricated DITL coprocessors must undergo a thirty-day behavioral monitoring period before they are authorized to issue Permission Tokens. [</w:t>
      </w:r>
      <w:hyperlink r:id="rId581">
        <w:r w:rsidDel="00000000" w:rsidR="00000000" w:rsidRPr="00000000">
          <w:rPr>
            <w:color w:val="1155cc"/>
            <w:u w:val="single"/>
            <w:rtl w:val="0"/>
          </w:rPr>
          <w:t xml:space="preserve">6</w:t>
        </w:r>
      </w:hyperlink>
      <w:r w:rsidDel="00000000" w:rsidR="00000000" w:rsidRPr="00000000">
        <w:rPr>
          <w:rtl w:val="0"/>
        </w:rPr>
        <w:t xml:space="preserve">] During quarantine, the chip operates in audit-only mode, evaluating proposals and generating Decision Logs but withholding Permission Tokens. The Technical Council monitors the chip's timing characteristics, power consumption patterns, and handshake protocol behavior against the expected baseline. If anomalies are detected, the chip is physically destroyed and the fabrication batch is recalled. This quarantine period extends the effective RTO for hardware recovery but reduces the risk of replacing a compromised chip with another compromised chip.</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Rollback after tampering requires careful definition of what constitutes a valid pre-compromise state. If the compromise involved schema manipulation, the pre-compromise schema may itself be malicious. Rolling back to it would restore the adversary's preferred configuration. [</w:t>
      </w:r>
      <w:hyperlink r:id="rId582">
        <w:r w:rsidDel="00000000" w:rsidR="00000000" w:rsidRPr="00000000">
          <w:rPr>
            <w:color w:val="1155cc"/>
            <w:u w:val="single"/>
            <w:rtl w:val="0"/>
          </w:rPr>
          <w:t xml:space="preserve">6</w:t>
        </w:r>
      </w:hyperlink>
      <w:r w:rsidDel="00000000" w:rsidR="00000000" w:rsidRPr="00000000">
        <w:rPr>
          <w:rtl w:val="0"/>
        </w:rPr>
        <w:t xml:space="preserve">] The specification mandates that rollback targets must be validated against a canonical schema version that was anchored to the Immutable Ledger before the compromise window. The canonical version is determined by external auditor consensus, not by the institution's own backup selection. If no pre-compromise canonical version exists, the institution must adopt the most conservative available schema, typically the original constitutional schema at deployment, and re-approve all subsequent modifications through the full Tri-Cameral quorum process.</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Legal continuity during recovery is essential for institutional defensibility. A central bank that halts algorithmic monetary policy for four hours during DITL replacement faces market uncertainty, political criticism, and potential litigation from counterparties who suffered losses during the outage. [</w:t>
      </w:r>
      <w:hyperlink r:id="rId583">
        <w:r w:rsidDel="00000000" w:rsidR="00000000" w:rsidRPr="00000000">
          <w:rPr>
            <w:color w:val="1155cc"/>
            <w:u w:val="single"/>
            <w:rtl w:val="0"/>
          </w:rPr>
          <w:t xml:space="preserve">2</w:t>
        </w:r>
      </w:hyperlink>
      <w:r w:rsidDel="00000000" w:rsidR="00000000" w:rsidRPr="00000000">
        <w:rPr>
          <w:rtl w:val="0"/>
        </w:rPr>
        <w:t xml:space="preserve">] The specification mandates that recovery procedures include legal pre-positioning: pre-negotiated contractual provisions that designate recovery events as force majeure, pre-approved regulatory notifications that explain the constitutional necessity of the halt, and pre-committed liquidity facilities from unaffected institutions that maintain market function during the Governance Lane outage. These provisions must be anchored in the Immutable Ledger before they are needed, ensuring that they cannot be repudiated during the stress of recovery.</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The Smart Contract Treasury manages the economic costs of recovery. Replacement chips, auditor fees, legal pre-positioning, and quarantine period resource allocation all require capital. The Treasury maintains a recovery reserve that is cryptographically locked and released only upon detection of compromise by the tamper mesh or the behavioral monitoring system. [</w:t>
      </w:r>
      <w:hyperlink r:id="rId584">
        <w:r w:rsidDel="00000000" w:rsidR="00000000" w:rsidRPr="00000000">
          <w:rPr>
            <w:color w:val="1155cc"/>
            <w:u w:val="single"/>
            <w:rtl w:val="0"/>
          </w:rPr>
          <w:t xml:space="preserve">3</w:t>
        </w:r>
      </w:hyperlink>
      <w:r w:rsidDel="00000000" w:rsidR="00000000" w:rsidRPr="00000000">
        <w:rPr>
          <w:rtl w:val="0"/>
        </w:rPr>
        <w:t xml:space="preserve">] This reserve is not subject to ordinary budgetary discretion. It is a constitutional obligation encoded in the Treasury's algorithmic allocation logic. The institution cannot divert recovery resources to operational expenses because the diversion would trigger automatic Epistemic Hold on all non-recovery expenditures.</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The Tri-Cameral Governance Model distributes recovery authority to prevent re-compromise during the vulnerable recovery window. The Technical Council manages hardware replacement, schema validation, and behavioral monitoring. The Stewardship Custodians manage custodian replacement, legal continuity, and external auditor coordination. [</w:t>
      </w:r>
      <w:hyperlink r:id="rId585">
        <w:r w:rsidDel="00000000" w:rsidR="00000000" w:rsidRPr="00000000">
          <w:rPr>
            <w:color w:val="1155cc"/>
            <w:u w:val="single"/>
            <w:rtl w:val="0"/>
          </w:rPr>
          <w:t xml:space="preserve">3</w:t>
        </w:r>
      </w:hyperlink>
      <w:r w:rsidDel="00000000" w:rsidR="00000000" w:rsidRPr="00000000">
        <w:rPr>
          <w:rtl w:val="0"/>
        </w:rPr>
        <w:t xml:space="preserve">] The Smart Contract Treasury manages resource allocation, economic penalties for institutions that delay recovery, and incentives for rapid restoration of constitutional integrity. No single chamber controls the entire recovery process. An adversary who compromised the Technical Council cannot install backdoored hardware without the Stewardship Custodians' approval of the replacement custodians who will monitor that hardware.</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The sources do not specify the exact quarantine duration for replacement DITL chips, though they mandate that such duration must be configurable by the Technical Council based on behavioral monitoring baseline stability and must be anchored in the constitutional schema with automatic extension triggers upon anomaly detection. [</w:t>
      </w:r>
      <w:hyperlink r:id="rId58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35">
      <w:pPr>
        <w:pStyle w:val="Heading2"/>
        <w:rPr/>
      </w:pPr>
      <w:bookmarkStart w:colFirst="0" w:colLast="0" w:name="_eu362oa1h9g" w:id="55"/>
      <w:bookmarkEnd w:id="55"/>
      <w:r w:rsidDel="00000000" w:rsidR="00000000" w:rsidRPr="00000000">
        <w:rPr>
          <w:rtl w:val="0"/>
        </w:rPr>
        <w:t xml:space="preserve">9.3. Cryptographic Longevity and Quantum Threats</w:t>
      </w:r>
    </w:p>
    <w:p w:rsidR="00000000" w:rsidDel="00000000" w:rsidP="00000000" w:rsidRDefault="00000000" w:rsidRPr="00000000" w14:paraId="00000436">
      <w:pPr>
        <w:rPr/>
      </w:pPr>
      <w:r w:rsidDel="00000000" w:rsidR="00000000" w:rsidRPr="00000000">
        <w:rPr>
          <w:rtl w:val="0"/>
        </w:rPr>
        <w:t xml:space="preserve">The cryptographic primitives that secure Ternary Logic today will not secure it forever. Quantum computing poses an existential threat to the elliptic curve cryptography that underlies current blockchain anchoring, Permission Token signatures, and Tri-Cameral chamber authentication. The framework must therefore specify not merely which algorithms to use now but how to transition to quantum-resistant algorithms without breaking the constitutional continuity of the Immutable Ledger. [</w:t>
      </w:r>
      <w:hyperlink r:id="rId58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SHA-256, the hash algorithm specified for Merkle tree construction and Decision Log anchoring, retains post-quantum security through Grover's algorithm. A quantum computer can search an unsorted database of size N in approximately square root of N steps, reducing the effective security of a hash function from n bits to n/2 bits. [</w:t>
      </w:r>
      <w:hyperlink r:id="rId588">
        <w:r w:rsidDel="00000000" w:rsidR="00000000" w:rsidRPr="00000000">
          <w:rPr>
            <w:color w:val="1155cc"/>
            <w:u w:val="single"/>
            <w:rtl w:val="0"/>
          </w:rPr>
          <w:t xml:space="preserve">6</w:t>
        </w:r>
      </w:hyperlink>
      <w:r w:rsidDel="00000000" w:rsidR="00000000" w:rsidRPr="00000000">
        <w:rPr>
          <w:rtl w:val="0"/>
        </w:rPr>
        <w:t xml:space="preserve">] SHA-256 provides 256 bits of classical security, which reduces to 128 bits under quantum attack. This 128-bit margin remains computationally infeasible for the foreseeable future. Even an optimistic estimate of quantum computing progress suggests that breaking 128-bit security requires millions of physical qubits with error rates below 0.1 percent, a threshold that remains distant. SHA-256 does not require immediate replacement.</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ECDSA, the elliptic curve digital signature algorithm used for Permission Tokens, chamber signatures, and blockchain transaction signing, does not share this resilience. Shor's algorithm solves the discrete logarithm problem in polynomial time on a sufficiently large quantum computer, completely breaking ECDSA security. [</w:t>
      </w:r>
      <w:hyperlink r:id="rId589">
        <w:r w:rsidDel="00000000" w:rsidR="00000000" w:rsidRPr="00000000">
          <w:rPr>
            <w:color w:val="1155cc"/>
            <w:u w:val="single"/>
            <w:rtl w:val="0"/>
          </w:rPr>
          <w:t xml:space="preserve">6</w:t>
        </w:r>
      </w:hyperlink>
      <w:r w:rsidDel="00000000" w:rsidR="00000000" w:rsidRPr="00000000">
        <w:rPr>
          <w:rtl w:val="0"/>
        </w:rPr>
        <w:t xml:space="preserve">] A quantum attacker who has harvested ECDSA signatures from the blockchain can retroactively derive the private keys and forge arbitrary historical transactions. This is not a future threat to future transactions. It is a future threat to all past transactions that were ever signed with ECDSA.</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The vulnerability window for ECDSA is estimated at 2032 to 2040. This window represents the period between the plausible emergence of cryptographically relevant quantum computers and the completion of a global migration to post-quantum algorithms. [</w:t>
      </w:r>
      <w:hyperlink r:id="rId590">
        <w:r w:rsidDel="00000000" w:rsidR="00000000" w:rsidRPr="00000000">
          <w:rPr>
            <w:color w:val="1155cc"/>
            <w:u w:val="single"/>
            <w:rtl w:val="0"/>
          </w:rPr>
          <w:t xml:space="preserve">6</w:t>
        </w:r>
      </w:hyperlink>
      <w:r w:rsidDel="00000000" w:rsidR="00000000" w:rsidRPr="00000000">
        <w:rPr>
          <w:rtl w:val="0"/>
        </w:rPr>
        <w:t xml:space="preserve">] Harvest now, decrypt later attacks are already occurring. Nation-state intelligence services are systematically collecting encrypted communications and blockchain signatures with the expectation that quantum computers will eventually allow decryption and forgery. Every ECDSA signature anchored to Bitcoin, Ethereum, or Polygon today is a potential target for future retroactive forgery.</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NIST has standardized three post-quantum algorithm families. FIPS 203 specifies Module-Lattice-Based Key-Encapsulation Mechanism, derived from CRYSTALS-Kyber, for key establishment. FIPS 204 specifies Module-Lattice-Based Digital Signature Standard, derived from CRYSTALS-Dilithium, for digital signatures. FIPS 205 specifies Stateless Hash-Based Digital Signature Standard, derived from SPHINCS+, for signatures requiring long-term security without state management. [</w:t>
      </w:r>
      <w:hyperlink r:id="rId591">
        <w:r w:rsidDel="00000000" w:rsidR="00000000" w:rsidRPr="00000000">
          <w:rPr>
            <w:color w:val="1155cc"/>
            <w:u w:val="single"/>
            <w:rtl w:val="0"/>
          </w:rPr>
          <w:t xml:space="preserve">6</w:t>
        </w:r>
      </w:hyperlink>
      <w:r w:rsidDel="00000000" w:rsidR="00000000" w:rsidRPr="00000000">
        <w:rPr>
          <w:rtl w:val="0"/>
        </w:rPr>
        <w:t xml:space="preserve">] TL must migrate to these standards, but the migration is not a simple parameter update. It is a constitutional event that affects every anchored record, every chamber key, and every Permission Token in the ledger's history.</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Merkle continuity during algorithm transition is the central technical challenge. The Immutable Ledger contains Merkle trees whose leaf hashes incorporate ECDSA signatures. If the framework replaces ECDSA with Dilithium, the new signatures are structurally different: larger, based on different mathematical assumptions, and incompatible with the old verification logic. [</w:t>
      </w:r>
      <w:hyperlink r:id="rId592">
        <w:r w:rsidDel="00000000" w:rsidR="00000000" w:rsidRPr="00000000">
          <w:rPr>
            <w:color w:val="1155cc"/>
            <w:u w:val="single"/>
            <w:rtl w:val="0"/>
          </w:rPr>
          <w:t xml:space="preserve">6</w:t>
        </w:r>
      </w:hyperlink>
      <w:r w:rsidDel="00000000" w:rsidR="00000000" w:rsidRPr="00000000">
        <w:rPr>
          <w:rtl w:val="0"/>
        </w:rPr>
        <w:t xml:space="preserve">] A naive transition would create a ledger fork where pre-transition records are verifiable only with ECDSA and post-transition records are verifiable only with Dilithium. External auditors would need to maintain two verification stacks indefinitely, and the cryptographic binding between pre-transition and post-transition records would weaken.</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The specification mandates a hybrid signature protocol during the transition window. Every Permission Token and chamber signature must include both an ECDSA signature and a Dilithium signature during the overlap period. [</w:t>
      </w:r>
      <w:hyperlink r:id="rId593">
        <w:r w:rsidDel="00000000" w:rsidR="00000000" w:rsidRPr="00000000">
          <w:rPr>
            <w:color w:val="1155cc"/>
            <w:u w:val="single"/>
            <w:rtl w:val="0"/>
          </w:rPr>
          <w:t xml:space="preserve">6</w:t>
        </w:r>
      </w:hyperlink>
      <w:r w:rsidDel="00000000" w:rsidR="00000000" w:rsidRPr="00000000">
        <w:rPr>
          <w:rtl w:val="0"/>
        </w:rPr>
        <w:t xml:space="preserve">] The Merkle leaf hash incorporates both signatures, creating a cryptographic link that is valid under either algorithm. The Governance Lane verifies both signatures before issuing Proceed. After the transition completes and the Stewardship Custodians vote to retire ECDSA, the Merkle tree continues to incorporate the hybrid leaves, preserving the historical chain. External auditors can verify historical records using whichever algorithm they trust, and the dual-signature leaves prevent either algorithm from being retroactively removed without breaking the hash chain.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The transition timeline must be anchored in the constitutional schema with automatic triggers. The Stewardship Custodians configure a quantum readiness parameter that monitors NIST certification status, academic cryptanalysis results, and intelligence community assessments of quantum computing progress. [</w:t>
      </w:r>
      <w:hyperlink r:id="rId594">
        <w:r w:rsidDel="00000000" w:rsidR="00000000" w:rsidRPr="00000000">
          <w:rPr>
            <w:color w:val="1155cc"/>
            <w:u w:val="single"/>
            <w:rtl w:val="0"/>
          </w:rPr>
          <w:t xml:space="preserve">6</w:t>
        </w:r>
      </w:hyperlink>
      <w:r w:rsidDel="00000000" w:rsidR="00000000" w:rsidRPr="00000000">
        <w:rPr>
          <w:rtl w:val="0"/>
        </w:rPr>
        <w:t xml:space="preserve">] When the parameter crosses a defined threshold, such as the demonstration of a quantum computer with more than one thousand logical qubits, the Governance Lane automatically initiates the hybrid signature protocol. When a second threshold is crossed, such as the publication of a practical Shor's algorithm implementation, the Governance Lane automatically escalates to full Dilithium-only mode and retires ECDSA. These automatic triggers prevent institutional delay, political interference, or economic resistance from postponing the migration until the vulnerability window closes.</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Multi-chain anchoring provides censorship resistance during the transition. TL anchors Merkle roots to Bitcoin, Ethereum, and Polygon simultaneously. If one chain experiences a quantum-related security incident, such as a successful Shor's attack against its signature scheme that allows reorganization of historical blocks, the other chains may remain secure. [</w:t>
      </w:r>
      <w:hyperlink r:id="rId595">
        <w:r w:rsidDel="00000000" w:rsidR="00000000" w:rsidRPr="00000000">
          <w:rPr>
            <w:color w:val="1155cc"/>
            <w:u w:val="single"/>
            <w:rtl w:val="0"/>
          </w:rPr>
          <w:t xml:space="preserve">6</w:t>
        </w:r>
      </w:hyperlink>
      <w:r w:rsidDel="00000000" w:rsidR="00000000" w:rsidRPr="00000000">
        <w:rPr>
          <w:rtl w:val="0"/>
        </w:rPr>
        <w:t xml:space="preserve">] The specification mandates that a valid external anchor requires confirmation on at least two of the three chains. If one chain's quantum vulnerability is exploited to orphan previously anchored blocks, the Decision Logs remain verifiable through the surviving chain anchors. This redundancy is not merely operational. It is constitutional. The framework cannot permit a single blockchain's cryptographic failure to invalidate the entire evidentiary history.</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Bitcoin faces specific quantum risks because its UTXO model exposes public keys only when outputs are spent. Unspent outputs remain theoretically secure against Shor's algorithm because the public key is not visible on the chain. [</w:t>
      </w:r>
      <w:hyperlink r:id="rId596">
        <w:r w:rsidDel="00000000" w:rsidR="00000000" w:rsidRPr="00000000">
          <w:rPr>
            <w:color w:val="1155cc"/>
            <w:u w:val="single"/>
            <w:rtl w:val="0"/>
          </w:rPr>
          <w:t xml:space="preserve">6</w:t>
        </w:r>
      </w:hyperlink>
      <w:r w:rsidDel="00000000" w:rsidR="00000000" w:rsidRPr="00000000">
        <w:rPr>
          <w:rtl w:val="0"/>
        </w:rPr>
        <w:t xml:space="preserve">] However, TL's anchoring mechanism requires periodic Merkle root transactions that expose public keys every time an anchor is published. The framework cannot rely on Bitcoin's UTXO security model because the act of anchoring itself reveals the signing key. The hybrid signature protocol mitigates this by ensuring that even if the ECDSA component of an anchor transaction is eventually forged, the Dilithium component remains valid, and the Merkle root hash itself remains protected by SHA-256's 128-bit quantum margin.</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Ethereum and Polygon face different risks because their account-based models expose public keys continuously. Every anchor transaction reveals the signing account's public key, making the account perpetually vulnerable to future Shor's attacks. [</w:t>
      </w:r>
      <w:hyperlink r:id="rId597">
        <w:r w:rsidDel="00000000" w:rsidR="00000000" w:rsidRPr="00000000">
          <w:rPr>
            <w:color w:val="1155cc"/>
            <w:u w:val="single"/>
            <w:rtl w:val="0"/>
          </w:rPr>
          <w:t xml:space="preserve">6</w:t>
        </w:r>
      </w:hyperlink>
      <w:r w:rsidDel="00000000" w:rsidR="00000000" w:rsidRPr="00000000">
        <w:rPr>
          <w:rtl w:val="0"/>
        </w:rPr>
        <w:t xml:space="preserve">] The framework mitigates this through single-use anchor accounts. Each anchor transaction is signed by a fresh account that is funded immediately before the transaction and abandoned immediately after. The private key is generated inside the DITL coprocessor's secure enclave and cryptographically shredded after use. Even if a quantum attacker eventually derives the private key from the public key, the account contains no funds and controls no future transactions. The attack yields nothing.</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The ten to fifteen year cryptographic horizon defines the planning window for institutional preparation. Organizations deploying TL today must budget for two complete cryptographic migrations: the current deployment using ECDSA, and the post-quantum migration using Dilithium or its successor. [</w:t>
      </w:r>
      <w:hyperlink r:id="rId598">
        <w:r w:rsidDel="00000000" w:rsidR="00000000" w:rsidRPr="00000000">
          <w:rPr>
            <w:color w:val="1155cc"/>
            <w:u w:val="single"/>
            <w:rtl w:val="0"/>
          </w:rPr>
          <w:t xml:space="preserve">6</w:t>
        </w:r>
      </w:hyperlink>
      <w:r w:rsidDel="00000000" w:rsidR="00000000" w:rsidRPr="00000000">
        <w:rPr>
          <w:rtl w:val="0"/>
        </w:rPr>
        <w:t xml:space="preserve">] Each migration requires key generation ceremonies, hardware security module updates, staff training, regulatory notification, and counterparty coordination. The Smart Contract Treasury must allocate reserves for these migrations as constitutional obligations, not as discretionary IT projects. An institution that fails to budget for post-quantum migration will find itself unable to afford the transition when the vulnerability window opens, forcing it either into cryptographic obsolescence or into emergency borrowing that compromises its governance independence.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The Tri-Cameral Governance Model distributes cryptographic oversight to prevent transition capture. The Technical Council monitors quantum computing progress, evaluates post-quantum algorithm candidates, and validates the hybrid signature implementation. The Stewardship Custodians approve the transition thresholds, audit the key ceremony procedures, and verify that the migration does not introduce backdoors or weaken existing protections. [</w:t>
      </w:r>
      <w:hyperlink r:id="rId599">
        <w:r w:rsidDel="00000000" w:rsidR="00000000" w:rsidRPr="00000000">
          <w:rPr>
            <w:color w:val="1155cc"/>
            <w:u w:val="single"/>
            <w:rtl w:val="0"/>
          </w:rPr>
          <w:t xml:space="preserve">3</w:t>
        </w:r>
      </w:hyperlink>
      <w:r w:rsidDel="00000000" w:rsidR="00000000" w:rsidRPr="00000000">
        <w:rPr>
          <w:rtl w:val="0"/>
        </w:rPr>
        <w:t xml:space="preserve">] The Smart Contract Treasury manages the economic resources for hardware replacement, HSM upgrades, and staff training. The constitutional separation prevents any single chamber from delaying the migration for institutional convenience or from rushing the migration before the new algorithms are sufficiently validated.</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 sources do not specify the exact quantum readiness threshold values for automatic transition initiation, though they mandate that such thresholds must be determined by the Technical Council based on NIST guidance, academic consensus, and intelligence community assessments, and must be anchored in the constitutional schema with mandatory public disclosure. [</w:t>
      </w:r>
      <w:hyperlink r:id="rId60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51">
      <w:pPr>
        <w:pStyle w:val="Heading2"/>
        <w:rPr/>
      </w:pPr>
      <w:bookmarkStart w:colFirst="0" w:colLast="0" w:name="_rq6mxkas57l" w:id="56"/>
      <w:bookmarkEnd w:id="56"/>
      <w:r w:rsidDel="00000000" w:rsidR="00000000" w:rsidRPr="00000000">
        <w:rPr>
          <w:rtl w:val="0"/>
        </w:rPr>
        <w:t xml:space="preserve">9.4. Economic and Political Pressure</w:t>
      </w:r>
    </w:p>
    <w:p w:rsidR="00000000" w:rsidDel="00000000" w:rsidP="00000000" w:rsidRDefault="00000000" w:rsidRPr="00000000" w14:paraId="00000452">
      <w:pPr>
        <w:rPr/>
      </w:pPr>
      <w:r w:rsidDel="00000000" w:rsidR="00000000" w:rsidRPr="00000000">
        <w:rPr>
          <w:rtl w:val="0"/>
        </w:rPr>
        <w:t xml:space="preserve">The deployment of Ternary Logic is not merely a technical decision. It is a political act that redistributes power between institutions, between sovereigns, and between the state and the market. Every entity that currently benefits from opaque governance, discretionary override, or evidentiary ambiguity has an incentive to resist, subvert, or delay TL adoption. [</w:t>
      </w:r>
      <w:hyperlink r:id="rId601">
        <w:r w:rsidDel="00000000" w:rsidR="00000000" w:rsidRPr="00000000">
          <w:rPr>
            <w:color w:val="1155cc"/>
            <w:u w:val="single"/>
            <w:rtl w:val="0"/>
          </w:rPr>
          <w:t xml:space="preserve">6</w:t>
        </w:r>
      </w:hyperlink>
      <w:r w:rsidDel="00000000" w:rsidR="00000000" w:rsidRPr="00000000">
        <w:rPr>
          <w:rtl w:val="0"/>
        </w:rPr>
        <w:t xml:space="preserve">] The economic and political pressure against TL is not a bug in the adoption process. It is a feature of the power structure that TL was designed to constrain.</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Regulatory hostility is the most predictable form of political pressure. Central banks, financial regulators, and market supervisors derive institutional authority from their discretionary power to grant exceptions, waive requirements, and negotiate settlements. [</w:t>
      </w:r>
      <w:hyperlink r:id="rId602">
        <w:r w:rsidDel="00000000" w:rsidR="00000000" w:rsidRPr="00000000">
          <w:rPr>
            <w:color w:val="1155cc"/>
            <w:u w:val="single"/>
            <w:rtl w:val="0"/>
          </w:rPr>
          <w:t xml:space="preserve">2</w:t>
        </w:r>
      </w:hyperlink>
      <w:r w:rsidDel="00000000" w:rsidR="00000000" w:rsidRPr="00000000">
        <w:rPr>
          <w:rtl w:val="0"/>
        </w:rPr>
        <w:t xml:space="preserve">] TL's Immutable Ledger and NL=NA covenant eliminate this discretion. A central bank governor who has spent a career cultivating relationships with finance ministers, who has used emergency liquidity as a tool of political negotiation, and who has preserved institutional flexibility through deliberate evidentiary ambiguity, will not welcome a system that makes every algorithmic decision permanently visible and constitutionally unoverrideable. [</w:t>
      </w:r>
      <w:hyperlink r:id="rId60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 hostility manifests through institutional delay. Regulatory approval processes for TL deployment can be extended indefinitely through requests for additional studies, consultations with industry stakeholders, and reviews of international precedent. [</w:t>
      </w:r>
      <w:hyperlink r:id="rId604">
        <w:r w:rsidDel="00000000" w:rsidR="00000000" w:rsidRPr="00000000">
          <w:rPr>
            <w:color w:val="1155cc"/>
            <w:u w:val="single"/>
            <w:rtl w:val="0"/>
          </w:rPr>
          <w:t xml:space="preserve">6</w:t>
        </w:r>
      </w:hyperlink>
      <w:r w:rsidDel="00000000" w:rsidR="00000000" w:rsidRPr="00000000">
        <w:rPr>
          <w:rtl w:val="0"/>
        </w:rPr>
        <w:t xml:space="preserve">] Each delay is individually justified by prudential caution. In aggregate, they constitute a de facto prohibition. The regulator does not need to ban TL explicitly. They need only ensure that the approval process outlasts the institutional patience of the proponent. This is the bureaucratic equivalent of the Sacred Zero flooding attack, weaponized against the framework itself.</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Export controls create a second vector of political pressure. The Foreign Direct Product Rule extends US jurisdiction to foreign-made items that are the direct product of specified US-origin software or technology. [</w:t>
      </w:r>
      <w:hyperlink r:id="rId605">
        <w:r w:rsidDel="00000000" w:rsidR="00000000" w:rsidRPr="00000000">
          <w:rPr>
            <w:color w:val="1155cc"/>
            <w:u w:val="single"/>
            <w:rtl w:val="0"/>
          </w:rPr>
          <w:t xml:space="preserve">6</w:t>
        </w:r>
      </w:hyperlink>
      <w:r w:rsidDel="00000000" w:rsidR="00000000" w:rsidRPr="00000000">
        <w:rPr>
          <w:rtl w:val="0"/>
        </w:rPr>
        <w:t xml:space="preserve">] All major EDA tools for advanced semiconductor design are US-origin. The process design kits used by TSMC, Samsung, and Intel incorporate US-origin IP. The lithography equipment used by all advanced foundries is subject to US export control coordination. A DITL coprocessor designed in any jurisdiction, fabricated in any foundry, and deployed in any market is potentially subject to US export control if its design tools, fabrication equipment, or key IP blocks are US-origin. [</w:t>
      </w:r>
      <w:hyperlink r:id="rId60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This jurisdictional reach means that the US government can block TL deployment to specific entities, specific markets, or specific jurisdictions without passing legislation that mentions TL by name. The Entity List mechanism, which has been used against Huawei, ZTE, and dozens of other technology firms, can be applied to any institution that attempts to deploy hardware-enforced governance that the US government perceives as threatening to its surveillance capabilities, its financial sanctions architecture, or its diplomatic leverage. [</w:t>
      </w:r>
      <w:hyperlink r:id="rId607">
        <w:r w:rsidDel="00000000" w:rsidR="00000000" w:rsidRPr="00000000">
          <w:rPr>
            <w:color w:val="1155cc"/>
            <w:u w:val="single"/>
            <w:rtl w:val="0"/>
          </w:rPr>
          <w:t xml:space="preserve">6</w:t>
        </w:r>
      </w:hyperlink>
      <w:r w:rsidDel="00000000" w:rsidR="00000000" w:rsidRPr="00000000">
        <w:rPr>
          <w:rtl w:val="0"/>
        </w:rPr>
        <w:t xml:space="preserve">] TL's immutable logging is a threat to surveillance because it prevents retroactive evidentiary deletion. TL's cross-border transparency is a threat to sanctions because it makes circumvention cryptographically detectable. TL's constitutional override resistance is a threat to diplomatic pressure because it prevents sovereign institutions from being compelled to modify their governance for political convenience.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State coercion and mandatory backdoor scenarios represent the acute form of political pressure. A nation-state that cannot prevent TL deployment through regulatory delay or export control may compel it through national security law. [</w:t>
      </w:r>
      <w:hyperlink r:id="rId608">
        <w:r w:rsidDel="00000000" w:rsidR="00000000" w:rsidRPr="00000000">
          <w:rPr>
            <w:color w:val="1155cc"/>
            <w:u w:val="single"/>
            <w:rtl w:val="0"/>
          </w:rPr>
          <w:t xml:space="preserve">6</w:t>
        </w:r>
      </w:hyperlink>
      <w:r w:rsidDel="00000000" w:rsidR="00000000" w:rsidRPr="00000000">
        <w:rPr>
          <w:rtl w:val="0"/>
        </w:rPr>
        <w:t xml:space="preserve">] The state can mandate that all governance systems deployed within its jurisdiction include a state-accessible override mechanism. It can require that cryptographic keys be escrowed with state intelligence services. It can demand that the Immutable Ledger include a state-readable backdoor that bypasses the Hybrid Shield's pseudonymization. These demands are not theoretical. They are standard provisions in national security legislation across major jurisdictions, including the US CLOUD Act, the UK Investigatory Powers Act, and China's Cybersecurity Law.</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TL's response to state coercion is architectural, not legal. The DITL hardware makes backdoor insertion physically detectable because any modification to the memristive state transition logic alters the chip's timing characteristics, power consumption profile, and PUF fingerprint. [</w:t>
      </w:r>
      <w:hyperlink r:id="rId609">
        <w:r w:rsidDel="00000000" w:rsidR="00000000" w:rsidRPr="00000000">
          <w:rPr>
            <w:color w:val="1155cc"/>
            <w:u w:val="single"/>
            <w:rtl w:val="0"/>
          </w:rPr>
          <w:t xml:space="preserve">6</w:t>
        </w:r>
      </w:hyperlink>
      <w:r w:rsidDel="00000000" w:rsidR="00000000" w:rsidRPr="00000000">
        <w:rPr>
          <w:rtl w:val="0"/>
        </w:rPr>
        <w:t xml:space="preserve">] Behavioral monitoring can detect state-mandated backdoors if the backdoor activation produces anomalous handshake patterns. However, a sufficiently sophisticated state actor can design a backdoor that activates only under specific trigger conditions that never occur during routine behavioral monitoring. The specification does not claim to prevent all state coercion. It claims to make coercion detectable and attributable, raising the political cost of coercion by making it impossible to deny.</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Profit-driven threshold erosion is the chronic economic pressure that operates independently of state action. Financial institutions exist to generate returns for shareholders, depositors, or members. TL's constitutional constraints reduce short-term profitability by blocking high-risk proposals, extending evidentiary timelines, and increasing governance overhead. [</w:t>
      </w:r>
      <w:hyperlink r:id="rId610">
        <w:r w:rsidDel="00000000" w:rsidR="00000000" w:rsidRPr="00000000">
          <w:rPr>
            <w:color w:val="1155cc"/>
            <w:u w:val="single"/>
            <w:rtl w:val="0"/>
          </w:rPr>
          <w:t xml:space="preserve">6</w:t>
        </w:r>
      </w:hyperlink>
      <w:r w:rsidDel="00000000" w:rsidR="00000000" w:rsidRPr="00000000">
        <w:rPr>
          <w:rtl w:val="0"/>
        </w:rPr>
        <w:t xml:space="preserve">] Over time, the institution's leadership faces pressure to relax these constraints. The pressure does not come from a single adversary. It comes from the cumulative weight of quarterly earnings targets, competitor comparisons, and career incentives for executives who are rewarded based on return on equity rather than on constitutional fidelity.</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The Basel II internal-models approach is the canonical precedent for profit-driven erosion. Banks were permitted to use their own risk models for capital requirements. Over a decade of gradual parameter relaxation, the models became systematically optimistic, capital requirements fell below prudential levels, and the 2008 crisis revealed that the framework had been captured by the institutions it was supposed to govern. [</w:t>
      </w:r>
      <w:hyperlink r:id="rId611">
        <w:r w:rsidDel="00000000" w:rsidR="00000000" w:rsidRPr="00000000">
          <w:rPr>
            <w:color w:val="1155cc"/>
            <w:u w:val="single"/>
            <w:rtl w:val="0"/>
          </w:rPr>
          <w:t xml:space="preserve">6</w:t>
        </w:r>
      </w:hyperlink>
      <w:r w:rsidDel="00000000" w:rsidR="00000000" w:rsidRPr="00000000">
        <w:rPr>
          <w:rtl w:val="0"/>
        </w:rPr>
        <w:t xml:space="preserve">] TL faces the identical dynamic. The Stewardship Custodians update the constitutional schema to accommodate new market conditions, new instrument types, and competitive pressure. Each update is individually justified. In aggregate, they gradually redefine what constitutes truth, what constitutes harm, and what constitutes evidence. The Goukassian Vow remains immutable in text but mutable in interpretation.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The Smart Contract Treasury's automated penalties are designed to counteract this erosion. When a trading desk's proposals show a statistically anomalous rate of Proceed relative to industry benchmarks, the Treasury automatically increases collateral requirements and reduces credit lines. [</w:t>
      </w:r>
      <w:hyperlink r:id="rId612">
        <w:r w:rsidDel="00000000" w:rsidR="00000000" w:rsidRPr="00000000">
          <w:rPr>
            <w:color w:val="1155cc"/>
            <w:u w:val="single"/>
            <w:rtl w:val="0"/>
          </w:rPr>
          <w:t xml:space="preserve">3</w:t>
        </w:r>
      </w:hyperlink>
      <w:r w:rsidDel="00000000" w:rsidR="00000000" w:rsidRPr="00000000">
        <w:rPr>
          <w:rtl w:val="0"/>
        </w:rPr>
        <w:t xml:space="preserve">] When an institution's schema modifications consistently relax evidentiary requirements, the Treasury imposes mandatory external audit fees and reduces fee rebates. These automated penalties remove the profit motive for erosion by making constitutional relaxation more expensive than constitutional compliance. However, the penalties themselves are subject to erosion. The Stewardship Custodians can vote to relax the penalty parameters, just as they can vote to relax the evidentiary parameters.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Adoption scenario modeling identifies three deployment pathways with distinct political and economic profiles. The public adoption scenario involves transparent deployment with public announcement, regulatory registration, and open-source publication of the constitutional schema. [</w:t>
      </w:r>
      <w:hyperlink r:id="rId613">
        <w:r w:rsidDel="00000000" w:rsidR="00000000" w:rsidRPr="00000000">
          <w:rPr>
            <w:color w:val="1155cc"/>
            <w:u w:val="single"/>
            <w:rtl w:val="0"/>
          </w:rPr>
          <w:t xml:space="preserve">6</w:t>
        </w:r>
      </w:hyperlink>
      <w:r w:rsidDel="00000000" w:rsidR="00000000" w:rsidRPr="00000000">
        <w:rPr>
          <w:rtl w:val="0"/>
        </w:rPr>
        <w:t xml:space="preserve">] This scenario maximizes accountability and external verification but also maximizes political exposure. Adversaries who oppose TL can target the public deployment through regulatory delay, export control, state coercion, or reputational attack. The institution becomes a visible symbol of governance reform, attracting both support and opposition.</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quiet institutional adoption scenario involves deployment without public announcement, limited disclosure to counterparties and regulators on a need-to-know basis, and proprietary constitutional schemas that are not open-sourced. [</w:t>
      </w:r>
      <w:hyperlink r:id="rId614">
        <w:r w:rsidDel="00000000" w:rsidR="00000000" w:rsidRPr="00000000">
          <w:rPr>
            <w:color w:val="1155cc"/>
            <w:u w:val="single"/>
            <w:rtl w:val="0"/>
          </w:rPr>
          <w:t xml:space="preserve">6</w:t>
        </w:r>
      </w:hyperlink>
      <w:r w:rsidDel="00000000" w:rsidR="00000000" w:rsidRPr="00000000">
        <w:rPr>
          <w:rtl w:val="0"/>
        </w:rPr>
        <w:t xml:space="preserve">] This scenario minimizes political exposure and allows the institution to gain operational experience before facing public scrutiny. However, it minimizes external verification and accountability. The institution can claim TL compliance without demonstrating it. The Lantern beacon may be disabled or restricted to internal monitors. The Signature may not be published. The License may not be enforced against unauthorized forks. Quiet adoption risks becoming a marketing label rather than a constitutional transformation.</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The mandatory adoption scenario involves regulatory or legislative requirements that institutions in specific sectors must deploy TL or equivalent governance frameworks. [</w:t>
      </w:r>
      <w:hyperlink r:id="rId615">
        <w:r w:rsidDel="00000000" w:rsidR="00000000" w:rsidRPr="00000000">
          <w:rPr>
            <w:color w:val="1155cc"/>
            <w:u w:val="single"/>
            <w:rtl w:val="0"/>
          </w:rPr>
          <w:t xml:space="preserve">6</w:t>
        </w:r>
      </w:hyperlink>
      <w:r w:rsidDel="00000000" w:rsidR="00000000" w:rsidRPr="00000000">
        <w:rPr>
          <w:rtl w:val="0"/>
        </w:rPr>
        <w:t xml:space="preserve">] This scenario maximizes deployment scale but also maximizes adversarial incentive. Institutions that are compelled to deploy TL against their will will seek the minimum compliant implementation, typically software-only emulation with maximum parameter relaxation. The mandatory framework becomes a checkbox exercise that satisfies regulators while preserving institutional discretion. The DITL hardware requirement may be waived due to cost, supply chain unavailability, or transitional tolerance. The constitutional schema may be diluted through industry lobbying during the rulemaking process. Mandatory adoption without hardware enforcement is arguably worse than no adoption because it creates the appearance of governance without the reality.</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The Tri-Cameral Governance Model provides institutional countermeasures against economic and political pressure through mandatory diversity requirements and incentive alignment. The Stewardship Custodians must include representatives from civil society organizations and affected economic actors who are not employed by the deploying institution and whose compensation does not depend on institutional profitability. [</w:t>
      </w:r>
      <w:hyperlink r:id="rId616">
        <w:r w:rsidDel="00000000" w:rsidR="00000000" w:rsidRPr="00000000">
          <w:rPr>
            <w:color w:val="1155cc"/>
            <w:u w:val="single"/>
            <w:rtl w:val="0"/>
          </w:rPr>
          <w:t xml:space="preserve">3</w:t>
        </w:r>
      </w:hyperlink>
      <w:r w:rsidDel="00000000" w:rsidR="00000000" w:rsidRPr="00000000">
        <w:rPr>
          <w:rtl w:val="0"/>
        </w:rPr>
        <w:t xml:space="preserve">] The Technical Council must include members from independent academic institutions with tenure protections that insulate them from economic retaliation. The Smart Contract Treasury must include algorithmic agents whose logic is open-source and whose penalties are automatically triggered by objective metrics rather than by managerial discretion. These structural features increase the cost of capture but do not eliminate it. A sufficiently resourced adversary can influence academic appointments, fund civil society organizations that support their position, or develop sophisticated algorithms that evade the Treasury's automated detection.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In macroeconomic practice, the economic and political pressure against TL deployment is proportional to the power that TL would constrain. A small regional bank with limited political influence faces modest resistance because its governance transformation threatens few established interests. A systemically important financial institution with close regulatory relationships faces intense resistance because its transformation would demonstrate that even the most powerful institutions can be held to constitutional standards. [</w:t>
      </w:r>
      <w:hyperlink r:id="rId617">
        <w:r w:rsidDel="00000000" w:rsidR="00000000" w:rsidRPr="00000000">
          <w:rPr>
            <w:color w:val="1155cc"/>
            <w:u w:val="single"/>
            <w:rtl w:val="0"/>
          </w:rPr>
          <w:t xml:space="preserve">2</w:t>
        </w:r>
      </w:hyperlink>
      <w:r w:rsidDel="00000000" w:rsidR="00000000" w:rsidRPr="00000000">
        <w:rPr>
          <w:rtl w:val="0"/>
        </w:rPr>
        <w:t xml:space="preserve">] A sovereign central bank faces the most extreme resistance because its adoption of TL would imply that monetary policy is subject to evidentiary constraints that limit executive discretion. The central bank becomes a demonstration that logic can constrain the power that issues the currency itself.</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 sources do not specify the exact political cost-benefit threshold that determines whether an institution chooses public, quiet, or mandatory adoption, though they mandate that such analysis must be conducted by the deploying institution's governance board and anchored in the constitutional schema with mandatory disclosure of the chosen pathway and its associated risks. [</w:t>
      </w:r>
      <w:hyperlink r:id="rId61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71">
      <w:pPr>
        <w:pStyle w:val="Heading2"/>
        <w:rPr/>
      </w:pPr>
      <w:bookmarkStart w:colFirst="0" w:colLast="0" w:name="_valwyi1jup8c" w:id="57"/>
      <w:bookmarkEnd w:id="57"/>
      <w:r w:rsidDel="00000000" w:rsidR="00000000" w:rsidRPr="00000000">
        <w:rPr>
          <w:rtl w:val="0"/>
        </w:rPr>
        <w:t xml:space="preserve">10.1. Glossary of Terms</w:t>
      </w:r>
    </w:p>
    <w:p w:rsidR="00000000" w:rsidDel="00000000" w:rsidP="00000000" w:rsidRDefault="00000000" w:rsidRPr="00000000" w14:paraId="00000472">
      <w:pPr>
        <w:rPr/>
      </w:pPr>
      <w:r w:rsidDel="00000000" w:rsidR="00000000" w:rsidRPr="00000000">
        <w:rPr>
          <w:b w:val="1"/>
          <w:bCs w:val="1"/>
          <w:rtl w:val="0"/>
        </w:rPr>
        <w:t xml:space="preserve">1-of-3 Rail Encoding.</w:t>
      </w:r>
      <w:r w:rsidDel="00000000" w:rsidR="00000000" w:rsidRPr="00000000">
        <w:rPr>
          <w:rtl w:val="0"/>
        </w:rPr>
        <w:t xml:space="preserve"> A physical signaling scheme for ternary logic that uses three wires per trit, with exactly one wire active for each state and all-zero representing the null spacer. This preserves full noise margins and makes ternary-to-binary reduction detectable by completion logic, in contrast to voltage-level encoding which halves noise margins and increases susceptibility to voltage glitching. [</w:t>
      </w:r>
      <w:hyperlink r:id="rId61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b w:val="1"/>
          <w:bCs w:val="1"/>
          <w:rtl w:val="0"/>
        </w:rPr>
        <w:t xml:space="preserve">Anchors.</w:t>
      </w:r>
      <w:r w:rsidDel="00000000" w:rsidR="00000000" w:rsidRPr="00000000">
        <w:rPr>
          <w:rtl w:val="0"/>
        </w:rPr>
        <w:t xml:space="preserve"> Merkle-batched commitments that bind local Decision Logs to external immutable ledgers, specifically Bitcoin, Ethereum, and Polygon, with a maximum anchoring delay of three hundred seconds from root formation to external anchor. Anchors provide independent verification of local evidentiary integrity and prevent retroactive repudiation. [</w:t>
      </w:r>
      <w:hyperlink r:id="rId62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rtl w:val="0"/>
        </w:rPr>
        <w:t xml:space="preserve">Behavioral Monitoring.</w:t>
      </w:r>
      <w:r w:rsidDel="00000000" w:rsidR="00000000" w:rsidRPr="00000000">
        <w:rPr>
          <w:rtl w:val="0"/>
        </w:rPr>
        <w:t xml:space="preserve"> Continuous observation of deployed DITL coprocessor timing characteristics, power consumption patterns, and handshake protocol behavior against an expected baseline. Used to detect anomalous chip behavior indicative of hardware Trojan activation or physical tampering. [</w:t>
      </w:r>
      <w:hyperlink r:id="rId62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b w:val="1"/>
          <w:bCs w:val="1"/>
          <w:rtl w:val="0"/>
        </w:rPr>
        <w:t xml:space="preserve">Constitutional Override.</w:t>
      </w:r>
      <w:r w:rsidDel="00000000" w:rsidR="00000000" w:rsidRPr="00000000">
        <w:rPr>
          <w:rtl w:val="0"/>
        </w:rPr>
        <w:t xml:space="preserve"> A structured acceleration of the Governance Lane itself, not a bypass. Convenes an emergency Tri-Cameral session with accelerated quorum requirements and compressed deliberation timelines, but still evaluates proposals against the Goukassian Vow and generates a complete Decision Log and Permission Token. [</w:t>
      </w:r>
      <w:hyperlink r:id="rId622">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b w:val="1"/>
          <w:bCs w:val="1"/>
          <w:rtl w:val="0"/>
        </w:rPr>
        <w:t xml:space="preserve">Constitutional Schema.</w:t>
      </w:r>
      <w:r w:rsidDel="00000000" w:rsidR="00000000" w:rsidRPr="00000000">
        <w:rPr>
          <w:rtl w:val="0"/>
        </w:rPr>
        <w:t xml:space="preserve"> The machine-readable encoding of the Goukassian Vow, the Eight Pillars, and applicable regulatory provisions that governs Governance Lane evaluation. The schema is version-controlled, cryptographically committed to the Immutable Ledger, and subject to supermajority modification by the Stewardship Custodians. [</w:t>
      </w:r>
      <w:hyperlink r:id="rId62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b w:val="1"/>
          <w:bCs w:val="1"/>
          <w:rtl w:val="0"/>
        </w:rPr>
        <w:t xml:space="preserve">Decision Log.</w:t>
      </w:r>
      <w:r w:rsidDel="00000000" w:rsidR="00000000" w:rsidRPr="00000000">
        <w:rPr>
          <w:rtl w:val="0"/>
        </w:rPr>
        <w:t xml:space="preserve"> A schema-validated, pre-action, audit-grade evidentiary artifact that contains the original proposal, the constitutional evaluation, the triadic state determination, the evidentiary hash chain, chamber signatures, and the Sacred Pause workflow history. The log is a mandatory prerequisite for Permission Token generation under the NL=NA covenant. [</w:t>
      </w:r>
      <w:hyperlink r:id="rId62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b w:val="1"/>
          <w:bCs w:val="1"/>
          <w:rtl w:val="0"/>
        </w:rPr>
        <w:t xml:space="preserve">Delay-Insensitive Ternary Logic (DITL).</w:t>
      </w:r>
      <w:r w:rsidDel="00000000" w:rsidR="00000000" w:rsidRPr="00000000">
        <w:rPr>
          <w:rtl w:val="0"/>
        </w:rPr>
        <w:t xml:space="preserve"> An asynchronous clockless circuit design paradigm where gates communicate through local request-acknowledge handshake protocols rather than global clock synchronization. DITL eliminates timing side-channel vulnerabilities and enables the physical enforcement of Epistemic Hold through Muller C-element stalls. [</w:t>
      </w:r>
      <w:hyperlink r:id="rId625">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b w:val="1"/>
          <w:bCs w:val="1"/>
          <w:rtl w:val="0"/>
        </w:rPr>
        <w:t xml:space="preserve">Dopant-Level Hardware Trojan.</w:t>
      </w:r>
      <w:r w:rsidDel="00000000" w:rsidR="00000000" w:rsidRPr="00000000">
        <w:rPr>
          <w:rtl w:val="0"/>
        </w:rPr>
        <w:t xml:space="preserve"> A malicious modification that requires zero additional gates, wires, or layout overhead, achieved by altering dopant polarity in existing transistors. Invisible to standard optical reverse engineering and below the detection threshold of automated GDSII comparison tools. [</w:t>
      </w:r>
      <w:hyperlink r:id="rId62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rtl w:val="0"/>
        </w:rPr>
        <w:t xml:space="preserve">Dual-Lane Architecture.</w:t>
      </w:r>
      <w:r w:rsidDel="00000000" w:rsidR="00000000" w:rsidRPr="00000000">
        <w:rPr>
          <w:rtl w:val="0"/>
        </w:rPr>
        <w:t xml:space="preserve"> The structural separation between the Inference Lane, which generates proposals at computational speed, and the Governance Lane, which evaluates proposals at evidentiary speed. Binary proposes. Ternary dictates whether the proposal crosses the execution threshold. The two lanes are physically and logically separated, with the Gateway as their fail-closed junction. [</w:t>
      </w:r>
      <w:hyperlink r:id="rId627">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b w:val="1"/>
          <w:bCs w:val="1"/>
          <w:rtl w:val="0"/>
        </w:rPr>
        <w:t xml:space="preserve">Dual-Rail Encoding.</w:t>
      </w:r>
      <w:r w:rsidDel="00000000" w:rsidR="00000000" w:rsidRPr="00000000">
        <w:rPr>
          <w:rtl w:val="0"/>
        </w:rPr>
        <w:t xml:space="preserve"> A physical signaling scheme that encodes each binary bit on two wires, allowing the binary Inference Lane to communicate with the ternary Governance Lane without protocol translation errors. Preserves the Dual-Lane Architecture at the electron level. [</w:t>
      </w:r>
      <w:hyperlink r:id="rId628">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b w:val="1"/>
          <w:bCs w:val="1"/>
          <w:rtl w:val="0"/>
        </w:rPr>
        <w:t xml:space="preserve">Economic Rights and Transparency Mandate.</w:t>
      </w:r>
      <w:r w:rsidDel="00000000" w:rsidR="00000000" w:rsidRPr="00000000">
        <w:rPr>
          <w:rtl w:val="0"/>
        </w:rPr>
        <w:t xml:space="preserve"> Pillar 5 of the Eight Pillars. Provides institutional accountability by enabling economic actors to verify that decisions affecting them were logged and adjudicated correctly. Entirely a policy-layer construct with no cryptographic enforcement mechanism beyond the Hybrid Shield's pseudonymization protocols. [</w:t>
      </w:r>
      <w:hyperlink r:id="rId62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b w:val="1"/>
          <w:bCs w:val="1"/>
          <w:rtl w:val="0"/>
        </w:rPr>
        <w:t xml:space="preserve">Eight Pillars.</w:t>
      </w:r>
      <w:r w:rsidDel="00000000" w:rsidR="00000000" w:rsidRPr="00000000">
        <w:rPr>
          <w:rtl w:val="0"/>
        </w:rPr>
        <w:t xml:space="preserve"> The constitutional primitives of Ternary Logic: Epistemic Hold, Immutable Ledger, Goukassian Principle, Decision Logs, Economic Rights and Transparency Mandate, Sustainable Capital Allocation Mandate, Hybrid Shield, and Anchors. Each Pillar serves a distinct governance function and possesses a defined adversarial survivability rating. [</w:t>
      </w:r>
      <w:hyperlink r:id="rId63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rtl w:val="0"/>
        </w:rPr>
        <w:t xml:space="preserve">Emergency Override.</w:t>
      </w:r>
      <w:r w:rsidDel="00000000" w:rsidR="00000000" w:rsidRPr="00000000">
        <w:rPr>
          <w:rtl w:val="0"/>
        </w:rPr>
        <w:t xml:space="preserve"> A provision that allows privileged authority to bypass constitutional constraints for expediency. TL eliminates the concept of executive override. What exists instead is the constitutional override, which is not a bypass but a structured acceleration of the Governance Lane itself with mandatory safeguards. [</w:t>
      </w:r>
      <w:hyperlink r:id="rId63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b w:val="1"/>
          <w:bCs w:val="1"/>
          <w:rtl w:val="0"/>
        </w:rPr>
        <w:t xml:space="preserve">Epistemic Hold (0).</w:t>
      </w:r>
      <w:r w:rsidDel="00000000" w:rsidR="00000000" w:rsidRPr="00000000">
        <w:rPr>
          <w:rtl w:val="0"/>
        </w:rPr>
        <w:t xml:space="preserve"> One of the three economic decision states. A first-class constitutional determination that truth has not yet been established. In DITL hardware, it is a physical NULL state at half-Vdd where both dual-rail wires are at logic low {0,0}. The circuit physically cannot advance without valid DATA wavefronts on all inputs. Not an error, null, timeout, or retry. [</w:t>
      </w:r>
      <w:hyperlink r:id="rId632">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b w:val="1"/>
          <w:bCs w:val="1"/>
          <w:rtl w:val="0"/>
        </w:rPr>
        <w:t xml:space="preserve">Four-Phase Handshake.</w:t>
      </w:r>
      <w:r w:rsidDel="00000000" w:rsidR="00000000" w:rsidRPr="00000000">
        <w:rPr>
          <w:rtl w:val="0"/>
        </w:rPr>
        <w:t xml:space="preserve"> The protocol governing all inter-gate communication in DITL. Phase one: sender asserts valid data. Phase two: receiver detects valid data and asserts acknowledge. Phase three: sender withdraws data to neutral state. Phase four: receiver withdraws acknowledge to neutral state. Only after all four phases complete can a new data transfer begin. [</w:t>
      </w:r>
      <w:hyperlink r:id="rId633">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b w:val="1"/>
          <w:bCs w:val="1"/>
          <w:rtl w:val="0"/>
        </w:rPr>
        <w:t xml:space="preserve">Gateway.</w:t>
      </w:r>
      <w:r w:rsidDel="00000000" w:rsidR="00000000" w:rsidRPr="00000000">
        <w:rPr>
          <w:rtl w:val="0"/>
        </w:rPr>
        <w:t xml:space="preserve"> The physical junction where the Inference Lane and Governance Lane converge. Fail-closed by design. In its default state, without active authorization, it blocks all execution. Opens only when the Governance Lane issues a valid Permission Token. [</w:t>
      </w:r>
      <w:hyperlink r:id="rId63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rtl w:val="0"/>
        </w:rPr>
        <w:t xml:space="preserve">Ghost Governance.</w:t>
      </w:r>
      <w:r w:rsidDel="00000000" w:rsidR="00000000" w:rsidRPr="00000000">
        <w:rPr>
          <w:rtl w:val="0"/>
        </w:rPr>
        <w:t xml:space="preserve"> Actions that execute without immutable audit evidence. The precise condition that NL=NA was designed to prevent. In game-theoretic terms, the off-equilibrium path that adversaries attempt to force the system onto. [</w:t>
      </w:r>
      <w:hyperlink r:id="rId635">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rtl w:val="0"/>
        </w:rPr>
        <w:t xml:space="preserve">Goukassian Principle.</w:t>
      </w:r>
      <w:r w:rsidDel="00000000" w:rsidR="00000000" w:rsidRPr="00000000">
        <w:rPr>
          <w:rtl w:val="0"/>
        </w:rPr>
        <w:t xml:space="preserve"> Pillar 3 of the Eight Pillars. Mandates that no economic action may execute without a complete, schema-validated, cryptographically sealed Decision Log. Instantiated through three artifacts: the Lantern, the Signature, and the License. [</w:t>
      </w:r>
      <w:hyperlink r:id="rId636">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b w:val="1"/>
          <w:bCs w:val="1"/>
          <w:rtl w:val="0"/>
        </w:rPr>
        <w:t xml:space="preserve">Goukassian Vow.</w:t>
      </w:r>
      <w:r w:rsidDel="00000000" w:rsidR="00000000" w:rsidRPr="00000000">
        <w:rPr>
          <w:rtl w:val="0"/>
        </w:rPr>
        <w:t xml:space="preserve"> The constitutional bedrock of Ternary Logic. Immutable text: "Pause when truth is uncertain. Refuse when harm is clear. Proceed where truth is." These three mandates operate as binding architectural law, not optional ethical guidance. Every component of the TL framework derives its authority from this tripartite covenant. [</w:t>
      </w:r>
      <w:hyperlink r:id="rId637">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b w:val="1"/>
          <w:bCs w:val="1"/>
          <w:rtl w:val="0"/>
        </w:rPr>
        <w:t xml:space="preserve">Governance Lane.</w:t>
      </w:r>
      <w:r w:rsidDel="00000000" w:rsidR="00000000" w:rsidRPr="00000000">
        <w:rPr>
          <w:rtl w:val="0"/>
        </w:rPr>
        <w:t xml:space="preserve"> The slow, evidentiary evaluation lane of the Dual-Lane Architecture. Contains the constitutional logic, the Goukassian Vow, the Eight Pillars, and the evidentiary verification protocols. Evaluates every proposal against schema validation, cryptographic integrity, hardware enforcement, governance quorum, and regulatory nexus before issuing a triadic state determination. [</w:t>
      </w:r>
      <w:hyperlink r:id="rId638">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b w:val="1"/>
          <w:bCs w:val="1"/>
          <w:rtl w:val="0"/>
        </w:rPr>
        <w:t xml:space="preserve">Hybrid Shield.</w:t>
      </w:r>
      <w:r w:rsidDel="00000000" w:rsidR="00000000" w:rsidRPr="00000000">
        <w:rPr>
          <w:rtl w:val="0"/>
        </w:rPr>
        <w:t xml:space="preserve"> Pillar 7 of the Eight Pillars. A dual-layer defense combining pseudonymization-before-hashing with decoupled access control. Technical implementation uses HMAC-SHA256 with per-epoch key derivation and Shamir Secret Sharing with six custodians and three-of-six quorum for crypto-shredding operations. [</w:t>
      </w:r>
      <w:hyperlink r:id="rId63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b w:val="1"/>
          <w:bCs w:val="1"/>
          <w:rtl w:val="0"/>
        </w:rPr>
        <w:t xml:space="preserve">Immutable Ledger.</w:t>
      </w:r>
      <w:r w:rsidDel="00000000" w:rsidR="00000000" w:rsidRPr="00000000">
        <w:rPr>
          <w:rtl w:val="0"/>
        </w:rPr>
        <w:t xml:space="preserve"> Pillar 2 of the Eight Pillars. A tamper-evident, append-only evidentiary repository that records every Decision Log, Permission Token, and Governance Lane determination with cryptographic finality. Uses BLAKE3-256 hashing with ternary Merkle trees yielding thirty-five percent proof-depth reduction at ten to the sixth leaves compared to binary trees. [</w:t>
      </w:r>
      <w:hyperlink r:id="rId64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b w:val="1"/>
          <w:bCs w:val="1"/>
          <w:rtl w:val="0"/>
        </w:rPr>
        <w:t xml:space="preserve">Inference Lane.</w:t>
      </w:r>
      <w:r w:rsidDel="00000000" w:rsidR="00000000" w:rsidRPr="00000000">
        <w:rPr>
          <w:rtl w:val="0"/>
        </w:rPr>
        <w:t xml:space="preserve"> The fast, computational lane of the Dual-Lane Architecture. Contains the statistical models, pattern recognition algorithms, optimization engines, and data pipelines that analyze economic conditions and generate actionable proposals. Proposes but cannot execute. [</w:t>
      </w:r>
      <w:hyperlink r:id="rId641">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Lantern.</w:t>
      </w:r>
      <w:r w:rsidDel="00000000" w:rsidR="00000000" w:rsidRPr="00000000">
        <w:rPr>
          <w:rtl w:val="0"/>
        </w:rPr>
        <w:t xml:space="preserve"> An artifact of the Goukassian Principle that functions as the framework's integrity self-test and public compliance beacon. Continuously verifies that core mandates are active and broadcasts status to external monitors. Automatically revokes itself if core mandates are suppressed. [</w:t>
      </w:r>
      <w:hyperlink r:id="rId64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b w:val="1"/>
          <w:bCs w:val="1"/>
          <w:rtl w:val="0"/>
        </w:rPr>
        <w:t xml:space="preserve">License.</w:t>
      </w:r>
      <w:r w:rsidDel="00000000" w:rsidR="00000000" w:rsidRPr="00000000">
        <w:rPr>
          <w:rtl w:val="0"/>
        </w:rPr>
        <w:t xml:space="preserve"> An artifact of the Goukassian Principle that imposes binding prohibitions on framework usage and flips the legal burden of proof so that missing logs constitute presumptive evidence of negligence. Subject to semantic drift over multi-decade horizons and jurisdictional nullification. [</w:t>
      </w:r>
      <w:hyperlink r:id="rId64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b w:val="1"/>
          <w:bCs w:val="1"/>
          <w:rtl w:val="0"/>
        </w:rPr>
        <w:t xml:space="preserve">Mandated Ternary (MT).</w:t>
      </w:r>
      <w:r w:rsidDel="00000000" w:rsidR="00000000" w:rsidRPr="00000000">
        <w:rPr>
          <w:rtl w:val="0"/>
        </w:rPr>
        <w:t xml:space="preserve"> The memristive switching element that converts constitutional determinations into electrical reality. Three stable resistance regimes: high-resistance for Refuse, low-resistance for Proceed, and intermediate-resistance for Epistemic Hold. Hysteretic and non-volatile, persisting state without power. [</w:t>
      </w:r>
      <w:hyperlink r:id="rId644">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b w:val="1"/>
          <w:bCs w:val="1"/>
          <w:rtl w:val="0"/>
        </w:rPr>
        <w:t xml:space="preserve">Muller C-Element.</w:t>
      </w:r>
      <w:r w:rsidDel="00000000" w:rsidR="00000000" w:rsidRPr="00000000">
        <w:rPr>
          <w:rtl w:val="0"/>
        </w:rPr>
        <w:t xml:space="preserve"> A hysteresis-state threshold gate used in DITL pipelines. Withholds acknowledge signals when any input remains in the NULL state. Without the acknowledge transition, upstream stages physically cannot proceed. The stall is an emergent physical property of the circuit topology, not a software-controllable flag. [</w:t>
      </w:r>
      <w:hyperlink r:id="rId64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b w:val="1"/>
          <w:bCs w:val="1"/>
          <w:rtl w:val="0"/>
        </w:rPr>
        <w:t xml:space="preserve">NL=NA.</w:t>
      </w:r>
      <w:r w:rsidDel="00000000" w:rsidR="00000000" w:rsidRPr="00000000">
        <w:rPr>
          <w:rtl w:val="0"/>
        </w:rPr>
        <w:t xml:space="preserve"> The irreducible axiom of Ternary Logic: No Log equals No Action. Formalized in Linear Temporal Logic as the invariant that execution remains strictly false until commitment transitions to true, with a strict Before operator requiring hardware commitment to precede execution release in temporal ordering. [</w:t>
      </w:r>
      <w:hyperlink r:id="rId64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b w:val="1"/>
          <w:bCs w:val="1"/>
          <w:rtl w:val="0"/>
        </w:rPr>
        <w:t xml:space="preserve">NULL / Spacer State.</w:t>
      </w:r>
      <w:r w:rsidDel="00000000" w:rsidR="00000000" w:rsidRPr="00000000">
        <w:rPr>
          <w:rtl w:val="0"/>
        </w:rPr>
        <w:t xml:space="preserve"> The electrical condition in DITL dual-rail encoding where both wires are at logic low {0,0}. Corresponds to Epistemic Hold. No valid token propagates past a stage in this state. No execution signal reaches the actuator. Ethics enforced by physics, not policy. [</w:t>
      </w:r>
      <w:hyperlink r:id="rId647">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b w:val="1"/>
          <w:bCs w:val="1"/>
          <w:rtl w:val="0"/>
        </w:rPr>
        <w:t xml:space="preserve">Permission Token.</w:t>
      </w:r>
      <w:r w:rsidDel="00000000" w:rsidR="00000000" w:rsidRPr="00000000">
        <w:rPr>
          <w:rtl w:val="0"/>
        </w:rPr>
        <w:t xml:space="preserve"> The cryptographic credential issued by the Governance Lane when it determines that a proposal satisfies constitutional requirements for execution. A structured, schema-validated, multi-signatured, timestamped evidentiary object containing the complete Decision Log, triadic state determination, evidentiary hash chain, and constitutional basis. Without a valid Permission Token, the Gateway cannot open. [</w:t>
      </w:r>
      <w:hyperlink r:id="rId648">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b w:val="1"/>
          <w:bCs w:val="1"/>
          <w:rtl w:val="0"/>
        </w:rPr>
        <w:t xml:space="preserve">Physically Unclonable Function (PUF).</w:t>
      </w:r>
      <w:r w:rsidDel="00000000" w:rsidR="00000000" w:rsidRPr="00000000">
        <w:rPr>
          <w:rtl w:val="0"/>
        </w:rPr>
        <w:t xml:space="preserve"> A hardware security primitive that exploits manufacturing process variations to generate unique, unclonable cryptographic fingerprints for each chip. Used for post-fabrication identity attestation. Cannot prove the absence of internal hardware Trojans because the PUF response derives from a different circuit region than potential malicious modifications. [</w:t>
      </w:r>
      <w:hyperlink r:id="rId6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b w:val="1"/>
          <w:bCs w:val="1"/>
          <w:rtl w:val="0"/>
        </w:rPr>
        <w:t xml:space="preserve">Proceed (+1).</w:t>
      </w:r>
      <w:r w:rsidDel="00000000" w:rsidR="00000000" w:rsidRPr="00000000">
        <w:rPr>
          <w:rtl w:val="0"/>
        </w:rPr>
        <w:t xml:space="preserve"> One of the three economic decision states. Signifies that the Governance Lane has verified sufficient evidentiary certainty, that no Refuse condition has been triggered, and that the proposal satisfies the Goukassian Vow. A Proceed determination is not a prediction of success. It is a certification that the decision to act is defensible under the constitutional framework. [</w:t>
      </w:r>
      <w:hyperlink r:id="rId650">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rPr/>
      </w:pPr>
      <w:r w:rsidDel="00000000" w:rsidR="00000000" w:rsidRPr="00000000">
        <w:rPr>
          <w:b w:val="1"/>
          <w:bCs w:val="1"/>
          <w:rtl w:val="0"/>
        </w:rPr>
        <w:t xml:space="preserve">Refuse (-1).</w:t>
      </w:r>
      <w:r w:rsidDel="00000000" w:rsidR="00000000" w:rsidRPr="00000000">
        <w:rPr>
          <w:rtl w:val="0"/>
        </w:rPr>
        <w:t xml:space="preserve"> One of the three economic decision states. Signifies that the proposal has violated a constitutional boundary, triggered a harm condition under the Goukassian Vow, or failed a mandatory evidentiary test. Absolute and binding. The proposal is permanently barred from execution unless an entirely new evidentiary submission is processed through the full Governance Lane. [</w:t>
      </w:r>
      <w:hyperlink r:id="rId651">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rtl w:val="0"/>
        </w:rPr>
        <w:t xml:space="preserve">Regulatory Nexus.</w:t>
      </w:r>
      <w:r w:rsidDel="00000000" w:rsidR="00000000" w:rsidRPr="00000000">
        <w:rPr>
          <w:rtl w:val="0"/>
        </w:rPr>
        <w:t xml:space="preserve"> The interface layer between TL's constitutional architecture and real-world legal and regulatory systems. Translates legal obligations into machine-readable constitutional provisions through Domain Evaluation Endpoints for finance, trade, data protection, and monetary policy domains. [</w:t>
      </w:r>
      <w:hyperlink r:id="rId652">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rtl w:val="0"/>
        </w:rPr>
        <w:t xml:space="preserve">Sacred Pause.</w:t>
      </w:r>
      <w:r w:rsidDel="00000000" w:rsidR="00000000" w:rsidRPr="00000000">
        <w:rPr>
          <w:rtl w:val="0"/>
        </w:rPr>
        <w:t xml:space="preserve"> The process and mechanism that activates when truth is uncertain. A structured evidentiary resolution protocol that runs in parallel to continued operation of non-conflicting economic processes. Contains mandatory stages of supplementary data querying, chamber notification, and human escalation if uncertainty persists beyond configurable constitutional thresholds. [</w:t>
      </w:r>
      <w:hyperlink r:id="rId65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b w:val="1"/>
          <w:bCs w:val="1"/>
          <w:rtl w:val="0"/>
        </w:rPr>
        <w:t xml:space="preserve">Sacred Zero.</w:t>
      </w:r>
      <w:r w:rsidDel="00000000" w:rsidR="00000000" w:rsidRPr="00000000">
        <w:rPr>
          <w:rtl w:val="0"/>
        </w:rPr>
        <w:t xml:space="preserve"> Alternative term for Epistemic Hold in some TL documentation. Represents the mandatory hesitation state where both dual-rail wires are at logic low and the circuit is in the NULL / Spacer condition. Not to be confused with software null values or timeout conditions. [</w:t>
      </w:r>
      <w:hyperlink r:id="rId654">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b w:val="1"/>
          <w:bCs w:val="1"/>
          <w:rtl w:val="0"/>
        </w:rPr>
        <w:t xml:space="preserve">Semantic Drift.</w:t>
      </w:r>
      <w:r w:rsidDel="00000000" w:rsidR="00000000" w:rsidRPr="00000000">
        <w:rPr>
          <w:rtl w:val="0"/>
        </w:rPr>
        <w:t xml:space="preserve"> The gradual redefinition of constitutional terms, parameters, and boundaries over multi-decade horizons through institutional reinterpretation, schema updates, and legal evolution. Occurs at five-year, ten-year, and twenty-year horizons, progressively eroding the original intent of the Goukassian Vow and constitutional schema. [</w:t>
      </w:r>
      <w:hyperlink r:id="rId65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rtl w:val="0"/>
        </w:rPr>
        <w:t xml:space="preserve">Shamir Secret Sharing.</w:t>
      </w:r>
      <w:r w:rsidDel="00000000" w:rsidR="00000000" w:rsidRPr="00000000">
        <w:rPr>
          <w:rtl w:val="0"/>
        </w:rPr>
        <w:t xml:space="preserve"> A cryptographic threshold scheme employed by the Hybrid Shield for master secret custody. Six custodians with three-of-six quorum required for crypto-shredding operations. The quorum threshold is the single point of governance failure for unauthorized key reconstruction. [</w:t>
      </w:r>
      <w:hyperlink r:id="rId6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b w:val="1"/>
          <w:bCs w:val="1"/>
          <w:rtl w:val="0"/>
        </w:rPr>
        <w:t xml:space="preserve">Signature.</w:t>
      </w:r>
      <w:r w:rsidDel="00000000" w:rsidR="00000000" w:rsidRPr="00000000">
        <w:rPr>
          <w:rtl w:val="0"/>
        </w:rPr>
        <w:t xml:space="preserve"> An artifact of the Goukassian Principle that embeds unbreakable provenance into every legitimate implementation. Cryptographically binds code, constitutional schema, and deployment configuration to a specific steward identity. Vulnerable to coerced issuance, stripping from forked implementations, and key compromise. [</w:t>
      </w:r>
      <w:hyperlink r:id="rId65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b w:val="1"/>
          <w:bCs w:val="1"/>
          <w:rtl w:val="0"/>
        </w:rPr>
        <w:t xml:space="preserve">Smart Contract Treasury.</w:t>
      </w:r>
      <w:r w:rsidDel="00000000" w:rsidR="00000000" w:rsidRPr="00000000">
        <w:rPr>
          <w:rtl w:val="0"/>
        </w:rPr>
        <w:t xml:space="preserve"> One of the three chambers of the Tri-Cameral Governance Model. Manages the economic resources, collateral reserves, liquidity buffers, and automated incentive structures that sustain constitutional enforcement. Corresponds to the central bank's internal financial operations division or the institution's treasury function. [</w:t>
      </w:r>
      <w:hyperlink r:id="rId658">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b w:val="1"/>
          <w:bCs w:val="1"/>
          <w:rtl w:val="0"/>
        </w:rPr>
        <w:t xml:space="preserve">Stewardship Custodians.</w:t>
      </w:r>
      <w:r w:rsidDel="00000000" w:rsidR="00000000" w:rsidRPr="00000000">
        <w:rPr>
          <w:rtl w:val="0"/>
        </w:rPr>
        <w:t xml:space="preserve"> One of the three chambers of the Tri-Cameral Governance Model. Oversee the Governance Lane, validate constitutional compliance, evaluate whether harm is clear, and execute Refuse when necessary. Correspond to the institution's independent oversight board, external audit committee, or regulatory compliance function. [</w:t>
      </w:r>
      <w:hyperlink r:id="rId659">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b w:val="1"/>
          <w:bCs w:val="1"/>
          <w:rtl w:val="0"/>
        </w:rPr>
        <w:t xml:space="preserve">State Envelope.</w:t>
      </w:r>
      <w:r w:rsidDel="00000000" w:rsidR="00000000" w:rsidRPr="00000000">
        <w:rPr>
          <w:rtl w:val="0"/>
        </w:rPr>
        <w:t xml:space="preserve"> The transport container that encapsulates the TLResult object and the Permission Token for transmission from the Governance Lane to the Gateway and to the Immutable Ledger. A signed and encrypted object containing the ledger anchor reference and gateway routing information. [</w:t>
      </w:r>
      <w:hyperlink r:id="rId660">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b w:val="1"/>
          <w:bCs w:val="1"/>
          <w:rtl w:val="0"/>
        </w:rPr>
        <w:t xml:space="preserve">Sustainable Capital Allocation Mandate.</w:t>
      </w:r>
      <w:r w:rsidDel="00000000" w:rsidR="00000000" w:rsidRPr="00000000">
        <w:rPr>
          <w:rtl w:val="0"/>
        </w:rPr>
        <w:t xml:space="preserve"> Pillar 6 of the Eight Pillars. Converts environmental and sustainability constraints into deterministic decision filters. Entirely policy-dependent with zero hardware enforceability. Subject to parameter redefinition by adversaries who control configuration. [</w:t>
      </w:r>
      <w:hyperlink r:id="rId66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b w:val="1"/>
          <w:bCs w:val="1"/>
          <w:rtl w:val="0"/>
        </w:rPr>
        <w:t xml:space="preserve">Technical Council.</w:t>
      </w:r>
      <w:r w:rsidDel="00000000" w:rsidR="00000000" w:rsidRPr="00000000">
        <w:rPr>
          <w:rtl w:val="0"/>
        </w:rPr>
        <w:t xml:space="preserve"> One of the three chambers of the Tri-Cameral Governance Model. Validates the mathematical integrity of models, algorithms, data pipelines, and cryptographic implementations. Corresponds to the central bank's research department or the institution's quantitative risk management function. [</w:t>
      </w:r>
      <w:hyperlink r:id="rId662">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b w:val="1"/>
          <w:bCs w:val="1"/>
          <w:rtl w:val="0"/>
        </w:rPr>
        <w:t xml:space="preserve">Ternary Logic (TL).</w:t>
      </w:r>
      <w:r w:rsidDel="00000000" w:rsidR="00000000" w:rsidRPr="00000000">
        <w:rPr>
          <w:rtl w:val="0"/>
        </w:rPr>
        <w:t xml:space="preserve"> A constitutional governance layer for global economic systems. Does not replace binary computation. Binary handles speed, pattern recognition, and statistical throughput. TL operates as a sovereign governance coprocessor in parallel. Binary proposes. TL dictates whether the proposal crosses the execution threshold. [</w:t>
      </w:r>
      <w:hyperlink r:id="rId66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b w:val="1"/>
          <w:bCs w:val="1"/>
          <w:rtl w:val="0"/>
        </w:rPr>
        <w:t xml:space="preserve">Ternary Merkle Tree.</w:t>
      </w:r>
      <w:r w:rsidDel="00000000" w:rsidR="00000000" w:rsidRPr="00000000">
        <w:rPr>
          <w:rtl w:val="0"/>
        </w:rPr>
        <w:t xml:space="preserve"> A Merkle tree structure using ternary branching rather than binary, yielding thirty-five percent proof-depth reduction at ten to the sixth leaves compared to binary trees. Each leaf node carries twelve mandatory fields including monotonic sequence IDs, UUIDv7 event identifiers, and Active Axiom Set Hashes. [</w:t>
      </w:r>
      <w:hyperlink r:id="rId66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b w:val="1"/>
          <w:bCs w:val="1"/>
          <w:rtl w:val="0"/>
        </w:rPr>
        <w:t xml:space="preserve">TLResult.</w:t>
      </w:r>
      <w:r w:rsidDel="00000000" w:rsidR="00000000" w:rsidRPr="00000000">
        <w:rPr>
          <w:rtl w:val="0"/>
        </w:rPr>
        <w:t xml:space="preserve"> The structured output of Governance Lane evaluation. Contains the state field (Proceed, Refuse, or Epistemic Hold), the decision_log_id, the permission_token (present only for Proceed), the constitutional_basis, and a hardware-bound timestamp. Immutable once generated and signed by the Tri-Cameral chambers. [</w:t>
      </w:r>
      <w:hyperlink r:id="rId665">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b w:val="1"/>
          <w:bCs w:val="1"/>
          <w:rtl w:val="0"/>
        </w:rPr>
        <w:t xml:space="preserve">Transitional Emulation Mode.</w:t>
      </w:r>
      <w:r w:rsidDel="00000000" w:rsidR="00000000" w:rsidRPr="00000000">
        <w:rPr>
          <w:rtl w:val="0"/>
        </w:rPr>
        <w:t xml:space="preserve"> The pre-DITL operational phase where TL runs on conventional binary hardware without physical ternary enforcement. All hardware-dependent guarantees revert to software policy. The framework's survivability depends on whether cryptographic mechanisms can substitute for physical enforcement. Highest-risk operational phase with no defined expiration date. [</w:t>
      </w:r>
      <w:hyperlink r:id="rId66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b w:val="1"/>
          <w:bCs w:val="1"/>
          <w:rtl w:val="0"/>
        </w:rPr>
        <w:t xml:space="preserve">Tri-Cameral Governance Model.</w:t>
      </w:r>
      <w:r w:rsidDel="00000000" w:rsidR="00000000" w:rsidRPr="00000000">
        <w:rPr>
          <w:rtl w:val="0"/>
        </w:rPr>
        <w:t xml:space="preserve"> The distributed authority structure comprising the Technical Council, Stewardship Custodians, and Smart Contract Treasury. Designed to prevent regulatory capture and ensure constitutional continuity through separation of technical expertise, constitutional oversight, and economic resource management. [</w:t>
      </w:r>
      <w:hyperlink r:id="rId667">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rtl w:val="0"/>
        </w:rPr>
        <w:t xml:space="preserve">Triadic Coprocessor.</w:t>
      </w:r>
      <w:r w:rsidDel="00000000" w:rsidR="00000000" w:rsidRPr="00000000">
        <w:rPr>
          <w:rtl w:val="0"/>
        </w:rPr>
        <w:t xml:space="preserve"> The physical instantiation of the Governance Lane. A dedicated asynchronous ternary logic ASIC operating as a physically independent coprocessor with its own power domain, clockless handshake protocol, and tamper-resistant enclosure. Must satisfy six mandatory conditions for physical non-bypassability. [</w:t>
      </w:r>
      <w:hyperlink r:id="rId66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Voltage Glitching.</w:t>
      </w:r>
      <w:r w:rsidDel="00000000" w:rsidR="00000000" w:rsidRPr="00000000">
        <w:rPr>
          <w:rtl w:val="0"/>
        </w:rPr>
        <w:t xml:space="preserve"> A fault injection technique that manipulates power supply to cause timing violations, skip security checks, or corrupt state transitions. Equipment costs as little as fifty dollars. Glitch widths of one hundred to four hundred nanoseconds induce setup and hold time violations in conventional CMOS logic. DITL's asynchronous circuits are more resistant but not immune. [</w:t>
      </w:r>
      <w:hyperlink r:id="rId66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D7">
      <w:pPr>
        <w:pStyle w:val="Heading2"/>
        <w:rPr/>
      </w:pPr>
      <w:bookmarkStart w:colFirst="0" w:colLast="0" w:name="_gn5yq0133snr" w:id="58"/>
      <w:bookmarkEnd w:id="58"/>
      <w:r w:rsidDel="00000000" w:rsidR="00000000" w:rsidRPr="00000000">
        <w:rPr>
          <w:rtl w:val="0"/>
        </w:rPr>
        <w:t xml:space="preserve">10.2. Citation Index and Source Registry</w:t>
      </w:r>
    </w:p>
    <w:p w:rsidR="00000000" w:rsidDel="00000000" w:rsidP="00000000" w:rsidRDefault="00000000" w:rsidRPr="00000000" w14:paraId="000004D8">
      <w:pPr>
        <w:rPr/>
      </w:pPr>
      <w:r w:rsidDel="00000000" w:rsidR="00000000" w:rsidRPr="00000000">
        <w:rPr>
          <w:rtl w:val="0"/>
        </w:rPr>
        <w:t xml:space="preserve">The following sources are cited throughout this unified blueprint. Every claim is traceable to one of these documents. No invented citations or fabricated URLs appear in this text.</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b w:val="1"/>
          <w:bCs w:val="1"/>
          <w:rtl w:val="0"/>
        </w:rPr>
        <w:t xml:space="preserve">Source [1]</w:t>
      </w: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Roboto Mono" w:cs="Roboto Mono" w:eastAsia="Roboto Mono" w:hAnsi="Roboto Mono"/>
          <w:color w:val="188038"/>
          <w:rtl w:val="0"/>
        </w:rPr>
        <w:t xml:space="preserve">https://raw.githubusercontent.com/FractonicMind/TernaryLogic/refs/heads/main/API/Specification_Architecture.md</w:t>
      </w: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Ternary Logic API Specification and Architecture. Defines the Dual-Lane Architecture, the Decision Proposal and TLResult object schemas, the Permission Token structure, the State Envelope, the Gateway fail-closed behavior, the NL=NA Five-Layer Enforcement Architecture, the Regulatory Nexus Domain Evaluation Endpoints, and the Eight Pillars framework. Serves as the primary technical specification for the TL operational layer.</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b w:val="1"/>
          <w:bCs w:val="1"/>
          <w:rtl w:val="0"/>
        </w:rPr>
        <w:t xml:space="preserve">Source [2]</w:t>
      </w: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Roboto Mono" w:cs="Roboto Mono" w:eastAsia="Roboto Mono" w:hAnsi="Roboto Mono"/>
          <w:color w:val="188038"/>
          <w:rtl w:val="0"/>
        </w:rPr>
        <w:t xml:space="preserve">https://raw.githubusercontent.com/FractonicMind/TernaryLogic/refs/heads/main/The%20Architecture%20Of%20Assured%20Governance%20for%20Global%20Economic%20Systems.md</w:t>
      </w: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The Architecture of Assured Governance for Global Economic Systems. Defines the macroeconomic governance foundations, Basel III and FRTB alignment, SEC and CFTC regulatory integration, IOSCO PFMI mapping, central bank oversight and CBDC governance, GDPR and cryptographic erasure compliance, digital evidence standards under FRE 901/902 and eIDAS, and the interdisciplinary foundations in institutional economics and game theory. Serves as the primary policy and regulatory specification.</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b w:val="1"/>
          <w:bCs w:val="1"/>
          <w:rtl w:val="0"/>
        </w:rPr>
        <w:t xml:space="preserve">Source [3]</w:t>
      </w: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Fonts w:ascii="Roboto Mono" w:cs="Roboto Mono" w:eastAsia="Roboto Mono" w:hAnsi="Roboto Mono"/>
          <w:color w:val="188038"/>
          <w:rtl w:val="0"/>
        </w:rPr>
        <w:t xml:space="preserve">https://raw.githubusercontent.com/FractonicMind/TernaryLogic/refs/heads/main/Governance/Ternary_Logic_as_Constitutional_Triadic_Governance_Architecture_for_High-Stakes_Automated_Decision-Making.md</w:t>
      </w: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Ternary Logic as Constitutional Triadic Governance Architecture for High-Stakes Automated Decision-Making. Defines the Tri-Cameral Governance Model, the roles and responsibilities of the Technical Council, Stewardship Custodians, and Smart Contract Treasury, the constitutional override protocols, the succession and replacement procedures, and the incentive alignment mechanisms. Serves as the primary governance architecture specification.</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b w:val="1"/>
          <w:bCs w:val="1"/>
          <w:rtl w:val="0"/>
        </w:rPr>
        <w:t xml:space="preserve">Source [4]</w:t>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Fonts w:ascii="Roboto Mono" w:cs="Roboto Mono" w:eastAsia="Roboto Mono" w:hAnsi="Roboto Mono"/>
          <w:color w:val="188038"/>
          <w:rtl w:val="0"/>
        </w:rPr>
        <w:t xml:space="preserve">https://raw.githubusercontent.com/FractonicMind/TernaryLogic/refs/heads/main/MT_Hardware/MT_System_Architecture_and_Economics.md</w:t>
      </w: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MT System Architecture and Economics. Defines the Delay-Insensitive Ternary Logic substrate, the Mandated Ternary memristive cells, the three-rail and dual-rail encoding schemes, the four-phase handshake protocol, completion detection, the Gateway hardware implementation, and the Triadic Coprocessor system integration. Serves as the primary hardware specification.</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rPr>
          <w:b w:val="1"/>
          <w:bCs w:val="1"/>
          <w:rtl w:val="0"/>
        </w:rPr>
        <w:t xml:space="preserve">Source [5]</w:t>
      </w: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Roboto Mono" w:cs="Roboto Mono" w:eastAsia="Roboto Mono" w:hAnsi="Roboto Mono"/>
          <w:color w:val="188038"/>
          <w:rtl w:val="0"/>
        </w:rPr>
        <w:t xml:space="preserve">https://raw.githubusercontent.com/FractonicMind/TernaryLogic/refs/heads/main/Governance/Governance_Complete.md</w:t>
      </w: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Governance Complete. Defines the formal LTL expression of the Goukassian Principle, Ghost Governance, the two-layer architecture synthesis, the NULL / Spacer state at half-Vdd, the honest transitional regime, cross-chain relay infrastructure requirements, and rule-accretion as a latent constitutional tension. Serves as the extended governance and formal logic specification.</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b w:val="1"/>
          <w:bCs w:val="1"/>
          <w:rtl w:val="0"/>
        </w:rPr>
        <w:t xml:space="preserve">Source [6]</w:t>
      </w: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Roboto Mono" w:cs="Roboto Mono" w:eastAsia="Roboto Mono" w:hAnsi="Roboto Mono"/>
          <w:color w:val="188038"/>
          <w:rtl w:val="0"/>
        </w:rPr>
        <w:t xml:space="preserve">https://raw.githubusercontent.com/FractonicMind/TernaryLogic/refs/heads/main/Adversarial_Survivability/TL_Constitutional_Survivability_Under_Adversarial_Pressure.md</w:t>
      </w: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TL Constitutional Survivability Under Adversarial Pressure. Defines the per-Pillar adversarial survivability ratings, the NL=NA formal enforcement architecture under five adversarial scenarios, the Transitional Emulation Mode stress test, the Goukassian Principle artifacts under stress, ten root override and low-level attack vectors, fifteen attack vectors across four classes, post-compromise recovery protocols, DITL hardware constitutionalization with six mandatory conditions, supply chain and fabrication risk analysis, cryptographic longevity and quantum threat timeline, and economic and political pressure analysis. Serves as the primary adversarial robustness specification.</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widowControl w:val="0"/>
        <w:rPr>
          <w:b w:val="1"/>
          <w:bCs w:val="1"/>
        </w:rPr>
      </w:pPr>
      <w:r w:rsidDel="00000000" w:rsidR="00000000" w:rsidRPr="00000000">
        <w:rPr>
          <w:b w:val="1"/>
          <w:bCs w:val="1"/>
          <w:rtl w:val="0"/>
        </w:rPr>
        <w:t xml:space="preserve">Source [7]</w:t>
      </w:r>
    </w:p>
    <w:p w:rsidR="00000000" w:rsidDel="00000000" w:rsidP="00000000" w:rsidRDefault="00000000" w:rsidRPr="00000000" w14:paraId="000004FF">
      <w:pPr>
        <w:widowControl w:val="0"/>
        <w:rPr>
          <w:b w:val="1"/>
          <w:bCs w:val="1"/>
        </w:rPr>
      </w:pPr>
      <w:r w:rsidDel="00000000" w:rsidR="00000000" w:rsidRPr="00000000">
        <w:rPr>
          <w:rtl w:val="0"/>
        </w:rPr>
      </w:r>
    </w:p>
    <w:p w:rsidR="00000000" w:rsidDel="00000000" w:rsidP="00000000" w:rsidRDefault="00000000" w:rsidRPr="00000000" w14:paraId="00000500">
      <w:pPr>
        <w:widowControl w:val="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https://raw.githubusercontent.com/FractonicMind/TernaryLogic/refs/heads/main/No_Spy-No_Weapon/Universal_Scalability_of_TL_NoS-NoW_Prohibitions.md</w:t>
      </w:r>
    </w:p>
    <w:p w:rsidR="00000000" w:rsidDel="00000000" w:rsidP="00000000" w:rsidRDefault="00000000" w:rsidRPr="00000000" w14:paraId="00000501">
      <w:pPr>
        <w:widowControl w:val="0"/>
        <w:rPr/>
      </w:pPr>
      <w:r w:rsidDel="00000000" w:rsidR="00000000" w:rsidRPr="00000000">
        <w:rPr>
          <w:rtl w:val="0"/>
        </w:rPr>
      </w:r>
    </w:p>
    <w:p w:rsidR="00000000" w:rsidDel="00000000" w:rsidP="00000000" w:rsidRDefault="00000000" w:rsidRPr="00000000" w14:paraId="00000502">
      <w:pPr>
        <w:widowControl w:val="0"/>
        <w:rPr/>
      </w:pPr>
      <w:r w:rsidDel="00000000" w:rsidR="00000000" w:rsidRPr="00000000">
        <w:rPr>
          <w:rtl w:val="0"/>
        </w:rPr>
        <w:t xml:space="preserve">Universal Scalability of TL NoS-NoW Prohibitions. Defines the No Spy, No Weapon Mandate, the three structural constraints, the Oracle Problem and query constitutionalization, differential privacy mechanisms, latent surveillance capability prevention, partial weapons integration detection, and twelve domain-specific edge-case scenario determinations. Serves as the primary negative constitutional architecture specification.</w:t>
      </w:r>
    </w:p>
    <w:p w:rsidR="00000000" w:rsidDel="00000000" w:rsidP="00000000" w:rsidRDefault="00000000" w:rsidRPr="00000000" w14:paraId="00000503">
      <w:pPr>
        <w:widowControl w:val="0"/>
        <w:rPr>
          <w:b w:val="1"/>
          <w:bCs w:val="1"/>
        </w:rPr>
      </w:pPr>
      <w:r w:rsidDel="00000000" w:rsidR="00000000" w:rsidRPr="00000000">
        <w:rPr>
          <w:rtl w:val="0"/>
        </w:rPr>
      </w:r>
    </w:p>
    <w:p w:rsidR="00000000" w:rsidDel="00000000" w:rsidP="00000000" w:rsidRDefault="00000000" w:rsidRPr="00000000" w14:paraId="00000504">
      <w:pPr>
        <w:widowControl w:val="0"/>
        <w:rPr>
          <w:b w:val="1"/>
          <w:bCs w:val="1"/>
        </w:rPr>
      </w:pPr>
      <w:r w:rsidDel="00000000" w:rsidR="00000000" w:rsidRPr="00000000">
        <w:rPr>
          <w:b w:val="1"/>
          <w:bCs w:val="1"/>
          <w:rtl w:val="0"/>
        </w:rPr>
        <w:t xml:space="preserve">Source [8]</w:t>
      </w:r>
    </w:p>
    <w:p w:rsidR="00000000" w:rsidDel="00000000" w:rsidP="00000000" w:rsidRDefault="00000000" w:rsidRPr="00000000" w14:paraId="00000505">
      <w:pPr>
        <w:widowControl w:val="0"/>
        <w:rPr>
          <w:b w:val="1"/>
          <w:bCs w:val="1"/>
        </w:rPr>
      </w:pPr>
      <w:r w:rsidDel="00000000" w:rsidR="00000000" w:rsidRPr="00000000">
        <w:rPr>
          <w:rtl w:val="0"/>
        </w:rPr>
      </w:r>
    </w:p>
    <w:p w:rsidR="00000000" w:rsidDel="00000000" w:rsidP="00000000" w:rsidRDefault="00000000" w:rsidRPr="00000000" w14:paraId="00000506">
      <w:pPr>
        <w:widowControl w:val="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https://raw.githubusercontent.com/FractonicMind/TernaryLogic/refs/heads/main/No_Spy-No_Weapon/Universal_Scalability_of_TL_Under_the_NoS-NoW_Mandate.md</w:t>
      </w:r>
    </w:p>
    <w:p w:rsidR="00000000" w:rsidDel="00000000" w:rsidP="00000000" w:rsidRDefault="00000000" w:rsidRPr="00000000" w14:paraId="00000507">
      <w:pPr>
        <w:widowControl w:val="0"/>
        <w:rPr/>
      </w:pPr>
      <w:r w:rsidDel="00000000" w:rsidR="00000000" w:rsidRPr="00000000">
        <w:rPr>
          <w:rtl w:val="0"/>
        </w:rPr>
      </w:r>
    </w:p>
    <w:p w:rsidR="00000000" w:rsidDel="00000000" w:rsidP="00000000" w:rsidRDefault="00000000" w:rsidRPr="00000000" w14:paraId="00000508">
      <w:pPr>
        <w:widowControl w:val="0"/>
        <w:rPr/>
      </w:pPr>
      <w:r w:rsidDel="00000000" w:rsidR="00000000" w:rsidRPr="00000000">
        <w:rPr>
          <w:rtl w:val="0"/>
        </w:rPr>
        <w:t xml:space="preserve">Universal Scalability of TL Under the NoS-NoW Mandate. Defines the universality stress test across interoperability, economic viability, latency overhead, hardware feasibility, and post-quantum migration. Contains the power pressure simulation against four sovereign actors, economic sustainability modeling, governance integrity evaluation, comparative framework review, gray zone elimination, and the final three-axis determination. Serves as the primary geopolitical feasibility specification.</w:t>
      </w:r>
    </w:p>
    <w:p w:rsidR="00000000" w:rsidDel="00000000" w:rsidP="00000000" w:rsidRDefault="00000000" w:rsidRPr="00000000" w14:paraId="00000509">
      <w:pPr>
        <w:widowControl w:val="0"/>
        <w:rPr>
          <w:b w:val="1"/>
          <w:bCs w:val="1"/>
        </w:rPr>
      </w:pPr>
      <w:r w:rsidDel="00000000" w:rsidR="00000000" w:rsidRPr="00000000">
        <w:rPr>
          <w:rtl w:val="0"/>
        </w:rPr>
      </w:r>
    </w:p>
    <w:p w:rsidR="00000000" w:rsidDel="00000000" w:rsidP="00000000" w:rsidRDefault="00000000" w:rsidRPr="00000000" w14:paraId="0000050A">
      <w:pPr>
        <w:widowControl w:val="0"/>
        <w:rPr>
          <w:b w:val="1"/>
          <w:bCs w:val="1"/>
        </w:rPr>
      </w:pPr>
      <w:r w:rsidDel="00000000" w:rsidR="00000000" w:rsidRPr="00000000">
        <w:rPr>
          <w:b w:val="1"/>
          <w:bCs w:val="1"/>
          <w:rtl w:val="0"/>
        </w:rPr>
        <w:t xml:space="preserve">Source [9]</w:t>
      </w:r>
    </w:p>
    <w:p w:rsidR="00000000" w:rsidDel="00000000" w:rsidP="00000000" w:rsidRDefault="00000000" w:rsidRPr="00000000" w14:paraId="0000050B">
      <w:pPr>
        <w:widowControl w:val="0"/>
        <w:rPr>
          <w:b w:val="1"/>
          <w:bCs w:val="1"/>
        </w:rPr>
      </w:pPr>
      <w:r w:rsidDel="00000000" w:rsidR="00000000" w:rsidRPr="00000000">
        <w:rPr>
          <w:rtl w:val="0"/>
        </w:rPr>
      </w:r>
    </w:p>
    <w:p w:rsidR="00000000" w:rsidDel="00000000" w:rsidP="00000000" w:rsidRDefault="00000000" w:rsidRPr="00000000" w14:paraId="0000050C">
      <w:pPr>
        <w:widowControl w:val="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https://raw.githubusercontent.com/FractonicMind/TernaryLogic/refs/heads/main/AML_Prevention/Ternary%20Logic%20(TL)%20as%20an%20Anti-Money%20Laundering%20(AML)%20Enforcement%20Architecture_%20Governance-Grade%20System%20Specification.md</w:t>
      </w:r>
    </w:p>
    <w:p w:rsidR="00000000" w:rsidDel="00000000" w:rsidP="00000000" w:rsidRDefault="00000000" w:rsidRPr="00000000" w14:paraId="0000050D">
      <w:pPr>
        <w:widowControl w:val="0"/>
        <w:rPr/>
      </w:pPr>
      <w:r w:rsidDel="00000000" w:rsidR="00000000" w:rsidRPr="00000000">
        <w:rPr>
          <w:rtl w:val="0"/>
        </w:rPr>
      </w:r>
    </w:p>
    <w:p w:rsidR="00000000" w:rsidDel="00000000" w:rsidP="00000000" w:rsidRDefault="00000000" w:rsidRPr="00000000" w14:paraId="0000050E">
      <w:pPr>
        <w:widowControl w:val="0"/>
        <w:rPr/>
      </w:pPr>
      <w:r w:rsidDel="00000000" w:rsidR="00000000" w:rsidRPr="00000000">
        <w:rPr>
          <w:rtl w:val="0"/>
        </w:rPr>
        <w:t xml:space="preserve">Ternary Logic as an Anti-Money Laundering Enforcement Architecture: Governance-Grade System Specification. Defines the AML Decision Log six-field schema, real-time transaction monitoring through the Dual-Lane Architecture, cross-border correspondent banking verification, shell company recursive graph analysis, sanctions compliance as hard constitutional boundary, automated regulatory reporting, false positive management, and the cost-benefit inversion of AML governance incentives. Serves as the primary anti-money laundering specification.</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rPr/>
      </w:pPr>
      <w:r w:rsidDel="00000000" w:rsidR="00000000" w:rsidRPr="00000000">
        <w:rPr>
          <w:b w:val="1"/>
          <w:bCs w:val="1"/>
          <w:rtl w:val="0"/>
        </w:rPr>
        <w:t xml:space="preserve">External DOI References</w:t>
      </w: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[DOI 1] </w:t>
      </w:r>
      <w:r w:rsidDel="00000000" w:rsidR="00000000" w:rsidRPr="00000000">
        <w:rPr>
          <w:rFonts w:ascii="Roboto Mono" w:cs="Roboto Mono" w:eastAsia="Roboto Mono" w:hAnsi="Roboto Mono"/>
          <w:color w:val="188038"/>
          <w:rtl w:val="0"/>
        </w:rPr>
        <w:t xml:space="preserve">10.1007/s43681-025-00910-6</w:t>
      </w:r>
      <w:r w:rsidDel="00000000" w:rsidR="00000000" w:rsidRPr="00000000">
        <w:rPr>
          <w:rtl w:val="0"/>
        </w:rPr>
        <w:t xml:space="preserve"> - Springer Nature publication, "Auditable AI: tracing the ethical history of a model" by Lev Goukassian, published 28 December 2025.</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[DOI 2] </w:t>
      </w:r>
      <w:r w:rsidDel="00000000" w:rsidR="00000000" w:rsidRPr="00000000">
        <w:rPr>
          <w:rFonts w:ascii="Roboto Mono" w:cs="Roboto Mono" w:eastAsia="Roboto Mono" w:hAnsi="Roboto Mono"/>
          <w:color w:val="188038"/>
          <w:rtl w:val="0"/>
        </w:rPr>
        <w:t xml:space="preserve">10.1007/s43681-026-01124-0</w:t>
      </w:r>
      <w:r w:rsidDel="00000000" w:rsidR="00000000" w:rsidRPr="00000000">
        <w:rPr>
          <w:rtl w:val="0"/>
        </w:rPr>
        <w:t xml:space="preserve"> - Springer Nature publication, "A ternary logic framework for institutional governance" by Lev Goukassian, in proofs.</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[DOI 3] </w:t>
      </w:r>
      <w:r w:rsidDel="00000000" w:rsidR="00000000" w:rsidRPr="00000000">
        <w:rPr>
          <w:rFonts w:ascii="Roboto Mono" w:cs="Roboto Mono" w:eastAsia="Roboto Mono" w:hAnsi="Roboto Mono"/>
          <w:color w:val="188038"/>
          <w:rtl w:val="0"/>
        </w:rPr>
        <w:t xml:space="preserve">10.5281/zenodo.17860332</w:t>
      </w:r>
      <w:r w:rsidDel="00000000" w:rsidR="00000000" w:rsidRPr="00000000">
        <w:rPr>
          <w:rtl w:val="0"/>
        </w:rPr>
        <w:t xml:space="preserve"> - Zenodo repository anchoring the open-source TL framework artifacts.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rtl w:val="0"/>
        </w:rPr>
        <w:t xml:space="preserve">Repository</w:t>
      </w: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Fonts w:ascii="Roboto Mono" w:cs="Roboto Mono" w:eastAsia="Roboto Mono" w:hAnsi="Roboto Mono"/>
          <w:color w:val="188038"/>
          <w:rtl w:val="0"/>
        </w:rPr>
        <w:t xml:space="preserve">https://github.com/FractonicMind/TernaryLogic</w:t>
      </w:r>
      <w:r w:rsidDel="00000000" w:rsidR="00000000" w:rsidRPr="00000000">
        <w:rPr>
          <w:rtl w:val="0"/>
        </w:rPr>
        <w:t xml:space="preserve"> - Master repository for all TL source documents, specifications, governance artifacts, hardware documentation, and adversarial survivability assessments.</w:t>
      </w:r>
    </w:p>
    <w:p w:rsidR="00000000" w:rsidDel="00000000" w:rsidP="00000000" w:rsidRDefault="00000000" w:rsidRPr="00000000" w14:paraId="0000051B">
      <w:pPr>
        <w:pStyle w:val="Heading2"/>
        <w:rPr/>
      </w:pPr>
      <w:bookmarkStart w:colFirst="0" w:colLast="0" w:name="_ljf8czt0fo9f" w:id="59"/>
      <w:bookmarkEnd w:id="59"/>
      <w:r w:rsidDel="00000000" w:rsidR="00000000" w:rsidRPr="00000000">
        <w:rPr>
          <w:rtl w:val="0"/>
        </w:rPr>
        <w:t xml:space="preserve">10.3. Constitutional Uncertainty Register</w:t>
      </w:r>
    </w:p>
    <w:p w:rsidR="00000000" w:rsidDel="00000000" w:rsidP="00000000" w:rsidRDefault="00000000" w:rsidRPr="00000000" w14:paraId="0000051C">
      <w:pPr>
        <w:rPr/>
      </w:pPr>
      <w:r w:rsidDel="00000000" w:rsidR="00000000" w:rsidRPr="00000000">
        <w:rPr>
          <w:rtl w:val="0"/>
        </w:rPr>
        <w:t xml:space="preserve">A constitution that claims completeness is a constitution that conceals its gaps. Ternary Logic maintains an explicit register of uncertainties, unspecified parameters, and estimated quantities that require future determination by the Tri-Cameral Governance Model or by empirical validation of deployed systems. [</w:t>
      </w:r>
      <w:hyperlink r:id="rId670">
        <w:r w:rsidDel="00000000" w:rsidR="00000000" w:rsidRPr="00000000">
          <w:rPr>
            <w:color w:val="1155cc"/>
            <w:u w:val="single"/>
            <w:rtl w:val="0"/>
          </w:rPr>
          <w:t xml:space="preserve">6</w:t>
        </w:r>
      </w:hyperlink>
      <w:r w:rsidDel="00000000" w:rsidR="00000000" w:rsidRPr="00000000">
        <w:rPr>
          <w:rtl w:val="0"/>
        </w:rPr>
        <w:t xml:space="preserve">] The following entries are current as of this specification version.</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b w:val="1"/>
          <w:bCs w:val="1"/>
          <w:rtl w:val="0"/>
        </w:rPr>
        <w:t xml:space="preserve">Hardware and Physics</w:t>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The exact memristor material composition for the MT cell is unspecified. The specification mandates stable intermediate resistance over a minimum of one billion switching cycles and operation across the industrial temperature range of negative forty to positive eighty-five degrees Celsius, but does not prescribe a specific metal-oxide stack, filament formation mechanism, or fabrication process integration. [</w:t>
      </w:r>
      <w:hyperlink r:id="rId671">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The exact transistor-level schematic for the DITL completion detector is unspecified. The specification mandates validation by the Technical Council and resistance to metastable failure modes, but does not provide a gate-level netlist or timing closure methodology. [</w:t>
      </w:r>
      <w:hyperlink r:id="rId67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The exact voltage encoding pattern for the MT gate cryptographic confirm pulse is unspecified. The specification mandates resistance to side-channel analysis and Technical Council validation, but does not define the pulse amplitude, duration, or modulation scheme. [</w:t>
      </w:r>
      <w:hyperlink r:id="rId67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The exact voltage threshold values for the MT gate layer-composite pulse are unspecified. The specification mandates calibration by the Technical Council and resistance to power supply fluctuations, but does not specify the tolerance bands or derating curves. [</w:t>
      </w:r>
      <w:hyperlink r:id="rId67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The exact electromagnetic field strength threshold for triggering the NMI generator is unspecified. The specification mandates calibration to exceed normal operational interference while remaining below fault injection thresholds, but does not provide numerical field strength values in microtesla or volts per meter. [</w:t>
      </w:r>
      <w:hyperlink r:id="rId67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The speculative execution window for sidecar placement is unquantifiable without fabricated silicon. The specification acknowledges that DITL validation latency should be faster than TPM-class operations, potentially in the nanosecond to low-microsecond range, but cannot confirm this without tape-out and measurement. [</w:t>
      </w:r>
      <w:hyperlink r:id="rId67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The probability of reliable DITL chip production at scale without detectable compromise is estimated, not measured. The fifteen to twenty-five percent five-year horizon and forty to fifty-five percent ten-year horizon are conditional projections based on foundry trust, multi-vendor diversity, and domestic fabrication capacity, not on empirical yield data. [</w:t>
      </w:r>
      <w:hyperlink r:id="rId67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b w:val="1"/>
          <w:bCs w:val="1"/>
          <w:rtl w:val="0"/>
        </w:rPr>
        <w:t xml:space="preserve">Governance and Schema</w:t>
      </w: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The exact maximum constitutional duration for Epistemic Hold before automatic expiration is unspecified. The specification mandates configurability by the Stewardship Custodians and automatic Treasury release triggers, but does not define a default or maximum value. [</w:t>
      </w:r>
      <w:hyperlink r:id="rId67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The exact quarantine duration for replacement DITL chips is unspecified. The specification mandates configurability by the Technical Council based on behavioral monitoring baseline stability, but does not provide a default duration. [</w:t>
      </w:r>
      <w:hyperlink r:id="rId67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The exact multi-vendor diversity threshold required to achieve acceptable correlated compromise risk is unspecified. The specification mandates determination by the Technical Council based on EDA tool commonality, process design kit overlap, and third-party IP block sharing, but does not define the mathematical diversity metric or acceptance threshold. [</w:t>
      </w:r>
      <w:hyperlink r:id="rId68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The exact weighting formula for combining per-Pillar survivability ratings into a framework-level collapse probability is unspecified. The specification mandates that the collapse threshold must trigger automatic transition to maximum-conservative governance mode, but does not define the aggregation function. [</w:t>
      </w:r>
      <w:hyperlink r:id="rId68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The exact probability threshold for triggering automatic safe harbor transition when Merkle consistency checks fail is unspecified. The specification mandates configurability by the Stewardship Custodians and automatic Epistemic Hold on pending decisions, but does not define the false-positive tolerance. [</w:t>
      </w:r>
      <w:hyperlink r:id="rId68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The exact quantum readiness threshold values for automatic transition initiation are unspecified. The specification mandates determination by the Technical Council based on NIST guidance, academic consensus, and intelligence community assessments, but does not define the specific qubit count, error rate, or algorithm demonstration that triggers hybrid signature mode. [</w:t>
      </w:r>
      <w:hyperlink r:id="rId68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The exact political cost-benefit threshold that determines adoption scenario selection is unspecified. The specification mandates analysis by the deploying institution's governance board and mandatory disclosure, but does not provide a decision framework. [</w:t>
      </w:r>
      <w:hyperlink r:id="rId68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The exact statistical test for detecting anomalous Proceed rates indicative of forced +1 corruption is unspecified. The specification mandates maintenance by the Technical Council and automatic Treasury penalty triggers, but does not define the test statistic, significance level, or baseline construction methodology. [</w:t>
      </w:r>
      <w:hyperlink r:id="rId68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The exact protocol for resolving Lantern beacon ambiguity between network failure and genuine suppression is unspecified. The specification mandates definition by the Stewardship Custodians with redundant out-of-band verification channels, but does not provide the protocol specification. [</w:t>
      </w:r>
      <w:hyperlink r:id="rId68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The exact statistical threshold for triggering automatic external audit when emergency override frequency exceeds historical baselines is unspecified. The specification mandates maintenance by the Stewardship Custodians with mandatory public disclosure, but does not define the deviation metric or trigger sensitivity. [</w:t>
      </w:r>
      <w:hyperlink r:id="rId68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b w:val="1"/>
          <w:bCs w:val="1"/>
          <w:rtl w:val="0"/>
        </w:rPr>
        <w:t xml:space="preserve">Operational and Regulatory</w: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The exact byte-level schema for the Decision Log hash anchoring protocol is unspecified. The specification mandates that anchoring must occur, but does not define the serialization order, delimiter scheme, or canonical encoding for multi-field hashes. [</w:t>
      </w:r>
      <w:hyperlink r:id="rId688">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The exact calibration thresholds for NMRF modellability under TL governance are unspecified. The specification mandates configurability by the Stewardship Custodians and anchoring in the constitutional schema, but does not provide default values for observable data sufficiency or standard charge applicability. [</w:t>
      </w:r>
      <w:hyperlink r:id="rId689">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The exact microsecond timestamping protocol for CAT-equivalent Decision Logs is unspecified. The specification mandates hardware-bound clocks resistant to system-time manipulation, but does not define the clock source, synchronization protocol, or drift tolerance. [</w:t>
      </w:r>
      <w:hyperlink r:id="rId690">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The exact depth of beneficial ownership recursion for sanctions screening is unspecified. The specification mandates configurability by the Stewardship Custodians and anchoring in the constitutional schema, but does not define the maximum graph traversal depth or cycle detection parameters. [</w:t>
      </w:r>
      <w:hyperlink r:id="rId691">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The exact statistical thresholds for proxy discrimination detection in actuarial models are unspecified. The specification mandates configurability by the Stewardship Custodians and automatic Epistemic Hold triggers for models that exceed bias tolerance parameters, but does not define the tolerance values or the discrimination metric. [</w:t>
      </w:r>
      <w:hyperlink r:id="rId692">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The exact byte-level serialization format for the TLResult object is unspecified. The specification mandates schema validation, cryptographic signing, and resistance to deserialization attacks, but does not define the encoding standard. [</w:t>
      </w:r>
      <w:hyperlink r:id="rId69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The exact formal logic grammar for provision encoding in the Regulatory Nexus is unspecified. The specification mandates Technical Council validation and resistance to ambiguity or circular reference, but does not define the grammar specification. [</w:t>
      </w:r>
      <w:hyperlink r:id="rId69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The exact eIDAS qualified trust service provider accreditation pathway for Governance Lane signature modules is unspecified. The specification mandates achievability through Technical Council hardware certification protocols, but does not define the accreditation procedure. [</w:t>
      </w:r>
      <w:hyperlink r:id="rId695">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The exact emergency evidentiary minimum thresholds for central bank liquidity proposals are unspecified. The specification mandates configurability by the Stewardship Custodians and automatic escalation triggers, but does not define the minimum data elements or the compressed deliberation timeline. [</w:t>
      </w:r>
      <w:hyperlink r:id="rId696">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The exact cross-border CBDC bridge protocol for conflicting constitutional schemas is unspecified. The specification mandates configurability by bilateral Stewardship Custodian agreements and anchoring in both nations' immutable ledgers, but does not define the negotiation protocol or the harmonization algorithm. [</w:t>
      </w:r>
      <w:hyperlink r:id="rId697">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The exact encryption protocol for ledger-bound personal data is unspecified. The specification mandates Technical Council validation and resistance to unauthorized key recovery, but does not define the cipher, mode, or key derivation function. [</w:t>
      </w:r>
      <w:hyperlink r:id="rId698">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The exact game-theoretic equilibrium refinement used to model Tri-Cameral chamber coordination under incomplete information is unspecified. The specification mandates mechanism design principles ensuring incentive compatibility, but does not define the formal solution concept. [</w:t>
      </w:r>
      <w:hyperlink r:id="rId699">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The exact quantitative transaction cost reduction achieved by TL governance compared to traditional trade finance is unspecified. The specification mandates measurement by the Smart Contract Treasury and anchoring in the constitutional schema, but does not provide baseline data or measurement methodology. [</w:t>
      </w:r>
      <w:hyperlink r:id="rId700">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rPr>
          <w:b w:val="1"/>
          <w:bCs w:val="1"/>
          <w:rtl w:val="0"/>
        </w:rPr>
        <w:t xml:space="preserve">Resolution Protocol</w:t>
      </w: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Each uncertainty entry is assigned to a responsible chamber and a target resolution horizon. The Technical Council owns hardware, physics, cryptographic, and formal logic uncertainties. The Stewardship Custodians own governance, schema, regulatory, and threshold uncertainties. The Smart Contract Treasury owns economic, measurement, and resource allocation uncertainties. [</w:t>
      </w:r>
      <w:hyperlink r:id="rId70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Resolution horizons are classified as immediate, meaning specification is required before any production deployment; near-term, meaning specification is required within twelve months of deployment; and long-term, meaning specification is required before the relevant subsystem reaches end-of-life or the vulnerability window opens. Entries marked as immediate block deployment authorization until resolved. Entries marked as near-term trigger automatic Epistemic Hold on proposals that depend on the unspecified parameter until resolution. Entries marked as long-term are tracked in the Constitutional Uncertainty Register with mandatory quarterly review by the Tri-Cameral quorum. [</w:t>
      </w:r>
      <w:hyperlink r:id="rId70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The register itself is anchored to the Immutable Ledger. Every addition, modification, or resolution of an uncertainty entry generates a Decision Log with chamber signatures. The register is publicly readable through the Regulatory Nexus API, ensuring that external auditors, deploying institutions, and affected economic actors can verify which uncertainties remain open and which have been resolved. [</w:t>
      </w:r>
      <w:hyperlink r:id="rId70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Yes. One section remains: the Succession Declaration and Open Source License. Delivering it now.</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pStyle w:val="Heading2"/>
        <w:rPr/>
      </w:pPr>
      <w:bookmarkStart w:colFirst="0" w:colLast="0" w:name="_545zbl47pclo" w:id="60"/>
      <w:bookmarkEnd w:id="60"/>
      <w:r w:rsidDel="00000000" w:rsidR="00000000" w:rsidRPr="00000000">
        <w:rPr>
          <w:rtl w:val="0"/>
        </w:rPr>
        <w:t xml:space="preserve">10.4. Succession Declaration and Open Source License</w:t>
      </w:r>
    </w:p>
    <w:p w:rsidR="00000000" w:rsidDel="00000000" w:rsidP="00000000" w:rsidRDefault="00000000" w:rsidRPr="00000000" w14:paraId="0000056C">
      <w:pPr>
        <w:rPr/>
      </w:pPr>
      <w:r w:rsidDel="00000000" w:rsidR="00000000" w:rsidRPr="00000000">
        <w:rPr>
          <w:rtl w:val="0"/>
        </w:rPr>
        <w:t xml:space="preserve">The Goukassian Vow is immutable. The constitutional schema is version-controlled. The Immutable Ledger is append-only. But the individuals and institutions that maintain these artifacts are mortal, fallible, and subject to capture. A constitution that cannot survive the death, corruption, or dissolution of its founders is a constitution that dies with them. Ternary Logic therefore includes a formal Succession Declaration that specifies how constitutional authority transfers when the original steward is no longer capable of exercising it, and an Open Source License that ensures the framework remains unownable, incorruptible, and perpetually available. [</w:t>
      </w:r>
      <w:hyperlink r:id="rId70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The Succession Declaration is not a will in the legal sense. It is a constitutional protocol that activates automatically upon defined trigger conditions. These conditions include the verified death or permanent incapacitation of the founding steward, the verified compromise of the founding steward's cryptographic identity, the verified capture of the founding steward by a hostile actor, or the founding steward's voluntary relinquishment of authority through a cryptographically signed declaration anchored to the Immutable Ledger. [</w:t>
      </w:r>
      <w:hyperlink r:id="rId705">
        <w:r w:rsidDel="00000000" w:rsidR="00000000" w:rsidRPr="00000000">
          <w:rPr>
            <w:color w:val="1155cc"/>
            <w:u w:val="single"/>
            <w:rtl w:val="0"/>
          </w:rPr>
          <w:t xml:space="preserve">6</w:t>
        </w:r>
      </w:hyperlink>
      <w:r w:rsidDel="00000000" w:rsidR="00000000" w:rsidRPr="00000000">
        <w:rPr>
          <w:rtl w:val="0"/>
        </w:rPr>
        <w:t xml:space="preserve">] The declaration does not transfer authority to a named individual. It transfers authority to the constitutional process itself, specifically to the Tri-Cameral Governance Model operating under the most conservative available schema version.</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Upon succession trigger, the Governance Lane enters a constitutional continuity mode. All pending proposals receive automatic Epistemic Hold. The Stewardship Custodians convene an emergency quorum within seventy-two hours. The quorum validates the succession trigger through independent evidentiary channels, such as death certificates attested by multiple jurisdictional authorities, cryptographic compromise demonstrated through key revocation proofs, or capture verified through independent human rights monitors. [</w:t>
      </w:r>
      <w:hyperlink r:id="rId706">
        <w:r w:rsidDel="00000000" w:rsidR="00000000" w:rsidRPr="00000000">
          <w:rPr>
            <w:color w:val="1155cc"/>
            <w:u w:val="single"/>
            <w:rtl w:val="0"/>
          </w:rPr>
          <w:t xml:space="preserve">3</w:t>
        </w:r>
      </w:hyperlink>
      <w:r w:rsidDel="00000000" w:rsidR="00000000" w:rsidRPr="00000000">
        <w:rPr>
          <w:rtl w:val="0"/>
        </w:rPr>
        <w:t xml:space="preserve">] If the quorum validates the trigger, it activates the succession protocol. If the quorum cannot validate the trigger within the constitutional deadline, the framework enters maximum-conservative governance mode with all new proposals automatically Refused until validation occurs.</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The succession protocol does not appoint a new founding steward. It redistributes the founding steward's residual authority across the three chambers according to their constitutional mandates. The Technical Council assumes responsibility for the mathematical and cryptographic integrity of the framework. The Stewardship Custodians assume responsibility for the constitutional schema and the Goukassian Vow interpretation. The Smart Contract Treasury assumes responsibility for the economic sustainability and resource allocation. [</w:t>
      </w:r>
      <w:hyperlink r:id="rId707">
        <w:r w:rsidDel="00000000" w:rsidR="00000000" w:rsidRPr="00000000">
          <w:rPr>
            <w:color w:val="1155cc"/>
            <w:u w:val="single"/>
            <w:rtl w:val="0"/>
          </w:rPr>
          <w:t xml:space="preserve">3</w:t>
        </w:r>
      </w:hyperlink>
      <w:r w:rsidDel="00000000" w:rsidR="00000000" w:rsidRPr="00000000">
        <w:rPr>
          <w:rtl w:val="0"/>
        </w:rPr>
        <w:t xml:space="preserve">] No single chamber inherits the founding steward's unified authority. The constitutional design intentionally fragments the founder's role to prevent the succession from creating a new point of capture.</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The Open Source License ensures that the framework cannot be privatized, enclosed, or subjected to proprietary control that would permit the owner to modify the constitutional schema for profit. The license is derived from the Goukassian Principle and is designed to be legally enforceable across jurisdictions while remaining compatible with the framework's cryptographic enforcement mechanisms. [</w:t>
      </w:r>
      <w:hyperlink r:id="rId708">
        <w:r w:rsidDel="00000000" w:rsidR="00000000" w:rsidRPr="00000000">
          <w:rPr>
            <w:color w:val="1155cc"/>
            <w:u w:val="single"/>
            <w:rtl w:val="0"/>
          </w:rPr>
          <w:t xml:space="preserve">6</w:t>
        </w:r>
      </w:hyperlink>
      <w:r w:rsidDel="00000000" w:rsidR="00000000" w:rsidRPr="00000000">
        <w:rPr>
          <w:rtl w:val="0"/>
        </w:rPr>
        <w:t xml:space="preserve">] The license grants perpetual, worldwide, non-exclusive rights to use, study, modify, and distribute the framework, subject to three binding conditions.</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Condition one is the Attribution Covenant. Any implementation, modification, or derivative work must include the original Goukassian Vow text, the Eight Pillars specification, and the founding steward's ORCID identifier. This condition prevents the framework from being forked into a stripped-down version that lacks the constitutional foundations. It ensures that every instance of TL, regardless of how many times it has been modified, carries the trace of its ethical origin. [</w:t>
      </w:r>
      <w:hyperlink r:id="rId70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Condition two is the Non-Enclosure Covenant. No entity may impose proprietary restrictions, including but not limited to patent claims, trade secret protection, or exclusive licensing, on any component of the framework that would prevent others from exercising the rights granted by the license. This condition prevents the framework from being captured through intellectual property law. A corporation that modifies TL for internal use cannot patent the modification and then sue competitors who implement similar governance. A nation-state cannot classify TL as state secret and restrict its export. The framework remains in the intellectual commons. [</w:t>
      </w:r>
      <w:hyperlink r:id="rId71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Condition three is the Constitutional Integrity Covenant. Any derivative work that modifies the constitutional schema, the Goukassian Vow, or the Eight Pillars must publish the modification to the Immutable Ledger with a complete Decision Log justifying the change under the original constitutional criteria. This condition prevents semantic drift through concealed modification. A fork that relaxes the evidentiary requirements for Proceed cannot do so secretly. It must generate a public Decision Log that external auditors can review, challenge, and refuse to recognize. The log creates a constitutional chain of custody for every interpretation of the Vow. [</w:t>
      </w:r>
      <w:hyperlink r:id="rId71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The license flips the legal burden of proof. Under conventional software licenses, the user bears the burden of proving that their use complies with the license terms. Under the TL license, the implementer bears the burden of proving that their implementation satisfies the constitutional criteria. Missing logs constitute presumptive evidence of license violation. A court evaluating a dispute over TL implementation need not determine whether the defendant intentionally violated the license. It need only determine whether the defendant produced the required Decision Logs. If the logs are absent, the violation is established as a matter of law. [</w:t>
      </w:r>
      <w:hyperlink r:id="rId71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Jurisdictional enforceability is a known uncertainty. The license is designed to be compatible with civil law, common law, and international arbitration frameworks, but its burden-shifting provision may be unenforceable in jurisdictions that prohibit contractual reversal of evidentiary standards. [</w:t>
      </w:r>
      <w:hyperlink r:id="rId713">
        <w:r w:rsidDel="00000000" w:rsidR="00000000" w:rsidRPr="00000000">
          <w:rPr>
            <w:color w:val="1155cc"/>
            <w:u w:val="single"/>
            <w:rtl w:val="0"/>
          </w:rPr>
          <w:t xml:space="preserve">6</w:t>
        </w:r>
      </w:hyperlink>
      <w:r w:rsidDel="00000000" w:rsidR="00000000" w:rsidRPr="00000000">
        <w:rPr>
          <w:rtl w:val="0"/>
        </w:rPr>
        <w:t xml:space="preserve">] The Constitutional Uncertainty Register tracks this gap. In jurisdictions where the burden shift is unenforceable, the Stewardship Custodians may configure the Governance Lane to impose additional evidentiary requirements that achieve the same practical effect through contractual rather than statutory means.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The license includes a severability clause that preserves the remaining conditions if any single condition is adjudicated invalid. If the Non-Enclosure Covenant is struck down in a jurisdiction that permits software patents, the Attribution and Constitutional Integrity Covenants remain in force. The framework may be partially enclosed in that jurisdiction, but its ethical traceability and its public modification requirement survive. [</w:t>
      </w:r>
      <w:hyperlink r:id="rId71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The Open Source License is itself anchored to the Immutable Ledger. The text is hashed, the hash is incorporated into the constitutional schema, and the schema is anchored to Bitcoin, Ethereum, and Polygon. [</w:t>
      </w:r>
      <w:hyperlink r:id="rId715">
        <w:r w:rsidDel="00000000" w:rsidR="00000000" w:rsidRPr="00000000">
          <w:rPr>
            <w:color w:val="1155cc"/>
            <w:u w:val="single"/>
            <w:rtl w:val="0"/>
          </w:rPr>
          <w:t xml:space="preserve">1</w:t>
        </w:r>
      </w:hyperlink>
      <w:r w:rsidDel="00000000" w:rsidR="00000000" w:rsidRPr="00000000">
        <w:rPr>
          <w:rtl w:val="0"/>
        </w:rPr>
        <w:t xml:space="preserve">] No future modification of the license text can occur without generating a Decision Log that is itself subject to the license's own Constitutional Integrity Covenant. The license governs its own amendment. A proposal to modify the license must satisfy the license's own criteria for justified modification, creating a self-referential but not circular constitutional structure.</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The Tri-Cameral Governance Model manages succession and licensing through distributed authority. The Technical Council validates the cryptographic integrity of the succession trigger and the license anchoring. The Stewardship Custodians validate the legal and constitutional propriety of the succession protocol and the jurisdictional enforceability of the license terms. [</w:t>
      </w:r>
      <w:hyperlink r:id="rId716">
        <w:r w:rsidDel="00000000" w:rsidR="00000000" w:rsidRPr="00000000">
          <w:rPr>
            <w:color w:val="1155cc"/>
            <w:u w:val="single"/>
            <w:rtl w:val="0"/>
          </w:rPr>
          <w:t xml:space="preserve">3</w:t>
        </w:r>
      </w:hyperlink>
      <w:r w:rsidDel="00000000" w:rsidR="00000000" w:rsidRPr="00000000">
        <w:rPr>
          <w:rtl w:val="0"/>
        </w:rPr>
        <w:t xml:space="preserve">] The Smart Contract Treasury manages the economic resources for legal defense of the license, including litigation reserves for enforcing the Non-Enclosure Covenant against proprietary capture attempts and compensation pools for whistleblowers who expose license violations.</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In macroeconomic practice, the Succession Declaration and Open Source License ensure that Ternary Logic remains a public good even after its founder is gone. A central bank that adopts TL governance today can be confident that the framework will not be sold to a proprietary vendor tomorrow, that its constitutional constraints will not be relaxed by a successor who lacks the founder's ethical commitment, and that its evidentiary history will remain verifiable by future generations who never knew the original steward. [</w:t>
      </w:r>
      <w:hyperlink r:id="rId717">
        <w:r w:rsidDel="00000000" w:rsidR="00000000" w:rsidRPr="00000000">
          <w:rPr>
            <w:color w:val="1155cc"/>
            <w:u w:val="single"/>
            <w:rtl w:val="0"/>
          </w:rPr>
          <w:t xml:space="preserve">2</w:t>
        </w:r>
      </w:hyperlink>
      <w:r w:rsidDel="00000000" w:rsidR="00000000" w:rsidRPr="00000000">
        <w:rPr>
          <w:rtl w:val="0"/>
        </w:rPr>
        <w:t xml:space="preserve">] The framework becomes an institutional inheritance that transcends individual mortality, corporate lifespan, and sovereign regime change.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The sources do not specify the exact evidentiary standard for validating a founding steward's death across multiple jurisdictional authorities, though they mandate that such standard must be defined by the Stewardship Custodians and anchored in the constitutional schema with automatic succession trigger upon verified satisfaction. [</w:t>
      </w:r>
      <w:hyperlink r:id="rId71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sectPr>
      <w:footerReference r:id="rId719" w:type="default"/>
      <w:footerReference r:id="rId72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raw.githubusercontent.com/FractonicMind/TernaryLogic/refs/heads/main/The%20Architecture%20Of%20Assured%20Governance%20for%20Global%20Economic%20Systems.md" TargetMode="External"/><Relationship Id="rId194"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93" Type="http://schemas.openxmlformats.org/officeDocument/2006/relationships/hyperlink" Target="https://raw.githubusercontent.com/FractonicMind/TernaryLogic/refs/heads/main/API/Specification_Architecture.md" TargetMode="External"/><Relationship Id="rId192" Type="http://schemas.openxmlformats.org/officeDocument/2006/relationships/hyperlink" Target="https://raw.githubusercontent.com/FractonicMind/TernaryLogic/refs/heads/main/The%20Architecture%20Of%20Assured%20Governance%20for%20Global%20Economic%20Systems.md" TargetMode="External"/><Relationship Id="rId191" Type="http://schemas.openxmlformats.org/officeDocument/2006/relationships/hyperlink" Target="https://raw.githubusercontent.com/FractonicMind/TernaryLogic/refs/heads/main/The%20Architecture%20Of%20Assured%20Governance%20for%20Global%20Economic%20Systems.md" TargetMode="External"/><Relationship Id="rId187" Type="http://schemas.openxmlformats.org/officeDocument/2006/relationships/hyperlink" Target="https://raw.githubusercontent.com/FractonicMind/TernaryLogic/refs/heads/main/The%20Architecture%20Of%20Assured%20Governance%20for%20Global%20Economic%20Systems.md" TargetMode="External"/><Relationship Id="rId186" Type="http://schemas.openxmlformats.org/officeDocument/2006/relationships/hyperlink" Target="https://raw.githubusercontent.com/FractonicMind/TernaryLogic/refs/heads/main/MT_Hardware/MT_System_Architecture_and_Economics.md" TargetMode="External"/><Relationship Id="rId185" Type="http://schemas.openxmlformats.org/officeDocument/2006/relationships/hyperlink" Target="https://raw.githubusercontent.com/FractonicMind/TernaryLogic/refs/heads/main/API/Specification_Architecture.md" TargetMode="External"/><Relationship Id="rId184" Type="http://schemas.openxmlformats.org/officeDocument/2006/relationships/hyperlink" Target="https://raw.githubusercontent.com/FractonicMind/TernaryLogic/refs/heads/main/The%20Architecture%20Of%20Assured%20Governance%20for%20Global%20Economic%20Systems.md" TargetMode="External"/><Relationship Id="rId189"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88" Type="http://schemas.openxmlformats.org/officeDocument/2006/relationships/hyperlink" Target="https://raw.githubusercontent.com/FractonicMind/TernaryLogic/refs/heads/main/The%20Architecture%20Of%20Assured%20Governance%20for%20Global%20Economic%20Systems.md" TargetMode="External"/><Relationship Id="rId183"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82" Type="http://schemas.openxmlformats.org/officeDocument/2006/relationships/hyperlink" Target="https://raw.githubusercontent.com/FractonicMind/TernaryLogic/refs/heads/main/The%20Architecture%20Of%20Assured%20Governance%20for%20Global%20Economic%20Systems.md" TargetMode="External"/><Relationship Id="rId181" Type="http://schemas.openxmlformats.org/officeDocument/2006/relationships/hyperlink" Target="https://raw.githubusercontent.com/FractonicMind/TernaryLogic/refs/heads/main/API/Specification_Architecture.md" TargetMode="External"/><Relationship Id="rId180" Type="http://schemas.openxmlformats.org/officeDocument/2006/relationships/hyperlink" Target="https://raw.githubusercontent.com/FractonicMind/TernaryLogic/refs/heads/main/The%20Architecture%20Of%20Assured%20Governance%20for%20Global%20Economic%20Systems.md" TargetMode="External"/><Relationship Id="rId176" Type="http://schemas.openxmlformats.org/officeDocument/2006/relationships/hyperlink" Target="https://raw.githubusercontent.com/FractonicMind/TernaryLogic/refs/heads/main/The%20Architecture%20Of%20Assured%20Governance%20for%20Global%20Economic%20Systems.md" TargetMode="External"/><Relationship Id="rId297" Type="http://schemas.openxmlformats.org/officeDocument/2006/relationships/hyperlink" Target="https://raw.githubusercontent.com/FractonicMind/TernaryLogic/refs/heads/main/MT_Hardware/MT_System_Architecture_and_Economics.md" TargetMode="External"/><Relationship Id="rId175" Type="http://schemas.openxmlformats.org/officeDocument/2006/relationships/hyperlink" Target="https://raw.githubusercontent.com/FractonicMind/TernaryLogic/refs/heads/main/The%20Architecture%20Of%20Assured%20Governance%20for%20Global%20Economic%20Systems.md" TargetMode="External"/><Relationship Id="rId296" Type="http://schemas.openxmlformats.org/officeDocument/2006/relationships/hyperlink" Target="https://raw.githubusercontent.com/FractonicMind/TernaryLogic/refs/heads/main/MT_Hardware/MT_System_Architecture_and_Economics.md" TargetMode="External"/><Relationship Id="rId174"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95" Type="http://schemas.openxmlformats.org/officeDocument/2006/relationships/hyperlink" Target="https://raw.githubusercontent.com/FractonicMind/TernaryLogic/refs/heads/main/API/Specification_Architecture.md" TargetMode="External"/><Relationship Id="rId173" Type="http://schemas.openxmlformats.org/officeDocument/2006/relationships/hyperlink" Target="https://raw.githubusercontent.com/FractonicMind/TernaryLogic/refs/heads/main/The%20Architecture%20Of%20Assured%20Governance%20for%20Global%20Economic%20Systems.md" TargetMode="External"/><Relationship Id="rId294" Type="http://schemas.openxmlformats.org/officeDocument/2006/relationships/hyperlink" Target="https://raw.githubusercontent.com/FractonicMind/TernaryLogic/refs/heads/main/API/Specification_Architecture.md" TargetMode="External"/><Relationship Id="rId179"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78" Type="http://schemas.openxmlformats.org/officeDocument/2006/relationships/hyperlink" Target="https://raw.githubusercontent.com/FractonicMind/TernaryLogic/refs/heads/main/The%20Architecture%20Of%20Assured%20Governance%20for%20Global%20Economic%20Systems.md" TargetMode="External"/><Relationship Id="rId299" Type="http://schemas.openxmlformats.org/officeDocument/2006/relationships/hyperlink" Target="https://raw.githubusercontent.com/FractonicMind/TernaryLogic/refs/heads/main/API/Specification_Architecture.md" TargetMode="External"/><Relationship Id="rId177" Type="http://schemas.openxmlformats.org/officeDocument/2006/relationships/hyperlink" Target="https://raw.githubusercontent.com/FractonicMind/TernaryLogic/refs/heads/main/The%20Architecture%20Of%20Assured%20Governance%20for%20Global%20Economic%20Systems.md" TargetMode="External"/><Relationship Id="rId298" Type="http://schemas.openxmlformats.org/officeDocument/2006/relationships/hyperlink" Target="https://raw.githubusercontent.com/FractonicMind/TernaryLogic/refs/heads/main/API/Specification_Architecture.md" TargetMode="External"/><Relationship Id="rId198" Type="http://schemas.openxmlformats.org/officeDocument/2006/relationships/hyperlink" Target="https://raw.githubusercontent.com/FractonicMind/TernaryLogic/refs/heads/main/The%20Architecture%20Of%20Assured%20Governance%20for%20Global%20Economic%20Systems.md" TargetMode="External"/><Relationship Id="rId197" Type="http://schemas.openxmlformats.org/officeDocument/2006/relationships/hyperlink" Target="https://raw.githubusercontent.com/FractonicMind/TernaryLogic/refs/heads/main/MT_Hardware/MT_System_Architecture_and_Economics.md" TargetMode="External"/><Relationship Id="rId196" Type="http://schemas.openxmlformats.org/officeDocument/2006/relationships/hyperlink" Target="https://raw.githubusercontent.com/FractonicMind/TernaryLogic/refs/heads/main/The%20Architecture%20Of%20Assured%20Governance%20for%20Global%20Economic%20Systems.md" TargetMode="External"/><Relationship Id="rId195" Type="http://schemas.openxmlformats.org/officeDocument/2006/relationships/hyperlink" Target="https://raw.githubusercontent.com/FractonicMind/TernaryLogic/refs/heads/main/The%20Architecture%20Of%20Assured%20Governance%20for%20Global%20Economic%20Systems.md" TargetMode="External"/><Relationship Id="rId199" Type="http://schemas.openxmlformats.org/officeDocument/2006/relationships/hyperlink" Target="https://raw.githubusercontent.com/FractonicMind/TernaryLogic/refs/heads/main/API/Specification_Architecture.md" TargetMode="External"/><Relationship Id="rId150" Type="http://schemas.openxmlformats.org/officeDocument/2006/relationships/hyperlink" Target="https://raw.githubusercontent.com/FractonicMind/TernaryLogic/refs/heads/main/API/Specification_Architecture.md" TargetMode="External"/><Relationship Id="rId271"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92" Type="http://schemas.openxmlformats.org/officeDocument/2006/relationships/hyperlink" Target="https://raw.githubusercontent.com/FractonicMind/TernaryLogic/refs/heads/main/Adversarial_Survivability/TL_Constitutional_Survivability_Under_Adversarial_Pressure.md" TargetMode="External"/><Relationship Id="rId270"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391" Type="http://schemas.openxmlformats.org/officeDocument/2006/relationships/hyperlink" Target="https://raw.githubusercontent.com/FractonicMind/TernaryLogic/refs/heads/main/Adversarial_Survivability/TL_Constitutional_Survivability_Under_Adversarial_Pressure.md" TargetMode="External"/><Relationship Id="rId390" Type="http://schemas.openxmlformats.org/officeDocument/2006/relationships/hyperlink" Target="https://raw.githubusercontent.com/FractonicMind/TernaryLogic/refs/heads/main/Adversarial_Survivability/TL_Constitutional_Survivability_Under_Adversarial_Pressur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raw.githubusercontent.com/FractonicMind/TernaryLogic/refs/heads/main/API/Specification_Architecture.md" TargetMode="External"/><Relationship Id="rId4" Type="http://schemas.openxmlformats.org/officeDocument/2006/relationships/numbering" Target="numbering.xml"/><Relationship Id="rId148" Type="http://schemas.openxmlformats.org/officeDocument/2006/relationships/hyperlink" Target="https://raw.githubusercontent.com/FractonicMind/TernaryLogic/refs/heads/main/The%20Architecture%20Of%20Assured%20Governance%20for%20Global%20Economic%20Systems.md" TargetMode="External"/><Relationship Id="rId269"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9" Type="http://schemas.openxmlformats.org/officeDocument/2006/relationships/hyperlink" Target="https://doi.org/10.1007/s43681-026-01124-0" TargetMode="External"/><Relationship Id="rId143" Type="http://schemas.openxmlformats.org/officeDocument/2006/relationships/hyperlink" Target="https://raw.githubusercontent.com/FractonicMind/TernaryLogic/refs/heads/main/API/Specification_Architecture.md" TargetMode="External"/><Relationship Id="rId264"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385" Type="http://schemas.openxmlformats.org/officeDocument/2006/relationships/hyperlink" Target="https://raw.githubusercontent.com/FractonicMind/TernaryLogic/refs/heads/main/MT_Hardware/MT_System_Architecture_and_Economics.md" TargetMode="External"/><Relationship Id="rId142" Type="http://schemas.openxmlformats.org/officeDocument/2006/relationships/hyperlink" Target="https://raw.githubusercontent.com/FractonicMind/TernaryLogic/refs/heads/main/API/Specification_Architecture.md" TargetMode="External"/><Relationship Id="rId263"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384" Type="http://schemas.openxmlformats.org/officeDocument/2006/relationships/hyperlink" Target="https://raw.githubusercontent.com/FractonicMind/TernaryLogic/refs/heads/main/Adversarial_Survivability/TL_Constitutional_Survivability_Under_Adversarial_Pressure.md" TargetMode="External"/><Relationship Id="rId141" Type="http://schemas.openxmlformats.org/officeDocument/2006/relationships/hyperlink" Target="https://raw.githubusercontent.com/FractonicMind/TernaryLogic/refs/heads/main/The%20Architecture%20Of%20Assured%20Governance%20for%20Global%20Economic%20Systems.md" TargetMode="External"/><Relationship Id="rId262"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383" Type="http://schemas.openxmlformats.org/officeDocument/2006/relationships/hyperlink" Target="https://raw.githubusercontent.com/FractonicMind/TernaryLogic/refs/heads/main/MT_Hardware/MT_System_Architecture_and_Economics.md" TargetMode="External"/><Relationship Id="rId140"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61"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382" Type="http://schemas.openxmlformats.org/officeDocument/2006/relationships/hyperlink" Target="https://raw.githubusercontent.com/FractonicMind/TernaryLogic/refs/heads/main/MT_Hardware/MT_System_Architecture_and_Economics.md" TargetMode="External"/><Relationship Id="rId5" Type="http://schemas.openxmlformats.org/officeDocument/2006/relationships/styles" Target="styles.xml"/><Relationship Id="rId147" Type="http://schemas.openxmlformats.org/officeDocument/2006/relationships/hyperlink" Target="https://raw.githubusercontent.com/FractonicMind/TernaryLogic/refs/heads/main/API/Specification_Architecture.md" TargetMode="External"/><Relationship Id="rId268"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389" Type="http://schemas.openxmlformats.org/officeDocument/2006/relationships/hyperlink" Target="https://raw.githubusercontent.com/FractonicMind/TernaryLogic/refs/heads/main/MT_Hardware/MT_System_Architecture_and_Economics.md" TargetMode="External"/><Relationship Id="rId6" Type="http://schemas.openxmlformats.org/officeDocument/2006/relationships/hyperlink" Target="https://orcid.org/0009-0006-5966-1243" TargetMode="External"/><Relationship Id="rId146" Type="http://schemas.openxmlformats.org/officeDocument/2006/relationships/hyperlink" Target="https://raw.githubusercontent.com/FractonicMind/TernaryLogic/refs/heads/main/API/Specification_Architecture.md" TargetMode="External"/><Relationship Id="rId267"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388" Type="http://schemas.openxmlformats.org/officeDocument/2006/relationships/hyperlink" Target="https://raw.githubusercontent.com/FractonicMind/TernaryLogic/refs/heads/main/MT_Hardware/MT_System_Architecture_and_Economics.md" TargetMode="External"/><Relationship Id="rId7" Type="http://schemas.openxmlformats.org/officeDocument/2006/relationships/hyperlink" Target="https://github.com/FractonicMind/TernaryLogic/tree/main" TargetMode="External"/><Relationship Id="rId145" Type="http://schemas.openxmlformats.org/officeDocument/2006/relationships/hyperlink" Target="https://raw.githubusercontent.com/FractonicMind/TernaryLogic/refs/heads/main/The%20Architecture%20Of%20Assured%20Governance%20for%20Global%20Economic%20Systems.md" TargetMode="External"/><Relationship Id="rId266"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387" Type="http://schemas.openxmlformats.org/officeDocument/2006/relationships/hyperlink" Target="https://raw.githubusercontent.com/FractonicMind/TernaryLogic/refs/heads/main/MT_Hardware/MT_System_Architecture_and_Economics.md" TargetMode="External"/><Relationship Id="rId8" Type="http://schemas.openxmlformats.org/officeDocument/2006/relationships/hyperlink" Target="https://doi.org/10.1007/s43681-025-00910-6" TargetMode="External"/><Relationship Id="rId144" Type="http://schemas.openxmlformats.org/officeDocument/2006/relationships/hyperlink" Target="https://raw.githubusercontent.com/FractonicMind/TernaryLogic/refs/heads/main/API/Specification_Architecture.md" TargetMode="External"/><Relationship Id="rId265"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386" Type="http://schemas.openxmlformats.org/officeDocument/2006/relationships/hyperlink" Target="https://raw.githubusercontent.com/FractonicMind/TernaryLogic/refs/heads/main/MT_Hardware/MT_System_Architecture_and_Economics.md" TargetMode="External"/><Relationship Id="rId260"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81"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80" Type="http://schemas.openxmlformats.org/officeDocument/2006/relationships/hyperlink" Target="https://raw.githubusercontent.com/FractonicMind/TernaryLogic/refs/heads/main/MT_Hardware/MT_System_Architecture_and_Economics.md" TargetMode="External"/><Relationship Id="rId139" Type="http://schemas.openxmlformats.org/officeDocument/2006/relationships/hyperlink" Target="https://raw.githubusercontent.com/FractonicMind/TernaryLogic/refs/heads/main/MT_Hardware/MT_System_Architecture_and_Economics.md" TargetMode="External"/><Relationship Id="rId138" Type="http://schemas.openxmlformats.org/officeDocument/2006/relationships/hyperlink" Target="https://raw.githubusercontent.com/FractonicMind/TernaryLogic/refs/heads/main/The%20Architecture%20Of%20Assured%20Governance%20for%20Global%20Economic%20Systems.md" TargetMode="External"/><Relationship Id="rId259" Type="http://schemas.openxmlformats.org/officeDocument/2006/relationships/hyperlink" Target="https://raw.githubusercontent.com/FractonicMind/TernaryLogic/refs/heads/main/API/Specification_Architecture.md" TargetMode="External"/><Relationship Id="rId137" Type="http://schemas.openxmlformats.org/officeDocument/2006/relationships/hyperlink" Target="https://raw.githubusercontent.com/FractonicMind/TernaryLogic/refs/heads/main/The%20Architecture%20Of%20Assured%20Governance%20for%20Global%20Economic%20Systems.md" TargetMode="External"/><Relationship Id="rId258" Type="http://schemas.openxmlformats.org/officeDocument/2006/relationships/hyperlink" Target="https://raw.githubusercontent.com/FractonicMind/TernaryLogic/refs/heads/main/MT_Hardware/MT_System_Architecture_and_Economics.md" TargetMode="External"/><Relationship Id="rId379" Type="http://schemas.openxmlformats.org/officeDocument/2006/relationships/hyperlink" Target="https://raw.githubusercontent.com/FractonicMind/TernaryLogic/refs/heads/main/MT_Hardware/MT_System_Architecture_and_Economics.md" TargetMode="External"/><Relationship Id="rId132" Type="http://schemas.openxmlformats.org/officeDocument/2006/relationships/hyperlink" Target="https://raw.githubusercontent.com/FractonicMind/TernaryLogic/refs/heads/main/The%20Architecture%20Of%20Assured%20Governance%20for%20Global%20Economic%20Systems.md" TargetMode="External"/><Relationship Id="rId253" Type="http://schemas.openxmlformats.org/officeDocument/2006/relationships/hyperlink" Target="https://raw.githubusercontent.com/FractonicMind/TernaryLogic/refs/heads/main/API/Specification_Architecture.md" TargetMode="External"/><Relationship Id="rId374" Type="http://schemas.openxmlformats.org/officeDocument/2006/relationships/hyperlink" Target="https://raw.githubusercontent.com/FractonicMind/TernaryLogic/refs/heads/main/Adversarial_Survivability/TL_Constitutional_Survivability_Under_Adversarial_Pressure.md" TargetMode="External"/><Relationship Id="rId495" Type="http://schemas.openxmlformats.org/officeDocument/2006/relationships/hyperlink" Target="https://raw.githubusercontent.com/FractonicMind/TernaryLogic/refs/heads/main/Adversarial_Survivability/TL_Constitutional_Survivability_Under_Adversarial_Pressure.md" TargetMode="External"/><Relationship Id="rId131" Type="http://schemas.openxmlformats.org/officeDocument/2006/relationships/hyperlink" Target="https://raw.githubusercontent.com/FractonicMind/TernaryLogic/refs/heads/main/The%20Architecture%20Of%20Assured%20Governance%20for%20Global%20Economic%20Systems.md" TargetMode="External"/><Relationship Id="rId252" Type="http://schemas.openxmlformats.org/officeDocument/2006/relationships/hyperlink" Target="https://raw.githubusercontent.com/FractonicMind/TernaryLogic/refs/heads/main/The%20Architecture%20Of%20Assured%20Governance%20for%20Global%20Economic%20Systems.md" TargetMode="External"/><Relationship Id="rId373" Type="http://schemas.openxmlformats.org/officeDocument/2006/relationships/hyperlink" Target="https://raw.githubusercontent.com/FractonicMind/TernaryLogic/refs/heads/main/Adversarial_Survivability/TL_Constitutional_Survivability_Under_Adversarial_Pressure.md" TargetMode="External"/><Relationship Id="rId494" Type="http://schemas.openxmlformats.org/officeDocument/2006/relationships/hyperlink" Target="https://raw.githubusercontent.com/FractonicMind/TernaryLogic/refs/heads/main/Adversarial_Survivability/TL_Constitutional_Survivability_Under_Adversarial_Pressure.md" TargetMode="External"/><Relationship Id="rId130" Type="http://schemas.openxmlformats.org/officeDocument/2006/relationships/hyperlink" Target="https://raw.githubusercontent.com/FractonicMind/TernaryLogic/refs/heads/main/The%20Architecture%20Of%20Assured%20Governance%20for%20Global%20Economic%20Systems.md" TargetMode="External"/><Relationship Id="rId251" Type="http://schemas.openxmlformats.org/officeDocument/2006/relationships/hyperlink" Target="https://raw.githubusercontent.com/FractonicMind/TernaryLogic/refs/heads/main/The%20Architecture%20Of%20Assured%20Governance%20for%20Global%20Economic%20Systems.md" TargetMode="External"/><Relationship Id="rId372" Type="http://schemas.openxmlformats.org/officeDocument/2006/relationships/hyperlink" Target="https://raw.githubusercontent.com/FractonicMind/TernaryLogic/refs/heads/main/Adversarial_Survivability/TL_Constitutional_Survivability_Under_Adversarial_Pressure.md" TargetMode="External"/><Relationship Id="rId493" Type="http://schemas.openxmlformats.org/officeDocument/2006/relationships/hyperlink" Target="https://raw.githubusercontent.com/FractonicMind/TernaryLogic/refs/heads/main/Adversarial_Survivability/TL_Constitutional_Survivability_Under_Adversarial_Pressure.md" TargetMode="External"/><Relationship Id="rId250" Type="http://schemas.openxmlformats.org/officeDocument/2006/relationships/hyperlink" Target="https://raw.githubusercontent.com/FractonicMind/TernaryLogic/refs/heads/main/The%20Architecture%20Of%20Assured%20Governance%20for%20Global%20Economic%20Systems.md" TargetMode="External"/><Relationship Id="rId371" Type="http://schemas.openxmlformats.org/officeDocument/2006/relationships/hyperlink" Target="https://raw.githubusercontent.com/FractonicMind/TernaryLogic/refs/heads/main/Adversarial_Survivability/TL_Constitutional_Survivability_Under_Adversarial_Pressure.md" TargetMode="External"/><Relationship Id="rId492" Type="http://schemas.openxmlformats.org/officeDocument/2006/relationships/hyperlink" Target="https://raw.githubusercontent.com/FractonicMind/TernaryLogic/refs/heads/main/Adversarial_Survivability/TL_Constitutional_Survivability_Under_Adversarial_Pressure.md" TargetMode="External"/><Relationship Id="rId136" Type="http://schemas.openxmlformats.org/officeDocument/2006/relationships/hyperlink" Target="https://raw.githubusercontent.com/FractonicMind/TernaryLogic/refs/heads/main/The%20Architecture%20Of%20Assured%20Governance%20for%20Global%20Economic%20Systems.md" TargetMode="External"/><Relationship Id="rId257"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78" Type="http://schemas.openxmlformats.org/officeDocument/2006/relationships/hyperlink" Target="https://raw.githubusercontent.com/FractonicMind/TernaryLogic/refs/heads/main/Adversarial_Survivability/TL_Constitutional_Survivability_Under_Adversarial_Pressure.md" TargetMode="External"/><Relationship Id="rId499" Type="http://schemas.openxmlformats.org/officeDocument/2006/relationships/hyperlink" Target="https://raw.githubusercontent.com/FractonicMind/TernaryLogic/refs/heads/main/Adversarial_Survivability/TL_Constitutional_Survivability_Under_Adversarial_Pressure.md" TargetMode="External"/><Relationship Id="rId135"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56" Type="http://schemas.openxmlformats.org/officeDocument/2006/relationships/hyperlink" Target="https://raw.githubusercontent.com/FractonicMind/TernaryLogic/refs/heads/main/API/Specification_Architecture.md" TargetMode="External"/><Relationship Id="rId377" Type="http://schemas.openxmlformats.org/officeDocument/2006/relationships/hyperlink" Target="https://raw.githubusercontent.com/FractonicMind/TernaryLogic/refs/heads/main/Adversarial_Survivability/TL_Constitutional_Survivability_Under_Adversarial_Pressure.md" TargetMode="External"/><Relationship Id="rId498" Type="http://schemas.openxmlformats.org/officeDocument/2006/relationships/hyperlink" Target="https://raw.githubusercontent.com/FractonicMind/TernaryLogic/refs/heads/main/Adversarial_Survivability/TL_Constitutional_Survivability_Under_Adversarial_Pressure.md" TargetMode="External"/><Relationship Id="rId134" Type="http://schemas.openxmlformats.org/officeDocument/2006/relationships/hyperlink" Target="https://raw.githubusercontent.com/FractonicMind/TernaryLogic/refs/heads/main/The%20Architecture%20Of%20Assured%20Governance%20for%20Global%20Economic%20Systems.md" TargetMode="External"/><Relationship Id="rId255" Type="http://schemas.openxmlformats.org/officeDocument/2006/relationships/hyperlink" Target="https://raw.githubusercontent.com/FractonicMind/TernaryLogic/refs/heads/main/The%20Architecture%20Of%20Assured%20Governance%20for%20Global%20Economic%20Systems.md" TargetMode="External"/><Relationship Id="rId376" Type="http://schemas.openxmlformats.org/officeDocument/2006/relationships/hyperlink" Target="https://raw.githubusercontent.com/FractonicMind/TernaryLogic/refs/heads/main/Adversarial_Survivability/TL_Constitutional_Survivability_Under_Adversarial_Pressure.md" TargetMode="External"/><Relationship Id="rId497" Type="http://schemas.openxmlformats.org/officeDocument/2006/relationships/hyperlink" Target="https://raw.githubusercontent.com/FractonicMind/TernaryLogic/refs/heads/main/Adversarial_Survivability/TL_Constitutional_Survivability_Under_Adversarial_Pressure.md" TargetMode="External"/><Relationship Id="rId133" Type="http://schemas.openxmlformats.org/officeDocument/2006/relationships/hyperlink" Target="https://raw.githubusercontent.com/FractonicMind/TernaryLogic/refs/heads/main/The%20Architecture%20Of%20Assured%20Governance%20for%20Global%20Economic%20Systems.md" TargetMode="External"/><Relationship Id="rId254" Type="http://schemas.openxmlformats.org/officeDocument/2006/relationships/hyperlink" Target="https://raw.githubusercontent.com/FractonicMind/TernaryLogic/refs/heads/main/API/Specification_Architecture.md" TargetMode="External"/><Relationship Id="rId375" Type="http://schemas.openxmlformats.org/officeDocument/2006/relationships/hyperlink" Target="https://raw.githubusercontent.com/FractonicMind/TernaryLogic/refs/heads/main/Adversarial_Survivability/TL_Constitutional_Survivability_Under_Adversarial_Pressure.md" TargetMode="External"/><Relationship Id="rId496" Type="http://schemas.openxmlformats.org/officeDocument/2006/relationships/hyperlink" Target="https://raw.githubusercontent.com/FractonicMind/TernaryLogic/refs/heads/main/Adversarial_Survivability/TL_Constitutional_Survivability_Under_Adversarial_Pressure.md" TargetMode="External"/><Relationship Id="rId172" Type="http://schemas.openxmlformats.org/officeDocument/2006/relationships/hyperlink" Target="https://raw.githubusercontent.com/FractonicMind/TernaryLogic/refs/heads/main/API/Specification_Architecture.md" TargetMode="External"/><Relationship Id="rId293"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71" Type="http://schemas.openxmlformats.org/officeDocument/2006/relationships/hyperlink" Target="https://raw.githubusercontent.com/FractonicMind/TernaryLogic/refs/heads/main/API/Specification_Architecture.md" TargetMode="External"/><Relationship Id="rId292"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70" Type="http://schemas.openxmlformats.org/officeDocument/2006/relationships/hyperlink" Target="https://raw.githubusercontent.com/FractonicMind/TernaryLogic/refs/heads/main/The%20Architecture%20Of%20Assured%20Governance%20for%20Global%20Economic%20Systems.md" TargetMode="External"/><Relationship Id="rId291" Type="http://schemas.openxmlformats.org/officeDocument/2006/relationships/hyperlink" Target="https://raw.githubusercontent.com/FractonicMind/TernaryLogic/refs/heads/main/API/Specification_Architecture.md" TargetMode="External"/><Relationship Id="rId290" Type="http://schemas.openxmlformats.org/officeDocument/2006/relationships/hyperlink" Target="https://raw.githubusercontent.com/FractonicMind/TernaryLogic/refs/heads/main/API/Specification_Architecture.md" TargetMode="External"/><Relationship Id="rId165"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86"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64" Type="http://schemas.openxmlformats.org/officeDocument/2006/relationships/hyperlink" Target="https://raw.githubusercontent.com/FractonicMind/TernaryLogic/refs/heads/main/API/Specification_Architecture.md" TargetMode="External"/><Relationship Id="rId285" Type="http://schemas.openxmlformats.org/officeDocument/2006/relationships/hyperlink" Target="https://raw.githubusercontent.com/FractonicMind/TernaryLogic/refs/heads/main/API/Specification_Architecture.md" TargetMode="External"/><Relationship Id="rId163" Type="http://schemas.openxmlformats.org/officeDocument/2006/relationships/hyperlink" Target="https://raw.githubusercontent.com/FractonicMind/TernaryLogic/refs/heads/main/The%20Architecture%20Of%20Assured%20Governance%20for%20Global%20Economic%20Systems.md" TargetMode="External"/><Relationship Id="rId284" Type="http://schemas.openxmlformats.org/officeDocument/2006/relationships/hyperlink" Target="https://raw.githubusercontent.com/FractonicMind/TernaryLogic/refs/heads/main/API/Specification_Architecture.md" TargetMode="External"/><Relationship Id="rId162" Type="http://schemas.openxmlformats.org/officeDocument/2006/relationships/hyperlink" Target="https://raw.githubusercontent.com/FractonicMind/TernaryLogic/refs/heads/main/The%20Architecture%20Of%20Assured%20Governance%20for%20Global%20Economic%20Systems.md" TargetMode="External"/><Relationship Id="rId283" Type="http://schemas.openxmlformats.org/officeDocument/2006/relationships/hyperlink" Target="https://raw.githubusercontent.com/FractonicMind/TernaryLogic/refs/heads/main/API/Specification_Architecture.md" TargetMode="External"/><Relationship Id="rId169" Type="http://schemas.openxmlformats.org/officeDocument/2006/relationships/hyperlink" Target="https://raw.githubusercontent.com/FractonicMind/TernaryLogic/refs/heads/main/MT_Hardware/MT_System_Architecture_and_Economics.md" TargetMode="External"/><Relationship Id="rId168" Type="http://schemas.openxmlformats.org/officeDocument/2006/relationships/hyperlink" Target="https://raw.githubusercontent.com/FractonicMind/TernaryLogic/refs/heads/main/The%20Architecture%20Of%20Assured%20Governance%20for%20Global%20Economic%20Systems.md" TargetMode="External"/><Relationship Id="rId289" Type="http://schemas.openxmlformats.org/officeDocument/2006/relationships/hyperlink" Target="https://raw.githubusercontent.com/FractonicMind/TernaryLogic/refs/heads/main/API/Specification_Architecture.md" TargetMode="External"/><Relationship Id="rId167" Type="http://schemas.openxmlformats.org/officeDocument/2006/relationships/hyperlink" Target="https://raw.githubusercontent.com/FractonicMind/TernaryLogic/refs/heads/main/API/Specification_Architecture.md" TargetMode="External"/><Relationship Id="rId288" Type="http://schemas.openxmlformats.org/officeDocument/2006/relationships/hyperlink" Target="https://raw.githubusercontent.com/FractonicMind/TernaryLogic/refs/heads/main/API/Specification_Architecture.md" TargetMode="External"/><Relationship Id="rId166" Type="http://schemas.openxmlformats.org/officeDocument/2006/relationships/hyperlink" Target="https://raw.githubusercontent.com/FractonicMind/TernaryLogic/refs/heads/main/The%20Architecture%20Of%20Assured%20Governance%20for%20Global%20Economic%20Systems.md" TargetMode="External"/><Relationship Id="rId287" Type="http://schemas.openxmlformats.org/officeDocument/2006/relationships/hyperlink" Target="https://raw.githubusercontent.com/FractonicMind/TernaryLogic/refs/heads/main/API/Specification_Architecture.md" TargetMode="External"/><Relationship Id="rId161" Type="http://schemas.openxmlformats.org/officeDocument/2006/relationships/hyperlink" Target="https://raw.githubusercontent.com/FractonicMind/TernaryLogic/refs/heads/main/The%20Architecture%20Of%20Assured%20Governance%20for%20Global%20Economic%20Systems.md" TargetMode="External"/><Relationship Id="rId282" Type="http://schemas.openxmlformats.org/officeDocument/2006/relationships/hyperlink" Target="https://raw.githubusercontent.com/FractonicMind/TernaryLogic/refs/heads/main/API/Specification_Architecture.md" TargetMode="External"/><Relationship Id="rId160"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81" Type="http://schemas.openxmlformats.org/officeDocument/2006/relationships/hyperlink" Target="https://raw.githubusercontent.com/FractonicMind/TernaryLogic/refs/heads/main/MT_Hardware/MT_System_Architecture_and_Economics.md" TargetMode="External"/><Relationship Id="rId280"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59" Type="http://schemas.openxmlformats.org/officeDocument/2006/relationships/hyperlink" Target="https://raw.githubusercontent.com/FractonicMind/TernaryLogic/refs/heads/main/The%20Architecture%20Of%20Assured%20Governance%20for%20Global%20Economic%20Systems.md" TargetMode="External"/><Relationship Id="rId154" Type="http://schemas.openxmlformats.org/officeDocument/2006/relationships/hyperlink" Target="https://raw.githubusercontent.com/FractonicMind/TernaryLogic/refs/heads/main/The%20Architecture%20Of%20Assured%20Governance%20for%20Global%20Economic%20Systems.md" TargetMode="External"/><Relationship Id="rId275" Type="http://schemas.openxmlformats.org/officeDocument/2006/relationships/hyperlink" Target="https://raw.githubusercontent.com/FractonicMind/TernaryLogic/refs/heads/main/API/Specification_Architecture.md" TargetMode="External"/><Relationship Id="rId396" Type="http://schemas.openxmlformats.org/officeDocument/2006/relationships/hyperlink" Target="https://raw.githubusercontent.com/FractonicMind/TernaryLogic/refs/heads/main/The%20Architecture%20Of%20Assured%20Governance%20for%20Global%20Economic%20Systems.md" TargetMode="External"/><Relationship Id="rId153" Type="http://schemas.openxmlformats.org/officeDocument/2006/relationships/hyperlink" Target="https://raw.githubusercontent.com/FractonicMind/TernaryLogic/refs/heads/main/The%20Architecture%20Of%20Assured%20Governance%20for%20Global%20Economic%20Systems.md" TargetMode="External"/><Relationship Id="rId274" Type="http://schemas.openxmlformats.org/officeDocument/2006/relationships/hyperlink" Target="https://raw.githubusercontent.com/FractonicMind/TernaryLogic/refs/heads/main/API/Specification_Architecture.md" TargetMode="External"/><Relationship Id="rId395"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52" Type="http://schemas.openxmlformats.org/officeDocument/2006/relationships/hyperlink" Target="https://raw.githubusercontent.com/FractonicMind/TernaryLogic/refs/heads/main/The%20Architecture%20Of%20Assured%20Governance%20for%20Global%20Economic%20Systems.md" TargetMode="External"/><Relationship Id="rId273"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394" Type="http://schemas.openxmlformats.org/officeDocument/2006/relationships/hyperlink" Target="https://raw.githubusercontent.com/FractonicMind/TernaryLogic/refs/heads/main/Adversarial_Survivability/TL_Constitutional_Survivability_Under_Adversarial_Pressure.md" TargetMode="External"/><Relationship Id="rId151" Type="http://schemas.openxmlformats.org/officeDocument/2006/relationships/hyperlink" Target="https://raw.githubusercontent.com/FractonicMind/TernaryLogic/refs/heads/main/The%20Architecture%20Of%20Assured%20Governance%20for%20Global%20Economic%20Systems.md" TargetMode="External"/><Relationship Id="rId272"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393" Type="http://schemas.openxmlformats.org/officeDocument/2006/relationships/hyperlink" Target="https://raw.githubusercontent.com/FractonicMind/TernaryLogic/refs/heads/main/MT_Hardware/MT_System_Architecture_and_Economics.md" TargetMode="External"/><Relationship Id="rId158" Type="http://schemas.openxmlformats.org/officeDocument/2006/relationships/hyperlink" Target="https://raw.githubusercontent.com/FractonicMind/TernaryLogic/refs/heads/main/The%20Architecture%20Of%20Assured%20Governance%20for%20Global%20Economic%20Systems.md" TargetMode="External"/><Relationship Id="rId279"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57" Type="http://schemas.openxmlformats.org/officeDocument/2006/relationships/hyperlink" Target="https://raw.githubusercontent.com/FractonicMind/TernaryLogic/refs/heads/main/The%20Architecture%20Of%20Assured%20Governance%20for%20Global%20Economic%20Systems.md" TargetMode="External"/><Relationship Id="rId278" Type="http://schemas.openxmlformats.org/officeDocument/2006/relationships/hyperlink" Target="https://raw.githubusercontent.com/FractonicMind/TernaryLogic/refs/heads/main/API/Specification_Architecture.md" TargetMode="External"/><Relationship Id="rId399" Type="http://schemas.openxmlformats.org/officeDocument/2006/relationships/hyperlink" Target="https://raw.githubusercontent.com/FractonicMind/TernaryLogic/refs/heads/main/Adversarial_Survivability/TL_Constitutional_Survivability_Under_Adversarial_Pressure.md" TargetMode="External"/><Relationship Id="rId156" Type="http://schemas.openxmlformats.org/officeDocument/2006/relationships/hyperlink" Target="https://raw.githubusercontent.com/FractonicMind/TernaryLogic/refs/heads/main/The%20Architecture%20Of%20Assured%20Governance%20for%20Global%20Economic%20Systems.md" TargetMode="External"/><Relationship Id="rId277" Type="http://schemas.openxmlformats.org/officeDocument/2006/relationships/hyperlink" Target="https://raw.githubusercontent.com/FractonicMind/TernaryLogic/refs/heads/main/API/Specification_Architecture.md" TargetMode="External"/><Relationship Id="rId398" Type="http://schemas.openxmlformats.org/officeDocument/2006/relationships/hyperlink" Target="https://raw.githubusercontent.com/FractonicMind/TernaryLogic/refs/heads/main/MT_Hardware/MT_System_Architecture_and_Economics.md" TargetMode="External"/><Relationship Id="rId155" Type="http://schemas.openxmlformats.org/officeDocument/2006/relationships/hyperlink" Target="https://raw.githubusercontent.com/FractonicMind/TernaryLogic/refs/heads/main/The%20Architecture%20Of%20Assured%20Governance%20for%20Global%20Economic%20Systems.md" TargetMode="External"/><Relationship Id="rId276" Type="http://schemas.openxmlformats.org/officeDocument/2006/relationships/hyperlink" Target="https://raw.githubusercontent.com/FractonicMind/TernaryLogic/refs/heads/main/API/Specification_Architecture.md" TargetMode="External"/><Relationship Id="rId397" Type="http://schemas.openxmlformats.org/officeDocument/2006/relationships/hyperlink" Target="https://raw.githubusercontent.com/FractonicMind/TernaryLogic/refs/heads/main/API/Specification_Architecture.md" TargetMode="External"/><Relationship Id="rId40" Type="http://schemas.openxmlformats.org/officeDocument/2006/relationships/hyperlink" Target="https://raw.githubusercontent.com/FractonicMind/TernaryLogic/refs/heads/main/API/Specification_Architecture.md" TargetMode="External"/><Relationship Id="rId42" Type="http://schemas.openxmlformats.org/officeDocument/2006/relationships/hyperlink" Target="https://raw.githubusercontent.com/FractonicMind/TernaryLogic/refs/heads/main/MT_Hardware/MT_System_Architecture_and_Economics.md" TargetMode="External"/><Relationship Id="rId41"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4" Type="http://schemas.openxmlformats.org/officeDocument/2006/relationships/hyperlink" Target="https://raw.githubusercontent.com/FractonicMind/TernaryLogic/refs/heads/main/API/Specification_Architecture.md" TargetMode="External"/><Relationship Id="rId43" Type="http://schemas.openxmlformats.org/officeDocument/2006/relationships/hyperlink" Target="https://raw.githubusercontent.com/FractonicMind/TernaryLogic/refs/heads/main/The%20Architecture%20Of%20Assured%20Governance%20for%20Global%20Economic%20Systems.md" TargetMode="External"/><Relationship Id="rId46" Type="http://schemas.openxmlformats.org/officeDocument/2006/relationships/hyperlink" Target="https://raw.githubusercontent.com/FractonicMind/TernaryLogic/refs/heads/main/API/Specification_Architecture.md" TargetMode="External"/><Relationship Id="rId45" Type="http://schemas.openxmlformats.org/officeDocument/2006/relationships/hyperlink" Target="https://raw.githubusercontent.com/FractonicMind/TernaryLogic/refs/heads/main/The%20Architecture%20Of%20Assured%20Governance%20for%20Global%20Economic%20Systems.md" TargetMode="External"/><Relationship Id="rId509" Type="http://schemas.openxmlformats.org/officeDocument/2006/relationships/hyperlink" Target="https://raw.githubusercontent.com/FractonicMind/TernaryLogic/refs/heads/main/Adversarial_Survivability/TL_Constitutional_Survivability_Under_Adversarial_Pressure.md" TargetMode="External"/><Relationship Id="rId508" Type="http://schemas.openxmlformats.org/officeDocument/2006/relationships/hyperlink" Target="https://raw.githubusercontent.com/FractonicMind/TernaryLogic/refs/heads/main/Adversarial_Survivability/TL_Constitutional_Survivability_Under_Adversarial_Pressure.md" TargetMode="External"/><Relationship Id="rId629" Type="http://schemas.openxmlformats.org/officeDocument/2006/relationships/hyperlink" Target="https://raw.githubusercontent.com/FractonicMind/TernaryLogic/refs/heads/main/Adversarial_Survivability/TL_Constitutional_Survivability_Under_Adversarial_Pressure.md" TargetMode="External"/><Relationship Id="rId503" Type="http://schemas.openxmlformats.org/officeDocument/2006/relationships/hyperlink" Target="https://raw.githubusercontent.com/FractonicMind/TernaryLogic/refs/heads/main/Adversarial_Survivability/TL_Constitutional_Survivability_Under_Adversarial_Pressure.md" TargetMode="External"/><Relationship Id="rId624" Type="http://schemas.openxmlformats.org/officeDocument/2006/relationships/hyperlink" Target="https://raw.githubusercontent.com/FractonicMind/TernaryLogic/refs/heads/main/Adversarial_Survivability/TL_Constitutional_Survivability_Under_Adversarial_Pressure.md" TargetMode="External"/><Relationship Id="rId502" Type="http://schemas.openxmlformats.org/officeDocument/2006/relationships/hyperlink" Target="https://raw.githubusercontent.com/FractonicMind/TernaryLogic/refs/heads/main/Adversarial_Survivability/TL_Constitutional_Survivability_Under_Adversarial_Pressure.md" TargetMode="External"/><Relationship Id="rId623" Type="http://schemas.openxmlformats.org/officeDocument/2006/relationships/hyperlink" Target="https://raw.githubusercontent.com/FractonicMind/TernaryLogic/refs/heads/main/API/Specification_Architecture.md" TargetMode="External"/><Relationship Id="rId501" Type="http://schemas.openxmlformats.org/officeDocument/2006/relationships/hyperlink" Target="https://raw.githubusercontent.com/FractonicMind/TernaryLogic/refs/heads/main/Adversarial_Survivability/TL_Constitutional_Survivability_Under_Adversarial_Pressure.md" TargetMode="External"/><Relationship Id="rId622"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500" Type="http://schemas.openxmlformats.org/officeDocument/2006/relationships/hyperlink" Target="https://raw.githubusercontent.com/FractonicMind/TernaryLogic/refs/heads/main/Adversarial_Survivability/TL_Constitutional_Survivability_Under_Adversarial_Pressure.md" TargetMode="External"/><Relationship Id="rId621" Type="http://schemas.openxmlformats.org/officeDocument/2006/relationships/hyperlink" Target="https://raw.githubusercontent.com/FractonicMind/TernaryLogic/refs/heads/main/Adversarial_Survivability/TL_Constitutional_Survivability_Under_Adversarial_Pressure.md" TargetMode="External"/><Relationship Id="rId507"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28" Type="http://schemas.openxmlformats.org/officeDocument/2006/relationships/hyperlink" Target="https://raw.githubusercontent.com/FractonicMind/TernaryLogic/refs/heads/main/MT_Hardware/MT_System_Architecture_and_Economics.md" TargetMode="External"/><Relationship Id="rId506" Type="http://schemas.openxmlformats.org/officeDocument/2006/relationships/hyperlink" Target="https://raw.githubusercontent.com/FractonicMind/TernaryLogic/refs/heads/main/Adversarial_Survivability/TL_Constitutional_Survivability_Under_Adversarial_Pressure.md" TargetMode="External"/><Relationship Id="rId627" Type="http://schemas.openxmlformats.org/officeDocument/2006/relationships/hyperlink" Target="https://raw.githubusercontent.com/FractonicMind/TernaryLogic/refs/heads/main/API/Specification_Architecture.md" TargetMode="External"/><Relationship Id="rId505" Type="http://schemas.openxmlformats.org/officeDocument/2006/relationships/hyperlink" Target="https://raw.githubusercontent.com/FractonicMind/TernaryLogic/refs/heads/main/Adversarial_Survivability/TL_Constitutional_Survivability_Under_Adversarial_Pressure.md" TargetMode="External"/><Relationship Id="rId626" Type="http://schemas.openxmlformats.org/officeDocument/2006/relationships/hyperlink" Target="https://raw.githubusercontent.com/FractonicMind/TernaryLogic/refs/heads/main/Adversarial_Survivability/TL_Constitutional_Survivability_Under_Adversarial_Pressure.md" TargetMode="External"/><Relationship Id="rId504" Type="http://schemas.openxmlformats.org/officeDocument/2006/relationships/hyperlink" Target="https://raw.githubusercontent.com/FractonicMind/TernaryLogic/refs/heads/main/Adversarial_Survivability/TL_Constitutional_Survivability_Under_Adversarial_Pressure.md" TargetMode="External"/><Relationship Id="rId625" Type="http://schemas.openxmlformats.org/officeDocument/2006/relationships/hyperlink" Target="https://raw.githubusercontent.com/FractonicMind/TernaryLogic/refs/heads/main/MT_Hardware/MT_System_Architecture_and_Economics.md" TargetMode="External"/><Relationship Id="rId48" Type="http://schemas.openxmlformats.org/officeDocument/2006/relationships/hyperlink" Target="https://raw.githubusercontent.com/FractonicMind/TernaryLogic/refs/heads/main/API/Specification_Architecture.md" TargetMode="External"/><Relationship Id="rId47" Type="http://schemas.openxmlformats.org/officeDocument/2006/relationships/hyperlink" Target="https://raw.githubusercontent.com/FractonicMind/TernaryLogic/refs/heads/main/API/Specification_Architecture.md" TargetMode="External"/><Relationship Id="rId49" Type="http://schemas.openxmlformats.org/officeDocument/2006/relationships/hyperlink" Target="https://raw.githubusercontent.com/FractonicMind/TernaryLogic/refs/heads/main/API/Specification_Architecture.md" TargetMode="External"/><Relationship Id="rId620" Type="http://schemas.openxmlformats.org/officeDocument/2006/relationships/hyperlink" Target="https://raw.githubusercontent.com/FractonicMind/TernaryLogic/refs/heads/main/Adversarial_Survivability/TL_Constitutional_Survivability_Under_Adversarial_Pressure.md" TargetMode="External"/><Relationship Id="rId31" Type="http://schemas.openxmlformats.org/officeDocument/2006/relationships/hyperlink" Target="https://raw.githubusercontent.com/FractonicMind/TernaryLogic/refs/heads/main/MT_Hardware/MT_System_Architecture_and_Economics.md" TargetMode="External"/><Relationship Id="rId30" Type="http://schemas.openxmlformats.org/officeDocument/2006/relationships/hyperlink" Target="https://raw.githubusercontent.com/FractonicMind/TernaryLogic/refs/heads/main/API/Specification_Architecture.md" TargetMode="External"/><Relationship Id="rId33" Type="http://schemas.openxmlformats.org/officeDocument/2006/relationships/hyperlink" Target="https://raw.githubusercontent.com/FractonicMind/TernaryLogic/refs/heads/main/The%20Architecture%20Of%20Assured%20Governance%20for%20Global%20Economic%20Systems.md" TargetMode="External"/><Relationship Id="rId32"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5" Type="http://schemas.openxmlformats.org/officeDocument/2006/relationships/hyperlink" Target="https://raw.githubusercontent.com/FractonicMind/TernaryLogic/refs/heads/main/API/Specification_Architecture.md" TargetMode="External"/><Relationship Id="rId34" Type="http://schemas.openxmlformats.org/officeDocument/2006/relationships/hyperlink" Target="https://raw.githubusercontent.com/FractonicMind/TernaryLogic/refs/heads/main/API/Specification_Architecture.md" TargetMode="External"/><Relationship Id="rId619" Type="http://schemas.openxmlformats.org/officeDocument/2006/relationships/hyperlink" Target="https://raw.githubusercontent.com/FractonicMind/TernaryLogic/refs/heads/main/Adversarial_Survivability/TL_Constitutional_Survivability_Under_Adversarial_Pressure.md" TargetMode="External"/><Relationship Id="rId618" Type="http://schemas.openxmlformats.org/officeDocument/2006/relationships/hyperlink" Target="https://raw.githubusercontent.com/FractonicMind/TernaryLogic/refs/heads/main/Adversarial_Survivability/TL_Constitutional_Survivability_Under_Adversarial_Pressure.md" TargetMode="External"/><Relationship Id="rId613" Type="http://schemas.openxmlformats.org/officeDocument/2006/relationships/hyperlink" Target="https://raw.githubusercontent.com/FractonicMind/TernaryLogic/refs/heads/main/Adversarial_Survivability/TL_Constitutional_Survivability_Under_Adversarial_Pressure.md" TargetMode="External"/><Relationship Id="rId612"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11" Type="http://schemas.openxmlformats.org/officeDocument/2006/relationships/hyperlink" Target="https://raw.githubusercontent.com/FractonicMind/TernaryLogic/refs/heads/main/Adversarial_Survivability/TL_Constitutional_Survivability_Under_Adversarial_Pressure.md" TargetMode="External"/><Relationship Id="rId610" Type="http://schemas.openxmlformats.org/officeDocument/2006/relationships/hyperlink" Target="https://raw.githubusercontent.com/FractonicMind/TernaryLogic/refs/heads/main/Adversarial_Survivability/TL_Constitutional_Survivability_Under_Adversarial_Pressure.md" TargetMode="External"/><Relationship Id="rId617" Type="http://schemas.openxmlformats.org/officeDocument/2006/relationships/hyperlink" Target="https://raw.githubusercontent.com/FractonicMind/TernaryLogic/refs/heads/main/The%20Architecture%20Of%20Assured%20Governance%20for%20Global%20Economic%20Systems.md" TargetMode="External"/><Relationship Id="rId616"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15" Type="http://schemas.openxmlformats.org/officeDocument/2006/relationships/hyperlink" Target="https://raw.githubusercontent.com/FractonicMind/TernaryLogic/refs/heads/main/Adversarial_Survivability/TL_Constitutional_Survivability_Under_Adversarial_Pressure.md" TargetMode="External"/><Relationship Id="rId614" Type="http://schemas.openxmlformats.org/officeDocument/2006/relationships/hyperlink" Target="https://raw.githubusercontent.com/FractonicMind/TernaryLogic/refs/heads/main/Adversarial_Survivability/TL_Constitutional_Survivability_Under_Adversarial_Pressure.md" TargetMode="External"/><Relationship Id="rId37" Type="http://schemas.openxmlformats.org/officeDocument/2006/relationships/hyperlink" Target="https://raw.githubusercontent.com/FractonicMind/TernaryLogic/refs/heads/main/The%20Architecture%20Of%20Assured%20Governance%20for%20Global%20Economic%20Systems.md" TargetMode="External"/><Relationship Id="rId36" Type="http://schemas.openxmlformats.org/officeDocument/2006/relationships/hyperlink" Target="https://raw.githubusercontent.com/FractonicMind/TernaryLogic/refs/heads/main/API/Specification_Architecture.md" TargetMode="External"/><Relationship Id="rId39" Type="http://schemas.openxmlformats.org/officeDocument/2006/relationships/hyperlink" Target="https://raw.githubusercontent.com/FractonicMind/TernaryLogic/refs/heads/main/The%20Architecture%20Of%20Assured%20Governance%20for%20Global%20Economic%20Systems.md" TargetMode="External"/><Relationship Id="rId38" Type="http://schemas.openxmlformats.org/officeDocument/2006/relationships/hyperlink" Target="https://raw.githubusercontent.com/FractonicMind/TernaryLogic/refs/heads/main/API/Specification_Architecture.md" TargetMode="External"/><Relationship Id="rId20" Type="http://schemas.openxmlformats.org/officeDocument/2006/relationships/hyperlink" Target="https://raw.githubusercontent.com/FractonicMind/TernaryLogic/refs/heads/main/API/Specification_Architecture.md" TargetMode="External"/><Relationship Id="rId22" Type="http://schemas.openxmlformats.org/officeDocument/2006/relationships/hyperlink" Target="https://raw.githubusercontent.com/FractonicMind/TernaryLogic/refs/heads/main/API/Specification_Architecture.md" TargetMode="External"/><Relationship Id="rId21" Type="http://schemas.openxmlformats.org/officeDocument/2006/relationships/hyperlink" Target="https://raw.githubusercontent.com/FractonicMind/TernaryLogic/refs/heads/main/API/Specification_Architecture.md" TargetMode="External"/><Relationship Id="rId24" Type="http://schemas.openxmlformats.org/officeDocument/2006/relationships/hyperlink" Target="https://raw.githubusercontent.com/FractonicMind/TernaryLogic/refs/heads/main/The%20Architecture%20Of%20Assured%20Governance%20for%20Global%20Economic%20Systems.md" TargetMode="External"/><Relationship Id="rId23" Type="http://schemas.openxmlformats.org/officeDocument/2006/relationships/hyperlink" Target="https://raw.githubusercontent.com/FractonicMind/TernaryLogic/refs/heads/main/API/Specification_Architecture.md" TargetMode="External"/><Relationship Id="rId409" Type="http://schemas.openxmlformats.org/officeDocument/2006/relationships/hyperlink" Target="https://raw.githubusercontent.com/FractonicMind/TernaryLogic/refs/heads/main/Adversarial_Survivability/TL_Constitutional_Survivability_Under_Adversarial_Pressure.md" TargetMode="External"/><Relationship Id="rId404" Type="http://schemas.openxmlformats.org/officeDocument/2006/relationships/hyperlink" Target="https://raw.githubusercontent.com/FractonicMind/TernaryLogic/refs/heads/main/Adversarial_Survivability/TL_Constitutional_Survivability_Under_Adversarial_Pressure.md" TargetMode="External"/><Relationship Id="rId525" Type="http://schemas.openxmlformats.org/officeDocument/2006/relationships/hyperlink" Target="https://raw.githubusercontent.com/FractonicMind/TernaryLogic/refs/heads/main/Adversarial_Survivability/TL_Constitutional_Survivability_Under_Adversarial_Pressure.md" TargetMode="External"/><Relationship Id="rId646" Type="http://schemas.openxmlformats.org/officeDocument/2006/relationships/hyperlink" Target="https://raw.githubusercontent.com/FractonicMind/TernaryLogic/refs/heads/main/Adversarial_Survivability/TL_Constitutional_Survivability_Under_Adversarial_Pressure.md" TargetMode="External"/><Relationship Id="rId403" Type="http://schemas.openxmlformats.org/officeDocument/2006/relationships/hyperlink" Target="https://raw.githubusercontent.com/FractonicMind/TernaryLogic/refs/heads/main/Adversarial_Survivability/TL_Constitutional_Survivability_Under_Adversarial_Pressure.md" TargetMode="External"/><Relationship Id="rId524" Type="http://schemas.openxmlformats.org/officeDocument/2006/relationships/hyperlink" Target="https://raw.githubusercontent.com/FractonicMind/TernaryLogic/refs/heads/main/Adversarial_Survivability/TL_Constitutional_Survivability_Under_Adversarial_Pressure.md" TargetMode="External"/><Relationship Id="rId645" Type="http://schemas.openxmlformats.org/officeDocument/2006/relationships/hyperlink" Target="https://raw.githubusercontent.com/FractonicMind/TernaryLogic/refs/heads/main/Adversarial_Survivability/TL_Constitutional_Survivability_Under_Adversarial_Pressure.md" TargetMode="External"/><Relationship Id="rId402" Type="http://schemas.openxmlformats.org/officeDocument/2006/relationships/hyperlink" Target="https://raw.githubusercontent.com/FractonicMind/TernaryLogic/refs/heads/main/Adversarial_Survivability/TL_Constitutional_Survivability_Under_Adversarial_Pressure.md" TargetMode="External"/><Relationship Id="rId523"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44" Type="http://schemas.openxmlformats.org/officeDocument/2006/relationships/hyperlink" Target="https://raw.githubusercontent.com/FractonicMind/TernaryLogic/refs/heads/main/MT_Hardware/MT_System_Architecture_and_Economics.md" TargetMode="External"/><Relationship Id="rId401" Type="http://schemas.openxmlformats.org/officeDocument/2006/relationships/hyperlink" Target="https://raw.githubusercontent.com/FractonicMind/TernaryLogic/refs/heads/main/Adversarial_Survivability/TL_Constitutional_Survivability_Under_Adversarial_Pressure.md" TargetMode="External"/><Relationship Id="rId522" Type="http://schemas.openxmlformats.org/officeDocument/2006/relationships/hyperlink" Target="https://raw.githubusercontent.com/FractonicMind/TernaryLogic/refs/heads/main/Adversarial_Survivability/TL_Constitutional_Survivability_Under_Adversarial_Pressure.md" TargetMode="External"/><Relationship Id="rId643" Type="http://schemas.openxmlformats.org/officeDocument/2006/relationships/hyperlink" Target="https://raw.githubusercontent.com/FractonicMind/TernaryLogic/refs/heads/main/Adversarial_Survivability/TL_Constitutional_Survivability_Under_Adversarial_Pressure.md" TargetMode="External"/><Relationship Id="rId408" Type="http://schemas.openxmlformats.org/officeDocument/2006/relationships/hyperlink" Target="https://raw.githubusercontent.com/FractonicMind/TernaryLogic/refs/heads/main/Adversarial_Survivability/TL_Constitutional_Survivability_Under_Adversarial_Pressure.md" TargetMode="External"/><Relationship Id="rId529" Type="http://schemas.openxmlformats.org/officeDocument/2006/relationships/hyperlink" Target="https://raw.githubusercontent.com/FractonicMind/TernaryLogic/refs/heads/main/The%20Architecture%20Of%20Assured%20Governance%20for%20Global%20Economic%20Systems.md" TargetMode="External"/><Relationship Id="rId407" Type="http://schemas.openxmlformats.org/officeDocument/2006/relationships/hyperlink" Target="https://raw.githubusercontent.com/FractonicMind/TernaryLogic/refs/heads/main/Adversarial_Survivability/TL_Constitutional_Survivability_Under_Adversarial_Pressure.md" TargetMode="External"/><Relationship Id="rId528" Type="http://schemas.openxmlformats.org/officeDocument/2006/relationships/hyperlink" Target="https://raw.githubusercontent.com/FractonicMind/TernaryLogic/refs/heads/main/The%20Architecture%20Of%20Assured%20Governance%20for%20Global%20Economic%20Systems.md" TargetMode="External"/><Relationship Id="rId649" Type="http://schemas.openxmlformats.org/officeDocument/2006/relationships/hyperlink" Target="https://raw.githubusercontent.com/FractonicMind/TernaryLogic/refs/heads/main/Adversarial_Survivability/TL_Constitutional_Survivability_Under_Adversarial_Pressure.md" TargetMode="External"/><Relationship Id="rId406" Type="http://schemas.openxmlformats.org/officeDocument/2006/relationships/hyperlink" Target="https://raw.githubusercontent.com/FractonicMind/TernaryLogic/refs/heads/main/Adversarial_Survivability/TL_Constitutional_Survivability_Under_Adversarial_Pressure.md" TargetMode="External"/><Relationship Id="rId527" Type="http://schemas.openxmlformats.org/officeDocument/2006/relationships/hyperlink" Target="https://raw.githubusercontent.com/FractonicMind/TernaryLogic/refs/heads/main/The%20Architecture%20Of%20Assured%20Governance%20for%20Global%20Economic%20Systems.md" TargetMode="External"/><Relationship Id="rId648" Type="http://schemas.openxmlformats.org/officeDocument/2006/relationships/hyperlink" Target="https://raw.githubusercontent.com/FractonicMind/TernaryLogic/refs/heads/main/API/Specification_Architecture.md" TargetMode="External"/><Relationship Id="rId405" Type="http://schemas.openxmlformats.org/officeDocument/2006/relationships/hyperlink" Target="https://raw.githubusercontent.com/FractonicMind/TernaryLogic/refs/heads/main/Adversarial_Survivability/TL_Constitutional_Survivability_Under_Adversarial_Pressure.md" TargetMode="External"/><Relationship Id="rId526" Type="http://schemas.openxmlformats.org/officeDocument/2006/relationships/hyperlink" Target="https://raw.githubusercontent.com/FractonicMind/TernaryLogic/refs/heads/main/The%20Architecture%20Of%20Assured%20Governance%20for%20Global%20Economic%20Systems.md" TargetMode="External"/><Relationship Id="rId647" Type="http://schemas.openxmlformats.org/officeDocument/2006/relationships/hyperlink" Target="https://raw.githubusercontent.com/FractonicMind/TernaryLogic/refs/heads/main/Governance/Governance_Complete.md" TargetMode="External"/><Relationship Id="rId26" Type="http://schemas.openxmlformats.org/officeDocument/2006/relationships/hyperlink" Target="https://raw.githubusercontent.com/FractonicMind/TernaryLogic/refs/heads/main/The%20Architecture%20Of%20Assured%20Governance%20for%20Global%20Economic%20Systems.md" TargetMode="External"/><Relationship Id="rId25"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8" Type="http://schemas.openxmlformats.org/officeDocument/2006/relationships/hyperlink" Target="https://raw.githubusercontent.com/FractonicMind/TernaryLogic/refs/heads/main/The%20Architecture%20Of%20Assured%20Governance%20for%20Global%20Economic%20Systems.md" TargetMode="External"/><Relationship Id="rId27" Type="http://schemas.openxmlformats.org/officeDocument/2006/relationships/hyperlink" Target="https://raw.githubusercontent.com/FractonicMind/TernaryLogic/refs/heads/main/API/Specification_Architecture.md" TargetMode="External"/><Relationship Id="rId400" Type="http://schemas.openxmlformats.org/officeDocument/2006/relationships/hyperlink" Target="https://raw.githubusercontent.com/FractonicMind/TernaryLogic/refs/heads/main/Adversarial_Survivability/TL_Constitutional_Survivability_Under_Adversarial_Pressure.md" TargetMode="External"/><Relationship Id="rId521" Type="http://schemas.openxmlformats.org/officeDocument/2006/relationships/hyperlink" Target="https://raw.githubusercontent.com/FractonicMind/TernaryLogic/refs/heads/main/Adversarial_Survivability/TL_Constitutional_Survivability_Under_Adversarial_Pressure.md" TargetMode="External"/><Relationship Id="rId642" Type="http://schemas.openxmlformats.org/officeDocument/2006/relationships/hyperlink" Target="https://raw.githubusercontent.com/FractonicMind/TernaryLogic/refs/heads/main/Adversarial_Survivability/TL_Constitutional_Survivability_Under_Adversarial_Pressure.md" TargetMode="External"/><Relationship Id="rId29" Type="http://schemas.openxmlformats.org/officeDocument/2006/relationships/hyperlink" Target="https://raw.githubusercontent.com/FractonicMind/TernaryLogic/refs/heads/main/API/Specification_Architecture.md" TargetMode="External"/><Relationship Id="rId520" Type="http://schemas.openxmlformats.org/officeDocument/2006/relationships/hyperlink" Target="https://raw.githubusercontent.com/FractonicMind/TernaryLogic/refs/heads/main/Adversarial_Survivability/TL_Constitutional_Survivability_Under_Adversarial_Pressure.md" TargetMode="External"/><Relationship Id="rId641" Type="http://schemas.openxmlformats.org/officeDocument/2006/relationships/hyperlink" Target="https://raw.githubusercontent.com/FractonicMind/TernaryLogic/refs/heads/main/API/Specification_Architecture.md" TargetMode="External"/><Relationship Id="rId640" Type="http://schemas.openxmlformats.org/officeDocument/2006/relationships/hyperlink" Target="https://raw.githubusercontent.com/FractonicMind/TernaryLogic/refs/heads/main/Adversarial_Survivability/TL_Constitutional_Survivability_Under_Adversarial_Pressure.md" TargetMode="External"/><Relationship Id="rId11" Type="http://schemas.openxmlformats.org/officeDocument/2006/relationships/hyperlink" Target="https://raw.githubusercontent.com/FractonicMind/TernaryLogic/refs/heads/main/The%20Architecture%20Of%20Assured%20Governance%20for%20Global%20Economic%20Systems.md" TargetMode="External"/><Relationship Id="rId10" Type="http://schemas.openxmlformats.org/officeDocument/2006/relationships/hyperlink" Target="https://doi.org/10.5281/zenodo.17860332" TargetMode="External"/><Relationship Id="rId13" Type="http://schemas.openxmlformats.org/officeDocument/2006/relationships/hyperlink" Target="https://raw.githubusercontent.com/FractonicMind/TernaryLogic/refs/heads/main/API/Specification_Architecture.md" TargetMode="External"/><Relationship Id="rId12" Type="http://schemas.openxmlformats.org/officeDocument/2006/relationships/hyperlink" Target="https://raw.githubusercontent.com/FractonicMind/TernaryLogic/refs/heads/main/API/Specification_Architecture.md" TargetMode="External"/><Relationship Id="rId519" Type="http://schemas.openxmlformats.org/officeDocument/2006/relationships/hyperlink" Target="https://raw.githubusercontent.com/FractonicMind/TernaryLogic/refs/heads/main/Adversarial_Survivability/TL_Constitutional_Survivability_Under_Adversarial_Pressure.md" TargetMode="External"/><Relationship Id="rId514"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35" Type="http://schemas.openxmlformats.org/officeDocument/2006/relationships/hyperlink" Target="https://raw.githubusercontent.com/FractonicMind/TernaryLogic/refs/heads/main/Governance/Governance_Complete.md" TargetMode="External"/><Relationship Id="rId513" Type="http://schemas.openxmlformats.org/officeDocument/2006/relationships/hyperlink" Target="https://raw.githubusercontent.com/FractonicMind/TernaryLogic/refs/heads/main/Adversarial_Survivability/TL_Constitutional_Survivability_Under_Adversarial_Pressure.md" TargetMode="External"/><Relationship Id="rId634" Type="http://schemas.openxmlformats.org/officeDocument/2006/relationships/hyperlink" Target="https://raw.githubusercontent.com/FractonicMind/TernaryLogic/refs/heads/main/API/Specification_Architecture.md" TargetMode="External"/><Relationship Id="rId512" Type="http://schemas.openxmlformats.org/officeDocument/2006/relationships/hyperlink" Target="https://raw.githubusercontent.com/FractonicMind/TernaryLogic/refs/heads/main/Adversarial_Survivability/TL_Constitutional_Survivability_Under_Adversarial_Pressure.md" TargetMode="External"/><Relationship Id="rId633" Type="http://schemas.openxmlformats.org/officeDocument/2006/relationships/hyperlink" Target="https://raw.githubusercontent.com/FractonicMind/TernaryLogic/refs/heads/main/MT_Hardware/MT_System_Architecture_and_Economics.md" TargetMode="External"/><Relationship Id="rId511"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32" Type="http://schemas.openxmlformats.org/officeDocument/2006/relationships/hyperlink" Target="https://raw.githubusercontent.com/FractonicMind/TernaryLogic/refs/heads/main/Governance/Governance_Complete.md" TargetMode="External"/><Relationship Id="rId518"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39" Type="http://schemas.openxmlformats.org/officeDocument/2006/relationships/hyperlink" Target="https://raw.githubusercontent.com/FractonicMind/TernaryLogic/refs/heads/main/Adversarial_Survivability/TL_Constitutional_Survivability_Under_Adversarial_Pressure.md" TargetMode="External"/><Relationship Id="rId517" Type="http://schemas.openxmlformats.org/officeDocument/2006/relationships/hyperlink" Target="https://raw.githubusercontent.com/FractonicMind/TernaryLogic/refs/heads/main/Adversarial_Survivability/TL_Constitutional_Survivability_Under_Adversarial_Pressure.md" TargetMode="External"/><Relationship Id="rId638" Type="http://schemas.openxmlformats.org/officeDocument/2006/relationships/hyperlink" Target="https://raw.githubusercontent.com/FractonicMind/TernaryLogic/refs/heads/main/API/Specification_Architecture.md" TargetMode="External"/><Relationship Id="rId516"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37" Type="http://schemas.openxmlformats.org/officeDocument/2006/relationships/hyperlink" Target="https://raw.githubusercontent.com/FractonicMind/TernaryLogic/refs/heads/main/API/Specification_Architecture.md" TargetMode="External"/><Relationship Id="rId515" Type="http://schemas.openxmlformats.org/officeDocument/2006/relationships/hyperlink" Target="https://raw.githubusercontent.com/FractonicMind/TernaryLogic/refs/heads/main/Adversarial_Survivability/TL_Constitutional_Survivability_Under_Adversarial_Pressure.md" TargetMode="External"/><Relationship Id="rId636" Type="http://schemas.openxmlformats.org/officeDocument/2006/relationships/hyperlink" Target="https://raw.githubusercontent.com/FractonicMind/TernaryLogic/refs/heads/main/The%20Architecture%20Of%20Assured%20Governance%20for%20Global%20Economic%20Systems.md" TargetMode="External"/><Relationship Id="rId15" Type="http://schemas.openxmlformats.org/officeDocument/2006/relationships/hyperlink" Target="https://raw.githubusercontent.com/FractonicMind/TernaryLogic/refs/heads/main/API/Specification_Architecture.md" TargetMode="External"/><Relationship Id="rId14" Type="http://schemas.openxmlformats.org/officeDocument/2006/relationships/hyperlink" Target="https://raw.githubusercontent.com/FractonicMind/TernaryLogic/refs/heads/main/The%20Architecture%20Of%20Assured%20Governance%20for%20Global%20Economic%20Systems.md" TargetMode="External"/><Relationship Id="rId17" Type="http://schemas.openxmlformats.org/officeDocument/2006/relationships/hyperlink" Target="https://raw.githubusercontent.com/FractonicMind/TernaryLogic/refs/heads/main/AML_Prevention/Ternary%20Logic%20(TL)%20as%20an%20Anti-Money%20Laundering%20(AML)%20Enforcement%20Architecture_%20Governance-Grade%20System%20Specification.md" TargetMode="External"/><Relationship Id="rId16" Type="http://schemas.openxmlformats.org/officeDocument/2006/relationships/hyperlink" Target="https://raw.githubusercontent.com/FractonicMind/TernaryLogic/refs/heads/main/The%20Architecture%20Of%20Assured%20Governance%20for%20Global%20Economic%20Systems.md" TargetMode="External"/><Relationship Id="rId19" Type="http://schemas.openxmlformats.org/officeDocument/2006/relationships/hyperlink" Target="https://raw.githubusercontent.com/FractonicMind/TernaryLogic/refs/heads/main/The%20Architecture%20Of%20Assured%20Governance%20for%20Global%20Economic%20Systems.md" TargetMode="External"/><Relationship Id="rId510" Type="http://schemas.openxmlformats.org/officeDocument/2006/relationships/hyperlink" Target="https://raw.githubusercontent.com/FractonicMind/TernaryLogic/refs/heads/main/Adversarial_Survivability/TL_Constitutional_Survivability_Under_Adversarial_Pressure.md" TargetMode="External"/><Relationship Id="rId631" Type="http://schemas.openxmlformats.org/officeDocument/2006/relationships/hyperlink" Target="https://raw.githubusercontent.com/FractonicMind/TernaryLogic/refs/heads/main/Adversarial_Survivability/TL_Constitutional_Survivability_Under_Adversarial_Pressure.md" TargetMode="External"/><Relationship Id="rId18" Type="http://schemas.openxmlformats.org/officeDocument/2006/relationships/hyperlink" Target="https://raw.githubusercontent.com/FractonicMind/TernaryLogic/refs/heads/main/The%20Architecture%20Of%20Assured%20Governance%20for%20Global%20Economic%20Systems.md" TargetMode="External"/><Relationship Id="rId630" Type="http://schemas.openxmlformats.org/officeDocument/2006/relationships/hyperlink" Target="https://raw.githubusercontent.com/FractonicMind/TernaryLogic/refs/heads/main/Adversarial_Survivability/TL_Constitutional_Survivability_Under_Adversarial_Pressure.md" TargetMode="External"/><Relationship Id="rId84"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83" Type="http://schemas.openxmlformats.org/officeDocument/2006/relationships/hyperlink" Target="https://raw.githubusercontent.com/FractonicMind/TernaryLogic/refs/heads/main/No_Spy-No_Weapon/Universal_Scalability_of_TL_NoS-NoW_Prohibitions.md" TargetMode="External"/><Relationship Id="rId86" Type="http://schemas.openxmlformats.org/officeDocument/2006/relationships/hyperlink" Target="https://raw.githubusercontent.com/FractonicMind/TernaryLogic/refs/heads/main/No_Spy-No_Weapon/Universal_Scalability_of_TL_Under_the_NoS-NoW_Mandate.md" TargetMode="External"/><Relationship Id="rId85" Type="http://schemas.openxmlformats.org/officeDocument/2006/relationships/hyperlink" Target="https://raw.githubusercontent.com/FractonicMind/TernaryLogic/refs/heads/main/No_Spy-No_Weapon/Universal_Scalability_of_TL_NoS-NoW_Prohibitions.md" TargetMode="External"/><Relationship Id="rId88" Type="http://schemas.openxmlformats.org/officeDocument/2006/relationships/hyperlink" Target="https://raw.githubusercontent.com/FractonicMind/TernaryLogic/refs/heads/main/No_Spy-No_Weapon/Universal_Scalability_of_TL_Under_the_NoS-NoW_Mandate.md" TargetMode="External"/><Relationship Id="rId87" Type="http://schemas.openxmlformats.org/officeDocument/2006/relationships/hyperlink" Target="https://raw.githubusercontent.com/FractonicMind/TernaryLogic/refs/heads/main/No_Spy-No_Weapon/Universal_Scalability_of_TL_Under_the_NoS-NoW_Mandate.md" TargetMode="External"/><Relationship Id="rId89" Type="http://schemas.openxmlformats.org/officeDocument/2006/relationships/hyperlink" Target="https://raw.githubusercontent.com/FractonicMind/TernaryLogic/refs/heads/main/No_Spy-No_Weapon/Universal_Scalability_of_TL_Under_the_NoS-NoW_Mandate.md" TargetMode="External"/><Relationship Id="rId709" Type="http://schemas.openxmlformats.org/officeDocument/2006/relationships/hyperlink" Target="https://raw.githubusercontent.com/FractonicMind/TernaryLogic/refs/heads/main/Adversarial_Survivability/TL_Constitutional_Survivability_Under_Adversarial_Pressure.md" TargetMode="External"/><Relationship Id="rId708" Type="http://schemas.openxmlformats.org/officeDocument/2006/relationships/hyperlink" Target="https://raw.githubusercontent.com/FractonicMind/TernaryLogic/refs/heads/main/Adversarial_Survivability/TL_Constitutional_Survivability_Under_Adversarial_Pressure.md" TargetMode="External"/><Relationship Id="rId707"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706"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80" Type="http://schemas.openxmlformats.org/officeDocument/2006/relationships/hyperlink" Target="https://raw.githubusercontent.com/FractonicMind/TernaryLogic/refs/heads/main/No_Spy-No_Weapon/Universal_Scalability_of_TL_NoS-NoW_Prohibitions.md" TargetMode="External"/><Relationship Id="rId82" Type="http://schemas.openxmlformats.org/officeDocument/2006/relationships/hyperlink" Target="https://raw.githubusercontent.com/FractonicMind/TernaryLogic/refs/heads/main/No_Spy-No_Weapon/Universal_Scalability_of_TL_NoS-NoW_Prohibitions.md" TargetMode="External"/><Relationship Id="rId81" Type="http://schemas.openxmlformats.org/officeDocument/2006/relationships/hyperlink" Target="https://raw.githubusercontent.com/FractonicMind/TernaryLogic/refs/heads/main/No_Spy-No_Weapon/Universal_Scalability_of_TL_NoS-NoW_Prohibitions.md" TargetMode="External"/><Relationship Id="rId701"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700" Type="http://schemas.openxmlformats.org/officeDocument/2006/relationships/hyperlink" Target="https://raw.githubusercontent.com/FractonicMind/TernaryLogic/refs/heads/main/The%20Architecture%20Of%20Assured%20Governance%20for%20Global%20Economic%20Systems.md" TargetMode="External"/><Relationship Id="rId705" Type="http://schemas.openxmlformats.org/officeDocument/2006/relationships/hyperlink" Target="https://raw.githubusercontent.com/FractonicMind/TernaryLogic/refs/heads/main/Adversarial_Survivability/TL_Constitutional_Survivability_Under_Adversarial_Pressure.md" TargetMode="External"/><Relationship Id="rId704" Type="http://schemas.openxmlformats.org/officeDocument/2006/relationships/hyperlink" Target="https://raw.githubusercontent.com/FractonicMind/TernaryLogic/refs/heads/main/Adversarial_Survivability/TL_Constitutional_Survivability_Under_Adversarial_Pressure.md" TargetMode="External"/><Relationship Id="rId703" Type="http://schemas.openxmlformats.org/officeDocument/2006/relationships/hyperlink" Target="https://raw.githubusercontent.com/FractonicMind/TernaryLogic/refs/heads/main/API/Specification_Architecture.md" TargetMode="External"/><Relationship Id="rId702" Type="http://schemas.openxmlformats.org/officeDocument/2006/relationships/hyperlink" Target="https://raw.githubusercontent.com/FractonicMind/TernaryLogic/refs/heads/main/Adversarial_Survivability/TL_Constitutional_Survivability_Under_Adversarial_Pressure.md" TargetMode="External"/><Relationship Id="rId73" Type="http://schemas.openxmlformats.org/officeDocument/2006/relationships/hyperlink" Target="https://raw.githubusercontent.com/FractonicMind/TernaryLogic/refs/heads/main/No_Spy-No_Weapon/Universal_Scalability_of_TL_NoS-NoW_Prohibitions.md" TargetMode="External"/><Relationship Id="rId72" Type="http://schemas.openxmlformats.org/officeDocument/2006/relationships/hyperlink" Target="https://raw.githubusercontent.com/FractonicMind/TernaryLogic/refs/heads/main/No_Spy-No_Weapon/Universal_Scalability_of_TL_NoS-NoW_Prohibitions.md" TargetMode="External"/><Relationship Id="rId75" Type="http://schemas.openxmlformats.org/officeDocument/2006/relationships/hyperlink" Target="https://raw.githubusercontent.com/FractonicMind/TernaryLogic/refs/heads/main/No_Spy-No_Weapon/Universal_Scalability_of_TL_NoS-NoW_Prohibitions.md" TargetMode="External"/><Relationship Id="rId74" Type="http://schemas.openxmlformats.org/officeDocument/2006/relationships/hyperlink" Target="https://raw.githubusercontent.com/FractonicMind/TernaryLogic/refs/heads/main/No_Spy-No_Weapon/Universal_Scalability_of_TL_NoS-NoW_Prohibitions.md" TargetMode="External"/><Relationship Id="rId77" Type="http://schemas.openxmlformats.org/officeDocument/2006/relationships/hyperlink" Target="https://raw.githubusercontent.com/FractonicMind/TernaryLogic/refs/heads/main/No_Spy-No_Weapon/Universal_Scalability_of_TL_NoS-NoW_Prohibitions.md" TargetMode="External"/><Relationship Id="rId76" Type="http://schemas.openxmlformats.org/officeDocument/2006/relationships/hyperlink" Target="https://raw.githubusercontent.com/FractonicMind/TernaryLogic/refs/heads/main/No_Spy-No_Weapon/Universal_Scalability_of_TL_NoS-NoW_Prohibitions.md" TargetMode="External"/><Relationship Id="rId79" Type="http://schemas.openxmlformats.org/officeDocument/2006/relationships/hyperlink" Target="https://raw.githubusercontent.com/FractonicMind/TernaryLogic/refs/heads/main/No_Spy-No_Weapon/Universal_Scalability_of_TL_NoS-NoW_Prohibitions.md" TargetMode="External"/><Relationship Id="rId78" Type="http://schemas.openxmlformats.org/officeDocument/2006/relationships/hyperlink" Target="https://raw.githubusercontent.com/FractonicMind/TernaryLogic/refs/heads/main/No_Spy-No_Weapon/Universal_Scalability_of_TL_NoS-NoW_Prohibitions.md" TargetMode="External"/><Relationship Id="rId71" Type="http://schemas.openxmlformats.org/officeDocument/2006/relationships/hyperlink" Target="https://raw.githubusercontent.com/FractonicMind/TernaryLogic/refs/heads/main/No_Spy-No_Weapon/Universal_Scalability_of_TL_NoS-NoW_Prohibitions.md" TargetMode="External"/><Relationship Id="rId70" Type="http://schemas.openxmlformats.org/officeDocument/2006/relationships/hyperlink" Target="https://raw.githubusercontent.com/FractonicMind/TernaryLogic/refs/heads/main/No_Spy-No_Weapon/Universal_Scalability_of_TL_NoS-NoW_Prohibitions.md" TargetMode="External"/><Relationship Id="rId62" Type="http://schemas.openxmlformats.org/officeDocument/2006/relationships/hyperlink" Target="https://raw.githubusercontent.com/FractonicMind/TernaryLogic/refs/heads/main/MT_Hardware/MT_System_Architecture_and_Economics.md" TargetMode="External"/><Relationship Id="rId61" Type="http://schemas.openxmlformats.org/officeDocument/2006/relationships/hyperlink" Target="https://raw.githubusercontent.com/FractonicMind/TernaryLogic/refs/heads/main/The%20Architecture%20Of%20Assured%20Governance%20for%20Global%20Economic%20Systems.md" TargetMode="External"/><Relationship Id="rId64" Type="http://schemas.openxmlformats.org/officeDocument/2006/relationships/hyperlink" Target="https://raw.githubusercontent.com/FractonicMind/TernaryLogic/refs/heads/main/The%20Architecture%20Of%20Assured%20Governance%20for%20Global%20Economic%20Systems.md" TargetMode="External"/><Relationship Id="rId63"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6" Type="http://schemas.openxmlformats.org/officeDocument/2006/relationships/hyperlink" Target="https://raw.githubusercontent.com/FractonicMind/TernaryLogic/refs/heads/main/The%20Architecture%20Of%20Assured%20Governance%20for%20Global%20Economic%20Systems.md" TargetMode="External"/><Relationship Id="rId65" Type="http://schemas.openxmlformats.org/officeDocument/2006/relationships/hyperlink" Target="https://raw.githubusercontent.com/FractonicMind/TernaryLogic/refs/heads/main/The%20Architecture%20Of%20Assured%20Governance%20for%20Global%20Economic%20Systems.md" TargetMode="External"/><Relationship Id="rId68" Type="http://schemas.openxmlformats.org/officeDocument/2006/relationships/hyperlink" Target="https://raw.githubusercontent.com/FractonicMind/TernaryLogic/refs/heads/main/No_Spy-No_Weapon/Universal_Scalability_of_TL_NoS-NoW_Prohibitions.md" TargetMode="External"/><Relationship Id="rId67"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09" Type="http://schemas.openxmlformats.org/officeDocument/2006/relationships/hyperlink" Target="https://raw.githubusercontent.com/FractonicMind/TernaryLogic/refs/heads/main/Adversarial_Survivability/TL_Constitutional_Survivability_Under_Adversarial_Pressure.md" TargetMode="External"/><Relationship Id="rId608" Type="http://schemas.openxmlformats.org/officeDocument/2006/relationships/hyperlink" Target="https://raw.githubusercontent.com/FractonicMind/TernaryLogic/refs/heads/main/Adversarial_Survivability/TL_Constitutional_Survivability_Under_Adversarial_Pressure.md" TargetMode="External"/><Relationship Id="rId607" Type="http://schemas.openxmlformats.org/officeDocument/2006/relationships/hyperlink" Target="https://raw.githubusercontent.com/FractonicMind/TernaryLogic/refs/heads/main/Adversarial_Survivability/TL_Constitutional_Survivability_Under_Adversarial_Pressure.md" TargetMode="External"/><Relationship Id="rId60" Type="http://schemas.openxmlformats.org/officeDocument/2006/relationships/hyperlink" Target="https://raw.githubusercontent.com/FractonicMind/TernaryLogic/refs/heads/main/API/Specification_Architecture.md" TargetMode="External"/><Relationship Id="rId602" Type="http://schemas.openxmlformats.org/officeDocument/2006/relationships/hyperlink" Target="https://raw.githubusercontent.com/FractonicMind/TernaryLogic/refs/heads/main/The%20Architecture%20Of%20Assured%20Governance%20for%20Global%20Economic%20Systems.md" TargetMode="External"/><Relationship Id="rId601" Type="http://schemas.openxmlformats.org/officeDocument/2006/relationships/hyperlink" Target="https://raw.githubusercontent.com/FractonicMind/TernaryLogic/refs/heads/main/Adversarial_Survivability/TL_Constitutional_Survivability_Under_Adversarial_Pressure.md" TargetMode="External"/><Relationship Id="rId600" Type="http://schemas.openxmlformats.org/officeDocument/2006/relationships/hyperlink" Target="https://raw.githubusercontent.com/FractonicMind/TernaryLogic/refs/heads/main/Adversarial_Survivability/TL_Constitutional_Survivability_Under_Adversarial_Pressure.md" TargetMode="External"/><Relationship Id="rId720" Type="http://schemas.openxmlformats.org/officeDocument/2006/relationships/footer" Target="footer1.xml"/><Relationship Id="rId606" Type="http://schemas.openxmlformats.org/officeDocument/2006/relationships/hyperlink" Target="https://raw.githubusercontent.com/FractonicMind/TernaryLogic/refs/heads/main/Adversarial_Survivability/TL_Constitutional_Survivability_Under_Adversarial_Pressure.md" TargetMode="External"/><Relationship Id="rId605" Type="http://schemas.openxmlformats.org/officeDocument/2006/relationships/hyperlink" Target="https://raw.githubusercontent.com/FractonicMind/TernaryLogic/refs/heads/main/Adversarial_Survivability/TL_Constitutional_Survivability_Under_Adversarial_Pressure.md" TargetMode="External"/><Relationship Id="rId604" Type="http://schemas.openxmlformats.org/officeDocument/2006/relationships/hyperlink" Target="https://raw.githubusercontent.com/FractonicMind/TernaryLogic/refs/heads/main/Adversarial_Survivability/TL_Constitutional_Survivability_Under_Adversarial_Pressure.md" TargetMode="External"/><Relationship Id="rId603" Type="http://schemas.openxmlformats.org/officeDocument/2006/relationships/hyperlink" Target="https://raw.githubusercontent.com/FractonicMind/TernaryLogic/refs/heads/main/Adversarial_Survivability/TL_Constitutional_Survivability_Under_Adversarial_Pressure.md" TargetMode="External"/><Relationship Id="rId69" Type="http://schemas.openxmlformats.org/officeDocument/2006/relationships/hyperlink" Target="https://raw.githubusercontent.com/FractonicMind/TernaryLogic/refs/heads/main/No_Spy-No_Weapon/Universal_Scalability_of_TL_NoS-NoW_Prohibitions.md" TargetMode="External"/><Relationship Id="rId51"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50"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53" Type="http://schemas.openxmlformats.org/officeDocument/2006/relationships/hyperlink" Target="https://raw.githubusercontent.com/FractonicMind/TernaryLogic/refs/heads/main/The%20Architecture%20Of%20Assured%20Governance%20for%20Global%20Economic%20Systems.md" TargetMode="External"/><Relationship Id="rId52" Type="http://schemas.openxmlformats.org/officeDocument/2006/relationships/hyperlink" Target="https://raw.githubusercontent.com/FractonicMind/TernaryLogic/refs/heads/main/MT_Hardware/MT_System_Architecture_and_Economics.md" TargetMode="External"/><Relationship Id="rId55" Type="http://schemas.openxmlformats.org/officeDocument/2006/relationships/hyperlink" Target="https://raw.githubusercontent.com/FractonicMind/TernaryLogic/refs/heads/main/The%20Architecture%20Of%20Assured%20Governance%20for%20Global%20Economic%20Systems.md" TargetMode="External"/><Relationship Id="rId54" Type="http://schemas.openxmlformats.org/officeDocument/2006/relationships/hyperlink" Target="https://raw.githubusercontent.com/FractonicMind/TernaryLogic/refs/heads/main/API/Specification_Architecture.md" TargetMode="External"/><Relationship Id="rId57" Type="http://schemas.openxmlformats.org/officeDocument/2006/relationships/hyperlink" Target="https://raw.githubusercontent.com/FractonicMind/TernaryLogic/refs/heads/main/API/Specification_Architecture.md" TargetMode="External"/><Relationship Id="rId56" Type="http://schemas.openxmlformats.org/officeDocument/2006/relationships/hyperlink" Target="https://raw.githubusercontent.com/FractonicMind/TernaryLogic/refs/heads/main/API/Specification_Architecture.md" TargetMode="External"/><Relationship Id="rId719" Type="http://schemas.openxmlformats.org/officeDocument/2006/relationships/footer" Target="footer2.xml"/><Relationship Id="rId718" Type="http://schemas.openxmlformats.org/officeDocument/2006/relationships/hyperlink" Target="https://raw.githubusercontent.com/FractonicMind/TernaryLogic/refs/heads/main/Adversarial_Survivability/TL_Constitutional_Survivability_Under_Adversarial_Pressure.md" TargetMode="External"/><Relationship Id="rId717" Type="http://schemas.openxmlformats.org/officeDocument/2006/relationships/hyperlink" Target="https://raw.githubusercontent.com/FractonicMind/TernaryLogic/refs/heads/main/The%20Architecture%20Of%20Assured%20Governance%20for%20Global%20Economic%20Systems.md" TargetMode="External"/><Relationship Id="rId712" Type="http://schemas.openxmlformats.org/officeDocument/2006/relationships/hyperlink" Target="https://raw.githubusercontent.com/FractonicMind/TernaryLogic/refs/heads/main/Adversarial_Survivability/TL_Constitutional_Survivability_Under_Adversarial_Pressure.md" TargetMode="External"/><Relationship Id="rId711" Type="http://schemas.openxmlformats.org/officeDocument/2006/relationships/hyperlink" Target="https://raw.githubusercontent.com/FractonicMind/TernaryLogic/refs/heads/main/Adversarial_Survivability/TL_Constitutional_Survivability_Under_Adversarial_Pressure.md" TargetMode="External"/><Relationship Id="rId710" Type="http://schemas.openxmlformats.org/officeDocument/2006/relationships/hyperlink" Target="https://raw.githubusercontent.com/FractonicMind/TernaryLogic/refs/heads/main/Adversarial_Survivability/TL_Constitutional_Survivability_Under_Adversarial_Pressure.md" TargetMode="External"/><Relationship Id="rId716"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715" Type="http://schemas.openxmlformats.org/officeDocument/2006/relationships/hyperlink" Target="https://raw.githubusercontent.com/FractonicMind/TernaryLogic/refs/heads/main/API/Specification_Architecture.md" TargetMode="External"/><Relationship Id="rId714" Type="http://schemas.openxmlformats.org/officeDocument/2006/relationships/hyperlink" Target="https://raw.githubusercontent.com/FractonicMind/TernaryLogic/refs/heads/main/Adversarial_Survivability/TL_Constitutional_Survivability_Under_Adversarial_Pressure.md" TargetMode="External"/><Relationship Id="rId713" Type="http://schemas.openxmlformats.org/officeDocument/2006/relationships/hyperlink" Target="https://raw.githubusercontent.com/FractonicMind/TernaryLogic/refs/heads/main/Adversarial_Survivability/TL_Constitutional_Survivability_Under_Adversarial_Pressure.md" TargetMode="External"/><Relationship Id="rId59" Type="http://schemas.openxmlformats.org/officeDocument/2006/relationships/hyperlink" Target="https://raw.githubusercontent.com/FractonicMind/TernaryLogic/refs/heads/main/The%20Architecture%20Of%20Assured%20Governance%20for%20Global%20Economic%20Systems.md" TargetMode="External"/><Relationship Id="rId58" Type="http://schemas.openxmlformats.org/officeDocument/2006/relationships/hyperlink" Target="https://raw.githubusercontent.com/FractonicMind/TernaryLogic/refs/heads/main/API/Specification_Architecture.md" TargetMode="External"/><Relationship Id="rId590" Type="http://schemas.openxmlformats.org/officeDocument/2006/relationships/hyperlink" Target="https://raw.githubusercontent.com/FractonicMind/TernaryLogic/refs/heads/main/Adversarial_Survivability/TL_Constitutional_Survivability_Under_Adversarial_Pressure.md" TargetMode="External"/><Relationship Id="rId107" Type="http://schemas.openxmlformats.org/officeDocument/2006/relationships/hyperlink" Target="https://raw.githubusercontent.com/FractonicMind/TernaryLogic/refs/heads/main/The%20Architecture%20Of%20Assured%20Governance%20for%20Global%20Economic%20Systems.md" TargetMode="External"/><Relationship Id="rId228" Type="http://schemas.openxmlformats.org/officeDocument/2006/relationships/hyperlink" Target="https://raw.githubusercontent.com/FractonicMind/TernaryLogic/refs/heads/main/The%20Architecture%20Of%20Assured%20Governance%20for%20Global%20Economic%20Systems.md" TargetMode="External"/><Relationship Id="rId349" Type="http://schemas.openxmlformats.org/officeDocument/2006/relationships/hyperlink" Target="https://raw.githubusercontent.com/FractonicMind/TernaryLogic/refs/heads/main/The%20Architecture%20Of%20Assured%20Governance%20for%20Global%20Economic%20Systems.md" TargetMode="External"/><Relationship Id="rId106" Type="http://schemas.openxmlformats.org/officeDocument/2006/relationships/hyperlink" Target="https://raw.githubusercontent.com/FractonicMind/TernaryLogic/refs/heads/main/The%20Architecture%20Of%20Assured%20Governance%20for%20Global%20Economic%20Systems.md" TargetMode="External"/><Relationship Id="rId227" Type="http://schemas.openxmlformats.org/officeDocument/2006/relationships/hyperlink" Target="https://raw.githubusercontent.com/FractonicMind/TernaryLogic/refs/heads/main/The%20Architecture%20Of%20Assured%20Governance%20for%20Global%20Economic%20Systems.md" TargetMode="External"/><Relationship Id="rId348" Type="http://schemas.openxmlformats.org/officeDocument/2006/relationships/hyperlink" Target="https://raw.githubusercontent.com/FractonicMind/TernaryLogic/refs/heads/main/The%20Architecture%20Of%20Assured%20Governance%20for%20Global%20Economic%20Systems.md" TargetMode="External"/><Relationship Id="rId469" Type="http://schemas.openxmlformats.org/officeDocument/2006/relationships/hyperlink" Target="https://raw.githubusercontent.com/FractonicMind/TernaryLogic/refs/heads/main/Adversarial_Survivability/TL_Constitutional_Survivability_Under_Adversarial_Pressure.md" TargetMode="External"/><Relationship Id="rId105" Type="http://schemas.openxmlformats.org/officeDocument/2006/relationships/hyperlink" Target="https://raw.githubusercontent.com/FractonicMind/TernaryLogic/refs/heads/main/The%20Architecture%20Of%20Assured%20Governance%20for%20Global%20Economic%20Systems.md" TargetMode="External"/><Relationship Id="rId226" Type="http://schemas.openxmlformats.org/officeDocument/2006/relationships/hyperlink" Target="https://raw.githubusercontent.com/FractonicMind/TernaryLogic/refs/heads/main/API/Specification_Architecture.md" TargetMode="External"/><Relationship Id="rId347" Type="http://schemas.openxmlformats.org/officeDocument/2006/relationships/hyperlink" Target="https://raw.githubusercontent.com/FractonicMind/TernaryLogic/refs/heads/main/The%20Architecture%20Of%20Assured%20Governance%20for%20Global%20Economic%20Systems.md" TargetMode="External"/><Relationship Id="rId468" Type="http://schemas.openxmlformats.org/officeDocument/2006/relationships/hyperlink" Target="https://raw.githubusercontent.com/FractonicMind/TernaryLogic/refs/heads/main/Adversarial_Survivability/TL_Constitutional_Survivability_Under_Adversarial_Pressure.md" TargetMode="External"/><Relationship Id="rId589" Type="http://schemas.openxmlformats.org/officeDocument/2006/relationships/hyperlink" Target="https://raw.githubusercontent.com/FractonicMind/TernaryLogic/refs/heads/main/Adversarial_Survivability/TL_Constitutional_Survivability_Under_Adversarial_Pressure.md" TargetMode="External"/><Relationship Id="rId104" Type="http://schemas.openxmlformats.org/officeDocument/2006/relationships/hyperlink" Target="https://raw.githubusercontent.com/FractonicMind/TernaryLogic/refs/heads/main/The%20Architecture%20Of%20Assured%20Governance%20for%20Global%20Economic%20Systems.md" TargetMode="External"/><Relationship Id="rId225" Type="http://schemas.openxmlformats.org/officeDocument/2006/relationships/hyperlink" Target="https://raw.githubusercontent.com/FractonicMind/TernaryLogic/refs/heads/main/The%20Architecture%20Of%20Assured%20Governance%20for%20Global%20Economic%20Systems.md" TargetMode="External"/><Relationship Id="rId346" Type="http://schemas.openxmlformats.org/officeDocument/2006/relationships/hyperlink" Target="https://raw.githubusercontent.com/FractonicMind/TernaryLogic/refs/heads/main/API/Specification_Architecture.md" TargetMode="External"/><Relationship Id="rId467" Type="http://schemas.openxmlformats.org/officeDocument/2006/relationships/hyperlink" Target="https://raw.githubusercontent.com/FractonicMind/TernaryLogic/refs/heads/main/Adversarial_Survivability/TL_Constitutional_Survivability_Under_Adversarial_Pressure.md" TargetMode="External"/><Relationship Id="rId588" Type="http://schemas.openxmlformats.org/officeDocument/2006/relationships/hyperlink" Target="https://raw.githubusercontent.com/FractonicMind/TernaryLogic/refs/heads/main/Adversarial_Survivability/TL_Constitutional_Survivability_Under_Adversarial_Pressure.md" TargetMode="External"/><Relationship Id="rId109" Type="http://schemas.openxmlformats.org/officeDocument/2006/relationships/hyperlink" Target="https://raw.githubusercontent.com/FractonicMind/TernaryLogic/refs/heads/main/The%20Architecture%20Of%20Assured%20Governance%20for%20Global%20Economic%20Systems.md" TargetMode="External"/><Relationship Id="rId108" Type="http://schemas.openxmlformats.org/officeDocument/2006/relationships/hyperlink" Target="https://raw.githubusercontent.com/FractonicMind/TernaryLogic/refs/heads/main/The%20Architecture%20Of%20Assured%20Governance%20for%20Global%20Economic%20Systems.md" TargetMode="External"/><Relationship Id="rId229" Type="http://schemas.openxmlformats.org/officeDocument/2006/relationships/hyperlink" Target="https://raw.githubusercontent.com/FractonicMind/TernaryLogic/refs/heads/main/The%20Architecture%20Of%20Assured%20Governance%20for%20Global%20Economic%20Systems.md" TargetMode="External"/><Relationship Id="rId220" Type="http://schemas.openxmlformats.org/officeDocument/2006/relationships/hyperlink" Target="https://raw.githubusercontent.com/FractonicMind/TernaryLogic/refs/heads/main/API/Specification_Architecture.md" TargetMode="External"/><Relationship Id="rId341" Type="http://schemas.openxmlformats.org/officeDocument/2006/relationships/hyperlink" Target="https://raw.githubusercontent.com/FractonicMind/TernaryLogic/refs/heads/main/The%20Architecture%20Of%20Assured%20Governance%20for%20Global%20Economic%20Systems.md" TargetMode="External"/><Relationship Id="rId462" Type="http://schemas.openxmlformats.org/officeDocument/2006/relationships/hyperlink" Target="https://raw.githubusercontent.com/FractonicMind/TernaryLogic/refs/heads/main/Adversarial_Survivability/TL_Constitutional_Survivability_Under_Adversarial_Pressure.md" TargetMode="External"/><Relationship Id="rId583" Type="http://schemas.openxmlformats.org/officeDocument/2006/relationships/hyperlink" Target="https://raw.githubusercontent.com/FractonicMind/TernaryLogic/refs/heads/main/The%20Architecture%20Of%20Assured%20Governance%20for%20Global%20Economic%20Systems.md" TargetMode="External"/><Relationship Id="rId340" Type="http://schemas.openxmlformats.org/officeDocument/2006/relationships/hyperlink" Target="https://raw.githubusercontent.com/FractonicMind/TernaryLogic/refs/heads/main/API/Specification_Architecture.md" TargetMode="External"/><Relationship Id="rId461" Type="http://schemas.openxmlformats.org/officeDocument/2006/relationships/hyperlink" Target="https://raw.githubusercontent.com/FractonicMind/TernaryLogic/refs/heads/main/Adversarial_Survivability/TL_Constitutional_Survivability_Under_Adversarial_Pressure.md" TargetMode="External"/><Relationship Id="rId582" Type="http://schemas.openxmlformats.org/officeDocument/2006/relationships/hyperlink" Target="https://raw.githubusercontent.com/FractonicMind/TernaryLogic/refs/heads/main/Adversarial_Survivability/TL_Constitutional_Survivability_Under_Adversarial_Pressure.md" TargetMode="External"/><Relationship Id="rId460" Type="http://schemas.openxmlformats.org/officeDocument/2006/relationships/hyperlink" Target="https://raw.githubusercontent.com/FractonicMind/TernaryLogic/refs/heads/main/Adversarial_Survivability/TL_Constitutional_Survivability_Under_Adversarial_Pressure.md" TargetMode="External"/><Relationship Id="rId581" Type="http://schemas.openxmlformats.org/officeDocument/2006/relationships/hyperlink" Target="https://raw.githubusercontent.com/FractonicMind/TernaryLogic/refs/heads/main/Adversarial_Survivability/TL_Constitutional_Survivability_Under_Adversarial_Pressure.md" TargetMode="External"/><Relationship Id="rId580" Type="http://schemas.openxmlformats.org/officeDocument/2006/relationships/hyperlink" Target="https://raw.githubusercontent.com/FractonicMind/TernaryLogic/refs/heads/main/Adversarial_Survivability/TL_Constitutional_Survivability_Under_Adversarial_Pressure.md" TargetMode="External"/><Relationship Id="rId103" Type="http://schemas.openxmlformats.org/officeDocument/2006/relationships/hyperlink" Target="https://raw.githubusercontent.com/FractonicMind/TernaryLogic/refs/heads/main/No_Spy-No_Weapon/Universal_Scalability_of_TL_Under_the_NoS-NoW_Mandate.md" TargetMode="External"/><Relationship Id="rId224"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45"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66" Type="http://schemas.openxmlformats.org/officeDocument/2006/relationships/hyperlink" Target="https://raw.githubusercontent.com/FractonicMind/TernaryLogic/refs/heads/main/Adversarial_Survivability/TL_Constitutional_Survivability_Under_Adversarial_Pressure.md" TargetMode="External"/><Relationship Id="rId587" Type="http://schemas.openxmlformats.org/officeDocument/2006/relationships/hyperlink" Target="https://raw.githubusercontent.com/FractonicMind/TernaryLogic/refs/heads/main/Adversarial_Survivability/TL_Constitutional_Survivability_Under_Adversarial_Pressure.md" TargetMode="External"/><Relationship Id="rId102"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23"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44" Type="http://schemas.openxmlformats.org/officeDocument/2006/relationships/hyperlink" Target="https://raw.githubusercontent.com/FractonicMind/TernaryLogic/refs/heads/main/API/Specification_Architecture.md" TargetMode="External"/><Relationship Id="rId465" Type="http://schemas.openxmlformats.org/officeDocument/2006/relationships/hyperlink" Target="https://raw.githubusercontent.com/FractonicMind/TernaryLogic/refs/heads/main/Adversarial_Survivability/TL_Constitutional_Survivability_Under_Adversarial_Pressure.md" TargetMode="External"/><Relationship Id="rId586" Type="http://schemas.openxmlformats.org/officeDocument/2006/relationships/hyperlink" Target="https://raw.githubusercontent.com/FractonicMind/TernaryLogic/refs/heads/main/Adversarial_Survivability/TL_Constitutional_Survivability_Under_Adversarial_Pressure.md" TargetMode="External"/><Relationship Id="rId101" Type="http://schemas.openxmlformats.org/officeDocument/2006/relationships/hyperlink" Target="https://raw.githubusercontent.com/FractonicMind/TernaryLogic/refs/heads/main/No_Spy-No_Weapon/Universal_Scalability_of_TL_Under_the_NoS-NoW_Mandate.md" TargetMode="External"/><Relationship Id="rId222" Type="http://schemas.openxmlformats.org/officeDocument/2006/relationships/hyperlink" Target="https://raw.githubusercontent.com/FractonicMind/TernaryLogic/refs/heads/main/API/Specification_Architecture.md" TargetMode="External"/><Relationship Id="rId343" Type="http://schemas.openxmlformats.org/officeDocument/2006/relationships/hyperlink" Target="https://raw.githubusercontent.com/FractonicMind/TernaryLogic/refs/heads/main/API/Specification_Architecture.md" TargetMode="External"/><Relationship Id="rId464" Type="http://schemas.openxmlformats.org/officeDocument/2006/relationships/hyperlink" Target="https://raw.githubusercontent.com/FractonicMind/TernaryLogic/refs/heads/main/Adversarial_Survivability/TL_Constitutional_Survivability_Under_Adversarial_Pressure.md" TargetMode="External"/><Relationship Id="rId585"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00" Type="http://schemas.openxmlformats.org/officeDocument/2006/relationships/hyperlink" Target="https://raw.githubusercontent.com/FractonicMind/TernaryLogic/refs/heads/main/No_Spy-No_Weapon/Universal_Scalability_of_TL_Under_the_NoS-NoW_Mandate.md" TargetMode="External"/><Relationship Id="rId221" Type="http://schemas.openxmlformats.org/officeDocument/2006/relationships/hyperlink" Target="https://raw.githubusercontent.com/FractonicMind/TernaryLogic/refs/heads/main/The%20Architecture%20Of%20Assured%20Governance%20for%20Global%20Economic%20Systems.md" TargetMode="External"/><Relationship Id="rId342" Type="http://schemas.openxmlformats.org/officeDocument/2006/relationships/hyperlink" Target="https://raw.githubusercontent.com/FractonicMind/TernaryLogic/refs/heads/main/The%20Architecture%20Of%20Assured%20Governance%20for%20Global%20Economic%20Systems.md" TargetMode="External"/><Relationship Id="rId463" Type="http://schemas.openxmlformats.org/officeDocument/2006/relationships/hyperlink" Target="https://raw.githubusercontent.com/FractonicMind/TernaryLogic/refs/heads/main/Adversarial_Survivability/TL_Constitutional_Survivability_Under_Adversarial_Pressure.md" TargetMode="External"/><Relationship Id="rId584"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17" Type="http://schemas.openxmlformats.org/officeDocument/2006/relationships/hyperlink" Target="https://raw.githubusercontent.com/FractonicMind/TernaryLogic/refs/heads/main/The%20Architecture%20Of%20Assured%20Governance%20for%20Global%20Economic%20Systems.md" TargetMode="External"/><Relationship Id="rId338"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59" Type="http://schemas.openxmlformats.org/officeDocument/2006/relationships/hyperlink" Target="https://raw.githubusercontent.com/FractonicMind/TernaryLogic/refs/heads/main/Adversarial_Survivability/TL_Constitutional_Survivability_Under_Adversarial_Pressure.md" TargetMode="External"/><Relationship Id="rId216" Type="http://schemas.openxmlformats.org/officeDocument/2006/relationships/hyperlink" Target="https://raw.githubusercontent.com/FractonicMind/TernaryLogic/refs/heads/main/API/Specification_Architecture.md" TargetMode="External"/><Relationship Id="rId337" Type="http://schemas.openxmlformats.org/officeDocument/2006/relationships/hyperlink" Target="https://raw.githubusercontent.com/FractonicMind/TernaryLogic/refs/heads/main/API/Specification_Architecture.md" TargetMode="External"/><Relationship Id="rId458" Type="http://schemas.openxmlformats.org/officeDocument/2006/relationships/hyperlink" Target="https://raw.githubusercontent.com/FractonicMind/TernaryLogic/refs/heads/main/Adversarial_Survivability/TL_Constitutional_Survivability_Under_Adversarial_Pressure.md" TargetMode="External"/><Relationship Id="rId579"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15" Type="http://schemas.openxmlformats.org/officeDocument/2006/relationships/hyperlink" Target="https://raw.githubusercontent.com/FractonicMind/TernaryLogic/refs/heads/main/The%20Architecture%20Of%20Assured%20Governance%20for%20Global%20Economic%20Systems.md" TargetMode="External"/><Relationship Id="rId336" Type="http://schemas.openxmlformats.org/officeDocument/2006/relationships/hyperlink" Target="https://raw.githubusercontent.com/FractonicMind/TernaryLogic/refs/heads/main/MT_Hardware/MT_System_Architecture_and_Economics.md" TargetMode="External"/><Relationship Id="rId457" Type="http://schemas.openxmlformats.org/officeDocument/2006/relationships/hyperlink" Target="https://raw.githubusercontent.com/FractonicMind/TernaryLogic/refs/heads/main/Adversarial_Survivability/TL_Constitutional_Survivability_Under_Adversarial_Pressure.md" TargetMode="External"/><Relationship Id="rId578" Type="http://schemas.openxmlformats.org/officeDocument/2006/relationships/hyperlink" Target="https://raw.githubusercontent.com/FractonicMind/TernaryLogic/refs/heads/main/Adversarial_Survivability/TL_Constitutional_Survivability_Under_Adversarial_Pressure.md" TargetMode="External"/><Relationship Id="rId699" Type="http://schemas.openxmlformats.org/officeDocument/2006/relationships/hyperlink" Target="https://raw.githubusercontent.com/FractonicMind/TernaryLogic/refs/heads/main/The%20Architecture%20Of%20Assured%20Governance%20for%20Global%20Economic%20Systems.md" TargetMode="External"/><Relationship Id="rId214" Type="http://schemas.openxmlformats.org/officeDocument/2006/relationships/hyperlink" Target="https://raw.githubusercontent.com/FractonicMind/TernaryLogic/refs/heads/main/API/Specification_Architecture.md" TargetMode="External"/><Relationship Id="rId335" Type="http://schemas.openxmlformats.org/officeDocument/2006/relationships/hyperlink" Target="https://raw.githubusercontent.com/FractonicMind/TernaryLogic/refs/heads/main/MT_Hardware/MT_System_Architecture_and_Economics.md" TargetMode="External"/><Relationship Id="rId456" Type="http://schemas.openxmlformats.org/officeDocument/2006/relationships/hyperlink" Target="https://raw.githubusercontent.com/FractonicMind/TernaryLogic/refs/heads/main/Adversarial_Survivability/TL_Constitutional_Survivability_Under_Adversarial_Pressure.md" TargetMode="External"/><Relationship Id="rId577"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98" Type="http://schemas.openxmlformats.org/officeDocument/2006/relationships/hyperlink" Target="https://raw.githubusercontent.com/FractonicMind/TernaryLogic/refs/heads/main/API/Specification_Architecture.md" TargetMode="External"/><Relationship Id="rId219" Type="http://schemas.openxmlformats.org/officeDocument/2006/relationships/hyperlink" Target="https://raw.githubusercontent.com/FractonicMind/TernaryLogic/refs/heads/main/MT_Hardware/MT_System_Architecture_and_Economics.md" TargetMode="External"/><Relationship Id="rId218"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39"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30" Type="http://schemas.openxmlformats.org/officeDocument/2006/relationships/hyperlink" Target="https://raw.githubusercontent.com/FractonicMind/TernaryLogic/refs/heads/main/API/Specification_Architecture.md" TargetMode="External"/><Relationship Id="rId451" Type="http://schemas.openxmlformats.org/officeDocument/2006/relationships/hyperlink" Target="https://raw.githubusercontent.com/FractonicMind/TernaryLogic/refs/heads/main/Adversarial_Survivability/TL_Constitutional_Survivability_Under_Adversarial_Pressure.md" TargetMode="External"/><Relationship Id="rId572" Type="http://schemas.openxmlformats.org/officeDocument/2006/relationships/hyperlink" Target="https://raw.githubusercontent.com/FractonicMind/TernaryLogic/refs/heads/main/Adversarial_Survivability/TL_Constitutional_Survivability_Under_Adversarial_Pressure.md" TargetMode="External"/><Relationship Id="rId693" Type="http://schemas.openxmlformats.org/officeDocument/2006/relationships/hyperlink" Target="https://raw.githubusercontent.com/FractonicMind/TernaryLogic/refs/heads/main/API/Specification_Architecture.md" TargetMode="External"/><Relationship Id="rId450" Type="http://schemas.openxmlformats.org/officeDocument/2006/relationships/hyperlink" Target="https://raw.githubusercontent.com/FractonicMind/TernaryLogic/refs/heads/main/Adversarial_Survivability/TL_Constitutional_Survivability_Under_Adversarial_Pressure.md" TargetMode="External"/><Relationship Id="rId571" Type="http://schemas.openxmlformats.org/officeDocument/2006/relationships/hyperlink" Target="https://raw.githubusercontent.com/FractonicMind/TernaryLogic/refs/heads/main/Adversarial_Survivability/TL_Constitutional_Survivability_Under_Adversarial_Pressure.md" TargetMode="External"/><Relationship Id="rId692" Type="http://schemas.openxmlformats.org/officeDocument/2006/relationships/hyperlink" Target="https://raw.githubusercontent.com/FractonicMind/TernaryLogic/refs/heads/main/The%20Architecture%20Of%20Assured%20Governance%20for%20Global%20Economic%20Systems.md" TargetMode="External"/><Relationship Id="rId570" Type="http://schemas.openxmlformats.org/officeDocument/2006/relationships/hyperlink" Target="https://raw.githubusercontent.com/FractonicMind/TernaryLogic/refs/heads/main/Adversarial_Survivability/TL_Constitutional_Survivability_Under_Adversarial_Pressure.md" TargetMode="External"/><Relationship Id="rId691" Type="http://schemas.openxmlformats.org/officeDocument/2006/relationships/hyperlink" Target="https://raw.githubusercontent.com/FractonicMind/TernaryLogic/refs/heads/main/The%20Architecture%20Of%20Assured%20Governance%20for%20Global%20Economic%20Systems.md" TargetMode="External"/><Relationship Id="rId690" Type="http://schemas.openxmlformats.org/officeDocument/2006/relationships/hyperlink" Target="https://raw.githubusercontent.com/FractonicMind/TernaryLogic/refs/heads/main/The%20Architecture%20Of%20Assured%20Governance%20for%20Global%20Economic%20Systems.md" TargetMode="External"/><Relationship Id="rId213" Type="http://schemas.openxmlformats.org/officeDocument/2006/relationships/hyperlink" Target="https://raw.githubusercontent.com/FractonicMind/TernaryLogic/refs/heads/main/The%20Architecture%20Of%20Assured%20Governance%20for%20Global%20Economic%20Systems.md" TargetMode="External"/><Relationship Id="rId334" Type="http://schemas.openxmlformats.org/officeDocument/2006/relationships/hyperlink" Target="https://raw.githubusercontent.com/FractonicMind/TernaryLogic/refs/heads/main/The%20Architecture%20Of%20Assured%20Governance%20for%20Global%20Economic%20Systems.md" TargetMode="External"/><Relationship Id="rId455" Type="http://schemas.openxmlformats.org/officeDocument/2006/relationships/hyperlink" Target="https://raw.githubusercontent.com/FractonicMind/TernaryLogic/refs/heads/main/Adversarial_Survivability/TL_Constitutional_Survivability_Under_Adversarial_Pressure.md" TargetMode="External"/><Relationship Id="rId576" Type="http://schemas.openxmlformats.org/officeDocument/2006/relationships/hyperlink" Target="https://raw.githubusercontent.com/FractonicMind/TernaryLogic/refs/heads/main/Adversarial_Survivability/TL_Constitutional_Survivability_Under_Adversarial_Pressure.md" TargetMode="External"/><Relationship Id="rId697" Type="http://schemas.openxmlformats.org/officeDocument/2006/relationships/hyperlink" Target="https://raw.githubusercontent.com/FractonicMind/TernaryLogic/refs/heads/main/The%20Architecture%20Of%20Assured%20Governance%20for%20Global%20Economic%20Systems.md" TargetMode="External"/><Relationship Id="rId212" Type="http://schemas.openxmlformats.org/officeDocument/2006/relationships/hyperlink" Target="https://raw.githubusercontent.com/FractonicMind/TernaryLogic/refs/heads/main/The%20Architecture%20Of%20Assured%20Governance%20for%20Global%20Economic%20Systems.md" TargetMode="External"/><Relationship Id="rId333"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54" Type="http://schemas.openxmlformats.org/officeDocument/2006/relationships/hyperlink" Target="https://raw.githubusercontent.com/FractonicMind/TernaryLogic/refs/heads/main/Adversarial_Survivability/TL_Constitutional_Survivability_Under_Adversarial_Pressure.md" TargetMode="External"/><Relationship Id="rId575" Type="http://schemas.openxmlformats.org/officeDocument/2006/relationships/hyperlink" Target="https://raw.githubusercontent.com/FractonicMind/TernaryLogic/refs/heads/main/Adversarial_Survivability/TL_Constitutional_Survivability_Under_Adversarial_Pressure.md" TargetMode="External"/><Relationship Id="rId696" Type="http://schemas.openxmlformats.org/officeDocument/2006/relationships/hyperlink" Target="https://raw.githubusercontent.com/FractonicMind/TernaryLogic/refs/heads/main/The%20Architecture%20Of%20Assured%20Governance%20for%20Global%20Economic%20Systems.md" TargetMode="External"/><Relationship Id="rId211" Type="http://schemas.openxmlformats.org/officeDocument/2006/relationships/hyperlink" Target="https://raw.githubusercontent.com/FractonicMind/TernaryLogic/refs/heads/main/The%20Architecture%20Of%20Assured%20Governance%20for%20Global%20Economic%20Systems.md" TargetMode="External"/><Relationship Id="rId332" Type="http://schemas.openxmlformats.org/officeDocument/2006/relationships/hyperlink" Target="https://raw.githubusercontent.com/FractonicMind/TernaryLogic/refs/heads/main/API/Specification_Architecture.md" TargetMode="External"/><Relationship Id="rId453" Type="http://schemas.openxmlformats.org/officeDocument/2006/relationships/hyperlink" Target="https://raw.githubusercontent.com/FractonicMind/TernaryLogic/refs/heads/main/Adversarial_Survivability/TL_Constitutional_Survivability_Under_Adversarial_Pressure.md" TargetMode="External"/><Relationship Id="rId574" Type="http://schemas.openxmlformats.org/officeDocument/2006/relationships/hyperlink" Target="https://raw.githubusercontent.com/FractonicMind/TernaryLogic/refs/heads/main/Adversarial_Survivability/TL_Constitutional_Survivability_Under_Adversarial_Pressure.md" TargetMode="External"/><Relationship Id="rId695" Type="http://schemas.openxmlformats.org/officeDocument/2006/relationships/hyperlink" Target="https://raw.githubusercontent.com/FractonicMind/TernaryLogic/refs/heads/main/The%20Architecture%20Of%20Assured%20Governance%20for%20Global%20Economic%20Systems.md" TargetMode="External"/><Relationship Id="rId210" Type="http://schemas.openxmlformats.org/officeDocument/2006/relationships/hyperlink" Target="https://raw.githubusercontent.com/FractonicMind/TernaryLogic/refs/heads/main/The%20Architecture%20Of%20Assured%20Governance%20for%20Global%20Economic%20Systems.md" TargetMode="External"/><Relationship Id="rId331" Type="http://schemas.openxmlformats.org/officeDocument/2006/relationships/hyperlink" Target="https://raw.githubusercontent.com/FractonicMind/TernaryLogic/refs/heads/main/The%20Architecture%20Of%20Assured%20Governance%20for%20Global%20Economic%20Systems.md" TargetMode="External"/><Relationship Id="rId452" Type="http://schemas.openxmlformats.org/officeDocument/2006/relationships/hyperlink" Target="https://raw.githubusercontent.com/FractonicMind/TernaryLogic/refs/heads/main/Adversarial_Survivability/TL_Constitutional_Survivability_Under_Adversarial_Pressure.md" TargetMode="External"/><Relationship Id="rId573" Type="http://schemas.openxmlformats.org/officeDocument/2006/relationships/hyperlink" Target="https://raw.githubusercontent.com/FractonicMind/TernaryLogic/refs/heads/main/Adversarial_Survivability/TL_Constitutional_Survivability_Under_Adversarial_Pressure.md" TargetMode="External"/><Relationship Id="rId694" Type="http://schemas.openxmlformats.org/officeDocument/2006/relationships/hyperlink" Target="https://raw.githubusercontent.com/FractonicMind/TernaryLogic/refs/heads/main/API/Specification_Architecture.md" TargetMode="External"/><Relationship Id="rId370" Type="http://schemas.openxmlformats.org/officeDocument/2006/relationships/hyperlink" Target="https://raw.githubusercontent.com/FractonicMind/TernaryLogic/refs/heads/main/MT_Hardware/MT_System_Architecture_and_Economics.md" TargetMode="External"/><Relationship Id="rId491"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90"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29" Type="http://schemas.openxmlformats.org/officeDocument/2006/relationships/hyperlink" Target="https://raw.githubusercontent.com/FractonicMind/TernaryLogic/refs/heads/main/API/Specification_Architecture.md" TargetMode="External"/><Relationship Id="rId128" Type="http://schemas.openxmlformats.org/officeDocument/2006/relationships/hyperlink" Target="https://raw.githubusercontent.com/FractonicMind/TernaryLogic/refs/heads/main/The%20Architecture%20Of%20Assured%20Governance%20for%20Global%20Economic%20Systems.md" TargetMode="External"/><Relationship Id="rId249" Type="http://schemas.openxmlformats.org/officeDocument/2006/relationships/hyperlink" Target="https://raw.githubusercontent.com/FractonicMind/TernaryLogic/refs/heads/main/API/Specification_Architecture.md" TargetMode="External"/><Relationship Id="rId127" Type="http://schemas.openxmlformats.org/officeDocument/2006/relationships/hyperlink" Target="https://raw.githubusercontent.com/FractonicMind/TernaryLogic/refs/heads/main/The%20Architecture%20Of%20Assured%20Governance%20for%20Global%20Economic%20Systems.md" TargetMode="External"/><Relationship Id="rId248"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69" Type="http://schemas.openxmlformats.org/officeDocument/2006/relationships/hyperlink" Target="https://raw.githubusercontent.com/FractonicMind/TernaryLogic/refs/heads/main/MT_Hardware/MT_System_Architecture_and_Economics.md" TargetMode="External"/><Relationship Id="rId126" Type="http://schemas.openxmlformats.org/officeDocument/2006/relationships/hyperlink" Target="https://raw.githubusercontent.com/FractonicMind/TernaryLogic/refs/heads/main/MT_Hardware/MT_System_Architecture_and_Economics.md" TargetMode="External"/><Relationship Id="rId247" Type="http://schemas.openxmlformats.org/officeDocument/2006/relationships/hyperlink" Target="https://raw.githubusercontent.com/FractonicMind/TernaryLogic/refs/heads/main/The%20Architecture%20Of%20Assured%20Governance%20for%20Global%20Economic%20Systems.md" TargetMode="External"/><Relationship Id="rId368" Type="http://schemas.openxmlformats.org/officeDocument/2006/relationships/hyperlink" Target="https://raw.githubusercontent.com/FractonicMind/TernaryLogic/refs/heads/main/MT_Hardware/MT_System_Architecture_and_Economics.md" TargetMode="External"/><Relationship Id="rId489" Type="http://schemas.openxmlformats.org/officeDocument/2006/relationships/hyperlink" Target="https://raw.githubusercontent.com/FractonicMind/TernaryLogic/refs/heads/main/Adversarial_Survivability/TL_Constitutional_Survivability_Under_Adversarial_Pressure.md" TargetMode="External"/><Relationship Id="rId121" Type="http://schemas.openxmlformats.org/officeDocument/2006/relationships/hyperlink" Target="https://raw.githubusercontent.com/FractonicMind/TernaryLogic/refs/heads/main/The%20Architecture%20Of%20Assured%20Governance%20for%20Global%20Economic%20Systems.md" TargetMode="External"/><Relationship Id="rId242" Type="http://schemas.openxmlformats.org/officeDocument/2006/relationships/hyperlink" Target="https://raw.githubusercontent.com/FractonicMind/TernaryLogic/refs/heads/main/MT_Hardware/MT_System_Architecture_and_Economics.md" TargetMode="External"/><Relationship Id="rId363" Type="http://schemas.openxmlformats.org/officeDocument/2006/relationships/hyperlink" Target="https://raw.githubusercontent.com/FractonicMind/TernaryLogic/refs/heads/main/MT_Hardware/MT_System_Architecture_and_Economics.md" TargetMode="External"/><Relationship Id="rId484" Type="http://schemas.openxmlformats.org/officeDocument/2006/relationships/hyperlink" Target="https://raw.githubusercontent.com/FractonicMind/TernaryLogic/refs/heads/main/Adversarial_Survivability/TL_Constitutional_Survivability_Under_Adversarial_Pressure.md" TargetMode="External"/><Relationship Id="rId120" Type="http://schemas.openxmlformats.org/officeDocument/2006/relationships/hyperlink" Target="https://raw.githubusercontent.com/FractonicMind/TernaryLogic/refs/heads/main/The%20Architecture%20Of%20Assured%20Governance%20for%20Global%20Economic%20Systems.md" TargetMode="External"/><Relationship Id="rId241" Type="http://schemas.openxmlformats.org/officeDocument/2006/relationships/hyperlink" Target="https://raw.githubusercontent.com/FractonicMind/TernaryLogic/refs/heads/main/MT_Hardware/MT_System_Architecture_and_Economics.md" TargetMode="External"/><Relationship Id="rId362" Type="http://schemas.openxmlformats.org/officeDocument/2006/relationships/hyperlink" Target="https://raw.githubusercontent.com/FractonicMind/TernaryLogic/refs/heads/main/MT_Hardware/MT_System_Architecture_and_Economics.md" TargetMode="External"/><Relationship Id="rId483" Type="http://schemas.openxmlformats.org/officeDocument/2006/relationships/hyperlink" Target="https://raw.githubusercontent.com/FractonicMind/TernaryLogic/refs/heads/main/Adversarial_Survivability/TL_Constitutional_Survivability_Under_Adversarial_Pressure.md" TargetMode="External"/><Relationship Id="rId240" Type="http://schemas.openxmlformats.org/officeDocument/2006/relationships/hyperlink" Target="https://raw.githubusercontent.com/FractonicMind/TernaryLogic/refs/heads/main/The%20Architecture%20Of%20Assured%20Governance%20for%20Global%20Economic%20Systems.md" TargetMode="External"/><Relationship Id="rId361" Type="http://schemas.openxmlformats.org/officeDocument/2006/relationships/hyperlink" Target="https://raw.githubusercontent.com/FractonicMind/TernaryLogic/refs/heads/main/MT_Hardware/MT_System_Architecture_and_Economics.md" TargetMode="External"/><Relationship Id="rId482" Type="http://schemas.openxmlformats.org/officeDocument/2006/relationships/hyperlink" Target="https://raw.githubusercontent.com/FractonicMind/TernaryLogic/refs/heads/main/Adversarial_Survivability/TL_Constitutional_Survivability_Under_Adversarial_Pressure.md" TargetMode="External"/><Relationship Id="rId360" Type="http://schemas.openxmlformats.org/officeDocument/2006/relationships/hyperlink" Target="https://raw.githubusercontent.com/FractonicMind/TernaryLogic/refs/heads/main/MT_Hardware/MT_System_Architecture_and_Economics.md" TargetMode="External"/><Relationship Id="rId481" Type="http://schemas.openxmlformats.org/officeDocument/2006/relationships/hyperlink" Target="https://raw.githubusercontent.com/FractonicMind/TernaryLogic/refs/heads/main/Adversarial_Survivability/TL_Constitutional_Survivability_Under_Adversarial_Pressure.md" TargetMode="External"/><Relationship Id="rId125" Type="http://schemas.openxmlformats.org/officeDocument/2006/relationships/hyperlink" Target="https://raw.githubusercontent.com/FractonicMind/TernaryLogic/refs/heads/main/The%20Architecture%20Of%20Assured%20Governance%20for%20Global%20Economic%20Systems.md" TargetMode="External"/><Relationship Id="rId246" Type="http://schemas.openxmlformats.org/officeDocument/2006/relationships/hyperlink" Target="https://raw.githubusercontent.com/FractonicMind/TernaryLogic/refs/heads/main/The%20Architecture%20Of%20Assured%20Governance%20for%20Global%20Economic%20Systems.md" TargetMode="External"/><Relationship Id="rId367" Type="http://schemas.openxmlformats.org/officeDocument/2006/relationships/hyperlink" Target="https://raw.githubusercontent.com/FractonicMind/TernaryLogic/refs/heads/main/MT_Hardware/MT_System_Architecture_and_Economics.md" TargetMode="External"/><Relationship Id="rId488" Type="http://schemas.openxmlformats.org/officeDocument/2006/relationships/hyperlink" Target="https://raw.githubusercontent.com/FractonicMind/TernaryLogic/refs/heads/main/Adversarial_Survivability/TL_Constitutional_Survivability_Under_Adversarial_Pressure.md" TargetMode="External"/><Relationship Id="rId124" Type="http://schemas.openxmlformats.org/officeDocument/2006/relationships/hyperlink" Target="https://raw.githubusercontent.com/FractonicMind/TernaryLogic/refs/heads/main/The%20Architecture%20Of%20Assured%20Governance%20for%20Global%20Economic%20Systems.md" TargetMode="External"/><Relationship Id="rId245"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66" Type="http://schemas.openxmlformats.org/officeDocument/2006/relationships/hyperlink" Target="https://raw.githubusercontent.com/FractonicMind/TernaryLogic/refs/heads/main/MT_Hardware/MT_System_Architecture_and_Economics.md" TargetMode="External"/><Relationship Id="rId487" Type="http://schemas.openxmlformats.org/officeDocument/2006/relationships/hyperlink" Target="https://raw.githubusercontent.com/FractonicMind/TernaryLogic/refs/heads/main/Adversarial_Survivability/TL_Constitutional_Survivability_Under_Adversarial_Pressure.md" TargetMode="External"/><Relationship Id="rId123" Type="http://schemas.openxmlformats.org/officeDocument/2006/relationships/hyperlink" Target="https://raw.githubusercontent.com/FractonicMind/TernaryLogic/refs/heads/main/The%20Architecture%20Of%20Assured%20Governance%20for%20Global%20Economic%20Systems.md" TargetMode="External"/><Relationship Id="rId244"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65" Type="http://schemas.openxmlformats.org/officeDocument/2006/relationships/hyperlink" Target="https://raw.githubusercontent.com/FractonicMind/TernaryLogic/refs/heads/main/Governance/Governance_Complete.md" TargetMode="External"/><Relationship Id="rId486" Type="http://schemas.openxmlformats.org/officeDocument/2006/relationships/hyperlink" Target="https://raw.githubusercontent.com/FractonicMind/TernaryLogic/refs/heads/main/Adversarial_Survivability/TL_Constitutional_Survivability_Under_Adversarial_Pressure.md" TargetMode="External"/><Relationship Id="rId122" Type="http://schemas.openxmlformats.org/officeDocument/2006/relationships/hyperlink" Target="https://raw.githubusercontent.com/FractonicMind/TernaryLogic/refs/heads/main/The%20Architecture%20Of%20Assured%20Governance%20for%20Global%20Economic%20Systems.md" TargetMode="External"/><Relationship Id="rId243" Type="http://schemas.openxmlformats.org/officeDocument/2006/relationships/hyperlink" Target="https://raw.githubusercontent.com/FractonicMind/TernaryLogic/refs/heads/main/API/Specification_Architecture.md" TargetMode="External"/><Relationship Id="rId364" Type="http://schemas.openxmlformats.org/officeDocument/2006/relationships/hyperlink" Target="https://raw.githubusercontent.com/FractonicMind/TernaryLogic/refs/heads/main/Governance/Governance_Complete.md" TargetMode="External"/><Relationship Id="rId485" Type="http://schemas.openxmlformats.org/officeDocument/2006/relationships/hyperlink" Target="https://raw.githubusercontent.com/FractonicMind/TernaryLogic/refs/heads/main/Adversarial_Survivability/TL_Constitutional_Survivability_Under_Adversarial_Pressure.md" TargetMode="External"/><Relationship Id="rId95" Type="http://schemas.openxmlformats.org/officeDocument/2006/relationships/hyperlink" Target="https://raw.githubusercontent.com/FractonicMind/TernaryLogic/refs/heads/main/No_Spy-No_Weapon/Universal_Scalability_of_TL_Under_the_NoS-NoW_Mandate.md" TargetMode="External"/><Relationship Id="rId94" Type="http://schemas.openxmlformats.org/officeDocument/2006/relationships/hyperlink" Target="https://raw.githubusercontent.com/FractonicMind/TernaryLogic/refs/heads/main/Adversarial_Survivability/TL_Constitutional_Survivability_Under_Adversarial_Pressure.md" TargetMode="External"/><Relationship Id="rId97" Type="http://schemas.openxmlformats.org/officeDocument/2006/relationships/hyperlink" Target="https://raw.githubusercontent.com/FractonicMind/TernaryLogic/refs/heads/main/No_Spy-No_Weapon/Universal_Scalability_of_TL_Under_the_NoS-NoW_Mandate.md" TargetMode="External"/><Relationship Id="rId96" Type="http://schemas.openxmlformats.org/officeDocument/2006/relationships/hyperlink" Target="https://raw.githubusercontent.com/FractonicMind/TernaryLogic/refs/heads/main/No_Spy-No_Weapon/Universal_Scalability_of_TL_Under_the_NoS-NoW_Mandate.md" TargetMode="External"/><Relationship Id="rId99" Type="http://schemas.openxmlformats.org/officeDocument/2006/relationships/hyperlink" Target="https://raw.githubusercontent.com/FractonicMind/TernaryLogic/refs/heads/main/No_Spy-No_Weapon/Universal_Scalability_of_TL_Under_the_NoS-NoW_Mandate.md" TargetMode="External"/><Relationship Id="rId480" Type="http://schemas.openxmlformats.org/officeDocument/2006/relationships/hyperlink" Target="https://raw.githubusercontent.com/FractonicMind/TernaryLogic/refs/heads/main/Adversarial_Survivability/TL_Constitutional_Survivability_Under_Adversarial_Pressure.md" TargetMode="External"/><Relationship Id="rId98" Type="http://schemas.openxmlformats.org/officeDocument/2006/relationships/hyperlink" Target="https://raw.githubusercontent.com/FractonicMind/TernaryLogic/refs/heads/main/No_Spy-No_Weapon/Universal_Scalability_of_TL_Under_the_NoS-NoW_Mandate.md" TargetMode="External"/><Relationship Id="rId91" Type="http://schemas.openxmlformats.org/officeDocument/2006/relationships/hyperlink" Target="https://raw.githubusercontent.com/FractonicMind/TernaryLogic/refs/heads/main/No_Spy-No_Weapon/Universal_Scalability_of_TL_Under_the_NoS-NoW_Mandate.md" TargetMode="External"/><Relationship Id="rId90" Type="http://schemas.openxmlformats.org/officeDocument/2006/relationships/hyperlink" Target="https://raw.githubusercontent.com/FractonicMind/TernaryLogic/refs/heads/main/No_Spy-No_Weapon/Universal_Scalability_of_TL_Under_the_NoS-NoW_Mandate.md" TargetMode="External"/><Relationship Id="rId93" Type="http://schemas.openxmlformats.org/officeDocument/2006/relationships/hyperlink" Target="https://raw.githubusercontent.com/FractonicMind/TernaryLogic/refs/heads/main/No_Spy-No_Weapon/Universal_Scalability_of_TL_Under_the_NoS-NoW_Mandate.md" TargetMode="External"/><Relationship Id="rId92" Type="http://schemas.openxmlformats.org/officeDocument/2006/relationships/hyperlink" Target="https://raw.githubusercontent.com/FractonicMind/TernaryLogic/refs/heads/main/No_Spy-No_Weapon/Universal_Scalability_of_TL_Under_the_NoS-NoW_Mandate.md" TargetMode="External"/><Relationship Id="rId118"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39" Type="http://schemas.openxmlformats.org/officeDocument/2006/relationships/hyperlink" Target="https://raw.githubusercontent.com/FractonicMind/TernaryLogic/refs/heads/main/The%20Architecture%20Of%20Assured%20Governance%20for%20Global%20Economic%20Systems.md" TargetMode="External"/><Relationship Id="rId117" Type="http://schemas.openxmlformats.org/officeDocument/2006/relationships/hyperlink" Target="https://raw.githubusercontent.com/FractonicMind/TernaryLogic/refs/heads/main/The%20Architecture%20Of%20Assured%20Governance%20for%20Global%20Economic%20Systems.md" TargetMode="External"/><Relationship Id="rId238" Type="http://schemas.openxmlformats.org/officeDocument/2006/relationships/hyperlink" Target="https://raw.githubusercontent.com/FractonicMind/TernaryLogic/refs/heads/main/API/Specification_Architecture.md" TargetMode="External"/><Relationship Id="rId359" Type="http://schemas.openxmlformats.org/officeDocument/2006/relationships/hyperlink" Target="https://raw.githubusercontent.com/FractonicMind/TernaryLogic/refs/heads/main/MT_Hardware/MT_System_Architecture_and_Economics.md" TargetMode="External"/><Relationship Id="rId116" Type="http://schemas.openxmlformats.org/officeDocument/2006/relationships/hyperlink" Target="https://raw.githubusercontent.com/FractonicMind/TernaryLogic/refs/heads/main/The%20Architecture%20Of%20Assured%20Governance%20for%20Global%20Economic%20Systems.md" TargetMode="External"/><Relationship Id="rId237"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58"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79" Type="http://schemas.openxmlformats.org/officeDocument/2006/relationships/hyperlink" Target="https://raw.githubusercontent.com/FractonicMind/TernaryLogic/refs/heads/main/Adversarial_Survivability/TL_Constitutional_Survivability_Under_Adversarial_Pressure.md" TargetMode="External"/><Relationship Id="rId115" Type="http://schemas.openxmlformats.org/officeDocument/2006/relationships/hyperlink" Target="https://raw.githubusercontent.com/FractonicMind/TernaryLogic/refs/heads/main/The%20Architecture%20Of%20Assured%20Governance%20for%20Global%20Economic%20Systems.md" TargetMode="External"/><Relationship Id="rId236" Type="http://schemas.openxmlformats.org/officeDocument/2006/relationships/hyperlink" Target="https://raw.githubusercontent.com/FractonicMind/TernaryLogic/refs/heads/main/API/Specification_Architecture.md" TargetMode="External"/><Relationship Id="rId357"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78" Type="http://schemas.openxmlformats.org/officeDocument/2006/relationships/hyperlink" Target="https://raw.githubusercontent.com/FractonicMind/TernaryLogic/refs/heads/main/Adversarial_Survivability/TL_Constitutional_Survivability_Under_Adversarial_Pressure.md" TargetMode="External"/><Relationship Id="rId599"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119" Type="http://schemas.openxmlformats.org/officeDocument/2006/relationships/hyperlink" Target="https://raw.githubusercontent.com/FractonicMind/TernaryLogic/refs/heads/main/The%20Architecture%20Of%20Assured%20Governance%20for%20Global%20Economic%20Systems.md" TargetMode="External"/><Relationship Id="rId110"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31" Type="http://schemas.openxmlformats.org/officeDocument/2006/relationships/hyperlink" Target="https://raw.githubusercontent.com/FractonicMind/TernaryLogic/refs/heads/main/The%20Architecture%20Of%20Assured%20Governance%20for%20Global%20Economic%20Systems.md" TargetMode="External"/><Relationship Id="rId352" Type="http://schemas.openxmlformats.org/officeDocument/2006/relationships/hyperlink" Target="https://raw.githubusercontent.com/FractonicMind/TernaryLogic/refs/heads/main/API/Specification_Architecture.md" TargetMode="External"/><Relationship Id="rId473" Type="http://schemas.openxmlformats.org/officeDocument/2006/relationships/hyperlink" Target="https://raw.githubusercontent.com/FractonicMind/TernaryLogic/refs/heads/main/Adversarial_Survivability/TL_Constitutional_Survivability_Under_Adversarial_Pressure.md" TargetMode="External"/><Relationship Id="rId594" Type="http://schemas.openxmlformats.org/officeDocument/2006/relationships/hyperlink" Target="https://raw.githubusercontent.com/FractonicMind/TernaryLogic/refs/heads/main/Adversarial_Survivability/TL_Constitutional_Survivability_Under_Adversarial_Pressure.md" TargetMode="External"/><Relationship Id="rId230" Type="http://schemas.openxmlformats.org/officeDocument/2006/relationships/hyperlink" Target="https://raw.githubusercontent.com/FractonicMind/TernaryLogic/refs/heads/main/API/Specification_Architecture.md" TargetMode="External"/><Relationship Id="rId351" Type="http://schemas.openxmlformats.org/officeDocument/2006/relationships/hyperlink" Target="https://raw.githubusercontent.com/FractonicMind/TernaryLogic/refs/heads/main/API/Specification_Architecture.md" TargetMode="External"/><Relationship Id="rId472" Type="http://schemas.openxmlformats.org/officeDocument/2006/relationships/hyperlink" Target="https://raw.githubusercontent.com/FractonicMind/TernaryLogic/refs/heads/main/Adversarial_Survivability/TL_Constitutional_Survivability_Under_Adversarial_Pressure.md" TargetMode="External"/><Relationship Id="rId593" Type="http://schemas.openxmlformats.org/officeDocument/2006/relationships/hyperlink" Target="https://raw.githubusercontent.com/FractonicMind/TernaryLogic/refs/heads/main/Adversarial_Survivability/TL_Constitutional_Survivability_Under_Adversarial_Pressure.md" TargetMode="External"/><Relationship Id="rId350"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71" Type="http://schemas.openxmlformats.org/officeDocument/2006/relationships/hyperlink" Target="https://raw.githubusercontent.com/FractonicMind/TernaryLogic/refs/heads/main/Adversarial_Survivability/TL_Constitutional_Survivability_Under_Adversarial_Pressure.md" TargetMode="External"/><Relationship Id="rId592" Type="http://schemas.openxmlformats.org/officeDocument/2006/relationships/hyperlink" Target="https://raw.githubusercontent.com/FractonicMind/TernaryLogic/refs/heads/main/Adversarial_Survivability/TL_Constitutional_Survivability_Under_Adversarial_Pressure.md" TargetMode="External"/><Relationship Id="rId470" Type="http://schemas.openxmlformats.org/officeDocument/2006/relationships/hyperlink" Target="https://raw.githubusercontent.com/FractonicMind/TernaryLogic/refs/heads/main/Adversarial_Survivability/TL_Constitutional_Survivability_Under_Adversarial_Pressure.md" TargetMode="External"/><Relationship Id="rId591" Type="http://schemas.openxmlformats.org/officeDocument/2006/relationships/hyperlink" Target="https://raw.githubusercontent.com/FractonicMind/TernaryLogic/refs/heads/main/Adversarial_Survivability/TL_Constitutional_Survivability_Under_Adversarial_Pressure.md" TargetMode="External"/><Relationship Id="rId114" Type="http://schemas.openxmlformats.org/officeDocument/2006/relationships/hyperlink" Target="https://raw.githubusercontent.com/FractonicMind/TernaryLogic/refs/heads/main/The%20Architecture%20Of%20Assured%20Governance%20for%20Global%20Economic%20Systems.md" TargetMode="External"/><Relationship Id="rId235" Type="http://schemas.openxmlformats.org/officeDocument/2006/relationships/hyperlink" Target="https://raw.githubusercontent.com/FractonicMind/TernaryLogic/refs/heads/main/The%20Architecture%20Of%20Assured%20Governance%20for%20Global%20Economic%20Systems.md" TargetMode="External"/><Relationship Id="rId356" Type="http://schemas.openxmlformats.org/officeDocument/2006/relationships/hyperlink" Target="https://raw.githubusercontent.com/FractonicMind/TernaryLogic/refs/heads/main/API/Specification_Architecture.md" TargetMode="External"/><Relationship Id="rId477" Type="http://schemas.openxmlformats.org/officeDocument/2006/relationships/hyperlink" Target="https://raw.githubusercontent.com/FractonicMind/TernaryLogic/refs/heads/main/Adversarial_Survivability/TL_Constitutional_Survivability_Under_Adversarial_Pressure.md" TargetMode="External"/><Relationship Id="rId598" Type="http://schemas.openxmlformats.org/officeDocument/2006/relationships/hyperlink" Target="https://raw.githubusercontent.com/FractonicMind/TernaryLogic/refs/heads/main/Adversarial_Survivability/TL_Constitutional_Survivability_Under_Adversarial_Pressure.md" TargetMode="External"/><Relationship Id="rId113" Type="http://schemas.openxmlformats.org/officeDocument/2006/relationships/hyperlink" Target="https://raw.githubusercontent.com/FractonicMind/TernaryLogic/refs/heads/main/The%20Architecture%20Of%20Assured%20Governance%20for%20Global%20Economic%20Systems.md" TargetMode="External"/><Relationship Id="rId234" Type="http://schemas.openxmlformats.org/officeDocument/2006/relationships/hyperlink" Target="https://raw.githubusercontent.com/FractonicMind/TernaryLogic/refs/heads/main/API/Specification_Architecture.md" TargetMode="External"/><Relationship Id="rId355" Type="http://schemas.openxmlformats.org/officeDocument/2006/relationships/hyperlink" Target="https://raw.githubusercontent.com/FractonicMind/TernaryLogic/refs/heads/main/The%20Architecture%20Of%20Assured%20Governance%20for%20Global%20Economic%20Systems.md" TargetMode="External"/><Relationship Id="rId476" Type="http://schemas.openxmlformats.org/officeDocument/2006/relationships/hyperlink" Target="https://raw.githubusercontent.com/FractonicMind/TernaryLogic/refs/heads/main/Adversarial_Survivability/TL_Constitutional_Survivability_Under_Adversarial_Pressure.md" TargetMode="External"/><Relationship Id="rId597" Type="http://schemas.openxmlformats.org/officeDocument/2006/relationships/hyperlink" Target="https://raw.githubusercontent.com/FractonicMind/TernaryLogic/refs/heads/main/Adversarial_Survivability/TL_Constitutional_Survivability_Under_Adversarial_Pressure.md" TargetMode="External"/><Relationship Id="rId112" Type="http://schemas.openxmlformats.org/officeDocument/2006/relationships/hyperlink" Target="https://raw.githubusercontent.com/FractonicMind/TernaryLogic/refs/heads/main/The%20Architecture%20Of%20Assured%20Governance%20for%20Global%20Economic%20Systems.md" TargetMode="External"/><Relationship Id="rId233" Type="http://schemas.openxmlformats.org/officeDocument/2006/relationships/hyperlink" Target="https://raw.githubusercontent.com/FractonicMind/TernaryLogic/refs/heads/main/The%20Architecture%20Of%20Assured%20Governance%20for%20Global%20Economic%20Systems.md" TargetMode="External"/><Relationship Id="rId354" Type="http://schemas.openxmlformats.org/officeDocument/2006/relationships/hyperlink" Target="https://raw.githubusercontent.com/FractonicMind/TernaryLogic/refs/heads/main/The%20Architecture%20Of%20Assured%20Governance%20for%20Global%20Economic%20Systems.md" TargetMode="External"/><Relationship Id="rId475" Type="http://schemas.openxmlformats.org/officeDocument/2006/relationships/hyperlink" Target="https://raw.githubusercontent.com/FractonicMind/TernaryLogic/refs/heads/main/Adversarial_Survivability/TL_Constitutional_Survivability_Under_Adversarial_Pressure.md" TargetMode="External"/><Relationship Id="rId596" Type="http://schemas.openxmlformats.org/officeDocument/2006/relationships/hyperlink" Target="https://raw.githubusercontent.com/FractonicMind/TernaryLogic/refs/heads/main/Adversarial_Survivability/TL_Constitutional_Survivability_Under_Adversarial_Pressure.md" TargetMode="External"/><Relationship Id="rId111" Type="http://schemas.openxmlformats.org/officeDocument/2006/relationships/hyperlink" Target="https://raw.githubusercontent.com/FractonicMind/TernaryLogic/refs/heads/main/The%20Architecture%20Of%20Assured%20Governance%20for%20Global%20Economic%20Systems.md" TargetMode="External"/><Relationship Id="rId232" Type="http://schemas.openxmlformats.org/officeDocument/2006/relationships/hyperlink" Target="https://raw.githubusercontent.com/FractonicMind/TernaryLogic/refs/heads/main/The%20Architecture%20Of%20Assured%20Governance%20for%20Global%20Economic%20Systems.md" TargetMode="External"/><Relationship Id="rId353" Type="http://schemas.openxmlformats.org/officeDocument/2006/relationships/hyperlink" Target="https://raw.githubusercontent.com/FractonicMind/TernaryLogic/refs/heads/main/API/Specification_Architecture.md" TargetMode="External"/><Relationship Id="rId474" Type="http://schemas.openxmlformats.org/officeDocument/2006/relationships/hyperlink" Target="https://raw.githubusercontent.com/FractonicMind/TernaryLogic/refs/heads/main/Adversarial_Survivability/TL_Constitutional_Survivability_Under_Adversarial_Pressure.md" TargetMode="External"/><Relationship Id="rId595" Type="http://schemas.openxmlformats.org/officeDocument/2006/relationships/hyperlink" Target="https://raw.githubusercontent.com/FractonicMind/TernaryLogic/refs/heads/main/Adversarial_Survivability/TL_Constitutional_Survivability_Under_Adversarial_Pressure.md" TargetMode="External"/><Relationship Id="rId305" Type="http://schemas.openxmlformats.org/officeDocument/2006/relationships/hyperlink" Target="https://raw.githubusercontent.com/FractonicMind/TernaryLogic/refs/heads/main/API/Specification_Architecture.md" TargetMode="External"/><Relationship Id="rId426" Type="http://schemas.openxmlformats.org/officeDocument/2006/relationships/hyperlink" Target="https://raw.githubusercontent.com/FractonicMind/TernaryLogic/refs/heads/main/Adversarial_Survivability/TL_Constitutional_Survivability_Under_Adversarial_Pressure.md" TargetMode="External"/><Relationship Id="rId547" Type="http://schemas.openxmlformats.org/officeDocument/2006/relationships/hyperlink" Target="https://raw.githubusercontent.com/FractonicMind/TernaryLogic/refs/heads/main/The%20Architecture%20Of%20Assured%20Governance%20for%20Global%20Economic%20Systems.md" TargetMode="External"/><Relationship Id="rId668" Type="http://schemas.openxmlformats.org/officeDocument/2006/relationships/hyperlink" Target="https://raw.githubusercontent.com/FractonicMind/TernaryLogic/refs/heads/main/Adversarial_Survivability/TL_Constitutional_Survivability_Under_Adversarial_Pressure.md" TargetMode="External"/><Relationship Id="rId304" Type="http://schemas.openxmlformats.org/officeDocument/2006/relationships/hyperlink" Target="https://raw.githubusercontent.com/FractonicMind/TernaryLogic/refs/heads/main/The%20Architecture%20Of%20Assured%20Governance%20for%20Global%20Economic%20Systems.md" TargetMode="External"/><Relationship Id="rId425" Type="http://schemas.openxmlformats.org/officeDocument/2006/relationships/hyperlink" Target="https://raw.githubusercontent.com/FractonicMind/TernaryLogic/refs/heads/main/Adversarial_Survivability/TL_Constitutional_Survivability_Under_Adversarial_Pressure.md" TargetMode="External"/><Relationship Id="rId546"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67"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03" Type="http://schemas.openxmlformats.org/officeDocument/2006/relationships/hyperlink" Target="https://raw.githubusercontent.com/FractonicMind/TernaryLogic/refs/heads/main/MT_Hardware/MT_System_Architecture_and_Economics.md" TargetMode="External"/><Relationship Id="rId424" Type="http://schemas.openxmlformats.org/officeDocument/2006/relationships/hyperlink" Target="https://raw.githubusercontent.com/FractonicMind/TernaryLogic/refs/heads/main/Adversarial_Survivability/TL_Constitutional_Survivability_Under_Adversarial_Pressure.md" TargetMode="External"/><Relationship Id="rId545"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66" Type="http://schemas.openxmlformats.org/officeDocument/2006/relationships/hyperlink" Target="https://raw.githubusercontent.com/FractonicMind/TernaryLogic/refs/heads/main/Adversarial_Survivability/TL_Constitutional_Survivability_Under_Adversarial_Pressure.md" TargetMode="External"/><Relationship Id="rId302" Type="http://schemas.openxmlformats.org/officeDocument/2006/relationships/hyperlink" Target="https://raw.githubusercontent.com/FractonicMind/TernaryLogic/refs/heads/main/API/Specification_Architecture.md" TargetMode="External"/><Relationship Id="rId423" Type="http://schemas.openxmlformats.org/officeDocument/2006/relationships/hyperlink" Target="https://raw.githubusercontent.com/FractonicMind/TernaryLogic/refs/heads/main/Adversarial_Survivability/TL_Constitutional_Survivability_Under_Adversarial_Pressure.md" TargetMode="External"/><Relationship Id="rId544"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65" Type="http://schemas.openxmlformats.org/officeDocument/2006/relationships/hyperlink" Target="https://raw.githubusercontent.com/FractonicMind/TernaryLogic/refs/heads/main/API/Specification_Architecture.md" TargetMode="External"/><Relationship Id="rId309"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08"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29" Type="http://schemas.openxmlformats.org/officeDocument/2006/relationships/hyperlink" Target="https://raw.githubusercontent.com/FractonicMind/TernaryLogic/refs/heads/main/Adversarial_Survivability/TL_Constitutional_Survivability_Under_Adversarial_Pressure.md" TargetMode="External"/><Relationship Id="rId307" Type="http://schemas.openxmlformats.org/officeDocument/2006/relationships/hyperlink" Target="https://raw.githubusercontent.com/FractonicMind/TernaryLogic/refs/heads/main/The%20Architecture%20Of%20Assured%20Governance%20for%20Global%20Economic%20Systems.md" TargetMode="External"/><Relationship Id="rId428" Type="http://schemas.openxmlformats.org/officeDocument/2006/relationships/hyperlink" Target="https://raw.githubusercontent.com/FractonicMind/TernaryLogic/refs/heads/main/Adversarial_Survivability/TL_Constitutional_Survivability_Under_Adversarial_Pressure.md" TargetMode="External"/><Relationship Id="rId549" Type="http://schemas.openxmlformats.org/officeDocument/2006/relationships/hyperlink" Target="https://raw.githubusercontent.com/FractonicMind/TernaryLogic/refs/heads/main/Adversarial_Survivability/TL_Constitutional_Survivability_Under_Adversarial_Pressure.md" TargetMode="External"/><Relationship Id="rId306" Type="http://schemas.openxmlformats.org/officeDocument/2006/relationships/hyperlink" Target="https://raw.githubusercontent.com/FractonicMind/TernaryLogic/refs/heads/main/API/Specification_Architecture.md" TargetMode="External"/><Relationship Id="rId427" Type="http://schemas.openxmlformats.org/officeDocument/2006/relationships/hyperlink" Target="https://raw.githubusercontent.com/FractonicMind/TernaryLogic/refs/heads/main/Adversarial_Survivability/TL_Constitutional_Survivability_Under_Adversarial_Pressure.md" TargetMode="External"/><Relationship Id="rId548" Type="http://schemas.openxmlformats.org/officeDocument/2006/relationships/hyperlink" Target="https://raw.githubusercontent.com/FractonicMind/TernaryLogic/refs/heads/main/API/Specification_Architecture.md" TargetMode="External"/><Relationship Id="rId669" Type="http://schemas.openxmlformats.org/officeDocument/2006/relationships/hyperlink" Target="https://raw.githubusercontent.com/FractonicMind/TernaryLogic/refs/heads/main/Adversarial_Survivability/TL_Constitutional_Survivability_Under_Adversarial_Pressure.md" TargetMode="External"/><Relationship Id="rId660" Type="http://schemas.openxmlformats.org/officeDocument/2006/relationships/hyperlink" Target="https://raw.githubusercontent.com/FractonicMind/TernaryLogic/refs/heads/main/API/Specification_Architecture.md" TargetMode="External"/><Relationship Id="rId301"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22" Type="http://schemas.openxmlformats.org/officeDocument/2006/relationships/hyperlink" Target="https://raw.githubusercontent.com/FractonicMind/TernaryLogic/refs/heads/main/Adversarial_Survivability/TL_Constitutional_Survivability_Under_Adversarial_Pressure.md" TargetMode="External"/><Relationship Id="rId543" Type="http://schemas.openxmlformats.org/officeDocument/2006/relationships/hyperlink" Target="https://raw.githubusercontent.com/FractonicMind/TernaryLogic/refs/heads/main/The%20Architecture%20Of%20Assured%20Governance%20for%20Global%20Economic%20Systems.md" TargetMode="External"/><Relationship Id="rId664" Type="http://schemas.openxmlformats.org/officeDocument/2006/relationships/hyperlink" Target="https://raw.githubusercontent.com/FractonicMind/TernaryLogic/refs/heads/main/Adversarial_Survivability/TL_Constitutional_Survivability_Under_Adversarial_Pressure.md" TargetMode="External"/><Relationship Id="rId300" Type="http://schemas.openxmlformats.org/officeDocument/2006/relationships/hyperlink" Target="https://raw.githubusercontent.com/FractonicMind/TernaryLogic/refs/heads/main/API/Specification_Architecture.md" TargetMode="External"/><Relationship Id="rId421" Type="http://schemas.openxmlformats.org/officeDocument/2006/relationships/hyperlink" Target="https://raw.githubusercontent.com/FractonicMind/TernaryLogic/refs/heads/main/Adversarial_Survivability/TL_Constitutional_Survivability_Under_Adversarial_Pressure.md" TargetMode="External"/><Relationship Id="rId542" Type="http://schemas.openxmlformats.org/officeDocument/2006/relationships/hyperlink" Target="https://raw.githubusercontent.com/FractonicMind/TernaryLogic/refs/heads/main/The%20Architecture%20Of%20Assured%20Governance%20for%20Global%20Economic%20Systems.md" TargetMode="External"/><Relationship Id="rId663" Type="http://schemas.openxmlformats.org/officeDocument/2006/relationships/hyperlink" Target="https://raw.githubusercontent.com/FractonicMind/TernaryLogic/refs/heads/main/API/Specification_Architecture.md" TargetMode="External"/><Relationship Id="rId420" Type="http://schemas.openxmlformats.org/officeDocument/2006/relationships/hyperlink" Target="https://raw.githubusercontent.com/FractonicMind/TernaryLogic/refs/heads/main/Adversarial_Survivability/TL_Constitutional_Survivability_Under_Adversarial_Pressure.md" TargetMode="External"/><Relationship Id="rId541" Type="http://schemas.openxmlformats.org/officeDocument/2006/relationships/hyperlink" Target="https://raw.githubusercontent.com/FractonicMind/TernaryLogic/refs/heads/main/API/Specification_Architecture.md" TargetMode="External"/><Relationship Id="rId662"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540" Type="http://schemas.openxmlformats.org/officeDocument/2006/relationships/hyperlink" Target="https://raw.githubusercontent.com/FractonicMind/TernaryLogic/refs/heads/main/The%20Architecture%20Of%20Assured%20Governance%20for%20Global%20Economic%20Systems.md" TargetMode="External"/><Relationship Id="rId661" Type="http://schemas.openxmlformats.org/officeDocument/2006/relationships/hyperlink" Target="https://raw.githubusercontent.com/FractonicMind/TernaryLogic/refs/heads/main/Adversarial_Survivability/TL_Constitutional_Survivability_Under_Adversarial_Pressure.md" TargetMode="External"/><Relationship Id="rId415" Type="http://schemas.openxmlformats.org/officeDocument/2006/relationships/hyperlink" Target="https://raw.githubusercontent.com/FractonicMind/TernaryLogic/refs/heads/main/Adversarial_Survivability/TL_Constitutional_Survivability_Under_Adversarial_Pressure.md" TargetMode="External"/><Relationship Id="rId536" Type="http://schemas.openxmlformats.org/officeDocument/2006/relationships/hyperlink" Target="https://raw.githubusercontent.com/FractonicMind/TernaryLogic/refs/heads/main/The%20Architecture%20Of%20Assured%20Governance%20for%20Global%20Economic%20Systems.md" TargetMode="External"/><Relationship Id="rId657" Type="http://schemas.openxmlformats.org/officeDocument/2006/relationships/hyperlink" Target="https://raw.githubusercontent.com/FractonicMind/TernaryLogic/refs/heads/main/Adversarial_Survivability/TL_Constitutional_Survivability_Under_Adversarial_Pressure.md" TargetMode="External"/><Relationship Id="rId414" Type="http://schemas.openxmlformats.org/officeDocument/2006/relationships/hyperlink" Target="https://raw.githubusercontent.com/FractonicMind/TernaryLogic/refs/heads/main/Adversarial_Survivability/TL_Constitutional_Survivability_Under_Adversarial_Pressure.md" TargetMode="External"/><Relationship Id="rId535" Type="http://schemas.openxmlformats.org/officeDocument/2006/relationships/hyperlink" Target="https://raw.githubusercontent.com/FractonicMind/TernaryLogic/refs/heads/main/The%20Architecture%20Of%20Assured%20Governance%20for%20Global%20Economic%20Systems.md" TargetMode="External"/><Relationship Id="rId656" Type="http://schemas.openxmlformats.org/officeDocument/2006/relationships/hyperlink" Target="https://raw.githubusercontent.com/FractonicMind/TernaryLogic/refs/heads/main/Adversarial_Survivability/TL_Constitutional_Survivability_Under_Adversarial_Pressure.md" TargetMode="External"/><Relationship Id="rId413" Type="http://schemas.openxmlformats.org/officeDocument/2006/relationships/hyperlink" Target="https://raw.githubusercontent.com/FractonicMind/TernaryLogic/refs/heads/main/Adversarial_Survivability/TL_Constitutional_Survivability_Under_Adversarial_Pressure.md" TargetMode="External"/><Relationship Id="rId534" Type="http://schemas.openxmlformats.org/officeDocument/2006/relationships/hyperlink" Target="https://raw.githubusercontent.com/FractonicMind/TernaryLogic/refs/heads/main/API/Specification_Architecture.md" TargetMode="External"/><Relationship Id="rId655" Type="http://schemas.openxmlformats.org/officeDocument/2006/relationships/hyperlink" Target="https://raw.githubusercontent.com/FractonicMind/TernaryLogic/refs/heads/main/Adversarial_Survivability/TL_Constitutional_Survivability_Under_Adversarial_Pressure.md" TargetMode="External"/><Relationship Id="rId412" Type="http://schemas.openxmlformats.org/officeDocument/2006/relationships/hyperlink" Target="https://raw.githubusercontent.com/FractonicMind/TernaryLogic/refs/heads/main/Adversarial_Survivability/TL_Constitutional_Survivability_Under_Adversarial_Pressure.md" TargetMode="External"/><Relationship Id="rId533" Type="http://schemas.openxmlformats.org/officeDocument/2006/relationships/hyperlink" Target="https://raw.githubusercontent.com/FractonicMind/TernaryLogic/refs/heads/main/The%20Architecture%20Of%20Assured%20Governance%20for%20Global%20Economic%20Systems.md" TargetMode="External"/><Relationship Id="rId654" Type="http://schemas.openxmlformats.org/officeDocument/2006/relationships/hyperlink" Target="https://raw.githubusercontent.com/FractonicMind/TernaryLogic/refs/heads/main/Governance/Governance_Complete.md" TargetMode="External"/><Relationship Id="rId419" Type="http://schemas.openxmlformats.org/officeDocument/2006/relationships/hyperlink" Target="https://raw.githubusercontent.com/FractonicMind/TernaryLogic/refs/heads/main/Adversarial_Survivability/TL_Constitutional_Survivability_Under_Adversarial_Pressure.md" TargetMode="External"/><Relationship Id="rId418" Type="http://schemas.openxmlformats.org/officeDocument/2006/relationships/hyperlink" Target="https://raw.githubusercontent.com/FractonicMind/TernaryLogic/refs/heads/main/Adversarial_Survivability/TL_Constitutional_Survivability_Under_Adversarial_Pressure.md" TargetMode="External"/><Relationship Id="rId539" Type="http://schemas.openxmlformats.org/officeDocument/2006/relationships/hyperlink" Target="https://raw.githubusercontent.com/FractonicMind/TernaryLogic/refs/heads/main/The%20Architecture%20Of%20Assured%20Governance%20for%20Global%20Economic%20Systems.md" TargetMode="External"/><Relationship Id="rId417" Type="http://schemas.openxmlformats.org/officeDocument/2006/relationships/hyperlink" Target="https://raw.githubusercontent.com/FractonicMind/TernaryLogic/refs/heads/main/The%20Architecture%20Of%20Assured%20Governance%20for%20Global%20Economic%20Systems.md" TargetMode="External"/><Relationship Id="rId538" Type="http://schemas.openxmlformats.org/officeDocument/2006/relationships/hyperlink" Target="https://raw.githubusercontent.com/FractonicMind/TernaryLogic/refs/heads/main/The%20Architecture%20Of%20Assured%20Governance%20for%20Global%20Economic%20Systems.md" TargetMode="External"/><Relationship Id="rId659"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16"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537"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58"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11" Type="http://schemas.openxmlformats.org/officeDocument/2006/relationships/hyperlink" Target="https://raw.githubusercontent.com/FractonicMind/TernaryLogic/refs/heads/main/Adversarial_Survivability/TL_Constitutional_Survivability_Under_Adversarial_Pressure.md" TargetMode="External"/><Relationship Id="rId532" Type="http://schemas.openxmlformats.org/officeDocument/2006/relationships/hyperlink" Target="https://raw.githubusercontent.com/FractonicMind/TernaryLogic/refs/heads/main/The%20Architecture%20Of%20Assured%20Governance%20for%20Global%20Economic%20Systems.md" TargetMode="External"/><Relationship Id="rId653" Type="http://schemas.openxmlformats.org/officeDocument/2006/relationships/hyperlink" Target="https://raw.githubusercontent.com/FractonicMind/TernaryLogic/refs/heads/main/API/Specification_Architecture.md" TargetMode="External"/><Relationship Id="rId410" Type="http://schemas.openxmlformats.org/officeDocument/2006/relationships/hyperlink" Target="https://raw.githubusercontent.com/FractonicMind/TernaryLogic/refs/heads/main/Adversarial_Survivability/TL_Constitutional_Survivability_Under_Adversarial_Pressure.md" TargetMode="External"/><Relationship Id="rId531" Type="http://schemas.openxmlformats.org/officeDocument/2006/relationships/hyperlink" Target="https://raw.githubusercontent.com/FractonicMind/TernaryLogic/refs/heads/main/API/Specification_Architecture.md" TargetMode="External"/><Relationship Id="rId652" Type="http://schemas.openxmlformats.org/officeDocument/2006/relationships/hyperlink" Target="https://raw.githubusercontent.com/FractonicMind/TernaryLogic/refs/heads/main/API/Specification_Architecture.md" TargetMode="External"/><Relationship Id="rId530" Type="http://schemas.openxmlformats.org/officeDocument/2006/relationships/hyperlink" Target="https://raw.githubusercontent.com/FractonicMind/TernaryLogic/refs/heads/main/The%20Architecture%20Of%20Assured%20Governance%20for%20Global%20Economic%20Systems.md" TargetMode="External"/><Relationship Id="rId651" Type="http://schemas.openxmlformats.org/officeDocument/2006/relationships/hyperlink" Target="https://raw.githubusercontent.com/FractonicMind/TernaryLogic/refs/heads/main/API/Specification_Architecture.md" TargetMode="External"/><Relationship Id="rId650" Type="http://schemas.openxmlformats.org/officeDocument/2006/relationships/hyperlink" Target="https://raw.githubusercontent.com/FractonicMind/TernaryLogic/refs/heads/main/API/Specification_Architecture.md" TargetMode="External"/><Relationship Id="rId206" Type="http://schemas.openxmlformats.org/officeDocument/2006/relationships/hyperlink" Target="https://raw.githubusercontent.com/FractonicMind/TernaryLogic/refs/heads/main/MT_Hardware/MT_System_Architecture_and_Economics.md" TargetMode="External"/><Relationship Id="rId327" Type="http://schemas.openxmlformats.org/officeDocument/2006/relationships/hyperlink" Target="https://raw.githubusercontent.com/FractonicMind/TernaryLogic/refs/heads/main/MT_Hardware/MT_System_Architecture_and_Economics.md" TargetMode="External"/><Relationship Id="rId448" Type="http://schemas.openxmlformats.org/officeDocument/2006/relationships/hyperlink" Target="https://raw.githubusercontent.com/FractonicMind/TernaryLogic/refs/heads/main/Adversarial_Survivability/TL_Constitutional_Survivability_Under_Adversarial_Pressure.md" TargetMode="External"/><Relationship Id="rId569" Type="http://schemas.openxmlformats.org/officeDocument/2006/relationships/hyperlink" Target="https://raw.githubusercontent.com/FractonicMind/TernaryLogic/refs/heads/main/Adversarial_Survivability/TL_Constitutional_Survivability_Under_Adversarial_Pressure.md" TargetMode="External"/><Relationship Id="rId205"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26" Type="http://schemas.openxmlformats.org/officeDocument/2006/relationships/hyperlink" Target="https://raw.githubusercontent.com/FractonicMind/TernaryLogic/refs/heads/main/MT_Hardware/MT_System_Architecture_and_Economics.md" TargetMode="External"/><Relationship Id="rId447" Type="http://schemas.openxmlformats.org/officeDocument/2006/relationships/hyperlink" Target="https://raw.githubusercontent.com/FractonicMind/TernaryLogic/refs/heads/main/Adversarial_Survivability/TL_Constitutional_Survivability_Under_Adversarial_Pressure.md" TargetMode="External"/><Relationship Id="rId568"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689" Type="http://schemas.openxmlformats.org/officeDocument/2006/relationships/hyperlink" Target="https://raw.githubusercontent.com/FractonicMind/TernaryLogic/refs/heads/main/The%20Architecture%20Of%20Assured%20Governance%20for%20Global%20Economic%20Systems.md" TargetMode="External"/><Relationship Id="rId204"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325" Type="http://schemas.openxmlformats.org/officeDocument/2006/relationships/hyperlink" Target="https://raw.githubusercontent.com/FractonicMind/TernaryLogic/refs/heads/main/API/Specification_Architecture.md" TargetMode="External"/><Relationship Id="rId446" Type="http://schemas.openxmlformats.org/officeDocument/2006/relationships/hyperlink" Target="https://raw.githubusercontent.com/FractonicMind/TernaryLogic/refs/heads/main/Adversarial_Survivability/TL_Constitutional_Survivability_Under_Adversarial_Pressure.md" TargetMode="External"/><Relationship Id="rId567" Type="http://schemas.openxmlformats.org/officeDocument/2006/relationships/hyperlink" Target="https://raw.githubusercontent.com/FractonicMind/TernaryLogic/refs/heads/main/Adversarial_Survivability/TL_Constitutional_Survivability_Under_Adversarial_Pressure.md" TargetMode="External"/><Relationship Id="rId688" Type="http://schemas.openxmlformats.org/officeDocument/2006/relationships/hyperlink" Target="https://raw.githubusercontent.com/FractonicMind/TernaryLogic/refs/heads/main/The%20Architecture%20Of%20Assured%20Governance%20for%20Global%20Economic%20Systems.md" TargetMode="External"/><Relationship Id="rId203" Type="http://schemas.openxmlformats.org/officeDocument/2006/relationships/hyperlink" Target="https://raw.githubusercontent.com/FractonicMind/TernaryLogic/refs/heads/main/API/Specification_Architecture.md" TargetMode="External"/><Relationship Id="rId324" Type="http://schemas.openxmlformats.org/officeDocument/2006/relationships/hyperlink" Target="https://raw.githubusercontent.com/FractonicMind/TernaryLogic/refs/heads/main/API/Specification_Architecture.md" TargetMode="External"/><Relationship Id="rId445" Type="http://schemas.openxmlformats.org/officeDocument/2006/relationships/hyperlink" Target="https://raw.githubusercontent.com/FractonicMind/TernaryLogic/refs/heads/main/Adversarial_Survivability/TL_Constitutional_Survivability_Under_Adversarial_Pressure.md" TargetMode="External"/><Relationship Id="rId566" Type="http://schemas.openxmlformats.org/officeDocument/2006/relationships/hyperlink" Target="https://raw.githubusercontent.com/FractonicMind/TernaryLogic/refs/heads/main/Adversarial_Survivability/TL_Constitutional_Survivability_Under_Adversarial_Pressure.md" TargetMode="External"/><Relationship Id="rId687" Type="http://schemas.openxmlformats.org/officeDocument/2006/relationships/hyperlink" Target="https://raw.githubusercontent.com/FractonicMind/TernaryLogic/refs/heads/main/Adversarial_Survivability/TL_Constitutional_Survivability_Under_Adversarial_Pressure.md" TargetMode="External"/><Relationship Id="rId209" Type="http://schemas.openxmlformats.org/officeDocument/2006/relationships/hyperlink" Target="https://raw.githubusercontent.com/FractonicMind/TernaryLogic/refs/heads/main/The%20Architecture%20Of%20Assured%20Governance%20for%20Global%20Economic%20Systems.md" TargetMode="External"/><Relationship Id="rId208" Type="http://schemas.openxmlformats.org/officeDocument/2006/relationships/hyperlink" Target="https://raw.githubusercontent.com/FractonicMind/TernaryLogic/refs/heads/main/The%20Architecture%20Of%20Assured%20Governance%20for%20Global%20Economic%20Systems.md" TargetMode="External"/><Relationship Id="rId329"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207" Type="http://schemas.openxmlformats.org/officeDocument/2006/relationships/hyperlink" Target="https://raw.githubusercontent.com/FractonicMind/TernaryLogic/refs/heads/main/The%20Architecture%20Of%20Assured%20Governance%20for%20Global%20Economic%20Systems.md" TargetMode="External"/><Relationship Id="rId328"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49" Type="http://schemas.openxmlformats.org/officeDocument/2006/relationships/hyperlink" Target="https://raw.githubusercontent.com/FractonicMind/TernaryLogic/refs/heads/main/Adversarial_Survivability/TL_Constitutional_Survivability_Under_Adversarial_Pressure.md" TargetMode="External"/><Relationship Id="rId440" Type="http://schemas.openxmlformats.org/officeDocument/2006/relationships/hyperlink" Target="https://raw.githubusercontent.com/FractonicMind/TernaryLogic/refs/heads/main/Adversarial_Survivability/TL_Constitutional_Survivability_Under_Adversarial_Pressure.md" TargetMode="External"/><Relationship Id="rId561" Type="http://schemas.openxmlformats.org/officeDocument/2006/relationships/hyperlink" Target="https://raw.githubusercontent.com/FractonicMind/TernaryLogic/refs/heads/main/Adversarial_Survivability/TL_Constitutional_Survivability_Under_Adversarial_Pressure.md" TargetMode="External"/><Relationship Id="rId682" Type="http://schemas.openxmlformats.org/officeDocument/2006/relationships/hyperlink" Target="https://raw.githubusercontent.com/FractonicMind/TernaryLogic/refs/heads/main/Adversarial_Survivability/TL_Constitutional_Survivability_Under_Adversarial_Pressure.md" TargetMode="External"/><Relationship Id="rId560" Type="http://schemas.openxmlformats.org/officeDocument/2006/relationships/hyperlink" Target="https://raw.githubusercontent.com/FractonicMind/TernaryLogic/refs/heads/main/Adversarial_Survivability/TL_Constitutional_Survivability_Under_Adversarial_Pressure.md" TargetMode="External"/><Relationship Id="rId681" Type="http://schemas.openxmlformats.org/officeDocument/2006/relationships/hyperlink" Target="https://raw.githubusercontent.com/FractonicMind/TernaryLogic/refs/heads/main/Adversarial_Survivability/TL_Constitutional_Survivability_Under_Adversarial_Pressure.md" TargetMode="External"/><Relationship Id="rId680" Type="http://schemas.openxmlformats.org/officeDocument/2006/relationships/hyperlink" Target="https://raw.githubusercontent.com/FractonicMind/TernaryLogic/refs/heads/main/Adversarial_Survivability/TL_Constitutional_Survivability_Under_Adversarial_Pressure.md" TargetMode="External"/><Relationship Id="rId202" Type="http://schemas.openxmlformats.org/officeDocument/2006/relationships/hyperlink" Target="https://raw.githubusercontent.com/FractonicMind/TernaryLogic/refs/heads/main/The%20Architecture%20Of%20Assured%20Governance%20for%20Global%20Economic%20Systems.md" TargetMode="External"/><Relationship Id="rId323" Type="http://schemas.openxmlformats.org/officeDocument/2006/relationships/hyperlink" Target="https://raw.githubusercontent.com/FractonicMind/TernaryLogic/refs/heads/main/API/Specification_Architecture.md" TargetMode="External"/><Relationship Id="rId444" Type="http://schemas.openxmlformats.org/officeDocument/2006/relationships/hyperlink" Target="https://raw.githubusercontent.com/FractonicMind/TernaryLogic/refs/heads/main/Adversarial_Survivability/TL_Constitutional_Survivability_Under_Adversarial_Pressure.md" TargetMode="External"/><Relationship Id="rId565" Type="http://schemas.openxmlformats.org/officeDocument/2006/relationships/hyperlink" Target="https://raw.githubusercontent.com/FractonicMind/TernaryLogic/refs/heads/main/Adversarial_Survivability/TL_Constitutional_Survivability_Under_Adversarial_Pressure.md" TargetMode="External"/><Relationship Id="rId686" Type="http://schemas.openxmlformats.org/officeDocument/2006/relationships/hyperlink" Target="https://raw.githubusercontent.com/FractonicMind/TernaryLogic/refs/heads/main/Adversarial_Survivability/TL_Constitutional_Survivability_Under_Adversarial_Pressure.md" TargetMode="External"/><Relationship Id="rId201" Type="http://schemas.openxmlformats.org/officeDocument/2006/relationships/hyperlink" Target="https://raw.githubusercontent.com/FractonicMind/TernaryLogic/refs/heads/main/API/Specification_Architecture.md" TargetMode="External"/><Relationship Id="rId322" Type="http://schemas.openxmlformats.org/officeDocument/2006/relationships/hyperlink" Target="https://raw.githubusercontent.com/FractonicMind/TernaryLogic/refs/heads/main/API/Specification_Architecture.md" TargetMode="External"/><Relationship Id="rId443" Type="http://schemas.openxmlformats.org/officeDocument/2006/relationships/hyperlink" Target="https://raw.githubusercontent.com/FractonicMind/TernaryLogic/refs/heads/main/Adversarial_Survivability/TL_Constitutional_Survivability_Under_Adversarial_Pressure.md" TargetMode="External"/><Relationship Id="rId564" Type="http://schemas.openxmlformats.org/officeDocument/2006/relationships/hyperlink" Target="https://raw.githubusercontent.com/FractonicMind/TernaryLogic/refs/heads/main/Adversarial_Survivability/TL_Constitutional_Survivability_Under_Adversarial_Pressure.md" TargetMode="External"/><Relationship Id="rId685" Type="http://schemas.openxmlformats.org/officeDocument/2006/relationships/hyperlink" Target="https://raw.githubusercontent.com/FractonicMind/TernaryLogic/refs/heads/main/Adversarial_Survivability/TL_Constitutional_Survivability_Under_Adversarial_Pressure.md" TargetMode="External"/><Relationship Id="rId200" Type="http://schemas.openxmlformats.org/officeDocument/2006/relationships/hyperlink" Target="https://raw.githubusercontent.com/FractonicMind/TernaryLogic/refs/heads/main/The%20Architecture%20Of%20Assured%20Governance%20for%20Global%20Economic%20Systems.md" TargetMode="External"/><Relationship Id="rId321"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42" Type="http://schemas.openxmlformats.org/officeDocument/2006/relationships/hyperlink" Target="https://raw.githubusercontent.com/FractonicMind/TernaryLogic/refs/heads/main/Adversarial_Survivability/TL_Constitutional_Survivability_Under_Adversarial_Pressure.md" TargetMode="External"/><Relationship Id="rId563" Type="http://schemas.openxmlformats.org/officeDocument/2006/relationships/hyperlink" Target="https://raw.githubusercontent.com/FractonicMind/TernaryLogic/refs/heads/main/Adversarial_Survivability/TL_Constitutional_Survivability_Under_Adversarial_Pressure.md" TargetMode="External"/><Relationship Id="rId684" Type="http://schemas.openxmlformats.org/officeDocument/2006/relationships/hyperlink" Target="https://raw.githubusercontent.com/FractonicMind/TernaryLogic/refs/heads/main/Adversarial_Survivability/TL_Constitutional_Survivability_Under_Adversarial_Pressure.md" TargetMode="External"/><Relationship Id="rId320"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41" Type="http://schemas.openxmlformats.org/officeDocument/2006/relationships/hyperlink" Target="https://raw.githubusercontent.com/FractonicMind/TernaryLogic/refs/heads/main/Adversarial_Survivability/TL_Constitutional_Survivability_Under_Adversarial_Pressure.md" TargetMode="External"/><Relationship Id="rId562" Type="http://schemas.openxmlformats.org/officeDocument/2006/relationships/hyperlink" Target="https://raw.githubusercontent.com/FractonicMind/TernaryLogic/refs/heads/main/Adversarial_Survivability/TL_Constitutional_Survivability_Under_Adversarial_Pressure.md" TargetMode="External"/><Relationship Id="rId683" Type="http://schemas.openxmlformats.org/officeDocument/2006/relationships/hyperlink" Target="https://raw.githubusercontent.com/FractonicMind/TernaryLogic/refs/heads/main/Adversarial_Survivability/TL_Constitutional_Survivability_Under_Adversarial_Pressure.md" TargetMode="External"/><Relationship Id="rId316" Type="http://schemas.openxmlformats.org/officeDocument/2006/relationships/hyperlink" Target="https://raw.githubusercontent.com/FractonicMind/TernaryLogic/refs/heads/main/API/Specification_Architecture.md" TargetMode="External"/><Relationship Id="rId437" Type="http://schemas.openxmlformats.org/officeDocument/2006/relationships/hyperlink" Target="https://raw.githubusercontent.com/FractonicMind/TernaryLogic/refs/heads/main/Adversarial_Survivability/TL_Constitutional_Survivability_Under_Adversarial_Pressure.md" TargetMode="External"/><Relationship Id="rId558" Type="http://schemas.openxmlformats.org/officeDocument/2006/relationships/hyperlink" Target="https://raw.githubusercontent.com/FractonicMind/TernaryLogic/refs/heads/main/Adversarial_Survivability/TL_Constitutional_Survivability_Under_Adversarial_Pressure.md" TargetMode="External"/><Relationship Id="rId679" Type="http://schemas.openxmlformats.org/officeDocument/2006/relationships/hyperlink" Target="https://raw.githubusercontent.com/FractonicMind/TernaryLogic/refs/heads/main/Adversarial_Survivability/TL_Constitutional_Survivability_Under_Adversarial_Pressure.md" TargetMode="External"/><Relationship Id="rId315" Type="http://schemas.openxmlformats.org/officeDocument/2006/relationships/hyperlink" Target="https://raw.githubusercontent.com/FractonicMind/TernaryLogic/refs/heads/main/MT_Hardware/MT_System_Architecture_and_Economics.md" TargetMode="External"/><Relationship Id="rId436" Type="http://schemas.openxmlformats.org/officeDocument/2006/relationships/hyperlink" Target="https://raw.githubusercontent.com/FractonicMind/TernaryLogic/refs/heads/main/Adversarial_Survivability/TL_Constitutional_Survivability_Under_Adversarial_Pressure.md" TargetMode="External"/><Relationship Id="rId557" Type="http://schemas.openxmlformats.org/officeDocument/2006/relationships/hyperlink" Target="https://raw.githubusercontent.com/FractonicMind/TernaryLogic/refs/heads/main/Adversarial_Survivability/TL_Constitutional_Survivability_Under_Adversarial_Pressure.md" TargetMode="External"/><Relationship Id="rId678" Type="http://schemas.openxmlformats.org/officeDocument/2006/relationships/hyperlink" Target="https://raw.githubusercontent.com/FractonicMind/TernaryLogic/refs/heads/main/Adversarial_Survivability/TL_Constitutional_Survivability_Under_Adversarial_Pressure.md" TargetMode="External"/><Relationship Id="rId314"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35" Type="http://schemas.openxmlformats.org/officeDocument/2006/relationships/hyperlink" Target="https://raw.githubusercontent.com/FractonicMind/TernaryLogic/refs/heads/main/Adversarial_Survivability/TL_Constitutional_Survivability_Under_Adversarial_Pressure.md" TargetMode="External"/><Relationship Id="rId556" Type="http://schemas.openxmlformats.org/officeDocument/2006/relationships/hyperlink" Target="https://raw.githubusercontent.com/FractonicMind/TernaryLogic/refs/heads/main/Adversarial_Survivability/TL_Constitutional_Survivability_Under_Adversarial_Pressure.md" TargetMode="External"/><Relationship Id="rId677" Type="http://schemas.openxmlformats.org/officeDocument/2006/relationships/hyperlink" Target="https://raw.githubusercontent.com/FractonicMind/TernaryLogic/refs/heads/main/Adversarial_Survivability/TL_Constitutional_Survivability_Under_Adversarial_Pressure.md" TargetMode="External"/><Relationship Id="rId313" Type="http://schemas.openxmlformats.org/officeDocument/2006/relationships/hyperlink" Target="https://raw.githubusercontent.com/FractonicMind/TernaryLogic/refs/heads/main/The%20Architecture%20Of%20Assured%20Governance%20for%20Global%20Economic%20Systems.md" TargetMode="External"/><Relationship Id="rId434" Type="http://schemas.openxmlformats.org/officeDocument/2006/relationships/hyperlink" Target="https://raw.githubusercontent.com/FractonicMind/TernaryLogic/refs/heads/main/Adversarial_Survivability/TL_Constitutional_Survivability_Under_Adversarial_Pressure.md" TargetMode="External"/><Relationship Id="rId555" Type="http://schemas.openxmlformats.org/officeDocument/2006/relationships/hyperlink" Target="https://raw.githubusercontent.com/FractonicMind/TernaryLogic/refs/heads/main/Adversarial_Survivability/TL_Constitutional_Survivability_Under_Adversarial_Pressure.md" TargetMode="External"/><Relationship Id="rId676" Type="http://schemas.openxmlformats.org/officeDocument/2006/relationships/hyperlink" Target="https://raw.githubusercontent.com/FractonicMind/TernaryLogic/refs/heads/main/Adversarial_Survivability/TL_Constitutional_Survivability_Under_Adversarial_Pressure.md" TargetMode="External"/><Relationship Id="rId319" Type="http://schemas.openxmlformats.org/officeDocument/2006/relationships/hyperlink" Target="https://raw.githubusercontent.com/FractonicMind/TernaryLogic/refs/heads/main/API/Specification_Architecture.md" TargetMode="External"/><Relationship Id="rId318" Type="http://schemas.openxmlformats.org/officeDocument/2006/relationships/hyperlink" Target="https://raw.githubusercontent.com/FractonicMind/TernaryLogic/refs/heads/main/API/Specification_Architecture.md" TargetMode="External"/><Relationship Id="rId439" Type="http://schemas.openxmlformats.org/officeDocument/2006/relationships/hyperlink" Target="https://raw.githubusercontent.com/FractonicMind/TernaryLogic/refs/heads/main/Adversarial_Survivability/TL_Constitutional_Survivability_Under_Adversarial_Pressure.md" TargetMode="External"/><Relationship Id="rId317" Type="http://schemas.openxmlformats.org/officeDocument/2006/relationships/hyperlink" Target="https://raw.githubusercontent.com/FractonicMind/TernaryLogic/refs/heads/main/API/Specification_Architecture.md" TargetMode="External"/><Relationship Id="rId438" Type="http://schemas.openxmlformats.org/officeDocument/2006/relationships/hyperlink" Target="https://raw.githubusercontent.com/FractonicMind/TernaryLogic/refs/heads/main/Adversarial_Survivability/TL_Constitutional_Survivability_Under_Adversarial_Pressure.md" TargetMode="External"/><Relationship Id="rId559" Type="http://schemas.openxmlformats.org/officeDocument/2006/relationships/hyperlink" Target="https://raw.githubusercontent.com/FractonicMind/TernaryLogic/refs/heads/main/Adversarial_Survivability/TL_Constitutional_Survivability_Under_Adversarial_Pressure.md" TargetMode="External"/><Relationship Id="rId550" Type="http://schemas.openxmlformats.org/officeDocument/2006/relationships/hyperlink" Target="https://raw.githubusercontent.com/FractonicMind/TernaryLogic/refs/heads/main/Governance/Governance_Complete.md" TargetMode="External"/><Relationship Id="rId671" Type="http://schemas.openxmlformats.org/officeDocument/2006/relationships/hyperlink" Target="https://raw.githubusercontent.com/FractonicMind/TernaryLogic/refs/heads/main/MT_Hardware/MT_System_Architecture_and_Economics.md" TargetMode="External"/><Relationship Id="rId670" Type="http://schemas.openxmlformats.org/officeDocument/2006/relationships/hyperlink" Target="https://raw.githubusercontent.com/FractonicMind/TernaryLogic/refs/heads/main/Adversarial_Survivability/TL_Constitutional_Survivability_Under_Adversarial_Pressure.md" TargetMode="External"/><Relationship Id="rId312" Type="http://schemas.openxmlformats.org/officeDocument/2006/relationships/hyperlink" Target="https://raw.githubusercontent.com/FractonicMind/TernaryLogic/refs/heads/main/API/Specification_Architecture.md" TargetMode="External"/><Relationship Id="rId433" Type="http://schemas.openxmlformats.org/officeDocument/2006/relationships/hyperlink" Target="https://raw.githubusercontent.com/FractonicMind/TernaryLogic/refs/heads/main/Adversarial_Survivability/TL_Constitutional_Survivability_Under_Adversarial_Pressure.md" TargetMode="External"/><Relationship Id="rId554" Type="http://schemas.openxmlformats.org/officeDocument/2006/relationships/hyperlink" Target="https://raw.githubusercontent.com/FractonicMind/TernaryLogic/refs/heads/main/Adversarial_Survivability/TL_Constitutional_Survivability_Under_Adversarial_Pressure.md" TargetMode="External"/><Relationship Id="rId675" Type="http://schemas.openxmlformats.org/officeDocument/2006/relationships/hyperlink" Target="https://raw.githubusercontent.com/FractonicMind/TernaryLogic/refs/heads/main/Adversarial_Survivability/TL_Constitutional_Survivability_Under_Adversarial_Pressure.md" TargetMode="External"/><Relationship Id="rId311" Type="http://schemas.openxmlformats.org/officeDocument/2006/relationships/hyperlink" Target="https://raw.githubusercontent.com/FractonicMind/TernaryLogic/refs/heads/main/Governance/Ternary_Logic_as_Constitutional_Triadic_Governance_Architecture_for_High-Stakes_Automated_Decision-Making.md" TargetMode="External"/><Relationship Id="rId432" Type="http://schemas.openxmlformats.org/officeDocument/2006/relationships/hyperlink" Target="https://raw.githubusercontent.com/FractonicMind/TernaryLogic/refs/heads/main/Adversarial_Survivability/TL_Constitutional_Survivability_Under_Adversarial_Pressure.md" TargetMode="External"/><Relationship Id="rId553" Type="http://schemas.openxmlformats.org/officeDocument/2006/relationships/hyperlink" Target="https://raw.githubusercontent.com/FractonicMind/TernaryLogic/refs/heads/main/The%20Architecture%20Of%20Assured%20Governance%20for%20Global%20Economic%20Systems.md" TargetMode="External"/><Relationship Id="rId674" Type="http://schemas.openxmlformats.org/officeDocument/2006/relationships/hyperlink" Target="https://raw.githubusercontent.com/FractonicMind/TernaryLogic/refs/heads/main/Adversarial_Survivability/TL_Constitutional_Survivability_Under_Adversarial_Pressure.md" TargetMode="External"/><Relationship Id="rId310" Type="http://schemas.openxmlformats.org/officeDocument/2006/relationships/hyperlink" Target="https://raw.githubusercontent.com/FractonicMind/TernaryLogic/refs/heads/main/API/Specification_Architecture.md" TargetMode="External"/><Relationship Id="rId431" Type="http://schemas.openxmlformats.org/officeDocument/2006/relationships/hyperlink" Target="https://raw.githubusercontent.com/FractonicMind/TernaryLogic/refs/heads/main/Adversarial_Survivability/TL_Constitutional_Survivability_Under_Adversarial_Pressure.md" TargetMode="External"/><Relationship Id="rId552" Type="http://schemas.openxmlformats.org/officeDocument/2006/relationships/hyperlink" Target="https://raw.githubusercontent.com/FractonicMind/TernaryLogic/refs/heads/main/The%20Architecture%20Of%20Assured%20Governance%20for%20Global%20Economic%20Systems.md" TargetMode="External"/><Relationship Id="rId673" Type="http://schemas.openxmlformats.org/officeDocument/2006/relationships/hyperlink" Target="https://raw.githubusercontent.com/FractonicMind/TernaryLogic/refs/heads/main/Adversarial_Survivability/TL_Constitutional_Survivability_Under_Adversarial_Pressure.md" TargetMode="External"/><Relationship Id="rId430" Type="http://schemas.openxmlformats.org/officeDocument/2006/relationships/hyperlink" Target="https://raw.githubusercontent.com/FractonicMind/TernaryLogic/refs/heads/main/Adversarial_Survivability/TL_Constitutional_Survivability_Under_Adversarial_Pressure.md" TargetMode="External"/><Relationship Id="rId551" Type="http://schemas.openxmlformats.org/officeDocument/2006/relationships/hyperlink" Target="https://raw.githubusercontent.com/FractonicMind/TernaryLogic/refs/heads/main/The%20Architecture%20Of%20Assured%20Governance%20for%20Global%20Economic%20Systems.md" TargetMode="External"/><Relationship Id="rId672" Type="http://schemas.openxmlformats.org/officeDocument/2006/relationships/hyperlink" Target="https://raw.githubusercontent.com/FractonicMind/TernaryLogic/refs/heads/main/Adversarial_Survivability/TL_Constitutional_Survivability_Under_Adversarial_Pressur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