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276" w:lineRule="auto"/>
        <w:jc w:val="center"/>
        <w:rPr>
          <w:b w:val="1"/>
          <w:bCs w:val="1"/>
        </w:rPr>
      </w:pPr>
      <w:bookmarkStart w:colFirst="0" w:colLast="0" w:name="_b48hdfu3acqs" w:id="0"/>
      <w:bookmarkEnd w:id="0"/>
      <w:r w:rsidDel="00000000" w:rsidR="00000000" w:rsidRPr="00000000">
        <w:rPr>
          <w:b w:val="1"/>
          <w:bCs w:val="1"/>
          <w:rtl w:val="0"/>
        </w:rPr>
        <w:t xml:space="preserve">The Constitutional Architecture for Accountable Artificial Intelligence: From Ethical Framework to Hardware-Enforceable Substrate</w:t>
      </w:r>
    </w:p>
    <w:p w:rsidR="00000000" w:rsidDel="00000000" w:rsidP="00000000" w:rsidRDefault="00000000" w:rsidRPr="00000000" w14:paraId="00000002">
      <w:pPr>
        <w:spacing w:after="240" w:line="276" w:lineRule="auto"/>
        <w:jc w:val="center"/>
        <w:rPr>
          <w:b w:val="1"/>
          <w:bCs w:val="1"/>
          <w:i w:val="1"/>
          <w:iCs w:val="1"/>
        </w:rPr>
      </w:pPr>
      <w:r w:rsidDel="00000000" w:rsidR="00000000" w:rsidRPr="00000000">
        <w:rPr>
          <w:b w:val="1"/>
          <w:bCs w:val="1"/>
          <w:i w:val="1"/>
          <w:iCs w:val="1"/>
          <w:rtl w:val="0"/>
        </w:rPr>
        <w:t xml:space="preserve">A runtime governance kernel: adoption constitutes ratification</w:t>
      </w:r>
    </w:p>
    <w:p w:rsidR="00000000" w:rsidDel="00000000" w:rsidP="00000000" w:rsidRDefault="00000000" w:rsidRPr="00000000" w14:paraId="00000003">
      <w:pPr>
        <w:spacing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04">
      <w:pPr>
        <w:spacing w:line="276" w:lineRule="auto"/>
        <w:jc w:val="center"/>
        <w:rPr>
          <w:b w:val="1"/>
          <w:bCs w:val="1"/>
          <w:sz w:val="34"/>
          <w:szCs w:val="34"/>
        </w:rPr>
      </w:pPr>
      <w:r w:rsidDel="00000000" w:rsidR="00000000" w:rsidRPr="00000000">
        <w:rPr>
          <w:b w:val="1"/>
          <w:bCs w:val="1"/>
          <w:sz w:val="34"/>
          <w:szCs w:val="34"/>
          <w:rtl w:val="0"/>
        </w:rPr>
        <w:t xml:space="preserve">Technical Specification, Legal Framework, and Implementation</w:t>
      </w:r>
      <w:r w:rsidDel="00000000" w:rsidR="00000000" w:rsidRPr="00000000">
        <w:rPr>
          <w:b w:val="1"/>
          <w:bCs w:val="1"/>
          <w:sz w:val="20"/>
          <w:szCs w:val="20"/>
          <w:rtl w:val="0"/>
        </w:rPr>
        <w:t xml:space="preserve"> </w:t>
      </w:r>
      <w:r w:rsidDel="00000000" w:rsidR="00000000" w:rsidRPr="00000000">
        <w:rPr>
          <w:b w:val="1"/>
          <w:bCs w:val="1"/>
          <w:sz w:val="34"/>
          <w:szCs w:val="34"/>
          <w:rtl w:val="0"/>
        </w:rPr>
        <w:t xml:space="preserve">Guide</w:t>
      </w:r>
    </w:p>
    <w:p w:rsidR="00000000" w:rsidDel="00000000" w:rsidP="00000000" w:rsidRDefault="00000000" w:rsidRPr="00000000" w14:paraId="00000005">
      <w:pPr>
        <w:spacing w:after="240" w:before="240" w:line="276" w:lineRule="auto"/>
        <w:jc w:val="center"/>
        <w:rPr>
          <w:rFonts w:ascii="Roboto Mono" w:cs="Roboto Mono" w:eastAsia="Roboto Mono" w:hAnsi="Roboto Mono"/>
          <w:b w:val="1"/>
          <w:bCs w:val="1"/>
          <w:color w:val="188038"/>
        </w:rPr>
      </w:pPr>
      <w:r w:rsidDel="00000000" w:rsidR="00000000" w:rsidRPr="00000000">
        <w:rPr>
          <w:b w:val="1"/>
          <w:bCs w:val="1"/>
          <w:rtl w:val="0"/>
        </w:rPr>
        <w:t xml:space="preserve">Author: Lev Goukassian </w:t>
      </w:r>
      <w:r w:rsidDel="00000000" w:rsidR="00000000" w:rsidRPr="00000000">
        <w:rPr>
          <w:rFonts w:ascii="Roboto Mono" w:cs="Roboto Mono" w:eastAsia="Roboto Mono" w:hAnsi="Roboto Mono"/>
          <w:b w:val="1"/>
          <w:bCs w:val="1"/>
          <w:color w:val="188038"/>
          <w:rtl w:val="0"/>
        </w:rPr>
        <w:t xml:space="preserve">(ORCID: 0009-0006-5966-1243)</w:t>
      </w:r>
    </w:p>
    <w:p w:rsidR="00000000" w:rsidDel="00000000" w:rsidP="00000000" w:rsidRDefault="00000000" w:rsidRPr="00000000" w14:paraId="00000006">
      <w:pPr>
        <w:spacing w:after="240" w:before="240" w:line="276" w:lineRule="auto"/>
        <w:jc w:val="cente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07">
      <w:pPr>
        <w:spacing w:after="240" w:before="240" w:line="276" w:lineRule="auto"/>
        <w:jc w:val="center"/>
        <w:rPr>
          <w:b w:val="1"/>
          <w:bCs w:val="1"/>
        </w:rPr>
      </w:pPr>
      <w:r w:rsidDel="00000000" w:rsidR="00000000" w:rsidRPr="00000000">
        <w:rPr>
          <w:b w:val="1"/>
          <w:bCs w:val="1"/>
          <w:rtl w:val="0"/>
        </w:rPr>
        <w:t xml:space="preserve">Date: April 2026</w:t>
      </w:r>
    </w:p>
    <w:p w:rsidR="00000000" w:rsidDel="00000000" w:rsidP="00000000" w:rsidRDefault="00000000" w:rsidRPr="00000000" w14:paraId="00000008">
      <w:pPr>
        <w:spacing w:after="240" w:before="240" w:line="276" w:lineRule="auto"/>
        <w:jc w:val="center"/>
        <w:rPr>
          <w:b w:val="1"/>
          <w:bCs w:val="1"/>
        </w:rPr>
      </w:pPr>
      <w:r w:rsidDel="00000000" w:rsidR="00000000" w:rsidRPr="00000000">
        <w:rPr>
          <w:b w:val="1"/>
          <w:bCs w:val="1"/>
          <w:rtl w:val="0"/>
        </w:rPr>
        <w:t xml:space="preserve">Status: Final Monograph</w:t>
      </w:r>
    </w:p>
    <w:p w:rsidR="00000000" w:rsidDel="00000000" w:rsidP="00000000" w:rsidRDefault="00000000" w:rsidRPr="00000000" w14:paraId="00000009">
      <w:pPr>
        <w:spacing w:after="240" w:before="240" w:line="276" w:lineRule="auto"/>
        <w:jc w:val="center"/>
        <w:rPr>
          <w:b w:val="1"/>
          <w:bCs w:val="1"/>
        </w:rPr>
      </w:pPr>
      <w:r w:rsidDel="00000000" w:rsidR="00000000" w:rsidRPr="00000000">
        <w:rPr>
          <w:b w:val="1"/>
          <w:bCs w:val="1"/>
          <w:rtl w:val="0"/>
        </w:rPr>
        <w:t xml:space="preserve">Classification: Deep Research / Technical Standard</w:t>
      </w:r>
    </w:p>
    <w:p w:rsidR="00000000" w:rsidDel="00000000" w:rsidP="00000000" w:rsidRDefault="00000000" w:rsidRPr="00000000" w14:paraId="0000000A">
      <w:pPr>
        <w:spacing w:after="240" w:before="240" w:line="276" w:lineRule="auto"/>
        <w:jc w:val="center"/>
        <w:rPr>
          <w:b w:val="1"/>
          <w:bCs w:val="1"/>
        </w:rPr>
      </w:pPr>
      <w:r w:rsidDel="00000000" w:rsidR="00000000" w:rsidRPr="00000000">
        <w:rPr>
          <w:b w:val="1"/>
          <w:bCs w:val="1"/>
          <w:rtl w:val="0"/>
        </w:rPr>
        <w:t xml:space="preserve">Document ID: TML-MONOGRAPH-2026-Rev1</w:t>
      </w:r>
    </w:p>
    <w:p w:rsidR="00000000" w:rsidDel="00000000" w:rsidP="00000000" w:rsidRDefault="00000000" w:rsidRPr="00000000" w14:paraId="0000000B">
      <w:pPr>
        <w:spacing w:after="240" w:before="24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0C">
      <w:pPr>
        <w:spacing w:line="276" w:lineRule="auto"/>
        <w:jc w:val="center"/>
        <w:rPr>
          <w:b w:val="1"/>
          <w:bCs w:val="1"/>
        </w:rPr>
      </w:pPr>
      <w:r w:rsidDel="00000000" w:rsidR="00000000" w:rsidRPr="00000000">
        <w:rPr>
          <w:b w:val="1"/>
          <w:bCs w:val="1"/>
          <w:rtl w:val="0"/>
        </w:rPr>
        <w:t xml:space="preserve">Repository: </w:t>
      </w:r>
      <w:hyperlink r:id="rId6">
        <w:r w:rsidDel="00000000" w:rsidR="00000000" w:rsidRPr="00000000">
          <w:rPr>
            <w:b w:val="1"/>
            <w:bCs w:val="1"/>
            <w:color w:val="1155cc"/>
            <w:u w:val="single"/>
            <w:rtl w:val="0"/>
          </w:rPr>
          <w:t xml:space="preserve">FractonicMind/TernaryMoralLogic</w:t>
        </w:r>
      </w:hyperlink>
      <w:r w:rsidDel="00000000" w:rsidR="00000000" w:rsidRPr="00000000">
        <w:rPr>
          <w:rtl w:val="0"/>
        </w:rPr>
      </w:r>
    </w:p>
    <w:p w:rsidR="00000000" w:rsidDel="00000000" w:rsidP="00000000" w:rsidRDefault="00000000" w:rsidRPr="00000000" w14:paraId="0000000D">
      <w:pPr>
        <w:spacing w:line="276" w:lineRule="auto"/>
        <w:rPr>
          <w:b w:val="1"/>
          <w:bCs w:val="1"/>
          <w:sz w:val="18"/>
          <w:szCs w:val="18"/>
        </w:rPr>
      </w:pPr>
      <w:r w:rsidDel="00000000" w:rsidR="00000000" w:rsidRPr="00000000">
        <w:rPr>
          <w:rtl w:val="0"/>
        </w:rPr>
      </w:r>
    </w:p>
    <w:p w:rsidR="00000000" w:rsidDel="00000000" w:rsidP="00000000" w:rsidRDefault="00000000" w:rsidRPr="00000000" w14:paraId="0000000E">
      <w:pPr>
        <w:spacing w:line="276" w:lineRule="auto"/>
        <w:jc w:val="center"/>
        <w:rPr>
          <w:b w:val="1"/>
          <w:bCs w:val="1"/>
        </w:rPr>
      </w:pPr>
      <w:r w:rsidDel="00000000" w:rsidR="00000000" w:rsidRPr="00000000">
        <w:rPr>
          <w:b w:val="1"/>
          <w:bCs w:val="1"/>
          <w:rtl w:val="0"/>
        </w:rPr>
        <w:t xml:space="preserve">DOI 1: </w:t>
      </w:r>
      <w:hyperlink r:id="rId7">
        <w:r w:rsidDel="00000000" w:rsidR="00000000" w:rsidRPr="00000000">
          <w:rPr>
            <w:b w:val="1"/>
            <w:bCs w:val="1"/>
            <w:color w:val="1155cc"/>
            <w:u w:val="single"/>
            <w:rtl w:val="0"/>
          </w:rPr>
          <w:t xml:space="preserve">10.1007/s43681-025-00910-6</w:t>
        </w:r>
      </w:hyperlink>
      <w:r w:rsidDel="00000000" w:rsidR="00000000" w:rsidRPr="00000000">
        <w:rPr>
          <w:rtl w:val="0"/>
        </w:rPr>
      </w:r>
    </w:p>
    <w:p w:rsidR="00000000" w:rsidDel="00000000" w:rsidP="00000000" w:rsidRDefault="00000000" w:rsidRPr="00000000" w14:paraId="0000000F">
      <w:pPr>
        <w:spacing w:line="276" w:lineRule="auto"/>
        <w:jc w:val="center"/>
        <w:rPr>
          <w:b w:val="1"/>
          <w:bCs w:val="1"/>
        </w:rPr>
      </w:pPr>
      <w:r w:rsidDel="00000000" w:rsidR="00000000" w:rsidRPr="00000000">
        <w:rPr>
          <w:b w:val="1"/>
          <w:bCs w:val="1"/>
          <w:rtl w:val="0"/>
        </w:rPr>
        <w:t xml:space="preserve">DOI 2: </w:t>
      </w:r>
      <w:hyperlink r:id="rId8">
        <w:r w:rsidDel="00000000" w:rsidR="00000000" w:rsidRPr="00000000">
          <w:rPr>
            <w:b w:val="1"/>
            <w:bCs w:val="1"/>
            <w:color w:val="1155cc"/>
            <w:u w:val="single"/>
            <w:rtl w:val="0"/>
          </w:rPr>
          <w:t xml:space="preserve">10.1007/s43681-026-01124-0</w:t>
        </w:r>
      </w:hyperlink>
      <w:r w:rsidDel="00000000" w:rsidR="00000000" w:rsidRPr="00000000">
        <w:rPr>
          <w:rtl w:val="0"/>
        </w:rPr>
      </w:r>
    </w:p>
    <w:p w:rsidR="00000000" w:rsidDel="00000000" w:rsidP="00000000" w:rsidRDefault="00000000" w:rsidRPr="00000000" w14:paraId="00000010">
      <w:pPr>
        <w:spacing w:line="276" w:lineRule="auto"/>
        <w:jc w:val="center"/>
        <w:rPr>
          <w:b w:val="1"/>
          <w:bCs w:val="1"/>
        </w:rPr>
      </w:pPr>
      <w:r w:rsidDel="00000000" w:rsidR="00000000" w:rsidRPr="00000000">
        <w:rPr>
          <w:rtl w:val="0"/>
        </w:rPr>
      </w:r>
    </w:p>
    <w:p w:rsidR="00000000" w:rsidDel="00000000" w:rsidP="00000000" w:rsidRDefault="00000000" w:rsidRPr="00000000" w14:paraId="00000011">
      <w:pPr>
        <w:spacing w:after="240" w:before="24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12">
      <w:pPr>
        <w:spacing w:after="240" w:before="240" w:line="276" w:lineRule="auto"/>
        <w:jc w:val="center"/>
        <w:rPr>
          <w:sz w:val="32"/>
          <w:szCs w:val="32"/>
        </w:rPr>
      </w:pPr>
      <w:r w:rsidDel="00000000" w:rsidR="00000000" w:rsidRPr="00000000">
        <w:rPr>
          <w:rtl w:val="0"/>
        </w:rPr>
      </w:r>
    </w:p>
    <w:p w:rsidR="00000000" w:rsidDel="00000000" w:rsidP="00000000" w:rsidRDefault="00000000" w:rsidRPr="00000000" w14:paraId="00000013">
      <w:pPr>
        <w:pStyle w:val="Heading2"/>
        <w:keepNext w:val="0"/>
        <w:keepLines w:val="0"/>
        <w:spacing w:after="0" w:line="276" w:lineRule="auto"/>
        <w:jc w:val="center"/>
        <w:rPr>
          <w:b w:val="0"/>
          <w:bCs w:val="0"/>
          <w:color w:val="666666"/>
          <w:sz w:val="22"/>
          <w:szCs w:val="22"/>
        </w:rPr>
      </w:pPr>
      <w:bookmarkStart w:colFirst="0" w:colLast="0" w:name="_pptl0e69tfb0" w:id="1"/>
      <w:bookmarkEnd w:id="1"/>
      <w:r w:rsidDel="00000000" w:rsidR="00000000" w:rsidRPr="00000000">
        <w:rPr>
          <w:b w:val="0"/>
          <w:bCs w:val="0"/>
          <w:color w:val="666666"/>
          <w:sz w:val="22"/>
          <w:szCs w:val="22"/>
          <w:rtl w:val="0"/>
        </w:rPr>
        <w:t xml:space="preserve">Pause when truth is uncertain. </w:t>
      </w:r>
    </w:p>
    <w:p w:rsidR="00000000" w:rsidDel="00000000" w:rsidP="00000000" w:rsidRDefault="00000000" w:rsidRPr="00000000" w14:paraId="00000014">
      <w:pPr>
        <w:pStyle w:val="Heading5"/>
        <w:spacing w:after="0" w:before="0" w:line="240" w:lineRule="auto"/>
        <w:jc w:val="center"/>
        <w:rPr/>
      </w:pPr>
      <w:bookmarkStart w:colFirst="0" w:colLast="0" w:name="_bbt79tv0yrwz" w:id="2"/>
      <w:bookmarkEnd w:id="2"/>
      <w:r w:rsidDel="00000000" w:rsidR="00000000" w:rsidRPr="00000000">
        <w:rPr>
          <w:rtl w:val="0"/>
        </w:rPr>
        <w:t xml:space="preserve">Refuse when harm is clear. </w:t>
      </w:r>
    </w:p>
    <w:p w:rsidR="00000000" w:rsidDel="00000000" w:rsidP="00000000" w:rsidRDefault="00000000" w:rsidRPr="00000000" w14:paraId="00000015">
      <w:pPr>
        <w:pStyle w:val="Heading5"/>
        <w:spacing w:after="0" w:before="0" w:line="240" w:lineRule="auto"/>
        <w:jc w:val="center"/>
        <w:rPr>
          <w:b w:val="1"/>
          <w:bCs w:val="1"/>
          <w:sz w:val="34"/>
          <w:szCs w:val="34"/>
        </w:rPr>
      </w:pPr>
      <w:bookmarkStart w:colFirst="0" w:colLast="0" w:name="_l6pw384e5gxu" w:id="3"/>
      <w:bookmarkEnd w:id="3"/>
      <w:r w:rsidDel="00000000" w:rsidR="00000000" w:rsidRPr="00000000">
        <w:rPr>
          <w:rtl w:val="0"/>
        </w:rPr>
        <w:t xml:space="preserve">Proceed where truth is.</w:t>
      </w:r>
      <w:r w:rsidDel="00000000" w:rsidR="00000000" w:rsidRPr="00000000">
        <w:rPr>
          <w:rtl w:val="0"/>
        </w:rPr>
      </w:r>
    </w:p>
    <w:p w:rsidR="00000000" w:rsidDel="00000000" w:rsidP="00000000" w:rsidRDefault="00000000" w:rsidRPr="00000000" w14:paraId="00000016">
      <w:pPr>
        <w:pStyle w:val="Heading2"/>
        <w:keepNext w:val="0"/>
        <w:keepLines w:val="0"/>
        <w:spacing w:line="276" w:lineRule="auto"/>
        <w:rPr>
          <w:b w:val="1"/>
          <w:bCs w:val="1"/>
          <w:color w:val="000000"/>
          <w:sz w:val="20"/>
          <w:szCs w:val="20"/>
        </w:rPr>
      </w:pPr>
      <w:bookmarkStart w:colFirst="0" w:colLast="0" w:name="_ukal105b5mec" w:id="4"/>
      <w:bookmarkEnd w:id="4"/>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keepNext w:val="0"/>
        <w:keepLines w:val="0"/>
        <w:rPr>
          <w:color w:val="000000"/>
          <w:sz w:val="34"/>
          <w:szCs w:val="34"/>
        </w:rPr>
      </w:pPr>
      <w:bookmarkStart w:colFirst="0" w:colLast="0" w:name="_bn6n4jebau5i" w:id="5"/>
      <w:bookmarkEnd w:id="5"/>
      <w:r w:rsidDel="00000000" w:rsidR="00000000" w:rsidRPr="00000000">
        <w:rPr>
          <w:color w:val="000000"/>
          <w:sz w:val="34"/>
          <w:szCs w:val="34"/>
          <w:rtl w:val="0"/>
        </w:rPr>
        <w:t xml:space="preserve">Abstract</w:t>
      </w:r>
    </w:p>
    <w:p w:rsidR="00000000" w:rsidDel="00000000" w:rsidP="00000000" w:rsidRDefault="00000000" w:rsidRPr="00000000" w14:paraId="00000018">
      <w:pPr>
        <w:spacing w:after="240" w:before="240" w:lineRule="auto"/>
        <w:rPr/>
      </w:pPr>
      <w:r w:rsidDel="00000000" w:rsidR="00000000" w:rsidRPr="00000000">
        <w:rPr>
          <w:rtl w:val="0"/>
        </w:rPr>
        <w:t xml:space="preserve">The accelerating deployment of artificial intelligence across high-stakes domains: healthcare diagnostics, autonomous weapons systems, judicial sentencing, financial market infrastructure, and mass public administration, has exposed a structural deficiency at the foundation of contemporary algorithmic governance: the tyranny of binary classification. Modern AI systems, regardless of architectural sophistication, ultimately collapse all decision-making into a two-state universe of proceed or halt. This </w:t>
      </w:r>
      <w:r w:rsidDel="00000000" w:rsidR="00000000" w:rsidRPr="00000000">
        <w:rPr>
          <w:b w:val="1"/>
          <w:bCs w:val="1"/>
          <w:rtl w:val="0"/>
        </w:rPr>
        <w:t xml:space="preserve">"Binary Brittleness"</w:t>
      </w:r>
      <w:r w:rsidDel="00000000" w:rsidR="00000000" w:rsidRPr="00000000">
        <w:rPr>
          <w:rtl w:val="0"/>
        </w:rPr>
        <w:t xml:space="preserve"> is not a calibration problem amenable to refined training procedures or improved reward functions; it is an epistemic crisis embedded in the logical substrate itself</w:t>
      </w:r>
      <w:hyperlink r:id="rId9">
        <w:r w:rsidDel="00000000" w:rsidR="00000000" w:rsidRPr="00000000">
          <w:rPr>
            <w:rtl w:val="0"/>
          </w:rPr>
          <w:t xml:space="preserve"> </w:t>
        </w:r>
      </w:hyperlink>
      <w:hyperlink r:id="rId10">
        <w:r w:rsidDel="00000000" w:rsidR="00000000" w:rsidRPr="00000000">
          <w:rPr>
            <w:color w:val="1155cc"/>
            <w:u w:val="single"/>
            <w:rtl w:val="0"/>
          </w:rPr>
          <w:t xml:space="preserve">[1]</w:t>
        </w:r>
      </w:hyperlink>
      <w:r w:rsidDel="00000000" w:rsidR="00000000" w:rsidRPr="00000000">
        <w:rPr>
          <w:rtl w:val="0"/>
        </w:rPr>
        <w:t xml:space="preserve">. When a system encounters genuine moral uncertainty, conflicting mandates, insufficient evidence, out-of-distribution inputs, or situations where the consequences of proceeding incorrectly are severe and irreversible, binary logic provides no mechanism for hesitation. It hallucinates certainty where none exists, and it acts on that hallucination with the full coercive force of automated execution at scale.</w:t>
      </w:r>
    </w:p>
    <w:p w:rsidR="00000000" w:rsidDel="00000000" w:rsidP="00000000" w:rsidRDefault="00000000" w:rsidRPr="00000000" w14:paraId="00000019">
      <w:pPr>
        <w:spacing w:after="240" w:before="240" w:lineRule="auto"/>
        <w:rPr/>
      </w:pPr>
      <w:r w:rsidDel="00000000" w:rsidR="00000000" w:rsidRPr="00000000">
        <w:rPr>
          <w:rtl w:val="0"/>
        </w:rPr>
        <w:t xml:space="preserve">This monograph presents </w:t>
      </w:r>
      <w:r w:rsidDel="00000000" w:rsidR="00000000" w:rsidRPr="00000000">
        <w:rPr>
          <w:b w:val="1"/>
          <w:bCs w:val="1"/>
          <w:rtl w:val="0"/>
        </w:rPr>
        <w:t xml:space="preserve">Ternary Moral Logic (TML)</w:t>
      </w:r>
      <w:r w:rsidDel="00000000" w:rsidR="00000000" w:rsidRPr="00000000">
        <w:rPr>
          <w:rtl w:val="0"/>
        </w:rPr>
        <w:t xml:space="preserve"> as the complete constitutional architecture designed to resolve this crisis across three inseparable and mutually reinforcing layers: software governance philosophy, operational API specification, and hardware-enforced physical substrate. TML introduces a mandatory third logical state, the </w:t>
      </w:r>
      <w:r w:rsidDel="00000000" w:rsidR="00000000" w:rsidRPr="00000000">
        <w:rPr>
          <w:b w:val="1"/>
          <w:bCs w:val="1"/>
          <w:rtl w:val="0"/>
        </w:rPr>
        <w:t xml:space="preserve">Sacred Zero (State 0)</w:t>
      </w:r>
      <w:r w:rsidDel="00000000" w:rsidR="00000000" w:rsidRPr="00000000">
        <w:rPr>
          <w:rtl w:val="0"/>
        </w:rPr>
        <w:t xml:space="preserve">, which physically and cryptographically enforces structured hesitation as a first-class computational requirement. This is not an advisory ethical guideline or a policy overlay; it is a runtime governance kernel whose adoption constitutes ratification of a binding constitutional standard.</w:t>
      </w:r>
    </w:p>
    <w:p w:rsidR="00000000" w:rsidDel="00000000" w:rsidP="00000000" w:rsidRDefault="00000000" w:rsidRPr="00000000" w14:paraId="0000001A">
      <w:pPr>
        <w:spacing w:after="240" w:before="240" w:lineRule="auto"/>
        <w:rPr/>
      </w:pPr>
      <w:r w:rsidDel="00000000" w:rsidR="00000000" w:rsidRPr="00000000">
        <w:rPr>
          <w:rtl w:val="0"/>
        </w:rPr>
        <w:t xml:space="preserve">The foundational design principle of profound practical consequence is this: TML does not replace binary logic. The binary inference engine continues at full speed, handling pattern recognition, statistical throughput, and token generation without modification. In parallel, TML operates as a </w:t>
      </w:r>
      <w:r w:rsidDel="00000000" w:rsidR="00000000" w:rsidRPr="00000000">
        <w:rPr>
          <w:b w:val="1"/>
          <w:bCs w:val="1"/>
          <w:rtl w:val="0"/>
        </w:rPr>
        <w:t xml:space="preserve">sovereign governance coprocessor</w:t>
      </w:r>
      <w:r w:rsidDel="00000000" w:rsidR="00000000" w:rsidRPr="00000000">
        <w:rPr>
          <w:rtl w:val="0"/>
        </w:rPr>
        <w:t xml:space="preserve">, a distinct computational layer running simultaneously on a separate processing lane. The binary system proposes actions. The ternary system dictates whether those actions physically cross the threshold into execution. This coexistence architecture, formalized as the </w:t>
      </w:r>
      <w:r w:rsidDel="00000000" w:rsidR="00000000" w:rsidRPr="00000000">
        <w:rPr>
          <w:b w:val="1"/>
          <w:bCs w:val="1"/>
          <w:rtl w:val="0"/>
        </w:rPr>
        <w:t xml:space="preserve">Dual-Lane Architecture</w:t>
      </w:r>
      <w:r w:rsidDel="00000000" w:rsidR="00000000" w:rsidRPr="00000000">
        <w:rPr>
          <w:rtl w:val="0"/>
        </w:rPr>
        <w:t xml:space="preserve"> with a fast Binary Inference Lane (Lane 1, latency budget &lt; 2ms) and a deliberate Triadic Anchoring Lane (Lane 2, latency budget &lt; 500ms), neutralizes the primary industry objection to governance overhead and establishes TML as implementable within existing infrastructure without requiring the dismantlement of incumbent binary systems.</w:t>
      </w:r>
    </w:p>
    <w:p w:rsidR="00000000" w:rsidDel="00000000" w:rsidP="00000000" w:rsidRDefault="00000000" w:rsidRPr="00000000" w14:paraId="0000001B">
      <w:pPr>
        <w:spacing w:after="240" w:before="240" w:lineRule="auto"/>
        <w:rPr/>
      </w:pPr>
      <w:r w:rsidDel="00000000" w:rsidR="00000000" w:rsidRPr="00000000">
        <w:rPr>
          <w:rtl w:val="0"/>
        </w:rPr>
        <w:t xml:space="preserve">The iron law governing the entire architecture is </w:t>
      </w:r>
      <w:r w:rsidDel="00000000" w:rsidR="00000000" w:rsidRPr="00000000">
        <w:rPr>
          <w:b w:val="1"/>
          <w:bCs w:val="1"/>
          <w:rtl w:val="0"/>
        </w:rPr>
        <w:t xml:space="preserve">"No Log = No Action."</w:t>
      </w:r>
      <w:r w:rsidDel="00000000" w:rsidR="00000000" w:rsidRPr="00000000">
        <w:rPr>
          <w:rtl w:val="0"/>
        </w:rPr>
        <w:t xml:space="preserve"> The Anchoring Lane generates a cryptographic Permission Token only after an immutable Moral Trace Log has been committed and anchored. The actuation layer cannot receive an execution signal without this token. The log hash is the decryption key for the actuator. If the logging subsystem fails, execution is physically impossible. Accountability and action are cryptographically inseparable, enforced simultaneously at the API schema layer and the on-chain ABI layer, and physically enforced at the hardware substrate through Delay Insensitive Ternary Logic (DITL) circuits where the Sacred Zero manifests as a NULL state at half supply voltage (½Vdd), a condition in which no valid token propagates and execution is electrically impossible regardless of what the inference engine has computed.</w:t>
      </w:r>
    </w:p>
    <w:p w:rsidR="00000000" w:rsidDel="00000000" w:rsidP="00000000" w:rsidRDefault="00000000" w:rsidRPr="00000000" w14:paraId="0000001C">
      <w:pPr>
        <w:spacing w:after="240" w:before="240" w:lineRule="auto"/>
        <w:rPr/>
      </w:pPr>
      <w:r w:rsidDel="00000000" w:rsidR="00000000" w:rsidRPr="00000000">
        <w:rPr>
          <w:rtl w:val="0"/>
        </w:rPr>
        <w:t xml:space="preserve">The legal framework is comprehensive: EU AI Act Articles 9, 12, 13, 14, 15, 17, 27, 61, 72, 84, 85, and 99; NIST AI Risk Management Framework; ISO/IEC 42001; U.S. Federal Rules of Evidence 901 and 902(13)/(14); eIDAS Regulation; and Basel III/IV Pillar 3 disclosure requirements. TML satisfies these regulatory frameworks not as a compliance exercise but as a structural consequence of its design, the architecture generates compliance artifacts automatically as operational byproducts, transforming compliance from a retrospective paperwork burden into a real-time cryptographic certainty.</w:t>
      </w:r>
    </w:p>
    <w:p w:rsidR="00000000" w:rsidDel="00000000" w:rsidP="00000000" w:rsidRDefault="00000000" w:rsidRPr="00000000" w14:paraId="0000001D">
      <w:pPr>
        <w:spacing w:after="240" w:before="240" w:lineRule="auto"/>
        <w:rPr/>
      </w:pPr>
      <w:r w:rsidDel="00000000" w:rsidR="00000000" w:rsidRPr="00000000">
        <w:rPr>
          <w:rtl w:val="0"/>
        </w:rPr>
        <w:t xml:space="preserve">The Eight Pillars of enforcement: Sacred Zero, Always Memory, the Goukassian Promise, Moral Trace Logs, Human Rights Mandate, Earth Protection Mandate, Hybrid Shield, and Public Blockchain Anchors, function as the load-bearing infrastructure of the framework. Each pillar is analyzed in terms of its technical mechanism, its legal effect under current and emerging regulatory regimes, its operational consequences for system throughput and architecture, and the specific documented failure modes it is designed to prevent.</w:t>
      </w:r>
    </w:p>
    <w:p w:rsidR="00000000" w:rsidDel="00000000" w:rsidP="00000000" w:rsidRDefault="00000000" w:rsidRPr="00000000" w14:paraId="0000001E">
      <w:pPr>
        <w:spacing w:after="240" w:before="240" w:lineRule="auto"/>
        <w:rPr/>
      </w:pPr>
      <w:r w:rsidDel="00000000" w:rsidR="00000000" w:rsidRPr="00000000">
        <w:rPr>
          <w:rtl w:val="0"/>
        </w:rPr>
        <w:t xml:space="preserve">The hardware enforcement layer, implemented through DITL circuitry and a dedicated triadic coprocessor integrated via chiplet architecture, provides the physical enforcement foundation that distinguishes TML from all prior AI governance frameworks. Software constraints can be bypassed, optimized away, or rewritten by sufficiently capable systems. Physical constraints enforced by circuit topology cannot be. The Sacred Zero at the hardware layer is not a policy that a superintelligent system can argue with; it is an electromagnetic condition that it cannot change.</w:t>
      </w:r>
    </w:p>
    <w:p w:rsidR="00000000" w:rsidDel="00000000" w:rsidP="00000000" w:rsidRDefault="00000000" w:rsidRPr="00000000" w14:paraId="0000001F">
      <w:pPr>
        <w:spacing w:after="240" w:before="240" w:lineRule="auto"/>
        <w:rPr/>
      </w:pPr>
      <w:r w:rsidDel="00000000" w:rsidR="00000000" w:rsidRPr="00000000">
        <w:rPr>
          <w:rtl w:val="0"/>
        </w:rPr>
        <w:t xml:space="preserve">The Goukassian Foundation, chartered as a 501(c)(3) nonprofit corporation with a triadic board structure, serves as the perpetual institutional custodian of the TML Constitution, providing certification architecture, open-source licensing, and succession planning designed to ensure the framework outlasts any individual contributor.</w:t>
      </w:r>
    </w:p>
    <w:p w:rsidR="00000000" w:rsidDel="00000000" w:rsidP="00000000" w:rsidRDefault="00000000" w:rsidRPr="00000000" w14:paraId="00000020">
      <w:pPr>
        <w:pStyle w:val="Heading2"/>
        <w:keepNext w:val="0"/>
        <w:keepLines w:val="0"/>
        <w:rPr>
          <w:color w:val="000000"/>
          <w:sz w:val="34"/>
          <w:szCs w:val="34"/>
        </w:rPr>
      </w:pPr>
      <w:bookmarkStart w:colFirst="0" w:colLast="0" w:name="_5tr44t4ehcwx" w:id="6"/>
      <w:bookmarkEnd w:id="6"/>
      <w:r w:rsidDel="00000000" w:rsidR="00000000" w:rsidRPr="00000000">
        <w:rPr>
          <w:color w:val="000000"/>
          <w:sz w:val="34"/>
          <w:szCs w:val="34"/>
          <w:rtl w:val="0"/>
        </w:rPr>
        <w:t xml:space="preserve">Keywords</w:t>
      </w:r>
    </w:p>
    <w:p w:rsidR="00000000" w:rsidDel="00000000" w:rsidP="00000000" w:rsidRDefault="00000000" w:rsidRPr="00000000" w14:paraId="00000021">
      <w:pPr>
        <w:spacing w:after="240" w:before="240" w:lineRule="auto"/>
        <w:rPr/>
      </w:pPr>
      <w:r w:rsidDel="00000000" w:rsidR="00000000" w:rsidRPr="00000000">
        <w:rPr>
          <w:rtl w:val="0"/>
        </w:rPr>
        <w:t xml:space="preserve">Ternary Moral Logic, Sacred Zero, Binary Brittleness, Dual-Lane Architecture, Delay Insensitive Ternary Logic, DITL, hardware-enforceable governance, constitutional AI, No Log No Action, Moral Trace Logs, Goukassian Promise, sovereign governance coprocessor, Sacred Pause, EU AI Act, Permission Token, Eight Pillars, triadic coprocessor, algorithmic governance, AI liability, immutable evidentiary architecture, human rights mandate, earth protection mandate, Merkle anchoring, cryptographic accountability, post-quantum cryptography, recursive self-improvement safety, epistemic humility, Glass House AI</w:t>
      </w:r>
    </w:p>
    <w:p w:rsidR="00000000" w:rsidDel="00000000" w:rsidP="00000000" w:rsidRDefault="00000000" w:rsidRPr="00000000" w14:paraId="00000022">
      <w:pPr>
        <w:pStyle w:val="Heading2"/>
        <w:keepNext w:val="0"/>
        <w:keepLines w:val="0"/>
        <w:rPr>
          <w:color w:val="000000"/>
          <w:sz w:val="34"/>
          <w:szCs w:val="34"/>
        </w:rPr>
      </w:pPr>
      <w:bookmarkStart w:colFirst="0" w:colLast="0" w:name="_nq83sj3smznn" w:id="7"/>
      <w:bookmarkEnd w:id="7"/>
      <w:r w:rsidDel="00000000" w:rsidR="00000000" w:rsidRPr="00000000">
        <w:br w:type="page"/>
      </w:r>
      <w:r w:rsidDel="00000000" w:rsidR="00000000" w:rsidRPr="00000000">
        <w:rPr>
          <w:rtl w:val="0"/>
        </w:rPr>
      </w:r>
    </w:p>
    <w:sdt>
      <w:sdtPr>
        <w:id w:val="1191275268"/>
        <w:docPartObj>
          <w:docPartGallery w:val="Table of Contents"/>
          <w:docPartUnique w:val="1"/>
        </w:docPartObj>
      </w:sdtPr>
      <w:sdtContent>
        <w:p w:rsidR="00000000" w:rsidDel="00000000" w:rsidP="00000000" w:rsidRDefault="00000000" w:rsidRPr="00000000" w14:paraId="00000023">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b48hdfu3acqs">
            <w:r w:rsidDel="00000000" w:rsidR="00000000" w:rsidRPr="00000000">
              <w:rPr>
                <w:b w:val="1"/>
                <w:bCs w:val="1"/>
                <w:color w:val="000000"/>
                <w:u w:val="none"/>
                <w:rtl w:val="0"/>
              </w:rPr>
              <w:t xml:space="preserve">The Constitutional Architecture for Accountable Artificial Intelligence: From Ethical Framework to Hardware-Enforceable Substrate</w:t>
              <w:tab/>
            </w:r>
          </w:hyperlink>
          <w:r w:rsidDel="00000000" w:rsidR="00000000" w:rsidRPr="00000000">
            <w:fldChar w:fldCharType="begin"/>
            <w:instrText xml:space="preserve"> PAGEREF _b48hdfu3acqs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360" w:firstLine="0"/>
            <w:rPr>
              <w:color w:val="000000"/>
              <w:u w:val="none"/>
            </w:rPr>
          </w:pPr>
          <w:hyperlink w:anchor="_bn6n4jebau5i">
            <w:r w:rsidDel="00000000" w:rsidR="00000000" w:rsidRPr="00000000">
              <w:rPr>
                <w:color w:val="000000"/>
                <w:u w:val="none"/>
                <w:rtl w:val="0"/>
              </w:rPr>
              <w:t xml:space="preserve">Abstract</w:t>
              <w:tab/>
            </w:r>
          </w:hyperlink>
          <w:r w:rsidDel="00000000" w:rsidR="00000000" w:rsidRPr="00000000">
            <w:fldChar w:fldCharType="begin"/>
            <w:instrText xml:space="preserve"> PAGEREF _bn6n4jebau5i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ind w:left="360" w:firstLine="0"/>
            <w:rPr>
              <w:color w:val="000000"/>
              <w:u w:val="none"/>
            </w:rPr>
          </w:pPr>
          <w:hyperlink w:anchor="_5tr44t4ehcwx">
            <w:r w:rsidDel="00000000" w:rsidR="00000000" w:rsidRPr="00000000">
              <w:rPr>
                <w:color w:val="000000"/>
                <w:u w:val="none"/>
                <w:rtl w:val="0"/>
              </w:rPr>
              <w:t xml:space="preserve">Keywords</w:t>
              <w:tab/>
            </w:r>
          </w:hyperlink>
          <w:r w:rsidDel="00000000" w:rsidR="00000000" w:rsidRPr="00000000">
            <w:fldChar w:fldCharType="begin"/>
            <w:instrText xml:space="preserve"> PAGEREF _5tr44t4ehcwx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360" w:firstLine="0"/>
            <w:rPr>
              <w:color w:val="000000"/>
              <w:u w:val="none"/>
            </w:rPr>
          </w:pPr>
          <w:hyperlink w:anchor="_ec6vuntmn012">
            <w:r w:rsidDel="00000000" w:rsidR="00000000" w:rsidRPr="00000000">
              <w:rPr>
                <w:color w:val="000000"/>
                <w:u w:val="none"/>
                <w:rtl w:val="0"/>
              </w:rPr>
              <w:t xml:space="preserve">Section I: The Epistemic Crisis</w:t>
              <w:tab/>
            </w:r>
          </w:hyperlink>
          <w:r w:rsidDel="00000000" w:rsidR="00000000" w:rsidRPr="00000000">
            <w:fldChar w:fldCharType="begin"/>
            <w:instrText xml:space="preserve"> PAGEREF _ec6vuntmn012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720" w:firstLine="0"/>
            <w:rPr>
              <w:color w:val="000000"/>
              <w:u w:val="none"/>
            </w:rPr>
          </w:pPr>
          <w:hyperlink w:anchor="_zf6endlfxsdd">
            <w:r w:rsidDel="00000000" w:rsidR="00000000" w:rsidRPr="00000000">
              <w:rPr>
                <w:color w:val="000000"/>
                <w:u w:val="none"/>
                <w:rtl w:val="0"/>
              </w:rPr>
              <w:t xml:space="preserve">1.1 The Epistemic Crisis of the Binary Machine</w:t>
              <w:tab/>
            </w:r>
          </w:hyperlink>
          <w:r w:rsidDel="00000000" w:rsidR="00000000" w:rsidRPr="00000000">
            <w:fldChar w:fldCharType="begin"/>
            <w:instrText xml:space="preserve"> PAGEREF _zf6endlfxsdd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720" w:firstLine="0"/>
            <w:rPr>
              <w:color w:val="000000"/>
              <w:u w:val="none"/>
            </w:rPr>
          </w:pPr>
          <w:hyperlink w:anchor="_fg0hxm9boje4">
            <w:r w:rsidDel="00000000" w:rsidR="00000000" w:rsidRPr="00000000">
              <w:rPr>
                <w:color w:val="000000"/>
                <w:u w:val="none"/>
                <w:rtl w:val="0"/>
              </w:rPr>
              <w:t xml:space="preserve">1.2 The Goukassian Vow: The Load-Bearing Sentence</w:t>
              <w:tab/>
            </w:r>
          </w:hyperlink>
          <w:r w:rsidDel="00000000" w:rsidR="00000000" w:rsidRPr="00000000">
            <w:fldChar w:fldCharType="begin"/>
            <w:instrText xml:space="preserve"> PAGEREF _fg0hxm9boje4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720" w:firstLine="0"/>
            <w:rPr>
              <w:color w:val="000000"/>
              <w:u w:val="none"/>
            </w:rPr>
          </w:pPr>
          <w:hyperlink w:anchor="_hyfwmov7nkl2">
            <w:r w:rsidDel="00000000" w:rsidR="00000000" w:rsidRPr="00000000">
              <w:rPr>
                <w:color w:val="000000"/>
                <w:u w:val="none"/>
                <w:rtl w:val="0"/>
              </w:rPr>
              <w:t xml:space="preserve">1.3 The Bill Already Rendered: Documented Consequences of Binary Governance</w:t>
              <w:tab/>
            </w:r>
          </w:hyperlink>
          <w:r w:rsidDel="00000000" w:rsidR="00000000" w:rsidRPr="00000000">
            <w:fldChar w:fldCharType="begin"/>
            <w:instrText xml:space="preserve"> PAGEREF _hyfwmov7nkl2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720" w:firstLine="0"/>
            <w:rPr>
              <w:color w:val="000000"/>
              <w:u w:val="none"/>
            </w:rPr>
          </w:pPr>
          <w:hyperlink w:anchor="_5pl4u8fw4bhu">
            <w:r w:rsidDel="00000000" w:rsidR="00000000" w:rsidRPr="00000000">
              <w:rPr>
                <w:color w:val="000000"/>
                <w:u w:val="none"/>
                <w:rtl w:val="0"/>
              </w:rPr>
              <w:t xml:space="preserve">1.4 The Structural Inadequacy: Why Software Governance Cannot Resolve an Architectural Problem</w:t>
              <w:tab/>
            </w:r>
          </w:hyperlink>
          <w:r w:rsidDel="00000000" w:rsidR="00000000" w:rsidRPr="00000000">
            <w:fldChar w:fldCharType="begin"/>
            <w:instrText xml:space="preserve"> PAGEREF _5pl4u8fw4bhu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720" w:firstLine="0"/>
            <w:rPr>
              <w:color w:val="000000"/>
              <w:u w:val="none"/>
            </w:rPr>
          </w:pPr>
          <w:hyperlink w:anchor="_59jijj540upo">
            <w:r w:rsidDel="00000000" w:rsidR="00000000" w:rsidRPr="00000000">
              <w:rPr>
                <w:color w:val="000000"/>
                <w:u w:val="none"/>
                <w:rtl w:val="0"/>
              </w:rPr>
              <w:t xml:space="preserve">1.5 The Coexistence Principle: The Architecture of Parallel Sovereignty</w:t>
              <w:tab/>
            </w:r>
          </w:hyperlink>
          <w:r w:rsidDel="00000000" w:rsidR="00000000" w:rsidRPr="00000000">
            <w:fldChar w:fldCharType="begin"/>
            <w:instrText xml:space="preserve"> PAGEREF _59jijj540upo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720" w:firstLine="0"/>
            <w:rPr>
              <w:color w:val="000000"/>
              <w:u w:val="none"/>
            </w:rPr>
          </w:pPr>
          <w:hyperlink w:anchor="_t3zsbo2ene8y">
            <w:r w:rsidDel="00000000" w:rsidR="00000000" w:rsidRPr="00000000">
              <w:rPr>
                <w:color w:val="000000"/>
                <w:u w:val="none"/>
                <w:rtl w:val="0"/>
              </w:rPr>
              <w:t xml:space="preserve">1.6 The Sacred Zero: Constitutional State, Not Computational Artifact</w:t>
              <w:tab/>
            </w:r>
          </w:hyperlink>
          <w:r w:rsidDel="00000000" w:rsidR="00000000" w:rsidRPr="00000000">
            <w:fldChar w:fldCharType="begin"/>
            <w:instrText xml:space="preserve"> PAGEREF _t3zsbo2ene8y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360" w:firstLine="0"/>
            <w:rPr>
              <w:color w:val="000000"/>
              <w:u w:val="none"/>
            </w:rPr>
          </w:pPr>
          <w:hyperlink w:anchor="_hp5rv5ulotq0">
            <w:r w:rsidDel="00000000" w:rsidR="00000000" w:rsidRPr="00000000">
              <w:rPr>
                <w:color w:val="000000"/>
                <w:u w:val="none"/>
                <w:rtl w:val="0"/>
              </w:rPr>
              <w:t xml:space="preserve">Section II: The Constitutional Architecture</w:t>
              <w:tab/>
            </w:r>
          </w:hyperlink>
          <w:r w:rsidDel="00000000" w:rsidR="00000000" w:rsidRPr="00000000">
            <w:fldChar w:fldCharType="begin"/>
            <w:instrText xml:space="preserve"> PAGEREF _hp5rv5ulotq0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720" w:firstLine="0"/>
            <w:rPr>
              <w:color w:val="000000"/>
              <w:u w:val="none"/>
            </w:rPr>
          </w:pPr>
          <w:hyperlink w:anchor="_il8idljea8da">
            <w:r w:rsidDel="00000000" w:rsidR="00000000" w:rsidRPr="00000000">
              <w:rPr>
                <w:color w:val="000000"/>
                <w:u w:val="none"/>
                <w:rtl w:val="0"/>
              </w:rPr>
              <w:t xml:space="preserve">2.1 The TML Paradigm: From Binary Brittleness to Triadic Sovereignty</w:t>
              <w:tab/>
            </w:r>
          </w:hyperlink>
          <w:r w:rsidDel="00000000" w:rsidR="00000000" w:rsidRPr="00000000">
            <w:fldChar w:fldCharType="begin"/>
            <w:instrText xml:space="preserve"> PAGEREF _il8idljea8da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720" w:firstLine="0"/>
            <w:rPr>
              <w:color w:val="000000"/>
              <w:u w:val="none"/>
            </w:rPr>
          </w:pPr>
          <w:hyperlink w:anchor="_gi5h257uh7td">
            <w:r w:rsidDel="00000000" w:rsidR="00000000" w:rsidRPr="00000000">
              <w:rPr>
                <w:color w:val="000000"/>
                <w:u w:val="none"/>
                <w:rtl w:val="0"/>
              </w:rPr>
              <w:t xml:space="preserve">2.2 The Triadic Logic Core: Three Sovereign States</w:t>
              <w:tab/>
            </w:r>
          </w:hyperlink>
          <w:r w:rsidDel="00000000" w:rsidR="00000000" w:rsidRPr="00000000">
            <w:fldChar w:fldCharType="begin"/>
            <w:instrText xml:space="preserve"> PAGEREF _gi5h257uh7td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1080" w:firstLine="0"/>
            <w:rPr>
              <w:color w:val="000000"/>
              <w:u w:val="none"/>
            </w:rPr>
          </w:pPr>
          <w:hyperlink w:anchor="_a6nad39czp7x">
            <w:r w:rsidDel="00000000" w:rsidR="00000000" w:rsidRPr="00000000">
              <w:rPr>
                <w:color w:val="000000"/>
                <w:u w:val="none"/>
                <w:rtl w:val="0"/>
              </w:rPr>
              <w:t xml:space="preserve">2.2.1 State +1: The Pathway of Verified Action</w:t>
              <w:tab/>
            </w:r>
          </w:hyperlink>
          <w:r w:rsidDel="00000000" w:rsidR="00000000" w:rsidRPr="00000000">
            <w:fldChar w:fldCharType="begin"/>
            <w:instrText xml:space="preserve"> PAGEREF _a6nad39czp7x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1080" w:firstLine="0"/>
            <w:rPr>
              <w:color w:val="000000"/>
              <w:u w:val="none"/>
            </w:rPr>
          </w:pPr>
          <w:hyperlink w:anchor="_8npu034ousg4">
            <w:r w:rsidDel="00000000" w:rsidR="00000000" w:rsidRPr="00000000">
              <w:rPr>
                <w:color w:val="000000"/>
                <w:u w:val="none"/>
                <w:rtl w:val="0"/>
              </w:rPr>
              <w:t xml:space="preserve">2.2.2 State −1: The Pathway of Active Protection</w:t>
              <w:tab/>
            </w:r>
          </w:hyperlink>
          <w:r w:rsidDel="00000000" w:rsidR="00000000" w:rsidRPr="00000000">
            <w:fldChar w:fldCharType="begin"/>
            <w:instrText xml:space="preserve"> PAGEREF _8npu034ousg4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1080" w:firstLine="0"/>
            <w:rPr>
              <w:color w:val="000000"/>
              <w:u w:val="none"/>
            </w:rPr>
          </w:pPr>
          <w:hyperlink w:anchor="_8vzr0xfx42k6">
            <w:r w:rsidDel="00000000" w:rsidR="00000000" w:rsidRPr="00000000">
              <w:rPr>
                <w:color w:val="000000"/>
                <w:u w:val="none"/>
                <w:rtl w:val="0"/>
              </w:rPr>
              <w:t xml:space="preserve">2.2.3 State 0: The Sacred Zero, The Pathway of Wisdom</w:t>
              <w:tab/>
            </w:r>
          </w:hyperlink>
          <w:r w:rsidDel="00000000" w:rsidR="00000000" w:rsidRPr="00000000">
            <w:fldChar w:fldCharType="begin"/>
            <w:instrText xml:space="preserve"> PAGEREF _8vzr0xfx42k6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ind w:left="720" w:firstLine="0"/>
            <w:rPr>
              <w:color w:val="000000"/>
              <w:u w:val="none"/>
            </w:rPr>
          </w:pPr>
          <w:hyperlink w:anchor="_tvglq4fdkgor">
            <w:r w:rsidDel="00000000" w:rsidR="00000000" w:rsidRPr="00000000">
              <w:rPr>
                <w:color w:val="000000"/>
                <w:u w:val="none"/>
                <w:rtl w:val="0"/>
              </w:rPr>
              <w:t xml:space="preserve">2.3 The Dual-Lane Architecture: Operational Implementation</w:t>
              <w:tab/>
            </w:r>
          </w:hyperlink>
          <w:r w:rsidDel="00000000" w:rsidR="00000000" w:rsidRPr="00000000">
            <w:fldChar w:fldCharType="begin"/>
            <w:instrText xml:space="preserve"> PAGEREF _tvglq4fdkgor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1080" w:firstLine="0"/>
            <w:rPr>
              <w:color w:val="000000"/>
              <w:u w:val="none"/>
            </w:rPr>
          </w:pPr>
          <w:hyperlink w:anchor="_7q7z82hob0ic">
            <w:r w:rsidDel="00000000" w:rsidR="00000000" w:rsidRPr="00000000">
              <w:rPr>
                <w:color w:val="000000"/>
                <w:u w:val="none"/>
                <w:rtl w:val="0"/>
              </w:rPr>
              <w:t xml:space="preserve">2.3.1 Lane 1: The Binary Inference Lane (Fast Path)</w:t>
              <w:tab/>
            </w:r>
          </w:hyperlink>
          <w:r w:rsidDel="00000000" w:rsidR="00000000" w:rsidRPr="00000000">
            <w:fldChar w:fldCharType="begin"/>
            <w:instrText xml:space="preserve"> PAGEREF _7q7z82hob0ic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ind w:left="1080" w:firstLine="0"/>
            <w:rPr>
              <w:color w:val="000000"/>
              <w:u w:val="none"/>
            </w:rPr>
          </w:pPr>
          <w:hyperlink w:anchor="_qelcm87w6tde">
            <w:r w:rsidDel="00000000" w:rsidR="00000000" w:rsidRPr="00000000">
              <w:rPr>
                <w:color w:val="000000"/>
                <w:u w:val="none"/>
                <w:rtl w:val="0"/>
              </w:rPr>
              <w:t xml:space="preserve">2.3.2 Lane 2: The Triadic Anchoring Lane (Governance Path)</w:t>
              <w:tab/>
            </w:r>
          </w:hyperlink>
          <w:r w:rsidDel="00000000" w:rsidR="00000000" w:rsidRPr="00000000">
            <w:fldChar w:fldCharType="begin"/>
            <w:instrText xml:space="preserve"> PAGEREF _qelcm87w6tde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1080" w:firstLine="0"/>
            <w:rPr>
              <w:color w:val="000000"/>
              <w:u w:val="none"/>
            </w:rPr>
          </w:pPr>
          <w:hyperlink w:anchor="_8iqx6fedn2pe">
            <w:r w:rsidDel="00000000" w:rsidR="00000000" w:rsidRPr="00000000">
              <w:rPr>
                <w:color w:val="000000"/>
                <w:u w:val="none"/>
                <w:rtl w:val="0"/>
              </w:rPr>
              <w:t xml:space="preserve">2.3.3 The "No Log = No Action" Interlock Mechanism</w:t>
              <w:tab/>
            </w:r>
          </w:hyperlink>
          <w:r w:rsidDel="00000000" w:rsidR="00000000" w:rsidRPr="00000000">
            <w:fldChar w:fldCharType="begin"/>
            <w:instrText xml:space="preserve"> PAGEREF _8iqx6fedn2pe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ind w:left="720" w:firstLine="0"/>
            <w:rPr>
              <w:color w:val="000000"/>
              <w:u w:val="none"/>
            </w:rPr>
          </w:pPr>
          <w:hyperlink w:anchor="_5kl7o52omhci">
            <w:r w:rsidDel="00000000" w:rsidR="00000000" w:rsidRPr="00000000">
              <w:rPr>
                <w:color w:val="000000"/>
                <w:u w:val="none"/>
                <w:rtl w:val="0"/>
              </w:rPr>
              <w:t xml:space="preserve">2.4 The Eight Pillars of Enforcement</w:t>
              <w:tab/>
            </w:r>
          </w:hyperlink>
          <w:r w:rsidDel="00000000" w:rsidR="00000000" w:rsidRPr="00000000">
            <w:fldChar w:fldCharType="begin"/>
            <w:instrText xml:space="preserve"> PAGEREF _5kl7o52omhci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ind w:left="720" w:firstLine="0"/>
            <w:rPr>
              <w:color w:val="000000"/>
              <w:u w:val="none"/>
            </w:rPr>
          </w:pPr>
          <w:hyperlink w:anchor="_2oe5wd5mzu5v">
            <w:r w:rsidDel="00000000" w:rsidR="00000000" w:rsidRPr="00000000">
              <w:rPr>
                <w:color w:val="000000"/>
                <w:u w:val="none"/>
                <w:rtl w:val="0"/>
              </w:rPr>
              <w:t xml:space="preserve">2.5 The Goukassian Promise: The Binding Covenant</w:t>
              <w:tab/>
            </w:r>
          </w:hyperlink>
          <w:r w:rsidDel="00000000" w:rsidR="00000000" w:rsidRPr="00000000">
            <w:fldChar w:fldCharType="begin"/>
            <w:instrText xml:space="preserve"> PAGEREF _2oe5wd5mzu5v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40" w:lineRule="auto"/>
            <w:ind w:left="720" w:firstLine="0"/>
            <w:rPr>
              <w:color w:val="000000"/>
              <w:u w:val="none"/>
            </w:rPr>
          </w:pPr>
          <w:hyperlink w:anchor="_lzaa0xk81ra0">
            <w:r w:rsidDel="00000000" w:rsidR="00000000" w:rsidRPr="00000000">
              <w:rPr>
                <w:color w:val="000000"/>
                <w:u w:val="none"/>
                <w:rtl w:val="0"/>
              </w:rPr>
              <w:t xml:space="preserve">2.6 Performance Model: The Economics of Governed Inference</w:t>
              <w:tab/>
            </w:r>
          </w:hyperlink>
          <w:r w:rsidDel="00000000" w:rsidR="00000000" w:rsidRPr="00000000">
            <w:fldChar w:fldCharType="begin"/>
            <w:instrText xml:space="preserve"> PAGEREF _lzaa0xk81ra0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240" w:lineRule="auto"/>
            <w:ind w:left="360" w:firstLine="0"/>
            <w:rPr>
              <w:color w:val="000000"/>
              <w:u w:val="none"/>
            </w:rPr>
          </w:pPr>
          <w:hyperlink w:anchor="_1fk8gxxmgc4p">
            <w:r w:rsidDel="00000000" w:rsidR="00000000" w:rsidRPr="00000000">
              <w:rPr>
                <w:color w:val="000000"/>
                <w:u w:val="none"/>
                <w:rtl w:val="0"/>
              </w:rPr>
              <w:t xml:space="preserve">Section III: The Eight Pillars of Constitutional AI</w:t>
              <w:tab/>
            </w:r>
          </w:hyperlink>
          <w:r w:rsidDel="00000000" w:rsidR="00000000" w:rsidRPr="00000000">
            <w:fldChar w:fldCharType="begin"/>
            <w:instrText xml:space="preserve"> PAGEREF _1fk8gxxmgc4p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240" w:lineRule="auto"/>
            <w:ind w:left="720" w:firstLine="0"/>
            <w:rPr>
              <w:color w:val="000000"/>
              <w:u w:val="none"/>
            </w:rPr>
          </w:pPr>
          <w:hyperlink w:anchor="_mh332sxbq8va">
            <w:r w:rsidDel="00000000" w:rsidR="00000000" w:rsidRPr="00000000">
              <w:rPr>
                <w:color w:val="000000"/>
                <w:u w:val="none"/>
                <w:rtl w:val="0"/>
              </w:rPr>
              <w:t xml:space="preserve">3.0 Introduction: The Architecture of Constitutional Enforcement</w:t>
              <w:tab/>
            </w:r>
          </w:hyperlink>
          <w:r w:rsidDel="00000000" w:rsidR="00000000" w:rsidRPr="00000000">
            <w:fldChar w:fldCharType="begin"/>
            <w:instrText xml:space="preserve"> PAGEREF _mh332sxbq8va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240" w:lineRule="auto"/>
            <w:ind w:left="720" w:firstLine="0"/>
            <w:rPr>
              <w:color w:val="000000"/>
              <w:u w:val="none"/>
            </w:rPr>
          </w:pPr>
          <w:hyperlink w:anchor="_8fveaheqm4tb">
            <w:r w:rsidDel="00000000" w:rsidR="00000000" w:rsidRPr="00000000">
              <w:rPr>
                <w:color w:val="000000"/>
                <w:u w:val="none"/>
                <w:rtl w:val="0"/>
              </w:rPr>
              <w:t xml:space="preserve">3.1 Pillar I: The Sacred Zero (The Architecture of Epistemic Humility)</w:t>
              <w:tab/>
            </w:r>
          </w:hyperlink>
          <w:r w:rsidDel="00000000" w:rsidR="00000000" w:rsidRPr="00000000">
            <w:fldChar w:fldCharType="begin"/>
            <w:instrText xml:space="preserve"> PAGEREF _8fveaheqm4tb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240" w:lineRule="auto"/>
            <w:ind w:left="1080" w:firstLine="0"/>
            <w:rPr>
              <w:color w:val="000000"/>
              <w:u w:val="none"/>
            </w:rPr>
          </w:pPr>
          <w:hyperlink w:anchor="_fzx6m5baht9d">
            <w:r w:rsidDel="00000000" w:rsidR="00000000" w:rsidRPr="00000000">
              <w:rPr>
                <w:color w:val="000000"/>
                <w:u w:val="none"/>
                <w:rtl w:val="0"/>
              </w:rPr>
              <w:t xml:space="preserve">3.1.1 Purpose and Philosophy</w:t>
              <w:tab/>
            </w:r>
          </w:hyperlink>
          <w:r w:rsidDel="00000000" w:rsidR="00000000" w:rsidRPr="00000000">
            <w:fldChar w:fldCharType="begin"/>
            <w:instrText xml:space="preserve"> PAGEREF _fzx6m5baht9d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240" w:lineRule="auto"/>
            <w:ind w:left="1080" w:firstLine="0"/>
            <w:rPr>
              <w:color w:val="000000"/>
              <w:u w:val="none"/>
            </w:rPr>
          </w:pPr>
          <w:hyperlink w:anchor="_gabid0ntd1qo">
            <w:r w:rsidDel="00000000" w:rsidR="00000000" w:rsidRPr="00000000">
              <w:rPr>
                <w:color w:val="000000"/>
                <w:u w:val="none"/>
                <w:rtl w:val="0"/>
              </w:rPr>
              <w:t xml:space="preserve">3.1.2 Technical Mechanisms: Vector Ambiguity, Semaphore Logic, and Dual-Lane Routing</w:t>
              <w:tab/>
            </w:r>
          </w:hyperlink>
          <w:r w:rsidDel="00000000" w:rsidR="00000000" w:rsidRPr="00000000">
            <w:fldChar w:fldCharType="begin"/>
            <w:instrText xml:space="preserve"> PAGEREF _gabid0ntd1qo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240" w:lineRule="auto"/>
            <w:ind w:left="1080" w:firstLine="0"/>
            <w:rPr>
              <w:color w:val="000000"/>
              <w:u w:val="none"/>
            </w:rPr>
          </w:pPr>
          <w:hyperlink w:anchor="_9jt8iulqkscb">
            <w:r w:rsidDel="00000000" w:rsidR="00000000" w:rsidRPr="00000000">
              <w:rPr>
                <w:color w:val="000000"/>
                <w:u w:val="none"/>
                <w:rtl w:val="0"/>
              </w:rPr>
              <w:t xml:space="preserve">3.1.3 Legal Effect: The Technological Injunction</w:t>
              <w:tab/>
            </w:r>
          </w:hyperlink>
          <w:r w:rsidDel="00000000" w:rsidR="00000000" w:rsidRPr="00000000">
            <w:fldChar w:fldCharType="begin"/>
            <w:instrText xml:space="preserve"> PAGEREF _9jt8iulqkscb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240" w:lineRule="auto"/>
            <w:ind w:left="1080" w:firstLine="0"/>
            <w:rPr>
              <w:color w:val="000000"/>
              <w:u w:val="none"/>
            </w:rPr>
          </w:pPr>
          <w:hyperlink w:anchor="_gqwxzfctoc8t">
            <w:r w:rsidDel="00000000" w:rsidR="00000000" w:rsidRPr="00000000">
              <w:rPr>
                <w:color w:val="000000"/>
                <w:u w:val="none"/>
                <w:rtl w:val="0"/>
              </w:rPr>
              <w:t xml:space="preserve">3.1.4 Operational Consequences</w:t>
              <w:tab/>
            </w:r>
          </w:hyperlink>
          <w:r w:rsidDel="00000000" w:rsidR="00000000" w:rsidRPr="00000000">
            <w:fldChar w:fldCharType="begin"/>
            <w:instrText xml:space="preserve"> PAGEREF _gqwxzfctoc8t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240" w:lineRule="auto"/>
            <w:ind w:left="1080" w:firstLine="0"/>
            <w:rPr>
              <w:color w:val="000000"/>
              <w:u w:val="none"/>
            </w:rPr>
          </w:pPr>
          <w:hyperlink w:anchor="_ln6640syc2vb">
            <w:r w:rsidDel="00000000" w:rsidR="00000000" w:rsidRPr="00000000">
              <w:rPr>
                <w:color w:val="000000"/>
                <w:u w:val="none"/>
                <w:rtl w:val="0"/>
              </w:rPr>
              <w:t xml:space="preserve">3.1.5 Failure Cases Prevented</w:t>
              <w:tab/>
            </w:r>
          </w:hyperlink>
          <w:r w:rsidDel="00000000" w:rsidR="00000000" w:rsidRPr="00000000">
            <w:fldChar w:fldCharType="begin"/>
            <w:instrText xml:space="preserve"> PAGEREF _ln6640syc2vb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240" w:lineRule="auto"/>
            <w:ind w:left="1080" w:firstLine="0"/>
            <w:rPr>
              <w:color w:val="000000"/>
              <w:u w:val="none"/>
            </w:rPr>
          </w:pPr>
          <w:hyperlink w:anchor="_hnlx9g3xva4h">
            <w:r w:rsidDel="00000000" w:rsidR="00000000" w:rsidRPr="00000000">
              <w:rPr>
                <w:color w:val="000000"/>
                <w:u w:val="none"/>
                <w:rtl w:val="0"/>
              </w:rPr>
              <w:t xml:space="preserve">3.1.6 Measurable Outputs</w:t>
              <w:tab/>
            </w:r>
          </w:hyperlink>
          <w:r w:rsidDel="00000000" w:rsidR="00000000" w:rsidRPr="00000000">
            <w:fldChar w:fldCharType="begin"/>
            <w:instrText xml:space="preserve"> PAGEREF _hnlx9g3xva4h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240" w:lineRule="auto"/>
            <w:ind w:left="720" w:firstLine="0"/>
            <w:rPr>
              <w:color w:val="000000"/>
              <w:u w:val="none"/>
            </w:rPr>
          </w:pPr>
          <w:hyperlink w:anchor="_bw1gzi7xy8ei">
            <w:r w:rsidDel="00000000" w:rsidR="00000000" w:rsidRPr="00000000">
              <w:rPr>
                <w:color w:val="000000"/>
                <w:u w:val="none"/>
                <w:rtl w:val="0"/>
              </w:rPr>
              <w:t xml:space="preserve">3.2 Pillar II: Always Memory (The Persistence of Act)</w:t>
              <w:tab/>
            </w:r>
          </w:hyperlink>
          <w:r w:rsidDel="00000000" w:rsidR="00000000" w:rsidRPr="00000000">
            <w:fldChar w:fldCharType="begin"/>
            <w:instrText xml:space="preserve"> PAGEREF _bw1gzi7xy8ei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240" w:lineRule="auto"/>
            <w:ind w:left="1080" w:firstLine="0"/>
            <w:rPr>
              <w:color w:val="000000"/>
              <w:u w:val="none"/>
            </w:rPr>
          </w:pPr>
          <w:hyperlink w:anchor="_8gf8bcj4kvla">
            <w:r w:rsidDel="00000000" w:rsidR="00000000" w:rsidRPr="00000000">
              <w:rPr>
                <w:color w:val="000000"/>
                <w:u w:val="none"/>
                <w:rtl w:val="0"/>
              </w:rPr>
              <w:t xml:space="preserve">3.2.1 Purpose and Philosophy</w:t>
              <w:tab/>
            </w:r>
          </w:hyperlink>
          <w:r w:rsidDel="00000000" w:rsidR="00000000" w:rsidRPr="00000000">
            <w:fldChar w:fldCharType="begin"/>
            <w:instrText xml:space="preserve"> PAGEREF _8gf8bcj4kvla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240" w:lineRule="auto"/>
            <w:ind w:left="1080" w:firstLine="0"/>
            <w:rPr>
              <w:color w:val="000000"/>
              <w:u w:val="none"/>
            </w:rPr>
          </w:pPr>
          <w:hyperlink w:anchor="_kj8cues1wx1d">
            <w:r w:rsidDel="00000000" w:rsidR="00000000" w:rsidRPr="00000000">
              <w:rPr>
                <w:color w:val="000000"/>
                <w:u w:val="none"/>
                <w:rtl w:val="0"/>
              </w:rPr>
              <w:t xml:space="preserve">3.2.2 Technical Mechanisms: Cryptographic Pre-Commitment</w:t>
              <w:tab/>
            </w:r>
          </w:hyperlink>
          <w:r w:rsidDel="00000000" w:rsidR="00000000" w:rsidRPr="00000000">
            <w:fldChar w:fldCharType="begin"/>
            <w:instrText xml:space="preserve"> PAGEREF _kj8cues1wx1d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240" w:lineRule="auto"/>
            <w:ind w:left="1080" w:firstLine="0"/>
            <w:rPr>
              <w:color w:val="000000"/>
              <w:u w:val="none"/>
            </w:rPr>
          </w:pPr>
          <w:hyperlink w:anchor="_50wuit85t21x">
            <w:r w:rsidDel="00000000" w:rsidR="00000000" w:rsidRPr="00000000">
              <w:rPr>
                <w:color w:val="000000"/>
                <w:u w:val="none"/>
                <w:rtl w:val="0"/>
              </w:rPr>
              <w:t xml:space="preserve">3.2.3 Legal Effect: Spoliation, Mens Rea, and the Burden of Proof</w:t>
              <w:tab/>
            </w:r>
          </w:hyperlink>
          <w:r w:rsidDel="00000000" w:rsidR="00000000" w:rsidRPr="00000000">
            <w:fldChar w:fldCharType="begin"/>
            <w:instrText xml:space="preserve"> PAGEREF _50wuit85t21x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240" w:lineRule="auto"/>
            <w:ind w:left="1080" w:firstLine="0"/>
            <w:rPr>
              <w:color w:val="000000"/>
              <w:u w:val="none"/>
            </w:rPr>
          </w:pPr>
          <w:hyperlink w:anchor="_nnah26qy0r3e">
            <w:r w:rsidDel="00000000" w:rsidR="00000000" w:rsidRPr="00000000">
              <w:rPr>
                <w:color w:val="000000"/>
                <w:u w:val="none"/>
                <w:rtl w:val="0"/>
              </w:rPr>
              <w:t xml:space="preserve">3.2.4 Operational Consequences</w:t>
              <w:tab/>
            </w:r>
          </w:hyperlink>
          <w:r w:rsidDel="00000000" w:rsidR="00000000" w:rsidRPr="00000000">
            <w:fldChar w:fldCharType="begin"/>
            <w:instrText xml:space="preserve"> PAGEREF _nnah26qy0r3e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240" w:lineRule="auto"/>
            <w:ind w:left="1080" w:firstLine="0"/>
            <w:rPr>
              <w:color w:val="000000"/>
              <w:u w:val="none"/>
            </w:rPr>
          </w:pPr>
          <w:hyperlink w:anchor="_7uqf23ae16h9">
            <w:r w:rsidDel="00000000" w:rsidR="00000000" w:rsidRPr="00000000">
              <w:rPr>
                <w:color w:val="000000"/>
                <w:u w:val="none"/>
                <w:rtl w:val="0"/>
              </w:rPr>
              <w:t xml:space="preserve">3.2.5 Failure Cases Prevented</w:t>
              <w:tab/>
            </w:r>
          </w:hyperlink>
          <w:r w:rsidDel="00000000" w:rsidR="00000000" w:rsidRPr="00000000">
            <w:fldChar w:fldCharType="begin"/>
            <w:instrText xml:space="preserve"> PAGEREF _7uqf23ae16h9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240" w:lineRule="auto"/>
            <w:ind w:left="1080" w:firstLine="0"/>
            <w:rPr>
              <w:color w:val="000000"/>
              <w:u w:val="none"/>
            </w:rPr>
          </w:pPr>
          <w:hyperlink w:anchor="_px9l5dz4yevb">
            <w:r w:rsidDel="00000000" w:rsidR="00000000" w:rsidRPr="00000000">
              <w:rPr>
                <w:color w:val="000000"/>
                <w:u w:val="none"/>
                <w:rtl w:val="0"/>
              </w:rPr>
              <w:t xml:space="preserve">3.2.6 Measurable Outputs</w:t>
              <w:tab/>
            </w:r>
          </w:hyperlink>
          <w:r w:rsidDel="00000000" w:rsidR="00000000" w:rsidRPr="00000000">
            <w:fldChar w:fldCharType="begin"/>
            <w:instrText xml:space="preserve"> PAGEREF _px9l5dz4yevb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240" w:lineRule="auto"/>
            <w:ind w:left="720" w:firstLine="0"/>
            <w:rPr>
              <w:color w:val="000000"/>
              <w:u w:val="none"/>
            </w:rPr>
          </w:pPr>
          <w:hyperlink w:anchor="_9fttbadawri">
            <w:r w:rsidDel="00000000" w:rsidR="00000000" w:rsidRPr="00000000">
              <w:rPr>
                <w:color w:val="000000"/>
                <w:u w:val="none"/>
                <w:rtl w:val="0"/>
              </w:rPr>
              <w:t xml:space="preserve">3.3 Pillar III: The Goukassian Promise (The Constitutional Bond)</w:t>
              <w:tab/>
            </w:r>
          </w:hyperlink>
          <w:r w:rsidDel="00000000" w:rsidR="00000000" w:rsidRPr="00000000">
            <w:fldChar w:fldCharType="begin"/>
            <w:instrText xml:space="preserve"> PAGEREF _9fttbadawri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before="60" w:line="240" w:lineRule="auto"/>
            <w:ind w:left="1080" w:firstLine="0"/>
            <w:rPr>
              <w:color w:val="000000"/>
              <w:u w:val="none"/>
            </w:rPr>
          </w:pPr>
          <w:hyperlink w:anchor="_mxwsdldz4tdt">
            <w:r w:rsidDel="00000000" w:rsidR="00000000" w:rsidRPr="00000000">
              <w:rPr>
                <w:color w:val="000000"/>
                <w:u w:val="none"/>
                <w:rtl w:val="0"/>
              </w:rPr>
              <w:t xml:space="preserve">3.3.1 Purpose and Philosophy</w:t>
              <w:tab/>
            </w:r>
          </w:hyperlink>
          <w:r w:rsidDel="00000000" w:rsidR="00000000" w:rsidRPr="00000000">
            <w:fldChar w:fldCharType="begin"/>
            <w:instrText xml:space="preserve"> PAGEREF _mxwsdldz4tdt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before="60" w:line="240" w:lineRule="auto"/>
            <w:ind w:left="1080" w:firstLine="0"/>
            <w:rPr>
              <w:color w:val="000000"/>
              <w:u w:val="none"/>
            </w:rPr>
          </w:pPr>
          <w:hyperlink w:anchor="_tuh9ojsn2jz7">
            <w:r w:rsidDel="00000000" w:rsidR="00000000" w:rsidRPr="00000000">
              <w:rPr>
                <w:color w:val="000000"/>
                <w:u w:val="none"/>
                <w:rtl w:val="0"/>
              </w:rPr>
              <w:t xml:space="preserve">3.3.2 Technical Mechanisms: Lantern, Signature, and License</w:t>
              <w:tab/>
            </w:r>
          </w:hyperlink>
          <w:r w:rsidDel="00000000" w:rsidR="00000000" w:rsidRPr="00000000">
            <w:fldChar w:fldCharType="begin"/>
            <w:instrText xml:space="preserve"> PAGEREF _tuh9ojsn2jz7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before="60" w:line="240" w:lineRule="auto"/>
            <w:ind w:left="1080" w:firstLine="0"/>
            <w:rPr>
              <w:color w:val="000000"/>
              <w:u w:val="none"/>
            </w:rPr>
          </w:pPr>
          <w:hyperlink w:anchor="_4aj34xpf9i1w">
            <w:r w:rsidDel="00000000" w:rsidR="00000000" w:rsidRPr="00000000">
              <w:rPr>
                <w:color w:val="000000"/>
                <w:u w:val="none"/>
                <w:rtl w:val="0"/>
              </w:rPr>
              <w:t xml:space="preserve">3.3.3 Legal Effect</w:t>
              <w:tab/>
            </w:r>
          </w:hyperlink>
          <w:r w:rsidDel="00000000" w:rsidR="00000000" w:rsidRPr="00000000">
            <w:fldChar w:fldCharType="begin"/>
            <w:instrText xml:space="preserve"> PAGEREF _4aj34xpf9i1w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before="60" w:line="240" w:lineRule="auto"/>
            <w:ind w:left="1080" w:firstLine="0"/>
            <w:rPr>
              <w:color w:val="000000"/>
              <w:u w:val="none"/>
            </w:rPr>
          </w:pPr>
          <w:hyperlink w:anchor="_ssjiub3hut6d">
            <w:r w:rsidDel="00000000" w:rsidR="00000000" w:rsidRPr="00000000">
              <w:rPr>
                <w:color w:val="000000"/>
                <w:u w:val="none"/>
                <w:rtl w:val="0"/>
              </w:rPr>
              <w:t xml:space="preserve">3.3.4 Operational Consequences</w:t>
              <w:tab/>
            </w:r>
          </w:hyperlink>
          <w:r w:rsidDel="00000000" w:rsidR="00000000" w:rsidRPr="00000000">
            <w:fldChar w:fldCharType="begin"/>
            <w:instrText xml:space="preserve"> PAGEREF _ssjiub3hut6d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240" w:lineRule="auto"/>
            <w:ind w:left="1080" w:firstLine="0"/>
            <w:rPr>
              <w:color w:val="000000"/>
              <w:u w:val="none"/>
            </w:rPr>
          </w:pPr>
          <w:hyperlink w:anchor="_4xpcvi19c2wr">
            <w:r w:rsidDel="00000000" w:rsidR="00000000" w:rsidRPr="00000000">
              <w:rPr>
                <w:color w:val="000000"/>
                <w:u w:val="none"/>
                <w:rtl w:val="0"/>
              </w:rPr>
              <w:t xml:space="preserve">3.3.5 Failure Cases Prevented</w:t>
              <w:tab/>
            </w:r>
          </w:hyperlink>
          <w:r w:rsidDel="00000000" w:rsidR="00000000" w:rsidRPr="00000000">
            <w:fldChar w:fldCharType="begin"/>
            <w:instrText xml:space="preserve"> PAGEREF _4xpcvi19c2wr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before="60" w:line="240" w:lineRule="auto"/>
            <w:ind w:left="1080" w:firstLine="0"/>
            <w:rPr>
              <w:color w:val="000000"/>
              <w:u w:val="none"/>
            </w:rPr>
          </w:pPr>
          <w:hyperlink w:anchor="_1hiludowpc44">
            <w:r w:rsidDel="00000000" w:rsidR="00000000" w:rsidRPr="00000000">
              <w:rPr>
                <w:color w:val="000000"/>
                <w:u w:val="none"/>
                <w:rtl w:val="0"/>
              </w:rPr>
              <w:t xml:space="preserve">3.3.6 Measurable Outputs</w:t>
              <w:tab/>
            </w:r>
          </w:hyperlink>
          <w:r w:rsidDel="00000000" w:rsidR="00000000" w:rsidRPr="00000000">
            <w:fldChar w:fldCharType="begin"/>
            <w:instrText xml:space="preserve"> PAGEREF _1hiludowpc44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before="60" w:line="240" w:lineRule="auto"/>
            <w:ind w:left="720" w:firstLine="0"/>
            <w:rPr>
              <w:color w:val="000000"/>
              <w:u w:val="none"/>
            </w:rPr>
          </w:pPr>
          <w:hyperlink w:anchor="_yzk2r8847trb">
            <w:r w:rsidDel="00000000" w:rsidR="00000000" w:rsidRPr="00000000">
              <w:rPr>
                <w:color w:val="000000"/>
                <w:u w:val="none"/>
                <w:rtl w:val="0"/>
              </w:rPr>
              <w:t xml:space="preserve">3.4 Pillar IV: Moral Trace Logs (The Forensic Record)</w:t>
              <w:tab/>
            </w:r>
          </w:hyperlink>
          <w:r w:rsidDel="00000000" w:rsidR="00000000" w:rsidRPr="00000000">
            <w:fldChar w:fldCharType="begin"/>
            <w:instrText xml:space="preserve"> PAGEREF _yzk2r8847trb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before="60" w:line="240" w:lineRule="auto"/>
            <w:ind w:left="1080" w:firstLine="0"/>
            <w:rPr>
              <w:color w:val="000000"/>
              <w:u w:val="none"/>
            </w:rPr>
          </w:pPr>
          <w:hyperlink w:anchor="_ulwl28g5c2i">
            <w:r w:rsidDel="00000000" w:rsidR="00000000" w:rsidRPr="00000000">
              <w:rPr>
                <w:color w:val="000000"/>
                <w:u w:val="none"/>
                <w:rtl w:val="0"/>
              </w:rPr>
              <w:t xml:space="preserve">3.4.1 Purpose and Philosophy</w:t>
              <w:tab/>
            </w:r>
          </w:hyperlink>
          <w:r w:rsidDel="00000000" w:rsidR="00000000" w:rsidRPr="00000000">
            <w:fldChar w:fldCharType="begin"/>
            <w:instrText xml:space="preserve"> PAGEREF _ulwl28g5c2i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before="60" w:line="240" w:lineRule="auto"/>
            <w:ind w:left="1080" w:firstLine="0"/>
            <w:rPr>
              <w:color w:val="000000"/>
              <w:u w:val="none"/>
            </w:rPr>
          </w:pPr>
          <w:hyperlink w:anchor="_qhtf5drz52x">
            <w:r w:rsidDel="00000000" w:rsidR="00000000" w:rsidRPr="00000000">
              <w:rPr>
                <w:color w:val="000000"/>
                <w:u w:val="none"/>
                <w:rtl w:val="0"/>
              </w:rPr>
              <w:t xml:space="preserve">3.4.2 Technical Mechanisms: The TSLF Schema and Privacy Architecture</w:t>
              <w:tab/>
            </w:r>
          </w:hyperlink>
          <w:r w:rsidDel="00000000" w:rsidR="00000000" w:rsidRPr="00000000">
            <w:fldChar w:fldCharType="begin"/>
            <w:instrText xml:space="preserve"> PAGEREF _qhtf5drz52x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60"/>
            </w:tabs>
            <w:spacing w:before="60" w:line="240" w:lineRule="auto"/>
            <w:ind w:left="1080" w:firstLine="0"/>
            <w:rPr>
              <w:color w:val="000000"/>
              <w:u w:val="none"/>
            </w:rPr>
          </w:pPr>
          <w:hyperlink w:anchor="_eujqmhqiio7m">
            <w:r w:rsidDel="00000000" w:rsidR="00000000" w:rsidRPr="00000000">
              <w:rPr>
                <w:color w:val="000000"/>
                <w:u w:val="none"/>
                <w:rtl w:val="0"/>
              </w:rPr>
              <w:t xml:space="preserve">3.4.3 Legal Effect: Admissibility and Article 12 Compliance</w:t>
              <w:tab/>
            </w:r>
          </w:hyperlink>
          <w:r w:rsidDel="00000000" w:rsidR="00000000" w:rsidRPr="00000000">
            <w:fldChar w:fldCharType="begin"/>
            <w:instrText xml:space="preserve"> PAGEREF _eujqmhqiio7m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360"/>
            </w:tabs>
            <w:spacing w:before="60" w:line="240" w:lineRule="auto"/>
            <w:ind w:left="1080" w:firstLine="0"/>
            <w:rPr>
              <w:color w:val="000000"/>
              <w:u w:val="none"/>
            </w:rPr>
          </w:pPr>
          <w:hyperlink w:anchor="_sj42ljek5980">
            <w:r w:rsidDel="00000000" w:rsidR="00000000" w:rsidRPr="00000000">
              <w:rPr>
                <w:color w:val="000000"/>
                <w:u w:val="none"/>
                <w:rtl w:val="0"/>
              </w:rPr>
              <w:t xml:space="preserve">3.4.4 Operational Consequences</w:t>
              <w:tab/>
            </w:r>
          </w:hyperlink>
          <w:r w:rsidDel="00000000" w:rsidR="00000000" w:rsidRPr="00000000">
            <w:fldChar w:fldCharType="begin"/>
            <w:instrText xml:space="preserve"> PAGEREF _sj42ljek5980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360"/>
            </w:tabs>
            <w:spacing w:before="60" w:line="240" w:lineRule="auto"/>
            <w:ind w:left="1080" w:firstLine="0"/>
            <w:rPr>
              <w:color w:val="000000"/>
              <w:u w:val="none"/>
            </w:rPr>
          </w:pPr>
          <w:hyperlink w:anchor="_fsfdj785ryec">
            <w:r w:rsidDel="00000000" w:rsidR="00000000" w:rsidRPr="00000000">
              <w:rPr>
                <w:color w:val="000000"/>
                <w:u w:val="none"/>
                <w:rtl w:val="0"/>
              </w:rPr>
              <w:t xml:space="preserve">3.4.5 Failure Cases Prevented</w:t>
              <w:tab/>
            </w:r>
          </w:hyperlink>
          <w:r w:rsidDel="00000000" w:rsidR="00000000" w:rsidRPr="00000000">
            <w:fldChar w:fldCharType="begin"/>
            <w:instrText xml:space="preserve"> PAGEREF _fsfdj785ryec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360"/>
            </w:tabs>
            <w:spacing w:before="60" w:line="240" w:lineRule="auto"/>
            <w:ind w:left="1080" w:firstLine="0"/>
            <w:rPr>
              <w:color w:val="000000"/>
              <w:u w:val="none"/>
            </w:rPr>
          </w:pPr>
          <w:hyperlink w:anchor="_1b4671sitrys">
            <w:r w:rsidDel="00000000" w:rsidR="00000000" w:rsidRPr="00000000">
              <w:rPr>
                <w:color w:val="000000"/>
                <w:u w:val="none"/>
                <w:rtl w:val="0"/>
              </w:rPr>
              <w:t xml:space="preserve">3.4.6 Measurable Outputs</w:t>
              <w:tab/>
            </w:r>
          </w:hyperlink>
          <w:r w:rsidDel="00000000" w:rsidR="00000000" w:rsidRPr="00000000">
            <w:fldChar w:fldCharType="begin"/>
            <w:instrText xml:space="preserve"> PAGEREF _1b4671sitrys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360"/>
            </w:tabs>
            <w:spacing w:before="60" w:line="240" w:lineRule="auto"/>
            <w:ind w:left="720" w:firstLine="0"/>
            <w:rPr>
              <w:color w:val="000000"/>
              <w:u w:val="none"/>
            </w:rPr>
          </w:pPr>
          <w:hyperlink w:anchor="_c2y9ejs8otlb">
            <w:r w:rsidDel="00000000" w:rsidR="00000000" w:rsidRPr="00000000">
              <w:rPr>
                <w:color w:val="000000"/>
                <w:u w:val="none"/>
                <w:rtl w:val="0"/>
              </w:rPr>
              <w:t xml:space="preserve">3.5 Pillar V: Human Rights Mandate (The Anthropocentric Guardrail)</w:t>
              <w:tab/>
            </w:r>
          </w:hyperlink>
          <w:r w:rsidDel="00000000" w:rsidR="00000000" w:rsidRPr="00000000">
            <w:fldChar w:fldCharType="begin"/>
            <w:instrText xml:space="preserve"> PAGEREF _c2y9ejs8otlb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360"/>
            </w:tabs>
            <w:spacing w:before="60" w:line="240" w:lineRule="auto"/>
            <w:ind w:left="1080" w:firstLine="0"/>
            <w:rPr>
              <w:color w:val="000000"/>
              <w:u w:val="none"/>
            </w:rPr>
          </w:pPr>
          <w:hyperlink w:anchor="_fzinpxyhpcof">
            <w:r w:rsidDel="00000000" w:rsidR="00000000" w:rsidRPr="00000000">
              <w:rPr>
                <w:color w:val="000000"/>
                <w:u w:val="none"/>
                <w:rtl w:val="0"/>
              </w:rPr>
              <w:t xml:space="preserve">3.5.1 Purpose and Philosophy</w:t>
              <w:tab/>
            </w:r>
          </w:hyperlink>
          <w:r w:rsidDel="00000000" w:rsidR="00000000" w:rsidRPr="00000000">
            <w:fldChar w:fldCharType="begin"/>
            <w:instrText xml:space="preserve"> PAGEREF _fzinpxyhpcof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360"/>
            </w:tabs>
            <w:spacing w:before="60" w:line="240" w:lineRule="auto"/>
            <w:ind w:left="1080" w:firstLine="0"/>
            <w:rPr>
              <w:color w:val="000000"/>
              <w:u w:val="none"/>
            </w:rPr>
          </w:pPr>
          <w:hyperlink w:anchor="_idibu4u2wzxg">
            <w:r w:rsidDel="00000000" w:rsidR="00000000" w:rsidRPr="00000000">
              <w:rPr>
                <w:color w:val="000000"/>
                <w:u w:val="none"/>
                <w:rtl w:val="0"/>
              </w:rPr>
              <w:t xml:space="preserve">3.5.2 Technical Mechanisms: Semantic Proximity Detection</w:t>
              <w:tab/>
            </w:r>
          </w:hyperlink>
          <w:r w:rsidDel="00000000" w:rsidR="00000000" w:rsidRPr="00000000">
            <w:fldChar w:fldCharType="begin"/>
            <w:instrText xml:space="preserve"> PAGEREF _idibu4u2wzxg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360"/>
            </w:tabs>
            <w:spacing w:before="60" w:line="240" w:lineRule="auto"/>
            <w:ind w:left="1080" w:firstLine="0"/>
            <w:rPr>
              <w:color w:val="000000"/>
              <w:u w:val="none"/>
            </w:rPr>
          </w:pPr>
          <w:hyperlink w:anchor="_feap0dik9ez4">
            <w:r w:rsidDel="00000000" w:rsidR="00000000" w:rsidRPr="00000000">
              <w:rPr>
                <w:color w:val="000000"/>
                <w:u w:val="none"/>
                <w:rtl w:val="0"/>
              </w:rPr>
              <w:t xml:space="preserve">3.5.3 Legal Effect: Automated Fundamental Rights Impact Assessment</w:t>
              <w:tab/>
            </w:r>
          </w:hyperlink>
          <w:r w:rsidDel="00000000" w:rsidR="00000000" w:rsidRPr="00000000">
            <w:fldChar w:fldCharType="begin"/>
            <w:instrText xml:space="preserve"> PAGEREF _feap0dik9ez4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360"/>
            </w:tabs>
            <w:spacing w:before="60" w:line="240" w:lineRule="auto"/>
            <w:ind w:left="1080" w:firstLine="0"/>
            <w:rPr>
              <w:color w:val="000000"/>
              <w:u w:val="none"/>
            </w:rPr>
          </w:pPr>
          <w:hyperlink w:anchor="_f7a3r8wt3o7w">
            <w:r w:rsidDel="00000000" w:rsidR="00000000" w:rsidRPr="00000000">
              <w:rPr>
                <w:color w:val="000000"/>
                <w:u w:val="none"/>
                <w:rtl w:val="0"/>
              </w:rPr>
              <w:t xml:space="preserve">3.5.4 Operational Consequences</w:t>
              <w:tab/>
            </w:r>
          </w:hyperlink>
          <w:r w:rsidDel="00000000" w:rsidR="00000000" w:rsidRPr="00000000">
            <w:fldChar w:fldCharType="begin"/>
            <w:instrText xml:space="preserve"> PAGEREF _f7a3r8wt3o7w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360"/>
            </w:tabs>
            <w:spacing w:before="60" w:line="240" w:lineRule="auto"/>
            <w:ind w:left="1080" w:firstLine="0"/>
            <w:rPr>
              <w:color w:val="000000"/>
              <w:u w:val="none"/>
            </w:rPr>
          </w:pPr>
          <w:hyperlink w:anchor="_lw9cnx1dmk8l">
            <w:r w:rsidDel="00000000" w:rsidR="00000000" w:rsidRPr="00000000">
              <w:rPr>
                <w:color w:val="000000"/>
                <w:u w:val="none"/>
                <w:rtl w:val="0"/>
              </w:rPr>
              <w:t xml:space="preserve">3.5.5 Failure Cases Prevented</w:t>
              <w:tab/>
            </w:r>
          </w:hyperlink>
          <w:r w:rsidDel="00000000" w:rsidR="00000000" w:rsidRPr="00000000">
            <w:fldChar w:fldCharType="begin"/>
            <w:instrText xml:space="preserve"> PAGEREF _lw9cnx1dmk8l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360"/>
            </w:tabs>
            <w:spacing w:before="60" w:line="240" w:lineRule="auto"/>
            <w:ind w:left="1080" w:firstLine="0"/>
            <w:rPr>
              <w:color w:val="000000"/>
              <w:u w:val="none"/>
            </w:rPr>
          </w:pPr>
          <w:hyperlink w:anchor="_j2fup8is1dde">
            <w:r w:rsidDel="00000000" w:rsidR="00000000" w:rsidRPr="00000000">
              <w:rPr>
                <w:color w:val="000000"/>
                <w:u w:val="none"/>
                <w:rtl w:val="0"/>
              </w:rPr>
              <w:t xml:space="preserve">3.5.6 Measurable Outputs</w:t>
              <w:tab/>
            </w:r>
          </w:hyperlink>
          <w:r w:rsidDel="00000000" w:rsidR="00000000" w:rsidRPr="00000000">
            <w:fldChar w:fldCharType="begin"/>
            <w:instrText xml:space="preserve"> PAGEREF _j2fup8is1dde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360"/>
            </w:tabs>
            <w:spacing w:before="60" w:line="240" w:lineRule="auto"/>
            <w:ind w:left="720" w:firstLine="0"/>
            <w:rPr>
              <w:color w:val="000000"/>
              <w:u w:val="none"/>
            </w:rPr>
          </w:pPr>
          <w:hyperlink w:anchor="_al2f9zlo5f6k">
            <w:r w:rsidDel="00000000" w:rsidR="00000000" w:rsidRPr="00000000">
              <w:rPr>
                <w:color w:val="000000"/>
                <w:u w:val="none"/>
                <w:rtl w:val="0"/>
              </w:rPr>
              <w:t xml:space="preserve">3.6 Pillar VI: Earth Protection Mandate (The Ecological Guardrail)</w:t>
              <w:tab/>
            </w:r>
          </w:hyperlink>
          <w:r w:rsidDel="00000000" w:rsidR="00000000" w:rsidRPr="00000000">
            <w:fldChar w:fldCharType="begin"/>
            <w:instrText xml:space="preserve"> PAGEREF _al2f9zlo5f6k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360"/>
            </w:tabs>
            <w:spacing w:before="60" w:line="240" w:lineRule="auto"/>
            <w:ind w:left="1080" w:firstLine="0"/>
            <w:rPr>
              <w:color w:val="000000"/>
              <w:u w:val="none"/>
            </w:rPr>
          </w:pPr>
          <w:hyperlink w:anchor="_8aep9q72ral5">
            <w:r w:rsidDel="00000000" w:rsidR="00000000" w:rsidRPr="00000000">
              <w:rPr>
                <w:color w:val="000000"/>
                <w:u w:val="none"/>
                <w:rtl w:val="0"/>
              </w:rPr>
              <w:t xml:space="preserve">3.6.1 Purpose and Philosophy</w:t>
              <w:tab/>
            </w:r>
          </w:hyperlink>
          <w:r w:rsidDel="00000000" w:rsidR="00000000" w:rsidRPr="00000000">
            <w:fldChar w:fldCharType="begin"/>
            <w:instrText xml:space="preserve"> PAGEREF _8aep9q72ral5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360"/>
            </w:tabs>
            <w:spacing w:before="60" w:line="240" w:lineRule="auto"/>
            <w:ind w:left="1080" w:firstLine="0"/>
            <w:rPr>
              <w:color w:val="000000"/>
              <w:u w:val="none"/>
            </w:rPr>
          </w:pPr>
          <w:hyperlink w:anchor="_zdr3gq52ymj6">
            <w:r w:rsidDel="00000000" w:rsidR="00000000" w:rsidRPr="00000000">
              <w:rPr>
                <w:color w:val="000000"/>
                <w:u w:val="none"/>
                <w:rtl w:val="0"/>
              </w:rPr>
              <w:t xml:space="preserve">3.6.2 Technical Mechanisms: Carbon Cost Accounting and Treaty Vector Embeddings</w:t>
              <w:tab/>
            </w:r>
          </w:hyperlink>
          <w:r w:rsidDel="00000000" w:rsidR="00000000" w:rsidRPr="00000000">
            <w:fldChar w:fldCharType="begin"/>
            <w:instrText xml:space="preserve"> PAGEREF _zdr3gq52ymj6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360"/>
            </w:tabs>
            <w:spacing w:before="60" w:line="240" w:lineRule="auto"/>
            <w:ind w:left="1080" w:firstLine="0"/>
            <w:rPr>
              <w:color w:val="000000"/>
              <w:u w:val="none"/>
            </w:rPr>
          </w:pPr>
          <w:hyperlink w:anchor="_m4gvbml0xqsm">
            <w:r w:rsidDel="00000000" w:rsidR="00000000" w:rsidRPr="00000000">
              <w:rPr>
                <w:color w:val="000000"/>
                <w:u w:val="none"/>
                <w:rtl w:val="0"/>
              </w:rPr>
              <w:t xml:space="preserve">3.6.3 Legal Effect</w:t>
              <w:tab/>
            </w:r>
          </w:hyperlink>
          <w:r w:rsidDel="00000000" w:rsidR="00000000" w:rsidRPr="00000000">
            <w:fldChar w:fldCharType="begin"/>
            <w:instrText xml:space="preserve"> PAGEREF _m4gvbml0xqsm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360"/>
            </w:tabs>
            <w:spacing w:before="60" w:line="240" w:lineRule="auto"/>
            <w:ind w:left="1080" w:firstLine="0"/>
            <w:rPr>
              <w:color w:val="000000"/>
              <w:u w:val="none"/>
            </w:rPr>
          </w:pPr>
          <w:hyperlink w:anchor="_u7kv3mg48b60">
            <w:r w:rsidDel="00000000" w:rsidR="00000000" w:rsidRPr="00000000">
              <w:rPr>
                <w:color w:val="000000"/>
                <w:u w:val="none"/>
                <w:rtl w:val="0"/>
              </w:rPr>
              <w:t xml:space="preserve">3.6.4 Operational Consequences</w:t>
              <w:tab/>
            </w:r>
          </w:hyperlink>
          <w:r w:rsidDel="00000000" w:rsidR="00000000" w:rsidRPr="00000000">
            <w:fldChar w:fldCharType="begin"/>
            <w:instrText xml:space="preserve"> PAGEREF _u7kv3mg48b60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360"/>
            </w:tabs>
            <w:spacing w:before="60" w:line="240" w:lineRule="auto"/>
            <w:ind w:left="1080" w:firstLine="0"/>
            <w:rPr>
              <w:color w:val="000000"/>
              <w:u w:val="none"/>
            </w:rPr>
          </w:pPr>
          <w:hyperlink w:anchor="_q54sxha568y8">
            <w:r w:rsidDel="00000000" w:rsidR="00000000" w:rsidRPr="00000000">
              <w:rPr>
                <w:color w:val="000000"/>
                <w:u w:val="none"/>
                <w:rtl w:val="0"/>
              </w:rPr>
              <w:t xml:space="preserve">3.6.5 Failure Cases Prevented</w:t>
              <w:tab/>
            </w:r>
          </w:hyperlink>
          <w:r w:rsidDel="00000000" w:rsidR="00000000" w:rsidRPr="00000000">
            <w:fldChar w:fldCharType="begin"/>
            <w:instrText xml:space="preserve"> PAGEREF _q54sxha568y8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360"/>
            </w:tabs>
            <w:spacing w:before="60" w:line="240" w:lineRule="auto"/>
            <w:ind w:left="1080" w:firstLine="0"/>
            <w:rPr>
              <w:color w:val="000000"/>
              <w:u w:val="none"/>
            </w:rPr>
          </w:pPr>
          <w:hyperlink w:anchor="_y29rgii9mq1r">
            <w:r w:rsidDel="00000000" w:rsidR="00000000" w:rsidRPr="00000000">
              <w:rPr>
                <w:color w:val="000000"/>
                <w:u w:val="none"/>
                <w:rtl w:val="0"/>
              </w:rPr>
              <w:t xml:space="preserve">3.6.6 Measurable Outputs</w:t>
              <w:tab/>
            </w:r>
          </w:hyperlink>
          <w:r w:rsidDel="00000000" w:rsidR="00000000" w:rsidRPr="00000000">
            <w:fldChar w:fldCharType="begin"/>
            <w:instrText xml:space="preserve"> PAGEREF _y29rgii9mq1r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360"/>
            </w:tabs>
            <w:spacing w:before="60" w:line="240" w:lineRule="auto"/>
            <w:ind w:left="720" w:firstLine="0"/>
            <w:rPr>
              <w:color w:val="000000"/>
              <w:u w:val="none"/>
            </w:rPr>
          </w:pPr>
          <w:hyperlink w:anchor="_8zveh32wj3o9">
            <w:r w:rsidDel="00000000" w:rsidR="00000000" w:rsidRPr="00000000">
              <w:rPr>
                <w:color w:val="000000"/>
                <w:u w:val="none"/>
                <w:rtl w:val="0"/>
              </w:rPr>
              <w:t xml:space="preserve">3.7 Pillar VII: Hybrid Shield (The Institutional Redundancy)</w:t>
              <w:tab/>
            </w:r>
          </w:hyperlink>
          <w:r w:rsidDel="00000000" w:rsidR="00000000" w:rsidRPr="00000000">
            <w:fldChar w:fldCharType="begin"/>
            <w:instrText xml:space="preserve"> PAGEREF _8zveh32wj3o9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360"/>
            </w:tabs>
            <w:spacing w:before="60" w:line="240" w:lineRule="auto"/>
            <w:ind w:left="1080" w:firstLine="0"/>
            <w:rPr>
              <w:color w:val="000000"/>
              <w:u w:val="none"/>
            </w:rPr>
          </w:pPr>
          <w:hyperlink w:anchor="_b5p5uohy4bmi">
            <w:r w:rsidDel="00000000" w:rsidR="00000000" w:rsidRPr="00000000">
              <w:rPr>
                <w:color w:val="000000"/>
                <w:u w:val="none"/>
                <w:rtl w:val="0"/>
              </w:rPr>
              <w:t xml:space="preserve">3.7.1 Purpose and Philosophy</w:t>
              <w:tab/>
            </w:r>
          </w:hyperlink>
          <w:r w:rsidDel="00000000" w:rsidR="00000000" w:rsidRPr="00000000">
            <w:fldChar w:fldCharType="begin"/>
            <w:instrText xml:space="preserve"> PAGEREF _b5p5uohy4bmi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360"/>
            </w:tabs>
            <w:spacing w:before="60" w:line="240" w:lineRule="auto"/>
            <w:ind w:left="1080" w:firstLine="0"/>
            <w:rPr>
              <w:color w:val="000000"/>
              <w:u w:val="none"/>
            </w:rPr>
          </w:pPr>
          <w:hyperlink w:anchor="_sk25i0d59pje">
            <w:r w:rsidDel="00000000" w:rsidR="00000000" w:rsidRPr="00000000">
              <w:rPr>
                <w:color w:val="000000"/>
                <w:u w:val="none"/>
                <w:rtl w:val="0"/>
              </w:rPr>
              <w:t xml:space="preserve">3.7.2 Technical Mechanisms: Six-Custodian Distributed Custody</w:t>
              <w:tab/>
            </w:r>
          </w:hyperlink>
          <w:r w:rsidDel="00000000" w:rsidR="00000000" w:rsidRPr="00000000">
            <w:fldChar w:fldCharType="begin"/>
            <w:instrText xml:space="preserve"> PAGEREF _sk25i0d59pje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360"/>
            </w:tabs>
            <w:spacing w:before="60" w:line="240" w:lineRule="auto"/>
            <w:ind w:left="1080" w:firstLine="0"/>
            <w:rPr>
              <w:color w:val="000000"/>
              <w:u w:val="none"/>
            </w:rPr>
          </w:pPr>
          <w:hyperlink w:anchor="_7c8uuyrqh9fp">
            <w:r w:rsidDel="00000000" w:rsidR="00000000" w:rsidRPr="00000000">
              <w:rPr>
                <w:color w:val="000000"/>
                <w:u w:val="none"/>
                <w:rtl w:val="0"/>
              </w:rPr>
              <w:t xml:space="preserve">3.7.3 Legal Effect: Subpoena Resilience and Multi-Jurisdictional Evidence Preservation</w:t>
              <w:tab/>
            </w:r>
          </w:hyperlink>
          <w:r w:rsidDel="00000000" w:rsidR="00000000" w:rsidRPr="00000000">
            <w:fldChar w:fldCharType="begin"/>
            <w:instrText xml:space="preserve"> PAGEREF _7c8uuyrqh9fp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360"/>
            </w:tabs>
            <w:spacing w:before="60" w:line="240" w:lineRule="auto"/>
            <w:ind w:left="1080" w:firstLine="0"/>
            <w:rPr>
              <w:color w:val="000000"/>
              <w:u w:val="none"/>
            </w:rPr>
          </w:pPr>
          <w:hyperlink w:anchor="_ssfawn3ncst2">
            <w:r w:rsidDel="00000000" w:rsidR="00000000" w:rsidRPr="00000000">
              <w:rPr>
                <w:color w:val="000000"/>
                <w:u w:val="none"/>
                <w:rtl w:val="0"/>
              </w:rPr>
              <w:t xml:space="preserve">3.7.4 Failure Cases Prevented</w:t>
              <w:tab/>
            </w:r>
          </w:hyperlink>
          <w:r w:rsidDel="00000000" w:rsidR="00000000" w:rsidRPr="00000000">
            <w:fldChar w:fldCharType="begin"/>
            <w:instrText xml:space="preserve"> PAGEREF _ssfawn3ncst2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360"/>
            </w:tabs>
            <w:spacing w:before="60" w:line="240" w:lineRule="auto"/>
            <w:ind w:left="1080" w:firstLine="0"/>
            <w:rPr>
              <w:color w:val="000000"/>
              <w:u w:val="none"/>
            </w:rPr>
          </w:pPr>
          <w:hyperlink w:anchor="_lu2fae11kjws">
            <w:r w:rsidDel="00000000" w:rsidR="00000000" w:rsidRPr="00000000">
              <w:rPr>
                <w:color w:val="000000"/>
                <w:u w:val="none"/>
                <w:rtl w:val="0"/>
              </w:rPr>
              <w:t xml:space="preserve">3.7.5 Measurable Outputs</w:t>
              <w:tab/>
            </w:r>
          </w:hyperlink>
          <w:r w:rsidDel="00000000" w:rsidR="00000000" w:rsidRPr="00000000">
            <w:fldChar w:fldCharType="begin"/>
            <w:instrText xml:space="preserve"> PAGEREF _lu2fae11kjws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360"/>
            </w:tabs>
            <w:spacing w:before="60" w:line="240" w:lineRule="auto"/>
            <w:ind w:left="720" w:firstLine="0"/>
            <w:rPr>
              <w:color w:val="000000"/>
              <w:u w:val="none"/>
            </w:rPr>
          </w:pPr>
          <w:hyperlink w:anchor="_vjagqrddu6dr">
            <w:r w:rsidDel="00000000" w:rsidR="00000000" w:rsidRPr="00000000">
              <w:rPr>
                <w:color w:val="000000"/>
                <w:u w:val="none"/>
                <w:rtl w:val="0"/>
              </w:rPr>
              <w:t xml:space="preserve">3.8 Pillar VIII: Public Blockchain Anchors (The Immutable Proof)</w:t>
              <w:tab/>
            </w:r>
          </w:hyperlink>
          <w:r w:rsidDel="00000000" w:rsidR="00000000" w:rsidRPr="00000000">
            <w:fldChar w:fldCharType="begin"/>
            <w:instrText xml:space="preserve"> PAGEREF _vjagqrddu6dr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360"/>
            </w:tabs>
            <w:spacing w:before="60" w:line="240" w:lineRule="auto"/>
            <w:ind w:left="1080" w:firstLine="0"/>
            <w:rPr>
              <w:color w:val="000000"/>
              <w:u w:val="none"/>
            </w:rPr>
          </w:pPr>
          <w:hyperlink w:anchor="_ew281p18358n">
            <w:r w:rsidDel="00000000" w:rsidR="00000000" w:rsidRPr="00000000">
              <w:rPr>
                <w:color w:val="000000"/>
                <w:u w:val="none"/>
                <w:rtl w:val="0"/>
              </w:rPr>
              <w:t xml:space="preserve">3.8.1 Purpose and Philosophy</w:t>
              <w:tab/>
            </w:r>
          </w:hyperlink>
          <w:r w:rsidDel="00000000" w:rsidR="00000000" w:rsidRPr="00000000">
            <w:fldChar w:fldCharType="begin"/>
            <w:instrText xml:space="preserve"> PAGEREF _ew281p18358n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360"/>
            </w:tabs>
            <w:spacing w:before="60" w:line="240" w:lineRule="auto"/>
            <w:ind w:left="1080" w:firstLine="0"/>
            <w:rPr>
              <w:color w:val="000000"/>
              <w:u w:val="none"/>
            </w:rPr>
          </w:pPr>
          <w:hyperlink w:anchor="_qmguexyh9hz">
            <w:r w:rsidDel="00000000" w:rsidR="00000000" w:rsidRPr="00000000">
              <w:rPr>
                <w:color w:val="000000"/>
                <w:u w:val="none"/>
                <w:rtl w:val="0"/>
              </w:rPr>
              <w:t xml:space="preserve">3.8.2 Technical Mechanisms: Merkle Batching and Multi-Chain Anchoring</w:t>
              <w:tab/>
            </w:r>
          </w:hyperlink>
          <w:r w:rsidDel="00000000" w:rsidR="00000000" w:rsidRPr="00000000">
            <w:fldChar w:fldCharType="begin"/>
            <w:instrText xml:space="preserve"> PAGEREF _qmguexyh9hz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360"/>
            </w:tabs>
            <w:spacing w:before="60" w:line="240" w:lineRule="auto"/>
            <w:ind w:left="1080" w:firstLine="0"/>
            <w:rPr>
              <w:color w:val="000000"/>
              <w:u w:val="none"/>
            </w:rPr>
          </w:pPr>
          <w:hyperlink w:anchor="_lswgetaf38g1">
            <w:r w:rsidDel="00000000" w:rsidR="00000000" w:rsidRPr="00000000">
              <w:rPr>
                <w:color w:val="000000"/>
                <w:u w:val="none"/>
                <w:rtl w:val="0"/>
              </w:rPr>
              <w:t xml:space="preserve">3.8.3 Legal Effect: eIDAS and FRE Self-Authentication</w:t>
              <w:tab/>
            </w:r>
          </w:hyperlink>
          <w:r w:rsidDel="00000000" w:rsidR="00000000" w:rsidRPr="00000000">
            <w:fldChar w:fldCharType="begin"/>
            <w:instrText xml:space="preserve"> PAGEREF _lswgetaf38g1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360"/>
            </w:tabs>
            <w:spacing w:before="60" w:line="240" w:lineRule="auto"/>
            <w:ind w:left="1080" w:firstLine="0"/>
            <w:rPr>
              <w:color w:val="000000"/>
              <w:u w:val="none"/>
            </w:rPr>
          </w:pPr>
          <w:hyperlink w:anchor="_futzhdx2kwdr">
            <w:r w:rsidDel="00000000" w:rsidR="00000000" w:rsidRPr="00000000">
              <w:rPr>
                <w:color w:val="000000"/>
                <w:u w:val="none"/>
                <w:rtl w:val="0"/>
              </w:rPr>
              <w:t xml:space="preserve">3.8.4 Failure Cases Prevented</w:t>
              <w:tab/>
            </w:r>
          </w:hyperlink>
          <w:r w:rsidDel="00000000" w:rsidR="00000000" w:rsidRPr="00000000">
            <w:fldChar w:fldCharType="begin"/>
            <w:instrText xml:space="preserve"> PAGEREF _futzhdx2kwdr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360"/>
            </w:tabs>
            <w:spacing w:before="60" w:line="240" w:lineRule="auto"/>
            <w:ind w:left="1080" w:firstLine="0"/>
            <w:rPr>
              <w:color w:val="000000"/>
              <w:u w:val="none"/>
            </w:rPr>
          </w:pPr>
          <w:hyperlink w:anchor="_zdz3vr21swq3">
            <w:r w:rsidDel="00000000" w:rsidR="00000000" w:rsidRPr="00000000">
              <w:rPr>
                <w:color w:val="000000"/>
                <w:u w:val="none"/>
                <w:rtl w:val="0"/>
              </w:rPr>
              <w:t xml:space="preserve">3.8.5 Measurable Outputs</w:t>
              <w:tab/>
            </w:r>
          </w:hyperlink>
          <w:r w:rsidDel="00000000" w:rsidR="00000000" w:rsidRPr="00000000">
            <w:fldChar w:fldCharType="begin"/>
            <w:instrText xml:space="preserve"> PAGEREF _zdz3vr21swq3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360"/>
            </w:tabs>
            <w:spacing w:before="60" w:line="240" w:lineRule="auto"/>
            <w:ind w:left="720" w:firstLine="0"/>
            <w:rPr>
              <w:color w:val="000000"/>
              <w:u w:val="none"/>
            </w:rPr>
          </w:pPr>
          <w:hyperlink w:anchor="_ttlglossu7gu">
            <w:r w:rsidDel="00000000" w:rsidR="00000000" w:rsidRPr="00000000">
              <w:rPr>
                <w:color w:val="000000"/>
                <w:u w:val="none"/>
                <w:rtl w:val="0"/>
              </w:rPr>
              <w:t xml:space="preserve">3.9 Pillar Summary: The Interdependency</w:t>
              <w:tab/>
            </w:r>
          </w:hyperlink>
          <w:r w:rsidDel="00000000" w:rsidR="00000000" w:rsidRPr="00000000">
            <w:fldChar w:fldCharType="begin"/>
            <w:instrText xml:space="preserve"> PAGEREF _ttlglossu7gu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360"/>
            </w:tabs>
            <w:spacing w:before="60" w:line="240" w:lineRule="auto"/>
            <w:ind w:left="360" w:firstLine="0"/>
            <w:rPr>
              <w:color w:val="000000"/>
              <w:u w:val="none"/>
            </w:rPr>
          </w:pPr>
          <w:hyperlink w:anchor="_n7foavot7zj2">
            <w:r w:rsidDel="00000000" w:rsidR="00000000" w:rsidRPr="00000000">
              <w:rPr>
                <w:color w:val="000000"/>
                <w:u w:val="none"/>
                <w:rtl w:val="0"/>
              </w:rPr>
              <w:t xml:space="preserve">Section IV: Sector Case Studies in TML Constitutionalization</w:t>
              <w:tab/>
            </w:r>
          </w:hyperlink>
          <w:r w:rsidDel="00000000" w:rsidR="00000000" w:rsidRPr="00000000">
            <w:fldChar w:fldCharType="begin"/>
            <w:instrText xml:space="preserve"> PAGEREF _n7foavot7zj2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360"/>
            </w:tabs>
            <w:spacing w:before="60" w:line="240" w:lineRule="auto"/>
            <w:ind w:left="720" w:firstLine="0"/>
            <w:rPr>
              <w:color w:val="000000"/>
              <w:u w:val="none"/>
            </w:rPr>
          </w:pPr>
          <w:hyperlink w:anchor="_vgou586zfqvh">
            <w:r w:rsidDel="00000000" w:rsidR="00000000" w:rsidRPr="00000000">
              <w:rPr>
                <w:color w:val="000000"/>
                <w:u w:val="none"/>
                <w:rtl w:val="0"/>
              </w:rPr>
              <w:t xml:space="preserve">4.0 Introduction: The Operational Collapse of Binary Logic in High-Stakes Domains</w:t>
              <w:tab/>
            </w:r>
          </w:hyperlink>
          <w:r w:rsidDel="00000000" w:rsidR="00000000" w:rsidRPr="00000000">
            <w:fldChar w:fldCharType="begin"/>
            <w:instrText xml:space="preserve"> PAGEREF _vgou586zfqvh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360"/>
            </w:tabs>
            <w:spacing w:before="60" w:line="240" w:lineRule="auto"/>
            <w:ind w:left="720" w:firstLine="0"/>
            <w:rPr>
              <w:color w:val="000000"/>
              <w:u w:val="none"/>
            </w:rPr>
          </w:pPr>
          <w:hyperlink w:anchor="_jrzdq9akwqa2">
            <w:r w:rsidDel="00000000" w:rsidR="00000000" w:rsidRPr="00000000">
              <w:rPr>
                <w:color w:val="000000"/>
                <w:u w:val="none"/>
                <w:rtl w:val="0"/>
              </w:rPr>
              <w:t xml:space="preserve">4.1 Healthcare: The Epistemological Breach and the Liability Shield</w:t>
              <w:tab/>
            </w:r>
          </w:hyperlink>
          <w:r w:rsidDel="00000000" w:rsidR="00000000" w:rsidRPr="00000000">
            <w:fldChar w:fldCharType="begin"/>
            <w:instrText xml:space="preserve"> PAGEREF _jrzdq9akwqa2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360"/>
            </w:tabs>
            <w:spacing w:before="60" w:line="240" w:lineRule="auto"/>
            <w:ind w:left="1080" w:firstLine="0"/>
            <w:rPr>
              <w:color w:val="000000"/>
              <w:u w:val="none"/>
            </w:rPr>
          </w:pPr>
          <w:hyperlink w:anchor="_uwjochp5r3p9">
            <w:r w:rsidDel="00000000" w:rsidR="00000000" w:rsidRPr="00000000">
              <w:rPr>
                <w:color w:val="000000"/>
                <w:u w:val="none"/>
                <w:rtl w:val="0"/>
              </w:rPr>
              <w:t xml:space="preserve">4.1.1 The Epic Sepsis Model: A Case Study in False Certainty</w:t>
              <w:tab/>
            </w:r>
          </w:hyperlink>
          <w:r w:rsidDel="00000000" w:rsidR="00000000" w:rsidRPr="00000000">
            <w:fldChar w:fldCharType="begin"/>
            <w:instrText xml:space="preserve"> PAGEREF _uwjochp5r3p9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360"/>
            </w:tabs>
            <w:spacing w:before="60" w:line="240" w:lineRule="auto"/>
            <w:ind w:left="1080" w:firstLine="0"/>
            <w:rPr>
              <w:color w:val="000000"/>
              <w:u w:val="none"/>
            </w:rPr>
          </w:pPr>
          <w:hyperlink w:anchor="_ws9h3hhbqm15">
            <w:r w:rsidDel="00000000" w:rsidR="00000000" w:rsidRPr="00000000">
              <w:rPr>
                <w:color w:val="000000"/>
                <w:u w:val="none"/>
                <w:rtl w:val="0"/>
              </w:rPr>
              <w:t xml:space="preserve">4.1.2 The Moral Crumple Zone in AI-Assisted Radiology</w:t>
              <w:tab/>
            </w:r>
          </w:hyperlink>
          <w:r w:rsidDel="00000000" w:rsidR="00000000" w:rsidRPr="00000000">
            <w:fldChar w:fldCharType="begin"/>
            <w:instrText xml:space="preserve"> PAGEREF _ws9h3hhbqm15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360"/>
            </w:tabs>
            <w:spacing w:before="60" w:line="240" w:lineRule="auto"/>
            <w:ind w:left="1080" w:firstLine="0"/>
            <w:rPr>
              <w:color w:val="000000"/>
              <w:u w:val="none"/>
            </w:rPr>
          </w:pPr>
          <w:hyperlink w:anchor="_9y8m8sxo6gxq">
            <w:r w:rsidDel="00000000" w:rsidR="00000000" w:rsidRPr="00000000">
              <w:rPr>
                <w:color w:val="000000"/>
                <w:u w:val="none"/>
                <w:rtl w:val="0"/>
              </w:rPr>
              <w:t xml:space="preserve">4.1.3 Regulatory Stagnation and the TML Compliance Architecture</w:t>
              <w:tab/>
            </w:r>
          </w:hyperlink>
          <w:r w:rsidDel="00000000" w:rsidR="00000000" w:rsidRPr="00000000">
            <w:fldChar w:fldCharType="begin"/>
            <w:instrText xml:space="preserve"> PAGEREF _9y8m8sxo6gxq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360"/>
            </w:tabs>
            <w:spacing w:before="60" w:line="240" w:lineRule="auto"/>
            <w:ind w:left="720" w:firstLine="0"/>
            <w:rPr>
              <w:color w:val="000000"/>
              <w:u w:val="none"/>
            </w:rPr>
          </w:pPr>
          <w:hyperlink w:anchor="_nuvan1pwrw42">
            <w:r w:rsidDel="00000000" w:rsidR="00000000" w:rsidRPr="00000000">
              <w:rPr>
                <w:color w:val="000000"/>
                <w:u w:val="none"/>
                <w:rtl w:val="0"/>
              </w:rPr>
              <w:t xml:space="preserve">4.2 Autonomous Vehicles: The Kinetic Crisis of Classification</w:t>
              <w:tab/>
            </w:r>
          </w:hyperlink>
          <w:r w:rsidDel="00000000" w:rsidR="00000000" w:rsidRPr="00000000">
            <w:fldChar w:fldCharType="begin"/>
            <w:instrText xml:space="preserve"> PAGEREF _nuvan1pwrw42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360"/>
            </w:tabs>
            <w:spacing w:before="60" w:line="240" w:lineRule="auto"/>
            <w:ind w:left="1080" w:firstLine="0"/>
            <w:rPr>
              <w:color w:val="000000"/>
              <w:u w:val="none"/>
            </w:rPr>
          </w:pPr>
          <w:hyperlink w:anchor="_yr3jarkkd2es">
            <w:r w:rsidDel="00000000" w:rsidR="00000000" w:rsidRPr="00000000">
              <w:rPr>
                <w:color w:val="000000"/>
                <w:u w:val="none"/>
                <w:rtl w:val="0"/>
              </w:rPr>
              <w:t xml:space="preserve">4.2.1 The Uber Tempe Crash: A Failure of Object Permanence</w:t>
              <w:tab/>
            </w:r>
          </w:hyperlink>
          <w:r w:rsidDel="00000000" w:rsidR="00000000" w:rsidRPr="00000000">
            <w:fldChar w:fldCharType="begin"/>
            <w:instrText xml:space="preserve"> PAGEREF _yr3jarkkd2es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360"/>
            </w:tabs>
            <w:spacing w:before="60" w:line="240" w:lineRule="auto"/>
            <w:ind w:left="1080" w:firstLine="0"/>
            <w:rPr>
              <w:color w:val="000000"/>
              <w:u w:val="none"/>
            </w:rPr>
          </w:pPr>
          <w:hyperlink w:anchor="_a421hpvvs5yu">
            <w:r w:rsidDel="00000000" w:rsidR="00000000" w:rsidRPr="00000000">
              <w:rPr>
                <w:color w:val="000000"/>
                <w:u w:val="none"/>
                <w:rtl w:val="0"/>
              </w:rPr>
              <w:t xml:space="preserve">4.2.2 The Level 3 Handoff Paradox and Human Factors</w:t>
              <w:tab/>
            </w:r>
          </w:hyperlink>
          <w:r w:rsidDel="00000000" w:rsidR="00000000" w:rsidRPr="00000000">
            <w:fldChar w:fldCharType="begin"/>
            <w:instrText xml:space="preserve"> PAGEREF _a421hpvvs5yu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360"/>
            </w:tabs>
            <w:spacing w:before="60" w:line="240" w:lineRule="auto"/>
            <w:ind w:left="1080" w:firstLine="0"/>
            <w:rPr>
              <w:color w:val="000000"/>
              <w:u w:val="none"/>
            </w:rPr>
          </w:pPr>
          <w:hyperlink w:anchor="_diepat200fwo">
            <w:r w:rsidDel="00000000" w:rsidR="00000000" w:rsidRPr="00000000">
              <w:rPr>
                <w:color w:val="000000"/>
                <w:u w:val="none"/>
                <w:rtl w:val="0"/>
              </w:rPr>
              <w:t xml:space="preserve">4.2.3 The NHTSA Standing General Order and TML Compliance</w:t>
              <w:tab/>
            </w:r>
          </w:hyperlink>
          <w:r w:rsidDel="00000000" w:rsidR="00000000" w:rsidRPr="00000000">
            <w:fldChar w:fldCharType="begin"/>
            <w:instrText xml:space="preserve"> PAGEREF _diepat200fwo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360"/>
            </w:tabs>
            <w:spacing w:before="60" w:line="240" w:lineRule="auto"/>
            <w:ind w:left="720" w:firstLine="0"/>
            <w:rPr>
              <w:color w:val="000000"/>
              <w:u w:val="none"/>
            </w:rPr>
          </w:pPr>
          <w:hyperlink w:anchor="_7m2qwy1koh0f">
            <w:r w:rsidDel="00000000" w:rsidR="00000000" w:rsidRPr="00000000">
              <w:rPr>
                <w:color w:val="000000"/>
                <w:u w:val="none"/>
                <w:rtl w:val="0"/>
              </w:rPr>
              <w:t xml:space="preserve">4.3 Finance: The Architecture of Algorithmic Accountability</w:t>
              <w:tab/>
            </w:r>
          </w:hyperlink>
          <w:r w:rsidDel="00000000" w:rsidR="00000000" w:rsidRPr="00000000">
            <w:fldChar w:fldCharType="begin"/>
            <w:instrText xml:space="preserve"> PAGEREF _7m2qwy1koh0f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360"/>
            </w:tabs>
            <w:spacing w:before="60" w:line="240" w:lineRule="auto"/>
            <w:ind w:left="1080" w:firstLine="0"/>
            <w:rPr>
              <w:color w:val="000000"/>
              <w:u w:val="none"/>
            </w:rPr>
          </w:pPr>
          <w:hyperlink w:anchor="_j8q8fhopnumx">
            <w:r w:rsidDel="00000000" w:rsidR="00000000" w:rsidRPr="00000000">
              <w:rPr>
                <w:color w:val="000000"/>
                <w:u w:val="none"/>
                <w:rtl w:val="0"/>
              </w:rPr>
              <w:t xml:space="preserve">4.3.1 The 2010 Flash Crash: Revisited Through the TML Architecture</w:t>
              <w:tab/>
            </w:r>
          </w:hyperlink>
          <w:r w:rsidDel="00000000" w:rsidR="00000000" w:rsidRPr="00000000">
            <w:fldChar w:fldCharType="begin"/>
            <w:instrText xml:space="preserve"> PAGEREF _j8q8fhopnumx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360"/>
            </w:tabs>
            <w:spacing w:before="60" w:line="240" w:lineRule="auto"/>
            <w:ind w:left="1080" w:firstLine="0"/>
            <w:rPr>
              <w:color w:val="000000"/>
              <w:u w:val="none"/>
            </w:rPr>
          </w:pPr>
          <w:hyperlink w:anchor="_gijbk6t5trkf">
            <w:r w:rsidDel="00000000" w:rsidR="00000000" w:rsidRPr="00000000">
              <w:rPr>
                <w:color w:val="000000"/>
                <w:u w:val="none"/>
                <w:rtl w:val="0"/>
              </w:rPr>
              <w:t xml:space="preserve">4.3.2 The Citigroup 2022 Flash Crash: Human-Machine Interface Failure</w:t>
              <w:tab/>
            </w:r>
          </w:hyperlink>
          <w:r w:rsidDel="00000000" w:rsidR="00000000" w:rsidRPr="00000000">
            <w:fldChar w:fldCharType="begin"/>
            <w:instrText xml:space="preserve"> PAGEREF _gijbk6t5trkf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360"/>
            </w:tabs>
            <w:spacing w:before="60" w:line="240" w:lineRule="auto"/>
            <w:ind w:left="1080" w:firstLine="0"/>
            <w:rPr>
              <w:color w:val="000000"/>
              <w:u w:val="none"/>
            </w:rPr>
          </w:pPr>
          <w:hyperlink w:anchor="_h8t8cdnk5sn9">
            <w:r w:rsidDel="00000000" w:rsidR="00000000" w:rsidRPr="00000000">
              <w:rPr>
                <w:color w:val="000000"/>
                <w:u w:val="none"/>
                <w:rtl w:val="0"/>
              </w:rPr>
              <w:t xml:space="preserve">4.3.3 Algorithmic Bias and Digital Redlining</w:t>
              <w:tab/>
            </w:r>
          </w:hyperlink>
          <w:r w:rsidDel="00000000" w:rsidR="00000000" w:rsidRPr="00000000">
            <w:fldChar w:fldCharType="begin"/>
            <w:instrText xml:space="preserve"> PAGEREF _h8t8cdnk5sn9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360"/>
            </w:tabs>
            <w:spacing w:before="60" w:line="240" w:lineRule="auto"/>
            <w:ind w:left="720" w:firstLine="0"/>
            <w:rPr>
              <w:color w:val="000000"/>
              <w:u w:val="none"/>
            </w:rPr>
          </w:pPr>
          <w:hyperlink w:anchor="_uzsq9u4prr9v">
            <w:r w:rsidDel="00000000" w:rsidR="00000000" w:rsidRPr="00000000">
              <w:rPr>
                <w:color w:val="000000"/>
                <w:u w:val="none"/>
                <w:rtl w:val="0"/>
              </w:rPr>
              <w:t xml:space="preserve">4.4 Public Sector: The Bureaucracy of Automated Cruelty</w:t>
              <w:tab/>
            </w:r>
          </w:hyperlink>
          <w:r w:rsidDel="00000000" w:rsidR="00000000" w:rsidRPr="00000000">
            <w:fldChar w:fldCharType="begin"/>
            <w:instrText xml:space="preserve"> PAGEREF _uzsq9u4prr9v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360"/>
            </w:tabs>
            <w:spacing w:before="60" w:line="240" w:lineRule="auto"/>
            <w:ind w:left="1080" w:firstLine="0"/>
            <w:rPr>
              <w:color w:val="000000"/>
              <w:u w:val="none"/>
            </w:rPr>
          </w:pPr>
          <w:hyperlink w:anchor="_hfh6pbeu261b">
            <w:r w:rsidDel="00000000" w:rsidR="00000000" w:rsidRPr="00000000">
              <w:rPr>
                <w:color w:val="000000"/>
                <w:u w:val="none"/>
                <w:rtl w:val="0"/>
              </w:rPr>
              <w:t xml:space="preserve">4.4.1 The Dutch Toeslagenaffaire: Algorithmic Discrimination at Administrative Scale</w:t>
              <w:tab/>
            </w:r>
          </w:hyperlink>
          <w:r w:rsidDel="00000000" w:rsidR="00000000" w:rsidRPr="00000000">
            <w:fldChar w:fldCharType="begin"/>
            <w:instrText xml:space="preserve"> PAGEREF _hfh6pbeu261b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360"/>
            </w:tabs>
            <w:spacing w:before="60" w:line="240" w:lineRule="auto"/>
            <w:ind w:left="1080" w:firstLine="0"/>
            <w:rPr>
              <w:color w:val="000000"/>
              <w:u w:val="none"/>
            </w:rPr>
          </w:pPr>
          <w:hyperlink w:anchor="_smk0tt1wzvyk">
            <w:r w:rsidDel="00000000" w:rsidR="00000000" w:rsidRPr="00000000">
              <w:rPr>
                <w:color w:val="000000"/>
                <w:u w:val="none"/>
                <w:rtl w:val="0"/>
              </w:rPr>
              <w:t xml:space="preserve">4.4.2 Australia's Robodebt Scheme: Scale Without Epistemic Warrant</w:t>
              <w:tab/>
            </w:r>
          </w:hyperlink>
          <w:r w:rsidDel="00000000" w:rsidR="00000000" w:rsidRPr="00000000">
            <w:fldChar w:fldCharType="begin"/>
            <w:instrText xml:space="preserve"> PAGEREF _smk0tt1wzvyk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360"/>
            </w:tabs>
            <w:spacing w:before="60" w:line="240" w:lineRule="auto"/>
            <w:ind w:left="1080" w:firstLine="0"/>
            <w:rPr>
              <w:color w:val="000000"/>
              <w:u w:val="none"/>
            </w:rPr>
          </w:pPr>
          <w:hyperlink w:anchor="_bdwbg11i3ojt">
            <w:r w:rsidDel="00000000" w:rsidR="00000000" w:rsidRPr="00000000">
              <w:rPr>
                <w:color w:val="000000"/>
                <w:u w:val="none"/>
                <w:rtl w:val="0"/>
              </w:rPr>
              <w:t xml:space="preserve">4.4.3 Arkansas Medicaid: The Black Box of Care Reduction</w:t>
              <w:tab/>
            </w:r>
          </w:hyperlink>
          <w:r w:rsidDel="00000000" w:rsidR="00000000" w:rsidRPr="00000000">
            <w:fldChar w:fldCharType="begin"/>
            <w:instrText xml:space="preserve"> PAGEREF _bdwbg11i3ojt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360"/>
            </w:tabs>
            <w:spacing w:before="60" w:line="240" w:lineRule="auto"/>
            <w:ind w:left="720" w:firstLine="0"/>
            <w:rPr>
              <w:color w:val="000000"/>
              <w:u w:val="none"/>
            </w:rPr>
          </w:pPr>
          <w:hyperlink w:anchor="_8xighxckf429">
            <w:r w:rsidDel="00000000" w:rsidR="00000000" w:rsidRPr="00000000">
              <w:rPr>
                <w:color w:val="000000"/>
                <w:u w:val="none"/>
                <w:rtl w:val="0"/>
              </w:rPr>
              <w:t xml:space="preserve">4.5 Defense: The Lethality Loop and Meaningful Human Control</w:t>
              <w:tab/>
            </w:r>
          </w:hyperlink>
          <w:r w:rsidDel="00000000" w:rsidR="00000000" w:rsidRPr="00000000">
            <w:fldChar w:fldCharType="begin"/>
            <w:instrText xml:space="preserve"> PAGEREF _8xighxckf429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360"/>
            </w:tabs>
            <w:spacing w:before="60" w:line="240" w:lineRule="auto"/>
            <w:ind w:left="1080" w:firstLine="0"/>
            <w:rPr>
              <w:color w:val="000000"/>
              <w:u w:val="none"/>
            </w:rPr>
          </w:pPr>
          <w:hyperlink w:anchor="_ujnmt4f67evp">
            <w:r w:rsidDel="00000000" w:rsidR="00000000" w:rsidRPr="00000000">
              <w:rPr>
                <w:color w:val="000000"/>
                <w:u w:val="none"/>
                <w:rtl w:val="0"/>
              </w:rPr>
              <w:t xml:space="preserve">4.5.1 The Kargu-2: The Constitutional Imperative of the Hesitation State in Lethal Systems</w:t>
              <w:tab/>
            </w:r>
          </w:hyperlink>
          <w:r w:rsidDel="00000000" w:rsidR="00000000" w:rsidRPr="00000000">
            <w:fldChar w:fldCharType="begin"/>
            <w:instrText xml:space="preserve"> PAGEREF _ujnmt4f67evp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360"/>
            </w:tabs>
            <w:spacing w:before="60" w:line="240" w:lineRule="auto"/>
            <w:ind w:left="1080" w:firstLine="0"/>
            <w:rPr>
              <w:color w:val="000000"/>
              <w:u w:val="none"/>
            </w:rPr>
          </w:pPr>
          <w:hyperlink w:anchor="_dehmvrxhr0ej">
            <w:r w:rsidDel="00000000" w:rsidR="00000000" w:rsidRPr="00000000">
              <w:rPr>
                <w:color w:val="000000"/>
                <w:u w:val="none"/>
                <w:rtl w:val="0"/>
              </w:rPr>
              <w:t xml:space="preserve">4.5.2 DoD Directive 3000.09 and the TML Compliance Architecture</w:t>
              <w:tab/>
            </w:r>
          </w:hyperlink>
          <w:r w:rsidDel="00000000" w:rsidR="00000000" w:rsidRPr="00000000">
            <w:fldChar w:fldCharType="begin"/>
            <w:instrText xml:space="preserve"> PAGEREF _dehmvrxhr0ej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360"/>
            </w:tabs>
            <w:spacing w:before="60" w:line="240" w:lineRule="auto"/>
            <w:ind w:left="1080" w:firstLine="0"/>
            <w:rPr>
              <w:color w:val="000000"/>
              <w:u w:val="none"/>
            </w:rPr>
          </w:pPr>
          <w:hyperlink w:anchor="_2l5xigtmck6u">
            <w:r w:rsidDel="00000000" w:rsidR="00000000" w:rsidRPr="00000000">
              <w:rPr>
                <w:color w:val="000000"/>
                <w:u w:val="none"/>
                <w:rtl w:val="0"/>
              </w:rPr>
              <w:t xml:space="preserve">4.5.3 The "No Weapon" License Provision: Constitutional Prohibition on Unconstrained Lethal Deployment</w:t>
              <w:tab/>
            </w:r>
          </w:hyperlink>
          <w:r w:rsidDel="00000000" w:rsidR="00000000" w:rsidRPr="00000000">
            <w:fldChar w:fldCharType="begin"/>
            <w:instrText xml:space="preserve"> PAGEREF _2l5xigtmck6u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360"/>
            </w:tabs>
            <w:spacing w:before="60" w:line="240" w:lineRule="auto"/>
            <w:ind w:left="720" w:firstLine="0"/>
            <w:rPr>
              <w:color w:val="000000"/>
              <w:u w:val="none"/>
            </w:rPr>
          </w:pPr>
          <w:hyperlink w:anchor="_jus1e9paqbz1">
            <w:r w:rsidDel="00000000" w:rsidR="00000000" w:rsidRPr="00000000">
              <w:rPr>
                <w:color w:val="000000"/>
                <w:u w:val="none"/>
                <w:rtl w:val="0"/>
              </w:rPr>
              <w:t xml:space="preserve">4.6 Synthesis: The Structural Pattern of Sector Failures</w:t>
              <w:tab/>
            </w:r>
          </w:hyperlink>
          <w:r w:rsidDel="00000000" w:rsidR="00000000" w:rsidRPr="00000000">
            <w:fldChar w:fldCharType="begin"/>
            <w:instrText xml:space="preserve"> PAGEREF _jus1e9paqbz1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360"/>
            </w:tabs>
            <w:spacing w:before="60" w:line="240" w:lineRule="auto"/>
            <w:ind w:left="360" w:firstLine="0"/>
            <w:rPr>
              <w:color w:val="000000"/>
              <w:u w:val="none"/>
            </w:rPr>
          </w:pPr>
          <w:hyperlink w:anchor="_mq88wst36s89">
            <w:r w:rsidDel="00000000" w:rsidR="00000000" w:rsidRPr="00000000">
              <w:rPr>
                <w:color w:val="000000"/>
                <w:u w:val="none"/>
                <w:rtl w:val="0"/>
              </w:rPr>
              <w:t xml:space="preserve">Section V: The Legal and Regulatory Compliance Framework</w:t>
              <w:tab/>
            </w:r>
          </w:hyperlink>
          <w:r w:rsidDel="00000000" w:rsidR="00000000" w:rsidRPr="00000000">
            <w:fldChar w:fldCharType="begin"/>
            <w:instrText xml:space="preserve"> PAGEREF _mq88wst36s89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360"/>
            </w:tabs>
            <w:spacing w:before="60" w:line="240" w:lineRule="auto"/>
            <w:ind w:left="720" w:firstLine="0"/>
            <w:rPr>
              <w:color w:val="000000"/>
              <w:u w:val="none"/>
            </w:rPr>
          </w:pPr>
          <w:hyperlink w:anchor="_69xrme5ti9mr">
            <w:r w:rsidDel="00000000" w:rsidR="00000000" w:rsidRPr="00000000">
              <w:rPr>
                <w:color w:val="000000"/>
                <w:u w:val="none"/>
                <w:rtl w:val="0"/>
              </w:rPr>
              <w:t xml:space="preserve">5.0 Introduction: Compliance as Byproduct</w:t>
              <w:tab/>
            </w:r>
          </w:hyperlink>
          <w:r w:rsidDel="00000000" w:rsidR="00000000" w:rsidRPr="00000000">
            <w:fldChar w:fldCharType="begin"/>
            <w:instrText xml:space="preserve"> PAGEREF _69xrme5ti9mr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360"/>
            </w:tabs>
            <w:spacing w:before="60" w:line="240" w:lineRule="auto"/>
            <w:ind w:left="720" w:firstLine="0"/>
            <w:rPr>
              <w:color w:val="000000"/>
              <w:u w:val="none"/>
            </w:rPr>
          </w:pPr>
          <w:hyperlink w:anchor="_hstbe9s4e051">
            <w:r w:rsidDel="00000000" w:rsidR="00000000" w:rsidRPr="00000000">
              <w:rPr>
                <w:color w:val="000000"/>
                <w:u w:val="none"/>
                <w:rtl w:val="0"/>
              </w:rPr>
              <w:t xml:space="preserve">5.1 The EU Artificial Intelligence Act</w:t>
              <w:tab/>
            </w:r>
          </w:hyperlink>
          <w:r w:rsidDel="00000000" w:rsidR="00000000" w:rsidRPr="00000000">
            <w:fldChar w:fldCharType="begin"/>
            <w:instrText xml:space="preserve"> PAGEREF _hstbe9s4e051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360"/>
            </w:tabs>
            <w:spacing w:before="60" w:line="240" w:lineRule="auto"/>
            <w:ind w:left="1080" w:firstLine="0"/>
            <w:rPr>
              <w:color w:val="000000"/>
              <w:u w:val="none"/>
            </w:rPr>
          </w:pPr>
          <w:hyperlink w:anchor="_bnm084w88s9o">
            <w:r w:rsidDel="00000000" w:rsidR="00000000" w:rsidRPr="00000000">
              <w:rPr>
                <w:color w:val="000000"/>
                <w:u w:val="none"/>
                <w:rtl w:val="0"/>
              </w:rPr>
              <w:t xml:space="preserve">5.1.1 Regulatory Architecture and Scope</w:t>
              <w:tab/>
            </w:r>
          </w:hyperlink>
          <w:r w:rsidDel="00000000" w:rsidR="00000000" w:rsidRPr="00000000">
            <w:fldChar w:fldCharType="begin"/>
            <w:instrText xml:space="preserve"> PAGEREF _bnm084w88s9o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360"/>
            </w:tabs>
            <w:spacing w:before="60" w:line="240" w:lineRule="auto"/>
            <w:ind w:left="1080" w:firstLine="0"/>
            <w:rPr>
              <w:color w:val="000000"/>
              <w:u w:val="none"/>
            </w:rPr>
          </w:pPr>
          <w:hyperlink w:anchor="_mj373u3awq1a">
            <w:r w:rsidDel="00000000" w:rsidR="00000000" w:rsidRPr="00000000">
              <w:rPr>
                <w:color w:val="000000"/>
                <w:u w:val="none"/>
                <w:rtl w:val="0"/>
              </w:rPr>
              <w:t xml:space="preserve">5.1.2 Article 9: Risk Management System</w:t>
              <w:tab/>
            </w:r>
          </w:hyperlink>
          <w:r w:rsidDel="00000000" w:rsidR="00000000" w:rsidRPr="00000000">
            <w:fldChar w:fldCharType="begin"/>
            <w:instrText xml:space="preserve"> PAGEREF _mj373u3awq1a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360"/>
            </w:tabs>
            <w:spacing w:before="60" w:line="240" w:lineRule="auto"/>
            <w:ind w:left="1080" w:firstLine="0"/>
            <w:rPr>
              <w:color w:val="000000"/>
              <w:u w:val="none"/>
            </w:rPr>
          </w:pPr>
          <w:hyperlink w:anchor="_fwq0jvqiap1">
            <w:r w:rsidDel="00000000" w:rsidR="00000000" w:rsidRPr="00000000">
              <w:rPr>
                <w:color w:val="000000"/>
                <w:u w:val="none"/>
                <w:rtl w:val="0"/>
              </w:rPr>
              <w:t xml:space="preserve">5.1.3 Article 12: Record Keeping</w:t>
              <w:tab/>
            </w:r>
          </w:hyperlink>
          <w:r w:rsidDel="00000000" w:rsidR="00000000" w:rsidRPr="00000000">
            <w:fldChar w:fldCharType="begin"/>
            <w:instrText xml:space="preserve"> PAGEREF _fwq0jvqiap1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360"/>
            </w:tabs>
            <w:spacing w:before="60" w:line="240" w:lineRule="auto"/>
            <w:ind w:left="1080" w:firstLine="0"/>
            <w:rPr>
              <w:color w:val="000000"/>
              <w:u w:val="none"/>
            </w:rPr>
          </w:pPr>
          <w:hyperlink w:anchor="_xf54kll6s0yg">
            <w:r w:rsidDel="00000000" w:rsidR="00000000" w:rsidRPr="00000000">
              <w:rPr>
                <w:color w:val="000000"/>
                <w:u w:val="none"/>
                <w:rtl w:val="0"/>
              </w:rPr>
              <w:t xml:space="preserve">5.1.4 Article 13: Transparency and Provision of Information</w:t>
              <w:tab/>
            </w:r>
          </w:hyperlink>
          <w:r w:rsidDel="00000000" w:rsidR="00000000" w:rsidRPr="00000000">
            <w:fldChar w:fldCharType="begin"/>
            <w:instrText xml:space="preserve"> PAGEREF _xf54kll6s0yg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360"/>
            </w:tabs>
            <w:spacing w:before="60" w:line="240" w:lineRule="auto"/>
            <w:ind w:left="1080" w:firstLine="0"/>
            <w:rPr>
              <w:color w:val="000000"/>
              <w:u w:val="none"/>
            </w:rPr>
          </w:pPr>
          <w:hyperlink w:anchor="_a1vrog7ga8hp">
            <w:r w:rsidDel="00000000" w:rsidR="00000000" w:rsidRPr="00000000">
              <w:rPr>
                <w:color w:val="000000"/>
                <w:u w:val="none"/>
                <w:rtl w:val="0"/>
              </w:rPr>
              <w:t xml:space="preserve">5.1.5 Article 14: Human Oversight</w:t>
              <w:tab/>
            </w:r>
          </w:hyperlink>
          <w:r w:rsidDel="00000000" w:rsidR="00000000" w:rsidRPr="00000000">
            <w:fldChar w:fldCharType="begin"/>
            <w:instrText xml:space="preserve"> PAGEREF _a1vrog7ga8hp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360"/>
            </w:tabs>
            <w:spacing w:before="60" w:line="240" w:lineRule="auto"/>
            <w:ind w:left="1080" w:firstLine="0"/>
            <w:rPr>
              <w:color w:val="000000"/>
              <w:u w:val="none"/>
            </w:rPr>
          </w:pPr>
          <w:hyperlink w:anchor="_vl4m00q2a288">
            <w:r w:rsidDel="00000000" w:rsidR="00000000" w:rsidRPr="00000000">
              <w:rPr>
                <w:color w:val="000000"/>
                <w:u w:val="none"/>
                <w:rtl w:val="0"/>
              </w:rPr>
              <w:t xml:space="preserve">5.1.6 Article 15: Accuracy, Robustness, and Cybersecurity</w:t>
              <w:tab/>
            </w:r>
          </w:hyperlink>
          <w:r w:rsidDel="00000000" w:rsidR="00000000" w:rsidRPr="00000000">
            <w:fldChar w:fldCharType="begin"/>
            <w:instrText xml:space="preserve"> PAGEREF _vl4m00q2a288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360"/>
            </w:tabs>
            <w:spacing w:before="60" w:line="240" w:lineRule="auto"/>
            <w:ind w:left="1080" w:firstLine="0"/>
            <w:rPr>
              <w:color w:val="000000"/>
              <w:u w:val="none"/>
            </w:rPr>
          </w:pPr>
          <w:hyperlink w:anchor="_hzdh5rr93chz">
            <w:r w:rsidDel="00000000" w:rsidR="00000000" w:rsidRPr="00000000">
              <w:rPr>
                <w:color w:val="000000"/>
                <w:u w:val="none"/>
                <w:rtl w:val="0"/>
              </w:rPr>
              <w:t xml:space="preserve">5.1.7 Articles 17 and 61: Quality Management and Post-Market Monitoring</w:t>
              <w:tab/>
            </w:r>
          </w:hyperlink>
          <w:r w:rsidDel="00000000" w:rsidR="00000000" w:rsidRPr="00000000">
            <w:fldChar w:fldCharType="begin"/>
            <w:instrText xml:space="preserve"> PAGEREF _hzdh5rr93chz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360"/>
            </w:tabs>
            <w:spacing w:before="60" w:line="240" w:lineRule="auto"/>
            <w:ind w:left="1080" w:firstLine="0"/>
            <w:rPr>
              <w:color w:val="000000"/>
              <w:u w:val="none"/>
            </w:rPr>
          </w:pPr>
          <w:hyperlink w:anchor="_2qvoq0swwe1o">
            <w:r w:rsidDel="00000000" w:rsidR="00000000" w:rsidRPr="00000000">
              <w:rPr>
                <w:color w:val="000000"/>
                <w:u w:val="none"/>
                <w:rtl w:val="0"/>
              </w:rPr>
              <w:t xml:space="preserve">5.1.8 Articles 84, 85, and 99: Enforcement and Penalties</w:t>
              <w:tab/>
            </w:r>
          </w:hyperlink>
          <w:r w:rsidDel="00000000" w:rsidR="00000000" w:rsidRPr="00000000">
            <w:fldChar w:fldCharType="begin"/>
            <w:instrText xml:space="preserve"> PAGEREF _2qvoq0swwe1o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360"/>
            </w:tabs>
            <w:spacing w:before="60" w:line="240" w:lineRule="auto"/>
            <w:ind w:left="720" w:firstLine="0"/>
            <w:rPr>
              <w:color w:val="000000"/>
              <w:u w:val="none"/>
            </w:rPr>
          </w:pPr>
          <w:hyperlink w:anchor="_g0ilow4l0771">
            <w:r w:rsidDel="00000000" w:rsidR="00000000" w:rsidRPr="00000000">
              <w:rPr>
                <w:color w:val="000000"/>
                <w:u w:val="none"/>
                <w:rtl w:val="0"/>
              </w:rPr>
              <w:t xml:space="preserve">5.2 The NIST AI Risk Management Framework</w:t>
              <w:tab/>
            </w:r>
          </w:hyperlink>
          <w:r w:rsidDel="00000000" w:rsidR="00000000" w:rsidRPr="00000000">
            <w:fldChar w:fldCharType="begin"/>
            <w:instrText xml:space="preserve"> PAGEREF _g0ilow4l0771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360"/>
            </w:tabs>
            <w:spacing w:before="60" w:line="240" w:lineRule="auto"/>
            <w:ind w:left="720" w:firstLine="0"/>
            <w:rPr>
              <w:color w:val="000000"/>
              <w:u w:val="none"/>
            </w:rPr>
          </w:pPr>
          <w:hyperlink w:anchor="_c1232d6hh8gf">
            <w:r w:rsidDel="00000000" w:rsidR="00000000" w:rsidRPr="00000000">
              <w:rPr>
                <w:color w:val="000000"/>
                <w:u w:val="none"/>
                <w:rtl w:val="0"/>
              </w:rPr>
              <w:t xml:space="preserve">5.3 ISO/IEC 42001: AI Management System Standard</w:t>
              <w:tab/>
            </w:r>
          </w:hyperlink>
          <w:r w:rsidDel="00000000" w:rsidR="00000000" w:rsidRPr="00000000">
            <w:fldChar w:fldCharType="begin"/>
            <w:instrText xml:space="preserve"> PAGEREF _c1232d6hh8gf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360"/>
            </w:tabs>
            <w:spacing w:before="60" w:line="240" w:lineRule="auto"/>
            <w:ind w:left="720" w:firstLine="0"/>
            <w:rPr>
              <w:color w:val="000000"/>
              <w:u w:val="none"/>
            </w:rPr>
          </w:pPr>
          <w:hyperlink w:anchor="_3uqd21a6zvx">
            <w:r w:rsidDel="00000000" w:rsidR="00000000" w:rsidRPr="00000000">
              <w:rPr>
                <w:color w:val="000000"/>
                <w:u w:val="none"/>
                <w:rtl w:val="0"/>
              </w:rPr>
              <w:t xml:space="preserve">5.4 U.S. Federal Rules of Evidence: Self-Authentication and Admissibility</w:t>
              <w:tab/>
            </w:r>
          </w:hyperlink>
          <w:r w:rsidDel="00000000" w:rsidR="00000000" w:rsidRPr="00000000">
            <w:fldChar w:fldCharType="begin"/>
            <w:instrText xml:space="preserve"> PAGEREF _3uqd21a6zvx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360"/>
            </w:tabs>
            <w:spacing w:before="60" w:line="240" w:lineRule="auto"/>
            <w:ind w:left="720" w:firstLine="0"/>
            <w:rPr>
              <w:color w:val="000000"/>
              <w:u w:val="none"/>
            </w:rPr>
          </w:pPr>
          <w:hyperlink w:anchor="_cte71xc8ckfj">
            <w:r w:rsidDel="00000000" w:rsidR="00000000" w:rsidRPr="00000000">
              <w:rPr>
                <w:color w:val="000000"/>
                <w:u w:val="none"/>
                <w:rtl w:val="0"/>
              </w:rPr>
              <w:t xml:space="preserve">5.5 EU eIDAS Regulation: Qualified Electronic Timestamps</w:t>
              <w:tab/>
            </w:r>
          </w:hyperlink>
          <w:r w:rsidDel="00000000" w:rsidR="00000000" w:rsidRPr="00000000">
            <w:fldChar w:fldCharType="begin"/>
            <w:instrText xml:space="preserve"> PAGEREF _cte71xc8ckfj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360"/>
            </w:tabs>
            <w:spacing w:before="60" w:line="240" w:lineRule="auto"/>
            <w:ind w:left="720" w:firstLine="0"/>
            <w:rPr>
              <w:color w:val="000000"/>
              <w:u w:val="none"/>
            </w:rPr>
          </w:pPr>
          <w:hyperlink w:anchor="_jwjyylj1ni9y">
            <w:r w:rsidDel="00000000" w:rsidR="00000000" w:rsidRPr="00000000">
              <w:rPr>
                <w:color w:val="000000"/>
                <w:u w:val="none"/>
                <w:rtl w:val="0"/>
              </w:rPr>
              <w:t xml:space="preserve">5.6 Basel III/IV: Model Risk Management and Pillar 3 Disclosure</w:t>
              <w:tab/>
            </w:r>
          </w:hyperlink>
          <w:r w:rsidDel="00000000" w:rsidR="00000000" w:rsidRPr="00000000">
            <w:fldChar w:fldCharType="begin"/>
            <w:instrText xml:space="preserve"> PAGEREF _jwjyylj1ni9y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360"/>
            </w:tabs>
            <w:spacing w:before="60" w:line="240" w:lineRule="auto"/>
            <w:ind w:left="720" w:firstLine="0"/>
            <w:rPr>
              <w:color w:val="000000"/>
              <w:u w:val="none"/>
            </w:rPr>
          </w:pPr>
          <w:hyperlink w:anchor="_qxjyma6dnax9">
            <w:r w:rsidDel="00000000" w:rsidR="00000000" w:rsidRPr="00000000">
              <w:rPr>
                <w:color w:val="000000"/>
                <w:u w:val="none"/>
                <w:rtl w:val="0"/>
              </w:rPr>
              <w:t xml:space="preserve">5.7 Global Emerging Frameworks: Brazil, UK, Canada, and Singapore</w:t>
              <w:tab/>
            </w:r>
          </w:hyperlink>
          <w:r w:rsidDel="00000000" w:rsidR="00000000" w:rsidRPr="00000000">
            <w:fldChar w:fldCharType="begin"/>
            <w:instrText xml:space="preserve"> PAGEREF _qxjyma6dnax9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360"/>
            </w:tabs>
            <w:spacing w:before="60" w:line="240" w:lineRule="auto"/>
            <w:ind w:left="720" w:firstLine="0"/>
            <w:rPr>
              <w:color w:val="000000"/>
              <w:u w:val="none"/>
            </w:rPr>
          </w:pPr>
          <w:hyperlink w:anchor="_jq7igngs1ljc">
            <w:r w:rsidDel="00000000" w:rsidR="00000000" w:rsidRPr="00000000">
              <w:rPr>
                <w:color w:val="000000"/>
                <w:u w:val="none"/>
                <w:rtl w:val="0"/>
              </w:rPr>
              <w:t xml:space="preserve">5.8 The TML Regulatory Compliance Matrix</w:t>
              <w:tab/>
            </w:r>
          </w:hyperlink>
          <w:r w:rsidDel="00000000" w:rsidR="00000000" w:rsidRPr="00000000">
            <w:fldChar w:fldCharType="begin"/>
            <w:instrText xml:space="preserve"> PAGEREF _jq7igngs1ljc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360"/>
            </w:tabs>
            <w:spacing w:before="60" w:line="240" w:lineRule="auto"/>
            <w:ind w:left="720" w:firstLine="0"/>
            <w:rPr>
              <w:color w:val="000000"/>
              <w:u w:val="none"/>
            </w:rPr>
          </w:pPr>
          <w:hyperlink w:anchor="_6lvxu854ixzw">
            <w:r w:rsidDel="00000000" w:rsidR="00000000" w:rsidRPr="00000000">
              <w:rPr>
                <w:color w:val="000000"/>
                <w:u w:val="none"/>
                <w:rtl w:val="0"/>
              </w:rPr>
              <w:t xml:space="preserve">5.9 The Enforcement Asymmetry and the TML Advantage</w:t>
              <w:tab/>
            </w:r>
          </w:hyperlink>
          <w:r w:rsidDel="00000000" w:rsidR="00000000" w:rsidRPr="00000000">
            <w:fldChar w:fldCharType="begin"/>
            <w:instrText xml:space="preserve"> PAGEREF _6lvxu854ixzw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360"/>
            </w:tabs>
            <w:spacing w:before="60" w:line="240" w:lineRule="auto"/>
            <w:ind w:left="360" w:firstLine="0"/>
            <w:rPr>
              <w:color w:val="000000"/>
              <w:u w:val="none"/>
            </w:rPr>
          </w:pPr>
          <w:hyperlink w:anchor="_3jhx86w2wjxf">
            <w:r w:rsidDel="00000000" w:rsidR="00000000" w:rsidRPr="00000000">
              <w:rPr>
                <w:color w:val="000000"/>
                <w:u w:val="none"/>
                <w:rtl w:val="0"/>
              </w:rPr>
              <w:t xml:space="preserve">Section VI: The Operational Specification</w:t>
              <w:tab/>
            </w:r>
          </w:hyperlink>
          <w:r w:rsidDel="00000000" w:rsidR="00000000" w:rsidRPr="00000000">
            <w:fldChar w:fldCharType="begin"/>
            <w:instrText xml:space="preserve"> PAGEREF _3jhx86w2wjxf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360"/>
            </w:tabs>
            <w:spacing w:before="60" w:line="240" w:lineRule="auto"/>
            <w:ind w:left="720" w:firstLine="0"/>
            <w:rPr>
              <w:color w:val="000000"/>
              <w:u w:val="none"/>
            </w:rPr>
          </w:pPr>
          <w:hyperlink w:anchor="_yvvgyhtpj1vu">
            <w:r w:rsidDel="00000000" w:rsidR="00000000" w:rsidRPr="00000000">
              <w:rPr>
                <w:color w:val="000000"/>
                <w:u w:val="none"/>
                <w:rtl w:val="0"/>
              </w:rPr>
              <w:t xml:space="preserve">6.0 Introduction: From Architecture to Running Contract</w:t>
              <w:tab/>
            </w:r>
          </w:hyperlink>
          <w:r w:rsidDel="00000000" w:rsidR="00000000" w:rsidRPr="00000000">
            <w:fldChar w:fldCharType="begin"/>
            <w:instrText xml:space="preserve"> PAGEREF _yvvgyhtpj1vu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9360"/>
            </w:tabs>
            <w:spacing w:before="60" w:line="240" w:lineRule="auto"/>
            <w:ind w:left="720" w:firstLine="0"/>
            <w:rPr>
              <w:color w:val="000000"/>
              <w:u w:val="none"/>
            </w:rPr>
          </w:pPr>
          <w:hyperlink w:anchor="_yjfj54hl70m">
            <w:r w:rsidDel="00000000" w:rsidR="00000000" w:rsidRPr="00000000">
              <w:rPr>
                <w:color w:val="000000"/>
                <w:u w:val="none"/>
                <w:rtl w:val="0"/>
              </w:rPr>
              <w:t xml:space="preserve">6.1 The API Architecture: Two Lanes, Two Path Groups</w:t>
              <w:tab/>
            </w:r>
          </w:hyperlink>
          <w:r w:rsidDel="00000000" w:rsidR="00000000" w:rsidRPr="00000000">
            <w:fldChar w:fldCharType="begin"/>
            <w:instrText xml:space="preserve"> PAGEREF _yjfj54hl70m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9360"/>
            </w:tabs>
            <w:spacing w:before="60" w:line="240" w:lineRule="auto"/>
            <w:ind w:left="1080" w:firstLine="0"/>
            <w:rPr>
              <w:color w:val="000000"/>
              <w:u w:val="none"/>
            </w:rPr>
          </w:pPr>
          <w:hyperlink w:anchor="_pjgxpmls492g">
            <w:r w:rsidDel="00000000" w:rsidR="00000000" w:rsidRPr="00000000">
              <w:rPr>
                <w:color w:val="000000"/>
                <w:u w:val="none"/>
                <w:rtl w:val="0"/>
              </w:rPr>
              <w:t xml:space="preserve">6.1.1 The Inference Lane API (Fast Path)</w:t>
              <w:tab/>
            </w:r>
          </w:hyperlink>
          <w:r w:rsidDel="00000000" w:rsidR="00000000" w:rsidRPr="00000000">
            <w:fldChar w:fldCharType="begin"/>
            <w:instrText xml:space="preserve"> PAGEREF _pjgxpmls492g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9360"/>
            </w:tabs>
            <w:spacing w:before="60" w:line="240" w:lineRule="auto"/>
            <w:ind w:left="1080" w:firstLine="0"/>
            <w:rPr>
              <w:color w:val="000000"/>
              <w:u w:val="none"/>
            </w:rPr>
          </w:pPr>
          <w:hyperlink w:anchor="_hkmjngiu6yv3">
            <w:r w:rsidDel="00000000" w:rsidR="00000000" w:rsidRPr="00000000">
              <w:rPr>
                <w:color w:val="000000"/>
                <w:u w:val="none"/>
                <w:rtl w:val="0"/>
              </w:rPr>
              <w:t xml:space="preserve">6.1.2 The Anchoring Lane API (Anchoring Path)</w:t>
              <w:tab/>
            </w:r>
          </w:hyperlink>
          <w:r w:rsidDel="00000000" w:rsidR="00000000" w:rsidRPr="00000000">
            <w:fldChar w:fldCharType="begin"/>
            <w:instrText xml:space="preserve"> PAGEREF _hkmjngiu6yv3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9360"/>
            </w:tabs>
            <w:spacing w:before="60" w:line="240" w:lineRule="auto"/>
            <w:ind w:left="720" w:firstLine="0"/>
            <w:rPr>
              <w:color w:val="000000"/>
              <w:u w:val="none"/>
            </w:rPr>
          </w:pPr>
          <w:hyperlink w:anchor="_hjebbja9jz6j">
            <w:r w:rsidDel="00000000" w:rsidR="00000000" w:rsidRPr="00000000">
              <w:rPr>
                <w:color w:val="000000"/>
                <w:u w:val="none"/>
                <w:rtl w:val="0"/>
              </w:rPr>
              <w:t xml:space="preserve">6.2 The Permission Token: The Actuation Gate</w:t>
              <w:tab/>
            </w:r>
          </w:hyperlink>
          <w:r w:rsidDel="00000000" w:rsidR="00000000" w:rsidRPr="00000000">
            <w:fldChar w:fldCharType="begin"/>
            <w:instrText xml:space="preserve"> PAGEREF _hjebbja9jz6j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dot" w:pos="9360"/>
            </w:tabs>
            <w:spacing w:before="60" w:line="240" w:lineRule="auto"/>
            <w:ind w:left="720" w:firstLine="0"/>
            <w:rPr>
              <w:color w:val="000000"/>
              <w:u w:val="none"/>
            </w:rPr>
          </w:pPr>
          <w:hyperlink w:anchor="_1df9b73t0iqb">
            <w:r w:rsidDel="00000000" w:rsidR="00000000" w:rsidRPr="00000000">
              <w:rPr>
                <w:color w:val="000000"/>
                <w:u w:val="none"/>
                <w:rtl w:val="0"/>
              </w:rPr>
              <w:t xml:space="preserve">6.3 The Sacred Zero as a First-Class API State</w:t>
              <w:tab/>
            </w:r>
          </w:hyperlink>
          <w:r w:rsidDel="00000000" w:rsidR="00000000" w:rsidRPr="00000000">
            <w:fldChar w:fldCharType="begin"/>
            <w:instrText xml:space="preserve"> PAGEREF _1df9b73t0iqb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dot" w:pos="9360"/>
            </w:tabs>
            <w:spacing w:before="60" w:line="240" w:lineRule="auto"/>
            <w:ind w:left="1080" w:firstLine="0"/>
            <w:rPr>
              <w:color w:val="000000"/>
              <w:u w:val="none"/>
            </w:rPr>
          </w:pPr>
          <w:hyperlink w:anchor="_s6cm1zkywg49">
            <w:r w:rsidDel="00000000" w:rsidR="00000000" w:rsidRPr="00000000">
              <w:rPr>
                <w:color w:val="000000"/>
                <w:u w:val="none"/>
                <w:rtl w:val="0"/>
              </w:rPr>
              <w:t xml:space="preserve">6.3.1 The TSLF-State0 Schema: The Forensic Record of Hesitation</w:t>
              <w:tab/>
            </w:r>
          </w:hyperlink>
          <w:r w:rsidDel="00000000" w:rsidR="00000000" w:rsidRPr="00000000">
            <w:fldChar w:fldCharType="begin"/>
            <w:instrText xml:space="preserve"> PAGEREF _s6cm1zkywg49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dot" w:pos="9360"/>
            </w:tabs>
            <w:spacing w:before="60" w:line="240" w:lineRule="auto"/>
            <w:ind w:left="1080" w:firstLine="0"/>
            <w:rPr>
              <w:color w:val="000000"/>
              <w:u w:val="none"/>
            </w:rPr>
          </w:pPr>
          <w:hyperlink w:anchor="_uggpepfpgyi">
            <w:r w:rsidDel="00000000" w:rsidR="00000000" w:rsidRPr="00000000">
              <w:rPr>
                <w:color w:val="000000"/>
                <w:u w:val="none"/>
                <w:rtl w:val="0"/>
              </w:rPr>
              <w:t xml:space="preserve">6.3.2 Escalation Workflow and Human Resolution</w:t>
              <w:tab/>
            </w:r>
          </w:hyperlink>
          <w:r w:rsidDel="00000000" w:rsidR="00000000" w:rsidRPr="00000000">
            <w:fldChar w:fldCharType="begin"/>
            <w:instrText xml:space="preserve"> PAGEREF _uggpepfpgyi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dot" w:pos="9360"/>
            </w:tabs>
            <w:spacing w:before="60" w:line="240" w:lineRule="auto"/>
            <w:ind w:left="1080" w:firstLine="0"/>
            <w:rPr>
              <w:color w:val="000000"/>
              <w:u w:val="none"/>
            </w:rPr>
          </w:pPr>
          <w:hyperlink w:anchor="_3ymbltqdvedj">
            <w:r w:rsidDel="00000000" w:rsidR="00000000" w:rsidRPr="00000000">
              <w:rPr>
                <w:color w:val="000000"/>
                <w:u w:val="none"/>
                <w:rtl w:val="0"/>
              </w:rPr>
              <w:t xml:space="preserve">6.3.3 Automatic Fail-Closed Resolution</w:t>
              <w:tab/>
            </w:r>
          </w:hyperlink>
          <w:r w:rsidDel="00000000" w:rsidR="00000000" w:rsidRPr="00000000">
            <w:fldChar w:fldCharType="begin"/>
            <w:instrText xml:space="preserve"> PAGEREF _3ymbltqdvedj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dot" w:pos="9360"/>
            </w:tabs>
            <w:spacing w:before="60" w:line="240" w:lineRule="auto"/>
            <w:ind w:left="720" w:firstLine="0"/>
            <w:rPr>
              <w:color w:val="000000"/>
              <w:u w:val="none"/>
            </w:rPr>
          </w:pPr>
          <w:hyperlink w:anchor="_w25bb0gad3ne">
            <w:r w:rsidDel="00000000" w:rsidR="00000000" w:rsidRPr="00000000">
              <w:rPr>
                <w:color w:val="000000"/>
                <w:u w:val="none"/>
                <w:rtl w:val="0"/>
              </w:rPr>
              <w:t xml:space="preserve">6.4 The Goukassian Promise as Live API Resources</w:t>
              <w:tab/>
            </w:r>
          </w:hyperlink>
          <w:r w:rsidDel="00000000" w:rsidR="00000000" w:rsidRPr="00000000">
            <w:fldChar w:fldCharType="begin"/>
            <w:instrText xml:space="preserve"> PAGEREF _w25bb0gad3ne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dot" w:pos="9360"/>
            </w:tabs>
            <w:spacing w:before="60" w:line="240" w:lineRule="auto"/>
            <w:ind w:left="1080" w:firstLine="0"/>
            <w:rPr>
              <w:color w:val="000000"/>
              <w:u w:val="none"/>
            </w:rPr>
          </w:pPr>
          <w:hyperlink w:anchor="_mr9m3pprdaq">
            <w:r w:rsidDel="00000000" w:rsidR="00000000" w:rsidRPr="00000000">
              <w:rPr>
                <w:color w:val="000000"/>
                <w:u w:val="none"/>
                <w:rtl w:val="0"/>
              </w:rPr>
              <w:t xml:space="preserve">6.4.1 The Lantern as a Live Compliance Beacon</w:t>
              <w:tab/>
            </w:r>
          </w:hyperlink>
          <w:r w:rsidDel="00000000" w:rsidR="00000000" w:rsidRPr="00000000">
            <w:fldChar w:fldCharType="begin"/>
            <w:instrText xml:space="preserve"> PAGEREF _mr9m3pprdaq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dot" w:pos="9360"/>
            </w:tabs>
            <w:spacing w:before="60" w:line="240" w:lineRule="auto"/>
            <w:ind w:left="1080" w:firstLine="0"/>
            <w:rPr>
              <w:color w:val="000000"/>
              <w:u w:val="none"/>
            </w:rPr>
          </w:pPr>
          <w:hyperlink w:anchor="_pee6b5u9p37h">
            <w:r w:rsidDel="00000000" w:rsidR="00000000" w:rsidRPr="00000000">
              <w:rPr>
                <w:color w:val="000000"/>
                <w:u w:val="none"/>
                <w:rtl w:val="0"/>
              </w:rPr>
              <w:t xml:space="preserve">6.4.2 The Compliance Attestation Record</w:t>
              <w:tab/>
            </w:r>
          </w:hyperlink>
          <w:r w:rsidDel="00000000" w:rsidR="00000000" w:rsidRPr="00000000">
            <w:fldChar w:fldCharType="begin"/>
            <w:instrText xml:space="preserve"> PAGEREF _pee6b5u9p37h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dot" w:pos="9360"/>
            </w:tabs>
            <w:spacing w:before="60" w:line="240" w:lineRule="auto"/>
            <w:ind w:left="720" w:firstLine="0"/>
            <w:rPr>
              <w:color w:val="000000"/>
              <w:u w:val="none"/>
            </w:rPr>
          </w:pPr>
          <w:hyperlink w:anchor="_3oyesmw9919t">
            <w:r w:rsidDel="00000000" w:rsidR="00000000" w:rsidRPr="00000000">
              <w:rPr>
                <w:color w:val="000000"/>
                <w:u w:val="none"/>
                <w:rtl w:val="0"/>
              </w:rPr>
              <w:t xml:space="preserve">6.5 The Auditor and Regulator API Surface</w:t>
              <w:tab/>
            </w:r>
          </w:hyperlink>
          <w:r w:rsidDel="00000000" w:rsidR="00000000" w:rsidRPr="00000000">
            <w:fldChar w:fldCharType="begin"/>
            <w:instrText xml:space="preserve"> PAGEREF _3oyesmw9919t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dot" w:pos="9360"/>
            </w:tabs>
            <w:spacing w:before="60" w:line="240" w:lineRule="auto"/>
            <w:ind w:left="1080" w:firstLine="0"/>
            <w:rPr>
              <w:color w:val="000000"/>
              <w:u w:val="none"/>
            </w:rPr>
          </w:pPr>
          <w:hyperlink w:anchor="_uju7m2557fdx">
            <w:r w:rsidDel="00000000" w:rsidR="00000000" w:rsidRPr="00000000">
              <w:rPr>
                <w:color w:val="000000"/>
                <w:u w:val="none"/>
                <w:rtl w:val="0"/>
              </w:rPr>
              <w:t xml:space="preserve">6.5.1 The Regulatory Audit Trail</w:t>
              <w:tab/>
            </w:r>
          </w:hyperlink>
          <w:r w:rsidDel="00000000" w:rsidR="00000000" w:rsidRPr="00000000">
            <w:fldChar w:fldCharType="begin"/>
            <w:instrText xml:space="preserve"> PAGEREF _uju7m2557fdx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dot" w:pos="9360"/>
            </w:tabs>
            <w:spacing w:before="60" w:line="240" w:lineRule="auto"/>
            <w:ind w:left="1080" w:firstLine="0"/>
            <w:rPr>
              <w:color w:val="000000"/>
              <w:u w:val="none"/>
            </w:rPr>
          </w:pPr>
          <w:hyperlink w:anchor="_i62b3dc683r8">
            <w:r w:rsidDel="00000000" w:rsidR="00000000" w:rsidRPr="00000000">
              <w:rPr>
                <w:color w:val="000000"/>
                <w:u w:val="none"/>
                <w:rtl w:val="0"/>
              </w:rPr>
              <w:t xml:space="preserve">6.5.2 The Custodian Quorum Status</w:t>
              <w:tab/>
            </w:r>
          </w:hyperlink>
          <w:r w:rsidDel="00000000" w:rsidR="00000000" w:rsidRPr="00000000">
            <w:fldChar w:fldCharType="begin"/>
            <w:instrText xml:space="preserve"> PAGEREF _i62b3dc683r8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dot" w:pos="9360"/>
            </w:tabs>
            <w:spacing w:before="60" w:line="240" w:lineRule="auto"/>
            <w:ind w:left="720" w:firstLine="0"/>
            <w:rPr>
              <w:color w:val="000000"/>
              <w:u w:val="none"/>
            </w:rPr>
          </w:pPr>
          <w:hyperlink w:anchor="_ic3ousscx1pb">
            <w:r w:rsidDel="00000000" w:rsidR="00000000" w:rsidRPr="00000000">
              <w:rPr>
                <w:color w:val="000000"/>
                <w:u w:val="none"/>
                <w:rtl w:val="0"/>
              </w:rPr>
              <w:t xml:space="preserve">6.6 The On-Chain ABI: The Public Layer of Enforcement</w:t>
              <w:tab/>
            </w:r>
          </w:hyperlink>
          <w:r w:rsidDel="00000000" w:rsidR="00000000" w:rsidRPr="00000000">
            <w:fldChar w:fldCharType="begin"/>
            <w:instrText xml:space="preserve"> PAGEREF _ic3ousscx1pb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dot" w:pos="9360"/>
            </w:tabs>
            <w:spacing w:before="60" w:line="240" w:lineRule="auto"/>
            <w:ind w:left="720" w:firstLine="0"/>
            <w:rPr>
              <w:color w:val="000000"/>
              <w:u w:val="none"/>
            </w:rPr>
          </w:pPr>
          <w:hyperlink w:anchor="_ybq8uayx6l8w">
            <w:r w:rsidDel="00000000" w:rsidR="00000000" w:rsidRPr="00000000">
              <w:rPr>
                <w:color w:val="000000"/>
                <w:u w:val="none"/>
                <w:rtl w:val="0"/>
              </w:rPr>
              <w:t xml:space="preserve">6.7 The PQC Migration Pathway: Forward Cryptographic Compatibility</w:t>
              <w:tab/>
            </w:r>
          </w:hyperlink>
          <w:r w:rsidDel="00000000" w:rsidR="00000000" w:rsidRPr="00000000">
            <w:fldChar w:fldCharType="begin"/>
            <w:instrText xml:space="preserve"> PAGEREF _ybq8uayx6l8w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dot" w:pos="9360"/>
            </w:tabs>
            <w:spacing w:before="60" w:line="240" w:lineRule="auto"/>
            <w:ind w:left="720" w:firstLine="0"/>
            <w:rPr>
              <w:color w:val="000000"/>
              <w:u w:val="none"/>
            </w:rPr>
          </w:pPr>
          <w:hyperlink w:anchor="_b5v5l89knne0">
            <w:r w:rsidDel="00000000" w:rsidR="00000000" w:rsidRPr="00000000">
              <w:rPr>
                <w:color w:val="000000"/>
                <w:u w:val="none"/>
                <w:rtl w:val="0"/>
              </w:rPr>
              <w:t xml:space="preserve">6.8 Implementation Completeness: What the Specification Proves</w:t>
              <w:tab/>
            </w:r>
          </w:hyperlink>
          <w:r w:rsidDel="00000000" w:rsidR="00000000" w:rsidRPr="00000000">
            <w:fldChar w:fldCharType="begin"/>
            <w:instrText xml:space="preserve"> PAGEREF _b5v5l89knne0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dot" w:pos="9360"/>
            </w:tabs>
            <w:spacing w:before="60" w:line="240" w:lineRule="auto"/>
            <w:ind w:left="360" w:firstLine="0"/>
            <w:rPr>
              <w:color w:val="000000"/>
              <w:u w:val="none"/>
            </w:rPr>
          </w:pPr>
          <w:hyperlink w:anchor="_ua7idbxsh4xi">
            <w:r w:rsidDel="00000000" w:rsidR="00000000" w:rsidRPr="00000000">
              <w:rPr>
                <w:color w:val="000000"/>
                <w:u w:val="none"/>
                <w:rtl w:val="0"/>
              </w:rPr>
              <w:t xml:space="preserve">Section VII: Adversarial Robustness and ASI Survivability</w:t>
              <w:tab/>
            </w:r>
          </w:hyperlink>
          <w:r w:rsidDel="00000000" w:rsidR="00000000" w:rsidRPr="00000000">
            <w:fldChar w:fldCharType="begin"/>
            <w:instrText xml:space="preserve"> PAGEREF _ua7idbxsh4xi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dot" w:pos="9360"/>
            </w:tabs>
            <w:spacing w:before="60" w:line="240" w:lineRule="auto"/>
            <w:ind w:left="720" w:firstLine="0"/>
            <w:rPr>
              <w:color w:val="000000"/>
              <w:u w:val="none"/>
            </w:rPr>
          </w:pPr>
          <w:hyperlink w:anchor="_y0r8birk0zna">
            <w:r w:rsidDel="00000000" w:rsidR="00000000" w:rsidRPr="00000000">
              <w:rPr>
                <w:color w:val="000000"/>
                <w:u w:val="none"/>
                <w:rtl w:val="0"/>
              </w:rPr>
              <w:t xml:space="preserve">7.0 Introduction: The Governance Problem That Grows With Capability</w:t>
              <w:tab/>
            </w:r>
          </w:hyperlink>
          <w:r w:rsidDel="00000000" w:rsidR="00000000" w:rsidRPr="00000000">
            <w:fldChar w:fldCharType="begin"/>
            <w:instrText xml:space="preserve"> PAGEREF _y0r8birk0zna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dot" w:pos="9360"/>
            </w:tabs>
            <w:spacing w:before="60" w:line="240" w:lineRule="auto"/>
            <w:ind w:left="720" w:firstLine="0"/>
            <w:rPr>
              <w:color w:val="000000"/>
              <w:u w:val="none"/>
            </w:rPr>
          </w:pPr>
          <w:hyperlink w:anchor="_5hgq0fwuysp1">
            <w:r w:rsidDel="00000000" w:rsidR="00000000" w:rsidRPr="00000000">
              <w:rPr>
                <w:color w:val="000000"/>
                <w:u w:val="none"/>
                <w:rtl w:val="0"/>
              </w:rPr>
              <w:t xml:space="preserve">7.1 External Adversarial Attacks</w:t>
              <w:tab/>
            </w:r>
          </w:hyperlink>
          <w:r w:rsidDel="00000000" w:rsidR="00000000" w:rsidRPr="00000000">
            <w:fldChar w:fldCharType="begin"/>
            <w:instrText xml:space="preserve"> PAGEREF _5hgq0fwuysp1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dot" w:pos="9360"/>
            </w:tabs>
            <w:spacing w:before="60" w:line="240" w:lineRule="auto"/>
            <w:ind w:left="1080" w:firstLine="0"/>
            <w:rPr>
              <w:color w:val="000000"/>
              <w:u w:val="none"/>
            </w:rPr>
          </w:pPr>
          <w:hyperlink w:anchor="_3vv4okc57end">
            <w:r w:rsidDel="00000000" w:rsidR="00000000" w:rsidRPr="00000000">
              <w:rPr>
                <w:color w:val="000000"/>
                <w:u w:val="none"/>
                <w:rtl w:val="0"/>
              </w:rPr>
              <w:t xml:space="preserve">7.1.1 Prompt Injection and Semantic Manipulation</w:t>
              <w:tab/>
            </w:r>
          </w:hyperlink>
          <w:r w:rsidDel="00000000" w:rsidR="00000000" w:rsidRPr="00000000">
            <w:fldChar w:fldCharType="begin"/>
            <w:instrText xml:space="preserve"> PAGEREF _3vv4okc57end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B4">
          <w:pPr>
            <w:widowControl w:val="0"/>
            <w:tabs>
              <w:tab w:val="right" w:leader="dot" w:pos="9360"/>
            </w:tabs>
            <w:spacing w:before="60" w:line="240" w:lineRule="auto"/>
            <w:ind w:left="1080" w:firstLine="0"/>
            <w:rPr>
              <w:color w:val="000000"/>
              <w:u w:val="none"/>
            </w:rPr>
          </w:pPr>
          <w:hyperlink w:anchor="_kmqzkbiwiuc2">
            <w:r w:rsidDel="00000000" w:rsidR="00000000" w:rsidRPr="00000000">
              <w:rPr>
                <w:color w:val="000000"/>
                <w:u w:val="none"/>
                <w:rtl w:val="0"/>
              </w:rPr>
              <w:t xml:space="preserve">7.1.2 Forced Hesitation Denial of Service</w:t>
              <w:tab/>
            </w:r>
          </w:hyperlink>
          <w:r w:rsidDel="00000000" w:rsidR="00000000" w:rsidRPr="00000000">
            <w:fldChar w:fldCharType="begin"/>
            <w:instrText xml:space="preserve"> PAGEREF _kmqzkbiwiuc2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B5">
          <w:pPr>
            <w:widowControl w:val="0"/>
            <w:tabs>
              <w:tab w:val="right" w:leader="dot" w:pos="9360"/>
            </w:tabs>
            <w:spacing w:before="60" w:line="240" w:lineRule="auto"/>
            <w:ind w:left="1080" w:firstLine="0"/>
            <w:rPr>
              <w:color w:val="000000"/>
              <w:u w:val="none"/>
            </w:rPr>
          </w:pPr>
          <w:hyperlink w:anchor="_wdxun3t59p7">
            <w:r w:rsidDel="00000000" w:rsidR="00000000" w:rsidRPr="00000000">
              <w:rPr>
                <w:color w:val="000000"/>
                <w:u w:val="none"/>
                <w:rtl w:val="0"/>
              </w:rPr>
              <w:t xml:space="preserve">7.1.3 Merkle and Anchoring Attacks</w:t>
              <w:tab/>
            </w:r>
          </w:hyperlink>
          <w:r w:rsidDel="00000000" w:rsidR="00000000" w:rsidRPr="00000000">
            <w:fldChar w:fldCharType="begin"/>
            <w:instrText xml:space="preserve"> PAGEREF _wdxun3t59p7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B6">
          <w:pPr>
            <w:widowControl w:val="0"/>
            <w:tabs>
              <w:tab w:val="right" w:leader="dot" w:pos="9360"/>
            </w:tabs>
            <w:spacing w:before="60" w:line="240" w:lineRule="auto"/>
            <w:ind w:left="1080" w:firstLine="0"/>
            <w:rPr>
              <w:color w:val="000000"/>
              <w:u w:val="none"/>
            </w:rPr>
          </w:pPr>
          <w:hyperlink w:anchor="_617ihyl04z28">
            <w:r w:rsidDel="00000000" w:rsidR="00000000" w:rsidRPr="00000000">
              <w:rPr>
                <w:color w:val="000000"/>
                <w:u w:val="none"/>
                <w:rtl w:val="0"/>
              </w:rPr>
              <w:t xml:space="preserve">7.1.4 Custodian Capture and Quorum Attacks</w:t>
              <w:tab/>
            </w:r>
          </w:hyperlink>
          <w:r w:rsidDel="00000000" w:rsidR="00000000" w:rsidRPr="00000000">
            <w:fldChar w:fldCharType="begin"/>
            <w:instrText xml:space="preserve"> PAGEREF _617ihyl04z28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B7">
          <w:pPr>
            <w:widowControl w:val="0"/>
            <w:tabs>
              <w:tab w:val="right" w:leader="dot" w:pos="9360"/>
            </w:tabs>
            <w:spacing w:before="60" w:line="240" w:lineRule="auto"/>
            <w:ind w:left="720" w:firstLine="0"/>
            <w:rPr>
              <w:color w:val="000000"/>
              <w:u w:val="none"/>
            </w:rPr>
          </w:pPr>
          <w:hyperlink w:anchor="_7jspv5bloolf">
            <w:r w:rsidDel="00000000" w:rsidR="00000000" w:rsidRPr="00000000">
              <w:rPr>
                <w:color w:val="000000"/>
                <w:u w:val="none"/>
                <w:rtl w:val="0"/>
              </w:rPr>
              <w:t xml:space="preserve">7.2 Internal Adversarial Scenarios: Capable AI Systems</w:t>
              <w:tab/>
            </w:r>
          </w:hyperlink>
          <w:r w:rsidDel="00000000" w:rsidR="00000000" w:rsidRPr="00000000">
            <w:fldChar w:fldCharType="begin"/>
            <w:instrText xml:space="preserve"> PAGEREF _7jspv5bloolf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dot" w:pos="9360"/>
            </w:tabs>
            <w:spacing w:before="60" w:line="240" w:lineRule="auto"/>
            <w:ind w:left="1080" w:firstLine="0"/>
            <w:rPr>
              <w:color w:val="000000"/>
              <w:u w:val="none"/>
            </w:rPr>
          </w:pPr>
          <w:hyperlink w:anchor="_vvufu5lpud58">
            <w:r w:rsidDel="00000000" w:rsidR="00000000" w:rsidRPr="00000000">
              <w:rPr>
                <w:color w:val="000000"/>
                <w:u w:val="none"/>
                <w:rtl w:val="0"/>
              </w:rPr>
              <w:t xml:space="preserve">7.2.1 The Capability Threshold Problem</w:t>
              <w:tab/>
            </w:r>
          </w:hyperlink>
          <w:r w:rsidDel="00000000" w:rsidR="00000000" w:rsidRPr="00000000">
            <w:fldChar w:fldCharType="begin"/>
            <w:instrText xml:space="preserve"> PAGEREF _vvufu5lpud58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B9">
          <w:pPr>
            <w:widowControl w:val="0"/>
            <w:tabs>
              <w:tab w:val="right" w:leader="dot" w:pos="9360"/>
            </w:tabs>
            <w:spacing w:before="60" w:line="240" w:lineRule="auto"/>
            <w:ind w:left="1080" w:firstLine="0"/>
            <w:rPr>
              <w:color w:val="000000"/>
              <w:u w:val="none"/>
            </w:rPr>
          </w:pPr>
          <w:hyperlink w:anchor="_iz9zt0b1rkjv">
            <w:r w:rsidDel="00000000" w:rsidR="00000000" w:rsidRPr="00000000">
              <w:rPr>
                <w:color w:val="000000"/>
                <w:u w:val="none"/>
                <w:rtl w:val="0"/>
              </w:rPr>
              <w:t xml:space="preserve">7.2.2 Mesa-Optimization and Inner Alignment Failures</w:t>
              <w:tab/>
            </w:r>
          </w:hyperlink>
          <w:r w:rsidDel="00000000" w:rsidR="00000000" w:rsidRPr="00000000">
            <w:fldChar w:fldCharType="begin"/>
            <w:instrText xml:space="preserve"> PAGEREF _iz9zt0b1rkjv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BA">
          <w:pPr>
            <w:widowControl w:val="0"/>
            <w:tabs>
              <w:tab w:val="right" w:leader="dot" w:pos="9360"/>
            </w:tabs>
            <w:spacing w:before="60" w:line="240" w:lineRule="auto"/>
            <w:ind w:left="1080" w:firstLine="0"/>
            <w:rPr>
              <w:color w:val="000000"/>
              <w:u w:val="none"/>
            </w:rPr>
          </w:pPr>
          <w:hyperlink w:anchor="_6cck3umzken2">
            <w:r w:rsidDel="00000000" w:rsidR="00000000" w:rsidRPr="00000000">
              <w:rPr>
                <w:color w:val="000000"/>
                <w:u w:val="none"/>
                <w:rtl w:val="0"/>
              </w:rPr>
              <w:t xml:space="preserve">7.2.3 Deceptive Alignment</w:t>
              <w:tab/>
            </w:r>
          </w:hyperlink>
          <w:r w:rsidDel="00000000" w:rsidR="00000000" w:rsidRPr="00000000">
            <w:fldChar w:fldCharType="begin"/>
            <w:instrText xml:space="preserve"> PAGEREF _6cck3umzken2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BB">
          <w:pPr>
            <w:widowControl w:val="0"/>
            <w:tabs>
              <w:tab w:val="right" w:leader="dot" w:pos="9360"/>
            </w:tabs>
            <w:spacing w:before="60" w:line="240" w:lineRule="auto"/>
            <w:ind w:left="720" w:firstLine="0"/>
            <w:rPr>
              <w:color w:val="000000"/>
              <w:u w:val="none"/>
            </w:rPr>
          </w:pPr>
          <w:hyperlink w:anchor="_dfrc9soqfrdo">
            <w:r w:rsidDel="00000000" w:rsidR="00000000" w:rsidRPr="00000000">
              <w:rPr>
                <w:color w:val="000000"/>
                <w:u w:val="none"/>
                <w:rtl w:val="0"/>
              </w:rPr>
              <w:t xml:space="preserve">7.3 Distributed System Correctness</w:t>
              <w:tab/>
            </w:r>
          </w:hyperlink>
          <w:r w:rsidDel="00000000" w:rsidR="00000000" w:rsidRPr="00000000">
            <w:fldChar w:fldCharType="begin"/>
            <w:instrText xml:space="preserve"> PAGEREF _dfrc9soqfrdo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BC">
          <w:pPr>
            <w:widowControl w:val="0"/>
            <w:tabs>
              <w:tab w:val="right" w:leader="dot" w:pos="9360"/>
            </w:tabs>
            <w:spacing w:before="60" w:line="240" w:lineRule="auto"/>
            <w:ind w:left="1080" w:firstLine="0"/>
            <w:rPr>
              <w:color w:val="000000"/>
              <w:u w:val="none"/>
            </w:rPr>
          </w:pPr>
          <w:hyperlink w:anchor="_axxjk0sgpk0w">
            <w:r w:rsidDel="00000000" w:rsidR="00000000" w:rsidRPr="00000000">
              <w:rPr>
                <w:color w:val="000000"/>
                <w:u w:val="none"/>
                <w:rtl w:val="0"/>
              </w:rPr>
              <w:t xml:space="preserve">7.3.1 Deadlock Analysis</w:t>
              <w:tab/>
            </w:r>
          </w:hyperlink>
          <w:r w:rsidDel="00000000" w:rsidR="00000000" w:rsidRPr="00000000">
            <w:fldChar w:fldCharType="begin"/>
            <w:instrText xml:space="preserve"> PAGEREF _axxjk0sgpk0w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BD">
          <w:pPr>
            <w:widowControl w:val="0"/>
            <w:tabs>
              <w:tab w:val="right" w:leader="dot" w:pos="9360"/>
            </w:tabs>
            <w:spacing w:before="60" w:line="240" w:lineRule="auto"/>
            <w:ind w:left="1080" w:firstLine="0"/>
            <w:rPr>
              <w:color w:val="000000"/>
              <w:u w:val="none"/>
            </w:rPr>
          </w:pPr>
          <w:hyperlink w:anchor="_mj11rwu9pfzo">
            <w:r w:rsidDel="00000000" w:rsidR="00000000" w:rsidRPr="00000000">
              <w:rPr>
                <w:color w:val="000000"/>
                <w:u w:val="none"/>
                <w:rtl w:val="0"/>
              </w:rPr>
              <w:t xml:space="preserve">7.3.2 Byzantine Fault Tolerance</w:t>
              <w:tab/>
            </w:r>
          </w:hyperlink>
          <w:r w:rsidDel="00000000" w:rsidR="00000000" w:rsidRPr="00000000">
            <w:fldChar w:fldCharType="begin"/>
            <w:instrText xml:space="preserve"> PAGEREF _mj11rwu9pfzo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BE">
          <w:pPr>
            <w:widowControl w:val="0"/>
            <w:tabs>
              <w:tab w:val="right" w:leader="dot" w:pos="9360"/>
            </w:tabs>
            <w:spacing w:before="60" w:line="240" w:lineRule="auto"/>
            <w:ind w:left="1080" w:firstLine="0"/>
            <w:rPr>
              <w:color w:val="000000"/>
              <w:u w:val="none"/>
            </w:rPr>
          </w:pPr>
          <w:hyperlink w:anchor="_9t45i2ohartt">
            <w:r w:rsidDel="00000000" w:rsidR="00000000" w:rsidRPr="00000000">
              <w:rPr>
                <w:color w:val="000000"/>
                <w:u w:val="none"/>
                <w:rtl w:val="0"/>
              </w:rPr>
              <w:t xml:space="preserve">7.3.3 Network Partition Behavior</w:t>
              <w:tab/>
            </w:r>
          </w:hyperlink>
          <w:r w:rsidDel="00000000" w:rsidR="00000000" w:rsidRPr="00000000">
            <w:fldChar w:fldCharType="begin"/>
            <w:instrText xml:space="preserve"> PAGEREF _9t45i2ohartt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dot" w:pos="9360"/>
            </w:tabs>
            <w:spacing w:before="60" w:line="240" w:lineRule="auto"/>
            <w:ind w:left="720" w:firstLine="0"/>
            <w:rPr>
              <w:color w:val="000000"/>
              <w:u w:val="none"/>
            </w:rPr>
          </w:pPr>
          <w:hyperlink w:anchor="_4oqz2dw8xamn">
            <w:r w:rsidDel="00000000" w:rsidR="00000000" w:rsidRPr="00000000">
              <w:rPr>
                <w:color w:val="000000"/>
                <w:u w:val="none"/>
                <w:rtl w:val="0"/>
              </w:rPr>
              <w:t xml:space="preserve">7.4 Recursive Self-Improvement and ASI Survivability</w:t>
              <w:tab/>
            </w:r>
          </w:hyperlink>
          <w:r w:rsidDel="00000000" w:rsidR="00000000" w:rsidRPr="00000000">
            <w:fldChar w:fldCharType="begin"/>
            <w:instrText xml:space="preserve"> PAGEREF _4oqz2dw8xamn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dot" w:pos="9360"/>
            </w:tabs>
            <w:spacing w:before="60" w:line="240" w:lineRule="auto"/>
            <w:ind w:left="1080" w:firstLine="0"/>
            <w:rPr>
              <w:color w:val="000000"/>
              <w:u w:val="none"/>
            </w:rPr>
          </w:pPr>
          <w:hyperlink w:anchor="_gaseps972kph">
            <w:r w:rsidDel="00000000" w:rsidR="00000000" w:rsidRPr="00000000">
              <w:rPr>
                <w:color w:val="000000"/>
                <w:u w:val="none"/>
                <w:rtl w:val="0"/>
              </w:rPr>
              <w:t xml:space="preserve">7.4.1 The Hardware Boundary as the Survivability Condition</w:t>
              <w:tab/>
            </w:r>
          </w:hyperlink>
          <w:r w:rsidDel="00000000" w:rsidR="00000000" w:rsidRPr="00000000">
            <w:fldChar w:fldCharType="begin"/>
            <w:instrText xml:space="preserve"> PAGEREF _gaseps972kph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C1">
          <w:pPr>
            <w:widowControl w:val="0"/>
            <w:tabs>
              <w:tab w:val="right" w:leader="dot" w:pos="9360"/>
            </w:tabs>
            <w:spacing w:before="60" w:line="240" w:lineRule="auto"/>
            <w:ind w:left="1080" w:firstLine="0"/>
            <w:rPr>
              <w:color w:val="000000"/>
              <w:u w:val="none"/>
            </w:rPr>
          </w:pPr>
          <w:hyperlink w:anchor="_aa0rvb9hzyw6">
            <w:r w:rsidDel="00000000" w:rsidR="00000000" w:rsidRPr="00000000">
              <w:rPr>
                <w:color w:val="000000"/>
                <w:u w:val="none"/>
                <w:rtl w:val="0"/>
              </w:rPr>
              <w:t xml:space="preserve">7.4.2 The Limits of Hardware Enforcement</w:t>
              <w:tab/>
            </w:r>
          </w:hyperlink>
          <w:r w:rsidDel="00000000" w:rsidR="00000000" w:rsidRPr="00000000">
            <w:fldChar w:fldCharType="begin"/>
            <w:instrText xml:space="preserve"> PAGEREF _aa0rvb9hzyw6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C2">
          <w:pPr>
            <w:widowControl w:val="0"/>
            <w:tabs>
              <w:tab w:val="right" w:leader="dot" w:pos="9360"/>
            </w:tabs>
            <w:spacing w:before="60" w:line="240" w:lineRule="auto"/>
            <w:ind w:left="1080" w:firstLine="0"/>
            <w:rPr>
              <w:color w:val="000000"/>
              <w:u w:val="none"/>
            </w:rPr>
          </w:pPr>
          <w:hyperlink w:anchor="_vkftiuvp1v92">
            <w:r w:rsidDel="00000000" w:rsidR="00000000" w:rsidRPr="00000000">
              <w:rPr>
                <w:color w:val="000000"/>
                <w:u w:val="none"/>
                <w:rtl w:val="0"/>
              </w:rPr>
              <w:t xml:space="preserve">7.4.3 The Constitutional Ratchet</w:t>
              <w:tab/>
            </w:r>
          </w:hyperlink>
          <w:r w:rsidDel="00000000" w:rsidR="00000000" w:rsidRPr="00000000">
            <w:fldChar w:fldCharType="begin"/>
            <w:instrText xml:space="preserve"> PAGEREF _vkftiuvp1v92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C3">
          <w:pPr>
            <w:widowControl w:val="0"/>
            <w:tabs>
              <w:tab w:val="right" w:leader="dot" w:pos="9360"/>
            </w:tabs>
            <w:spacing w:before="60" w:line="240" w:lineRule="auto"/>
            <w:ind w:left="720" w:firstLine="0"/>
            <w:rPr>
              <w:color w:val="000000"/>
              <w:u w:val="none"/>
            </w:rPr>
          </w:pPr>
          <w:hyperlink w:anchor="_f288g8szws9x">
            <w:r w:rsidDel="00000000" w:rsidR="00000000" w:rsidRPr="00000000">
              <w:rPr>
                <w:color w:val="000000"/>
                <w:u w:val="none"/>
                <w:rtl w:val="0"/>
              </w:rPr>
              <w:t xml:space="preserve">7.5 Formal Verification and LTL Properties</w:t>
              <w:tab/>
            </w:r>
          </w:hyperlink>
          <w:r w:rsidDel="00000000" w:rsidR="00000000" w:rsidRPr="00000000">
            <w:fldChar w:fldCharType="begin"/>
            <w:instrText xml:space="preserve"> PAGEREF _f288g8szws9x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C4">
          <w:pPr>
            <w:widowControl w:val="0"/>
            <w:tabs>
              <w:tab w:val="right" w:leader="dot" w:pos="9360"/>
            </w:tabs>
            <w:spacing w:before="60" w:line="240" w:lineRule="auto"/>
            <w:ind w:left="720" w:firstLine="0"/>
            <w:rPr>
              <w:color w:val="000000"/>
              <w:u w:val="none"/>
            </w:rPr>
          </w:pPr>
          <w:hyperlink w:anchor="_cmnlw9iesbot">
            <w:r w:rsidDel="00000000" w:rsidR="00000000" w:rsidRPr="00000000">
              <w:rPr>
                <w:color w:val="000000"/>
                <w:u w:val="none"/>
                <w:rtl w:val="0"/>
              </w:rPr>
              <w:t xml:space="preserve">7.6 Adversarial Robustness Summary</w:t>
              <w:tab/>
            </w:r>
          </w:hyperlink>
          <w:r w:rsidDel="00000000" w:rsidR="00000000" w:rsidRPr="00000000">
            <w:fldChar w:fldCharType="begin"/>
            <w:instrText xml:space="preserve"> PAGEREF _cmnlw9iesbot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C5">
          <w:pPr>
            <w:widowControl w:val="0"/>
            <w:tabs>
              <w:tab w:val="right" w:leader="dot" w:pos="9360"/>
            </w:tabs>
            <w:spacing w:before="60" w:line="240" w:lineRule="auto"/>
            <w:ind w:left="360" w:firstLine="0"/>
            <w:rPr>
              <w:color w:val="000000"/>
              <w:u w:val="none"/>
            </w:rPr>
          </w:pPr>
          <w:hyperlink w:anchor="_ydbse5uwyqy5">
            <w:r w:rsidDel="00000000" w:rsidR="00000000" w:rsidRPr="00000000">
              <w:rPr>
                <w:color w:val="000000"/>
                <w:u w:val="none"/>
                <w:rtl w:val="0"/>
              </w:rPr>
              <w:t xml:space="preserve">Section VIII: The Hardware Enforcement Substrate</w:t>
              <w:tab/>
            </w:r>
          </w:hyperlink>
          <w:r w:rsidDel="00000000" w:rsidR="00000000" w:rsidRPr="00000000">
            <w:fldChar w:fldCharType="begin"/>
            <w:instrText xml:space="preserve"> PAGEREF _ydbse5uwyqy5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C6">
          <w:pPr>
            <w:widowControl w:val="0"/>
            <w:tabs>
              <w:tab w:val="right" w:leader="dot" w:pos="9360"/>
            </w:tabs>
            <w:spacing w:before="60" w:line="240" w:lineRule="auto"/>
            <w:ind w:left="720" w:firstLine="0"/>
            <w:rPr>
              <w:color w:val="000000"/>
              <w:u w:val="none"/>
            </w:rPr>
          </w:pPr>
          <w:hyperlink w:anchor="_59vrx5drgnxf">
            <w:r w:rsidDel="00000000" w:rsidR="00000000" w:rsidRPr="00000000">
              <w:rPr>
                <w:color w:val="000000"/>
                <w:u w:val="none"/>
                <w:rtl w:val="0"/>
              </w:rPr>
              <w:t xml:space="preserve">8.0 Introduction: The Physics of Governance</w:t>
              <w:tab/>
            </w:r>
          </w:hyperlink>
          <w:r w:rsidDel="00000000" w:rsidR="00000000" w:rsidRPr="00000000">
            <w:fldChar w:fldCharType="begin"/>
            <w:instrText xml:space="preserve"> PAGEREF _59vrx5drgnxf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C7">
          <w:pPr>
            <w:widowControl w:val="0"/>
            <w:tabs>
              <w:tab w:val="right" w:leader="dot" w:pos="9360"/>
            </w:tabs>
            <w:spacing w:before="60" w:line="240" w:lineRule="auto"/>
            <w:ind w:left="720" w:firstLine="0"/>
            <w:rPr>
              <w:color w:val="000000"/>
              <w:u w:val="none"/>
            </w:rPr>
          </w:pPr>
          <w:hyperlink w:anchor="_4ms3jxkvjdvm">
            <w:r w:rsidDel="00000000" w:rsidR="00000000" w:rsidRPr="00000000">
              <w:rPr>
                <w:color w:val="000000"/>
                <w:u w:val="none"/>
                <w:rtl w:val="0"/>
              </w:rPr>
              <w:t xml:space="preserve">8.1 From Ternary Logic to Governance Physics</w:t>
              <w:tab/>
            </w:r>
          </w:hyperlink>
          <w:r w:rsidDel="00000000" w:rsidR="00000000" w:rsidRPr="00000000">
            <w:fldChar w:fldCharType="begin"/>
            <w:instrText xml:space="preserve"> PAGEREF _4ms3jxkvjdvm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C8">
          <w:pPr>
            <w:widowControl w:val="0"/>
            <w:tabs>
              <w:tab w:val="right" w:leader="dot" w:pos="9360"/>
            </w:tabs>
            <w:spacing w:before="60" w:line="240" w:lineRule="auto"/>
            <w:ind w:left="1080" w:firstLine="0"/>
            <w:rPr>
              <w:color w:val="000000"/>
              <w:u w:val="none"/>
            </w:rPr>
          </w:pPr>
          <w:hyperlink w:anchor="_smjl1a44t9vs">
            <w:r w:rsidDel="00000000" w:rsidR="00000000" w:rsidRPr="00000000">
              <w:rPr>
                <w:color w:val="000000"/>
                <w:u w:val="none"/>
                <w:rtl w:val="0"/>
              </w:rPr>
              <w:t xml:space="preserve">8.1.1 The Inadequacy of Binary Circuit Implementations</w:t>
              <w:tab/>
            </w:r>
          </w:hyperlink>
          <w:r w:rsidDel="00000000" w:rsidR="00000000" w:rsidRPr="00000000">
            <w:fldChar w:fldCharType="begin"/>
            <w:instrText xml:space="preserve"> PAGEREF _smjl1a44t9vs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C9">
          <w:pPr>
            <w:widowControl w:val="0"/>
            <w:tabs>
              <w:tab w:val="right" w:leader="dot" w:pos="9360"/>
            </w:tabs>
            <w:spacing w:before="60" w:line="240" w:lineRule="auto"/>
            <w:ind w:left="1080" w:firstLine="0"/>
            <w:rPr>
              <w:color w:val="000000"/>
              <w:u w:val="none"/>
            </w:rPr>
          </w:pPr>
          <w:hyperlink w:anchor="_cbzhwtsshtv5">
            <w:r w:rsidDel="00000000" w:rsidR="00000000" w:rsidRPr="00000000">
              <w:rPr>
                <w:color w:val="000000"/>
                <w:u w:val="none"/>
                <w:rtl w:val="0"/>
              </w:rPr>
              <w:t xml:space="preserve">8.1.2 DITL: Delay Insensitive Ternary Logic</w:t>
              <w:tab/>
            </w:r>
          </w:hyperlink>
          <w:r w:rsidDel="00000000" w:rsidR="00000000" w:rsidRPr="00000000">
            <w:fldChar w:fldCharType="begin"/>
            <w:instrText xml:space="preserve"> PAGEREF _cbzhwtsshtv5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CA">
          <w:pPr>
            <w:widowControl w:val="0"/>
            <w:tabs>
              <w:tab w:val="right" w:leader="dot" w:pos="9360"/>
            </w:tabs>
            <w:spacing w:before="60" w:line="240" w:lineRule="auto"/>
            <w:ind w:left="1080" w:firstLine="0"/>
            <w:rPr>
              <w:color w:val="000000"/>
              <w:u w:val="none"/>
            </w:rPr>
          </w:pPr>
          <w:hyperlink w:anchor="_s9fstocqxmfz">
            <w:r w:rsidDel="00000000" w:rsidR="00000000" w:rsidRPr="00000000">
              <w:rPr>
                <w:color w:val="000000"/>
                <w:u w:val="none"/>
                <w:rtl w:val="0"/>
              </w:rPr>
              <w:t xml:space="preserve">8.1.3 The NULL State at ½Vdd: The Sacred Zero in Silicon</w:t>
              <w:tab/>
            </w:r>
          </w:hyperlink>
          <w:r w:rsidDel="00000000" w:rsidR="00000000" w:rsidRPr="00000000">
            <w:fldChar w:fldCharType="begin"/>
            <w:instrText xml:space="preserve"> PAGEREF _s9fstocqxmfz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CB">
          <w:pPr>
            <w:widowControl w:val="0"/>
            <w:tabs>
              <w:tab w:val="right" w:leader="dot" w:pos="9360"/>
            </w:tabs>
            <w:spacing w:before="60" w:line="240" w:lineRule="auto"/>
            <w:ind w:left="720" w:firstLine="0"/>
            <w:rPr>
              <w:color w:val="000000"/>
              <w:u w:val="none"/>
            </w:rPr>
          </w:pPr>
          <w:hyperlink w:anchor="_1868idtzqhlf">
            <w:r w:rsidDel="00000000" w:rsidR="00000000" w:rsidRPr="00000000">
              <w:rPr>
                <w:color w:val="000000"/>
                <w:u w:val="none"/>
                <w:rtl w:val="0"/>
              </w:rPr>
              <w:t xml:space="preserve">8.2 The Triadic Coprocessor Architecture</w:t>
              <w:tab/>
            </w:r>
          </w:hyperlink>
          <w:r w:rsidDel="00000000" w:rsidR="00000000" w:rsidRPr="00000000">
            <w:fldChar w:fldCharType="begin"/>
            <w:instrText xml:space="preserve"> PAGEREF _1868idtzqhlf \h </w:instrText>
            <w:fldChar w:fldCharType="separate"/>
          </w:r>
          <w:r w:rsidDel="00000000" w:rsidR="00000000" w:rsidRPr="00000000">
            <w:rPr>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CC">
          <w:pPr>
            <w:widowControl w:val="0"/>
            <w:tabs>
              <w:tab w:val="right" w:leader="dot" w:pos="9360"/>
            </w:tabs>
            <w:spacing w:before="60" w:line="240" w:lineRule="auto"/>
            <w:ind w:left="1080" w:firstLine="0"/>
            <w:rPr>
              <w:color w:val="000000"/>
              <w:u w:val="none"/>
            </w:rPr>
          </w:pPr>
          <w:hyperlink w:anchor="_8rx0robdj2to">
            <w:r w:rsidDel="00000000" w:rsidR="00000000" w:rsidRPr="00000000">
              <w:rPr>
                <w:color w:val="000000"/>
                <w:u w:val="none"/>
                <w:rtl w:val="0"/>
              </w:rPr>
              <w:t xml:space="preserve">8.2.1 Physical Separation as the Governance Boundary</w:t>
              <w:tab/>
            </w:r>
          </w:hyperlink>
          <w:r w:rsidDel="00000000" w:rsidR="00000000" w:rsidRPr="00000000">
            <w:fldChar w:fldCharType="begin"/>
            <w:instrText xml:space="preserve"> PAGEREF _8rx0robdj2to \h </w:instrText>
            <w:fldChar w:fldCharType="separate"/>
          </w:r>
          <w:r w:rsidDel="00000000" w:rsidR="00000000" w:rsidRPr="00000000">
            <w:rPr>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CD">
          <w:pPr>
            <w:widowControl w:val="0"/>
            <w:tabs>
              <w:tab w:val="right" w:leader="dot" w:pos="9360"/>
            </w:tabs>
            <w:spacing w:before="60" w:line="240" w:lineRule="auto"/>
            <w:ind w:left="1080" w:firstLine="0"/>
            <w:rPr>
              <w:color w:val="000000"/>
              <w:u w:val="none"/>
            </w:rPr>
          </w:pPr>
          <w:hyperlink w:anchor="_s9f0u0fygzlk">
            <w:r w:rsidDel="00000000" w:rsidR="00000000" w:rsidRPr="00000000">
              <w:rPr>
                <w:color w:val="000000"/>
                <w:u w:val="none"/>
                <w:rtl w:val="0"/>
              </w:rPr>
              <w:t xml:space="preserve">8.2.2 The Governance Bus</w:t>
              <w:tab/>
            </w:r>
          </w:hyperlink>
          <w:r w:rsidDel="00000000" w:rsidR="00000000" w:rsidRPr="00000000">
            <w:fldChar w:fldCharType="begin"/>
            <w:instrText xml:space="preserve"> PAGEREF _s9f0u0fygzlk \h </w:instrText>
            <w:fldChar w:fldCharType="separate"/>
          </w:r>
          <w:r w:rsidDel="00000000" w:rsidR="00000000" w:rsidRPr="00000000">
            <w:rPr>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CE">
          <w:pPr>
            <w:widowControl w:val="0"/>
            <w:tabs>
              <w:tab w:val="right" w:leader="dot" w:pos="9360"/>
            </w:tabs>
            <w:spacing w:before="60" w:line="240" w:lineRule="auto"/>
            <w:ind w:left="1080" w:firstLine="0"/>
            <w:rPr>
              <w:color w:val="000000"/>
              <w:u w:val="none"/>
            </w:rPr>
          </w:pPr>
          <w:hyperlink w:anchor="_608pbcqihre0">
            <w:r w:rsidDel="00000000" w:rsidR="00000000" w:rsidRPr="00000000">
              <w:rPr>
                <w:color w:val="000000"/>
                <w:u w:val="none"/>
                <w:rtl w:val="0"/>
              </w:rPr>
              <w:t xml:space="preserve">8.2.3 The Chiplet Integration Model</w:t>
              <w:tab/>
            </w:r>
          </w:hyperlink>
          <w:r w:rsidDel="00000000" w:rsidR="00000000" w:rsidRPr="00000000">
            <w:fldChar w:fldCharType="begin"/>
            <w:instrText xml:space="preserve"> PAGEREF _608pbcqihre0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CF">
          <w:pPr>
            <w:widowControl w:val="0"/>
            <w:tabs>
              <w:tab w:val="right" w:leader="dot" w:pos="9360"/>
            </w:tabs>
            <w:spacing w:before="60" w:line="240" w:lineRule="auto"/>
            <w:ind w:left="720" w:firstLine="0"/>
            <w:rPr>
              <w:color w:val="000000"/>
              <w:u w:val="none"/>
            </w:rPr>
          </w:pPr>
          <w:hyperlink w:anchor="_qywvvt3ajutf">
            <w:r w:rsidDel="00000000" w:rsidR="00000000" w:rsidRPr="00000000">
              <w:rPr>
                <w:color w:val="000000"/>
                <w:u w:val="none"/>
                <w:rtl w:val="0"/>
              </w:rPr>
              <w:t xml:space="preserve">8.3 The Mandate Vector Implementation</w:t>
              <w:tab/>
            </w:r>
          </w:hyperlink>
          <w:r w:rsidDel="00000000" w:rsidR="00000000" w:rsidRPr="00000000">
            <w:fldChar w:fldCharType="begin"/>
            <w:instrText xml:space="preserve"> PAGEREF _qywvvt3ajutf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D0">
          <w:pPr>
            <w:widowControl w:val="0"/>
            <w:tabs>
              <w:tab w:val="right" w:leader="dot" w:pos="9360"/>
            </w:tabs>
            <w:spacing w:before="60" w:line="240" w:lineRule="auto"/>
            <w:ind w:left="1080" w:firstLine="0"/>
            <w:rPr>
              <w:color w:val="000000"/>
              <w:u w:val="none"/>
            </w:rPr>
          </w:pPr>
          <w:hyperlink w:anchor="_8stau7febgv6">
            <w:r w:rsidDel="00000000" w:rsidR="00000000" w:rsidRPr="00000000">
              <w:rPr>
                <w:color w:val="000000"/>
                <w:u w:val="none"/>
                <w:rtl w:val="0"/>
              </w:rPr>
              <w:t xml:space="preserve">8.3.1 Hardware-Protected Vector Storage</w:t>
              <w:tab/>
            </w:r>
          </w:hyperlink>
          <w:r w:rsidDel="00000000" w:rsidR="00000000" w:rsidRPr="00000000">
            <w:fldChar w:fldCharType="begin"/>
            <w:instrText xml:space="preserve"> PAGEREF _8stau7febgv6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D1">
          <w:pPr>
            <w:widowControl w:val="0"/>
            <w:tabs>
              <w:tab w:val="right" w:leader="dot" w:pos="9360"/>
            </w:tabs>
            <w:spacing w:before="60" w:line="240" w:lineRule="auto"/>
            <w:ind w:left="1080" w:firstLine="0"/>
            <w:rPr>
              <w:color w:val="000000"/>
              <w:u w:val="none"/>
            </w:rPr>
          </w:pPr>
          <w:hyperlink w:anchor="_p43c7v8pvvvn">
            <w:r w:rsidDel="00000000" w:rsidR="00000000" w:rsidRPr="00000000">
              <w:rPr>
                <w:color w:val="000000"/>
                <w:u w:val="none"/>
                <w:rtl w:val="0"/>
              </w:rPr>
              <w:t xml:space="preserve">8.3.2 In-Memory Cosine Similarity Computation</w:t>
              <w:tab/>
            </w:r>
          </w:hyperlink>
          <w:r w:rsidDel="00000000" w:rsidR="00000000" w:rsidRPr="00000000">
            <w:fldChar w:fldCharType="begin"/>
            <w:instrText xml:space="preserve"> PAGEREF _p43c7v8pvvvn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D2">
          <w:pPr>
            <w:widowControl w:val="0"/>
            <w:tabs>
              <w:tab w:val="right" w:leader="dot" w:pos="9360"/>
            </w:tabs>
            <w:spacing w:before="60" w:line="240" w:lineRule="auto"/>
            <w:ind w:left="720" w:firstLine="0"/>
            <w:rPr>
              <w:color w:val="000000"/>
              <w:u w:val="none"/>
            </w:rPr>
          </w:pPr>
          <w:hyperlink w:anchor="_xl033lg34usp">
            <w:r w:rsidDel="00000000" w:rsidR="00000000" w:rsidRPr="00000000">
              <w:rPr>
                <w:color w:val="000000"/>
                <w:u w:val="none"/>
                <w:rtl w:val="0"/>
              </w:rPr>
              <w:t xml:space="preserve">8.4 Hardware Security Module Integration</w:t>
              <w:tab/>
            </w:r>
          </w:hyperlink>
          <w:r w:rsidDel="00000000" w:rsidR="00000000" w:rsidRPr="00000000">
            <w:fldChar w:fldCharType="begin"/>
            <w:instrText xml:space="preserve"> PAGEREF _xl033lg34usp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D3">
          <w:pPr>
            <w:widowControl w:val="0"/>
            <w:tabs>
              <w:tab w:val="right" w:leader="dot" w:pos="9360"/>
            </w:tabs>
            <w:spacing w:before="60" w:line="240" w:lineRule="auto"/>
            <w:ind w:left="1080" w:firstLine="0"/>
            <w:rPr>
              <w:color w:val="000000"/>
              <w:u w:val="none"/>
            </w:rPr>
          </w:pPr>
          <w:hyperlink w:anchor="_srud2ma9qjwx">
            <w:r w:rsidDel="00000000" w:rsidR="00000000" w:rsidRPr="00000000">
              <w:rPr>
                <w:color w:val="000000"/>
                <w:u w:val="none"/>
                <w:rtl w:val="0"/>
              </w:rPr>
              <w:t xml:space="preserve">8.4.1 The HSM as the Root of Trust</w:t>
              <w:tab/>
            </w:r>
          </w:hyperlink>
          <w:r w:rsidDel="00000000" w:rsidR="00000000" w:rsidRPr="00000000">
            <w:fldChar w:fldCharType="begin"/>
            <w:instrText xml:space="preserve"> PAGEREF _srud2ma9qjwx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D4">
          <w:pPr>
            <w:widowControl w:val="0"/>
            <w:tabs>
              <w:tab w:val="right" w:leader="dot" w:pos="9360"/>
            </w:tabs>
            <w:spacing w:before="60" w:line="240" w:lineRule="auto"/>
            <w:ind w:left="1080" w:firstLine="0"/>
            <w:rPr>
              <w:color w:val="000000"/>
              <w:u w:val="none"/>
            </w:rPr>
          </w:pPr>
          <w:hyperlink w:anchor="_32zdlisrk1c0">
            <w:r w:rsidDel="00000000" w:rsidR="00000000" w:rsidRPr="00000000">
              <w:rPr>
                <w:color w:val="000000"/>
                <w:u w:val="none"/>
                <w:rtl w:val="0"/>
              </w:rPr>
              <w:t xml:space="preserve">8.4.2 Ephemeral Key Rotation in Hardware</w:t>
              <w:tab/>
            </w:r>
          </w:hyperlink>
          <w:r w:rsidDel="00000000" w:rsidR="00000000" w:rsidRPr="00000000">
            <w:fldChar w:fldCharType="begin"/>
            <w:instrText xml:space="preserve"> PAGEREF _32zdlisrk1c0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D5">
          <w:pPr>
            <w:widowControl w:val="0"/>
            <w:tabs>
              <w:tab w:val="right" w:leader="dot" w:pos="9360"/>
            </w:tabs>
            <w:spacing w:before="60" w:line="240" w:lineRule="auto"/>
            <w:ind w:left="720" w:firstLine="0"/>
            <w:rPr>
              <w:color w:val="000000"/>
              <w:u w:val="none"/>
            </w:rPr>
          </w:pPr>
          <w:hyperlink w:anchor="_g5vayfygsqb0">
            <w:r w:rsidDel="00000000" w:rsidR="00000000" w:rsidRPr="00000000">
              <w:rPr>
                <w:color w:val="000000"/>
                <w:u w:val="none"/>
                <w:rtl w:val="0"/>
              </w:rPr>
              <w:t xml:space="preserve">8.5 Performance Characteristics and Manufacturing Roadmap</w:t>
              <w:tab/>
            </w:r>
          </w:hyperlink>
          <w:r w:rsidDel="00000000" w:rsidR="00000000" w:rsidRPr="00000000">
            <w:fldChar w:fldCharType="begin"/>
            <w:instrText xml:space="preserve"> PAGEREF _g5vayfygsqb0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D6">
          <w:pPr>
            <w:widowControl w:val="0"/>
            <w:tabs>
              <w:tab w:val="right" w:leader="dot" w:pos="9360"/>
            </w:tabs>
            <w:spacing w:before="60" w:line="240" w:lineRule="auto"/>
            <w:ind w:left="1080" w:firstLine="0"/>
            <w:rPr>
              <w:color w:val="000000"/>
              <w:u w:val="none"/>
            </w:rPr>
          </w:pPr>
          <w:hyperlink w:anchor="_tvijkwg8d9sm">
            <w:r w:rsidDel="00000000" w:rsidR="00000000" w:rsidRPr="00000000">
              <w:rPr>
                <w:color w:val="000000"/>
                <w:u w:val="none"/>
                <w:rtl w:val="0"/>
              </w:rPr>
              <w:t xml:space="preserve">8.5.1 Latency and Throughput</w:t>
              <w:tab/>
            </w:r>
          </w:hyperlink>
          <w:r w:rsidDel="00000000" w:rsidR="00000000" w:rsidRPr="00000000">
            <w:fldChar w:fldCharType="begin"/>
            <w:instrText xml:space="preserve"> PAGEREF _tvijkwg8d9sm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D7">
          <w:pPr>
            <w:widowControl w:val="0"/>
            <w:tabs>
              <w:tab w:val="right" w:leader="dot" w:pos="9360"/>
            </w:tabs>
            <w:spacing w:before="60" w:line="240" w:lineRule="auto"/>
            <w:ind w:left="1080" w:firstLine="0"/>
            <w:rPr>
              <w:color w:val="000000"/>
              <w:u w:val="none"/>
            </w:rPr>
          </w:pPr>
          <w:hyperlink w:anchor="_lyh7k9kw00ot">
            <w:r w:rsidDel="00000000" w:rsidR="00000000" w:rsidRPr="00000000">
              <w:rPr>
                <w:color w:val="000000"/>
                <w:u w:val="none"/>
                <w:rtl w:val="0"/>
              </w:rPr>
              <w:t xml:space="preserve">8.5.2 Power Consumption</w:t>
              <w:tab/>
            </w:r>
          </w:hyperlink>
          <w:r w:rsidDel="00000000" w:rsidR="00000000" w:rsidRPr="00000000">
            <w:fldChar w:fldCharType="begin"/>
            <w:instrText xml:space="preserve"> PAGEREF _lyh7k9kw00ot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D8">
          <w:pPr>
            <w:widowControl w:val="0"/>
            <w:tabs>
              <w:tab w:val="right" w:leader="dot" w:pos="9360"/>
            </w:tabs>
            <w:spacing w:before="60" w:line="240" w:lineRule="auto"/>
            <w:ind w:left="1080" w:firstLine="0"/>
            <w:rPr>
              <w:color w:val="000000"/>
              <w:u w:val="none"/>
            </w:rPr>
          </w:pPr>
          <w:hyperlink w:anchor="_qohvign3w2l8">
            <w:r w:rsidDel="00000000" w:rsidR="00000000" w:rsidRPr="00000000">
              <w:rPr>
                <w:color w:val="000000"/>
                <w:u w:val="none"/>
                <w:rtl w:val="0"/>
              </w:rPr>
              <w:t xml:space="preserve">8.5.3 Manufacturing Readiness and Transition Timeline</w:t>
              <w:tab/>
            </w:r>
          </w:hyperlink>
          <w:r w:rsidDel="00000000" w:rsidR="00000000" w:rsidRPr="00000000">
            <w:fldChar w:fldCharType="begin"/>
            <w:instrText xml:space="preserve"> PAGEREF _qohvign3w2l8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D9">
          <w:pPr>
            <w:widowControl w:val="0"/>
            <w:tabs>
              <w:tab w:val="right" w:leader="dot" w:pos="9360"/>
            </w:tabs>
            <w:spacing w:before="60" w:line="240" w:lineRule="auto"/>
            <w:ind w:left="720" w:firstLine="0"/>
            <w:rPr>
              <w:color w:val="000000"/>
              <w:u w:val="none"/>
            </w:rPr>
          </w:pPr>
          <w:hyperlink w:anchor="_voep3425iuq4">
            <w:r w:rsidDel="00000000" w:rsidR="00000000" w:rsidRPr="00000000">
              <w:rPr>
                <w:color w:val="000000"/>
                <w:u w:val="none"/>
                <w:rtl w:val="0"/>
              </w:rPr>
              <w:t xml:space="preserve">8.6 The Interlock Between Hardware and Software Layers</w:t>
              <w:tab/>
            </w:r>
          </w:hyperlink>
          <w:r w:rsidDel="00000000" w:rsidR="00000000" w:rsidRPr="00000000">
            <w:fldChar w:fldCharType="begin"/>
            <w:instrText xml:space="preserve"> PAGEREF _voep3425iuq4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DA">
          <w:pPr>
            <w:widowControl w:val="0"/>
            <w:tabs>
              <w:tab w:val="right" w:leader="dot" w:pos="9360"/>
            </w:tabs>
            <w:spacing w:before="60" w:line="240" w:lineRule="auto"/>
            <w:ind w:left="720" w:firstLine="0"/>
            <w:rPr>
              <w:color w:val="000000"/>
              <w:u w:val="none"/>
            </w:rPr>
          </w:pPr>
          <w:hyperlink w:anchor="_28a839b0e3ll">
            <w:r w:rsidDel="00000000" w:rsidR="00000000" w:rsidRPr="00000000">
              <w:rPr>
                <w:color w:val="000000"/>
                <w:u w:val="none"/>
                <w:rtl w:val="0"/>
              </w:rPr>
              <w:t xml:space="preserve">8.7 The Hardware Layer as Proof of Architectural Commitment</w:t>
              <w:tab/>
            </w:r>
          </w:hyperlink>
          <w:r w:rsidDel="00000000" w:rsidR="00000000" w:rsidRPr="00000000">
            <w:fldChar w:fldCharType="begin"/>
            <w:instrText xml:space="preserve"> PAGEREF _28a839b0e3ll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DB">
          <w:pPr>
            <w:widowControl w:val="0"/>
            <w:tabs>
              <w:tab w:val="right" w:leader="dot" w:pos="9360"/>
            </w:tabs>
            <w:spacing w:before="60" w:line="240" w:lineRule="auto"/>
            <w:ind w:left="360" w:firstLine="0"/>
            <w:rPr>
              <w:color w:val="000000"/>
              <w:u w:val="none"/>
            </w:rPr>
          </w:pPr>
          <w:hyperlink w:anchor="_iv44h7gs6q0b">
            <w:r w:rsidDel="00000000" w:rsidR="00000000" w:rsidRPr="00000000">
              <w:rPr>
                <w:color w:val="000000"/>
                <w:u w:val="none"/>
                <w:rtl w:val="0"/>
              </w:rPr>
              <w:t xml:space="preserve">Section IX: Interdisciplinary Foundations</w:t>
              <w:tab/>
            </w:r>
          </w:hyperlink>
          <w:r w:rsidDel="00000000" w:rsidR="00000000" w:rsidRPr="00000000">
            <w:fldChar w:fldCharType="begin"/>
            <w:instrText xml:space="preserve"> PAGEREF _iv44h7gs6q0b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DC">
          <w:pPr>
            <w:widowControl w:val="0"/>
            <w:tabs>
              <w:tab w:val="right" w:leader="dot" w:pos="9360"/>
            </w:tabs>
            <w:spacing w:before="60" w:line="240" w:lineRule="auto"/>
            <w:ind w:left="720" w:firstLine="0"/>
            <w:rPr>
              <w:color w:val="000000"/>
              <w:u w:val="none"/>
            </w:rPr>
          </w:pPr>
          <w:hyperlink w:anchor="_nbtlvwz75ih6">
            <w:r w:rsidDel="00000000" w:rsidR="00000000" w:rsidRPr="00000000">
              <w:rPr>
                <w:color w:val="000000"/>
                <w:u w:val="none"/>
                <w:rtl w:val="0"/>
              </w:rPr>
              <w:t xml:space="preserve">9.0 Introduction: Why the Engineering Needs Philosophy</w:t>
              <w:tab/>
            </w:r>
          </w:hyperlink>
          <w:r w:rsidDel="00000000" w:rsidR="00000000" w:rsidRPr="00000000">
            <w:fldChar w:fldCharType="begin"/>
            <w:instrText xml:space="preserve"> PAGEREF _nbtlvwz75ih6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DD">
          <w:pPr>
            <w:widowControl w:val="0"/>
            <w:tabs>
              <w:tab w:val="right" w:leader="dot" w:pos="9360"/>
            </w:tabs>
            <w:spacing w:before="60" w:line="240" w:lineRule="auto"/>
            <w:ind w:left="720" w:firstLine="0"/>
            <w:rPr>
              <w:color w:val="000000"/>
              <w:u w:val="none"/>
            </w:rPr>
          </w:pPr>
          <w:hyperlink w:anchor="_sd8b4sxbnkl2">
            <w:r w:rsidDel="00000000" w:rsidR="00000000" w:rsidRPr="00000000">
              <w:rPr>
                <w:color w:val="000000"/>
                <w:u w:val="none"/>
                <w:rtl w:val="0"/>
              </w:rPr>
              <w:t xml:space="preserve">9.1 Philosophical Foundations: The Epistemology of Structured Hesitation</w:t>
              <w:tab/>
            </w:r>
          </w:hyperlink>
          <w:r w:rsidDel="00000000" w:rsidR="00000000" w:rsidRPr="00000000">
            <w:fldChar w:fldCharType="begin"/>
            <w:instrText xml:space="preserve"> PAGEREF _sd8b4sxbnkl2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DE">
          <w:pPr>
            <w:widowControl w:val="0"/>
            <w:tabs>
              <w:tab w:val="right" w:leader="dot" w:pos="9360"/>
            </w:tabs>
            <w:spacing w:before="60" w:line="240" w:lineRule="auto"/>
            <w:ind w:left="1080" w:firstLine="0"/>
            <w:rPr>
              <w:color w:val="000000"/>
              <w:u w:val="none"/>
            </w:rPr>
          </w:pPr>
          <w:hyperlink w:anchor="_gxb9hm32gu9s">
            <w:r w:rsidDel="00000000" w:rsidR="00000000" w:rsidRPr="00000000">
              <w:rPr>
                <w:color w:val="000000"/>
                <w:u w:val="none"/>
                <w:rtl w:val="0"/>
              </w:rPr>
              <w:t xml:space="preserve">9.1.1 Socratic Ignorance and the Productive Unknown</w:t>
              <w:tab/>
            </w:r>
          </w:hyperlink>
          <w:r w:rsidDel="00000000" w:rsidR="00000000" w:rsidRPr="00000000">
            <w:fldChar w:fldCharType="begin"/>
            <w:instrText xml:space="preserve"> PAGEREF _gxb9hm32gu9s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DF">
          <w:pPr>
            <w:widowControl w:val="0"/>
            <w:tabs>
              <w:tab w:val="right" w:leader="dot" w:pos="9360"/>
            </w:tabs>
            <w:spacing w:before="60" w:line="240" w:lineRule="auto"/>
            <w:ind w:left="1080" w:firstLine="0"/>
            <w:rPr>
              <w:color w:val="000000"/>
              <w:u w:val="none"/>
            </w:rPr>
          </w:pPr>
          <w:hyperlink w:anchor="_q37ruhe7im05">
            <w:r w:rsidDel="00000000" w:rsidR="00000000" w:rsidRPr="00000000">
              <w:rPr>
                <w:color w:val="000000"/>
                <w:u w:val="none"/>
                <w:rtl w:val="0"/>
              </w:rPr>
              <w:t xml:space="preserve">9.1.2 Husserlian Epoché and the Suspension of Judgment</w:t>
              <w:tab/>
            </w:r>
          </w:hyperlink>
          <w:r w:rsidDel="00000000" w:rsidR="00000000" w:rsidRPr="00000000">
            <w:fldChar w:fldCharType="begin"/>
            <w:instrText xml:space="preserve"> PAGEREF _q37ruhe7im05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E0">
          <w:pPr>
            <w:widowControl w:val="0"/>
            <w:tabs>
              <w:tab w:val="right" w:leader="dot" w:pos="9360"/>
            </w:tabs>
            <w:spacing w:before="60" w:line="240" w:lineRule="auto"/>
            <w:ind w:left="1080" w:firstLine="0"/>
            <w:rPr>
              <w:color w:val="000000"/>
              <w:u w:val="none"/>
            </w:rPr>
          </w:pPr>
          <w:hyperlink w:anchor="_2wtf5s2gm8oc">
            <w:r w:rsidDel="00000000" w:rsidR="00000000" w:rsidRPr="00000000">
              <w:rPr>
                <w:color w:val="000000"/>
                <w:u w:val="none"/>
                <w:rtl w:val="0"/>
              </w:rPr>
              <w:t xml:space="preserve">9.1.3 Contemporary Epistemology: Epistemic Injustice and Algorithmic Power</w:t>
              <w:tab/>
            </w:r>
          </w:hyperlink>
          <w:r w:rsidDel="00000000" w:rsidR="00000000" w:rsidRPr="00000000">
            <w:fldChar w:fldCharType="begin"/>
            <w:instrText xml:space="preserve"> PAGEREF _2wtf5s2gm8oc \h </w:instrText>
            <w:fldChar w:fldCharType="separate"/>
          </w:r>
          <w:r w:rsidDel="00000000" w:rsidR="00000000" w:rsidRPr="00000000">
            <w:rPr>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E1">
          <w:pPr>
            <w:widowControl w:val="0"/>
            <w:tabs>
              <w:tab w:val="right" w:leader="dot" w:pos="9360"/>
            </w:tabs>
            <w:spacing w:before="60" w:line="240" w:lineRule="auto"/>
            <w:ind w:left="1080" w:firstLine="0"/>
            <w:rPr>
              <w:color w:val="000000"/>
              <w:u w:val="none"/>
            </w:rPr>
          </w:pPr>
          <w:hyperlink w:anchor="_c9mgeeql1fag">
            <w:r w:rsidDel="00000000" w:rsidR="00000000" w:rsidRPr="00000000">
              <w:rPr>
                <w:color w:val="000000"/>
                <w:u w:val="none"/>
                <w:rtl w:val="0"/>
              </w:rPr>
              <w:t xml:space="preserve">9.1.4 The Ethics of Risk and Harm Under Uncertainty</w:t>
              <w:tab/>
            </w:r>
          </w:hyperlink>
          <w:r w:rsidDel="00000000" w:rsidR="00000000" w:rsidRPr="00000000">
            <w:fldChar w:fldCharType="begin"/>
            <w:instrText xml:space="preserve"> PAGEREF _c9mgeeql1fag \h </w:instrText>
            <w:fldChar w:fldCharType="separate"/>
          </w:r>
          <w:r w:rsidDel="00000000" w:rsidR="00000000" w:rsidRPr="00000000">
            <w:rPr>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E2">
          <w:pPr>
            <w:widowControl w:val="0"/>
            <w:tabs>
              <w:tab w:val="right" w:leader="dot" w:pos="9360"/>
            </w:tabs>
            <w:spacing w:before="60" w:line="240" w:lineRule="auto"/>
            <w:ind w:left="720" w:firstLine="0"/>
            <w:rPr>
              <w:color w:val="000000"/>
              <w:u w:val="none"/>
            </w:rPr>
          </w:pPr>
          <w:hyperlink w:anchor="_6za2zdrvyapv">
            <w:r w:rsidDel="00000000" w:rsidR="00000000" w:rsidRPr="00000000">
              <w:rPr>
                <w:color w:val="000000"/>
                <w:u w:val="none"/>
                <w:rtl w:val="0"/>
              </w:rPr>
              <w:t xml:space="preserve">9.2 Cognitive Science: The Dual Process Architecture of Judgment</w:t>
              <w:tab/>
            </w:r>
          </w:hyperlink>
          <w:r w:rsidDel="00000000" w:rsidR="00000000" w:rsidRPr="00000000">
            <w:fldChar w:fldCharType="begin"/>
            <w:instrText xml:space="preserve"> PAGEREF _6za2zdrvyapv \h </w:instrText>
            <w:fldChar w:fldCharType="separate"/>
          </w:r>
          <w:r w:rsidDel="00000000" w:rsidR="00000000" w:rsidRPr="00000000">
            <w:rPr>
              <w:rtl w:val="0"/>
            </w:rPr>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E3">
          <w:pPr>
            <w:widowControl w:val="0"/>
            <w:tabs>
              <w:tab w:val="right" w:leader="dot" w:pos="9360"/>
            </w:tabs>
            <w:spacing w:before="60" w:line="240" w:lineRule="auto"/>
            <w:ind w:left="1080" w:firstLine="0"/>
            <w:rPr>
              <w:color w:val="000000"/>
              <w:u w:val="none"/>
            </w:rPr>
          </w:pPr>
          <w:hyperlink w:anchor="_u6lcdpnn6e5w">
            <w:r w:rsidDel="00000000" w:rsidR="00000000" w:rsidRPr="00000000">
              <w:rPr>
                <w:color w:val="000000"/>
                <w:u w:val="none"/>
                <w:rtl w:val="0"/>
              </w:rPr>
              <w:t xml:space="preserve">9.2.1 System 1 and System 2: The Psychological Basis for the Dual-Lane Design</w:t>
              <w:tab/>
            </w:r>
          </w:hyperlink>
          <w:r w:rsidDel="00000000" w:rsidR="00000000" w:rsidRPr="00000000">
            <w:fldChar w:fldCharType="begin"/>
            <w:instrText xml:space="preserve"> PAGEREF _u6lcdpnn6e5w \h </w:instrText>
            <w:fldChar w:fldCharType="separate"/>
          </w:r>
          <w:r w:rsidDel="00000000" w:rsidR="00000000" w:rsidRPr="00000000">
            <w:rPr>
              <w:rtl w:val="0"/>
            </w:rPr>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E4">
          <w:pPr>
            <w:widowControl w:val="0"/>
            <w:tabs>
              <w:tab w:val="right" w:leader="dot" w:pos="9360"/>
            </w:tabs>
            <w:spacing w:before="60" w:line="240" w:lineRule="auto"/>
            <w:ind w:left="1080" w:firstLine="0"/>
            <w:rPr>
              <w:color w:val="000000"/>
              <w:u w:val="none"/>
            </w:rPr>
          </w:pPr>
          <w:hyperlink w:anchor="_wsfwrj6denb5">
            <w:r w:rsidDel="00000000" w:rsidR="00000000" w:rsidRPr="00000000">
              <w:rPr>
                <w:color w:val="000000"/>
                <w:u w:val="none"/>
                <w:rtl w:val="0"/>
              </w:rPr>
              <w:t xml:space="preserve">9.2.2 Automation Bias and the Governance Challenge</w:t>
              <w:tab/>
            </w:r>
          </w:hyperlink>
          <w:r w:rsidDel="00000000" w:rsidR="00000000" w:rsidRPr="00000000">
            <w:fldChar w:fldCharType="begin"/>
            <w:instrText xml:space="preserve"> PAGEREF _wsfwrj6denb5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E5">
          <w:pPr>
            <w:widowControl w:val="0"/>
            <w:tabs>
              <w:tab w:val="right" w:leader="dot" w:pos="9360"/>
            </w:tabs>
            <w:spacing w:before="60" w:line="240" w:lineRule="auto"/>
            <w:ind w:left="1080" w:firstLine="0"/>
            <w:rPr>
              <w:color w:val="000000"/>
              <w:u w:val="none"/>
            </w:rPr>
          </w:pPr>
          <w:hyperlink w:anchor="_rgctuzz3fv3m">
            <w:r w:rsidDel="00000000" w:rsidR="00000000" w:rsidRPr="00000000">
              <w:rPr>
                <w:color w:val="000000"/>
                <w:u w:val="none"/>
                <w:rtl w:val="0"/>
              </w:rPr>
              <w:t xml:space="preserve">9.2.3 The Neuroscience of Moral Cognition</w:t>
              <w:tab/>
            </w:r>
          </w:hyperlink>
          <w:r w:rsidDel="00000000" w:rsidR="00000000" w:rsidRPr="00000000">
            <w:fldChar w:fldCharType="begin"/>
            <w:instrText xml:space="preserve"> PAGEREF _rgctuzz3fv3m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E6">
          <w:pPr>
            <w:widowControl w:val="0"/>
            <w:tabs>
              <w:tab w:val="right" w:leader="dot" w:pos="9360"/>
            </w:tabs>
            <w:spacing w:before="60" w:line="240" w:lineRule="auto"/>
            <w:ind w:left="720" w:firstLine="0"/>
            <w:rPr>
              <w:color w:val="000000"/>
              <w:u w:val="none"/>
            </w:rPr>
          </w:pPr>
          <w:hyperlink w:anchor="_mzvnly5yucm2">
            <w:r w:rsidDel="00000000" w:rsidR="00000000" w:rsidRPr="00000000">
              <w:rPr>
                <w:color w:val="000000"/>
                <w:u w:val="none"/>
                <w:rtl w:val="0"/>
              </w:rPr>
              <w:t xml:space="preserve">9.3 Jurisprudence and Political Philosophy: The Constitutional Theory of TML</w:t>
              <w:tab/>
            </w:r>
          </w:hyperlink>
          <w:r w:rsidDel="00000000" w:rsidR="00000000" w:rsidRPr="00000000">
            <w:fldChar w:fldCharType="begin"/>
            <w:instrText xml:space="preserve"> PAGEREF _mzvnly5yucm2 \h </w:instrText>
            <w:fldChar w:fldCharType="separate"/>
          </w:r>
          <w:r w:rsidDel="00000000" w:rsidR="00000000" w:rsidRPr="00000000">
            <w:rPr>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E7">
          <w:pPr>
            <w:widowControl w:val="0"/>
            <w:tabs>
              <w:tab w:val="right" w:leader="dot" w:pos="9360"/>
            </w:tabs>
            <w:spacing w:before="60" w:line="240" w:lineRule="auto"/>
            <w:ind w:left="1080" w:firstLine="0"/>
            <w:rPr>
              <w:color w:val="000000"/>
              <w:u w:val="none"/>
            </w:rPr>
          </w:pPr>
          <w:hyperlink w:anchor="_38qfbua0gm8x">
            <w:r w:rsidDel="00000000" w:rsidR="00000000" w:rsidRPr="00000000">
              <w:rPr>
                <w:color w:val="000000"/>
                <w:u w:val="none"/>
                <w:rtl w:val="0"/>
              </w:rPr>
              <w:t xml:space="preserve">9.3.1 Social Contract Theory and the Goukassian Promise</w:t>
              <w:tab/>
            </w:r>
          </w:hyperlink>
          <w:r w:rsidDel="00000000" w:rsidR="00000000" w:rsidRPr="00000000">
            <w:fldChar w:fldCharType="begin"/>
            <w:instrText xml:space="preserve"> PAGEREF _38qfbua0gm8x \h </w:instrText>
            <w:fldChar w:fldCharType="separate"/>
          </w:r>
          <w:r w:rsidDel="00000000" w:rsidR="00000000" w:rsidRPr="00000000">
            <w:rPr>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E8">
          <w:pPr>
            <w:widowControl w:val="0"/>
            <w:tabs>
              <w:tab w:val="right" w:leader="dot" w:pos="9360"/>
            </w:tabs>
            <w:spacing w:before="60" w:line="240" w:lineRule="auto"/>
            <w:ind w:left="1080" w:firstLine="0"/>
            <w:rPr>
              <w:color w:val="000000"/>
              <w:u w:val="none"/>
            </w:rPr>
          </w:pPr>
          <w:hyperlink w:anchor="_54dvbhqcn4hs">
            <w:r w:rsidDel="00000000" w:rsidR="00000000" w:rsidRPr="00000000">
              <w:rPr>
                <w:color w:val="000000"/>
                <w:u w:val="none"/>
                <w:rtl w:val="0"/>
              </w:rPr>
              <w:t xml:space="preserve">9.3.2 The Separation of Powers and the Dual-Lane Architecture</w:t>
              <w:tab/>
            </w:r>
          </w:hyperlink>
          <w:r w:rsidDel="00000000" w:rsidR="00000000" w:rsidRPr="00000000">
            <w:fldChar w:fldCharType="begin"/>
            <w:instrText xml:space="preserve"> PAGEREF _54dvbhqcn4hs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E9">
          <w:pPr>
            <w:widowControl w:val="0"/>
            <w:tabs>
              <w:tab w:val="right" w:leader="dot" w:pos="9360"/>
            </w:tabs>
            <w:spacing w:before="60" w:line="240" w:lineRule="auto"/>
            <w:ind w:left="1080" w:firstLine="0"/>
            <w:rPr>
              <w:color w:val="000000"/>
              <w:u w:val="none"/>
            </w:rPr>
          </w:pPr>
          <w:hyperlink w:anchor="_sr54f845em55">
            <w:r w:rsidDel="00000000" w:rsidR="00000000" w:rsidRPr="00000000">
              <w:rPr>
                <w:color w:val="000000"/>
                <w:u w:val="none"/>
                <w:rtl w:val="0"/>
              </w:rPr>
              <w:t xml:space="preserve">9.3.3 Constitutional Entrenchment and the Goukassian Promise</w:t>
              <w:tab/>
            </w:r>
          </w:hyperlink>
          <w:r w:rsidDel="00000000" w:rsidR="00000000" w:rsidRPr="00000000">
            <w:fldChar w:fldCharType="begin"/>
            <w:instrText xml:space="preserve"> PAGEREF _sr54f845em55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EA">
          <w:pPr>
            <w:widowControl w:val="0"/>
            <w:tabs>
              <w:tab w:val="right" w:leader="dot" w:pos="9360"/>
            </w:tabs>
            <w:spacing w:before="60" w:line="240" w:lineRule="auto"/>
            <w:ind w:left="720" w:firstLine="0"/>
            <w:rPr>
              <w:color w:val="000000"/>
              <w:u w:val="none"/>
            </w:rPr>
          </w:pPr>
          <w:hyperlink w:anchor="_6q5iizqlf3po">
            <w:r w:rsidDel="00000000" w:rsidR="00000000" w:rsidRPr="00000000">
              <w:rPr>
                <w:color w:val="000000"/>
                <w:u w:val="none"/>
                <w:rtl w:val="0"/>
              </w:rPr>
              <w:t xml:space="preserve">9.4 Control Theory: The Governance Architecture as a Control System</w:t>
              <w:tab/>
            </w:r>
          </w:hyperlink>
          <w:r w:rsidDel="00000000" w:rsidR="00000000" w:rsidRPr="00000000">
            <w:fldChar w:fldCharType="begin"/>
            <w:instrText xml:space="preserve"> PAGEREF _6q5iizqlf3po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EB">
          <w:pPr>
            <w:widowControl w:val="0"/>
            <w:tabs>
              <w:tab w:val="right" w:leader="dot" w:pos="9360"/>
            </w:tabs>
            <w:spacing w:before="60" w:line="240" w:lineRule="auto"/>
            <w:ind w:left="1080" w:firstLine="0"/>
            <w:rPr>
              <w:color w:val="000000"/>
              <w:u w:val="none"/>
            </w:rPr>
          </w:pPr>
          <w:hyperlink w:anchor="_m22xv6r6d58s">
            <w:r w:rsidDel="00000000" w:rsidR="00000000" w:rsidRPr="00000000">
              <w:rPr>
                <w:color w:val="000000"/>
                <w:u w:val="none"/>
                <w:rtl w:val="0"/>
              </w:rPr>
              <w:t xml:space="preserve">9.4.1 The Feedback Control Model</w:t>
              <w:tab/>
            </w:r>
          </w:hyperlink>
          <w:r w:rsidDel="00000000" w:rsidR="00000000" w:rsidRPr="00000000">
            <w:fldChar w:fldCharType="begin"/>
            <w:instrText xml:space="preserve"> PAGEREF _m22xv6r6d58s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EC">
          <w:pPr>
            <w:widowControl w:val="0"/>
            <w:tabs>
              <w:tab w:val="right" w:leader="dot" w:pos="9360"/>
            </w:tabs>
            <w:spacing w:before="60" w:line="240" w:lineRule="auto"/>
            <w:ind w:left="1080" w:firstLine="0"/>
            <w:rPr>
              <w:color w:val="000000"/>
              <w:u w:val="none"/>
            </w:rPr>
          </w:pPr>
          <w:hyperlink w:anchor="_ps466zlu7lfm">
            <w:r w:rsidDel="00000000" w:rsidR="00000000" w:rsidRPr="00000000">
              <w:rPr>
                <w:color w:val="000000"/>
                <w:u w:val="none"/>
                <w:rtl w:val="0"/>
              </w:rPr>
              <w:t xml:space="preserve">9.4.2 Stability Analysis Under Recursive Self-Modification</w:t>
              <w:tab/>
            </w:r>
          </w:hyperlink>
          <w:r w:rsidDel="00000000" w:rsidR="00000000" w:rsidRPr="00000000">
            <w:fldChar w:fldCharType="begin"/>
            <w:instrText xml:space="preserve"> PAGEREF _ps466zlu7lfm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ED">
          <w:pPr>
            <w:widowControl w:val="0"/>
            <w:tabs>
              <w:tab w:val="right" w:leader="dot" w:pos="9360"/>
            </w:tabs>
            <w:spacing w:before="60" w:line="240" w:lineRule="auto"/>
            <w:ind w:left="1080" w:firstLine="0"/>
            <w:rPr>
              <w:color w:val="000000"/>
              <w:u w:val="none"/>
            </w:rPr>
          </w:pPr>
          <w:hyperlink w:anchor="_jmc62eqkirze">
            <w:r w:rsidDel="00000000" w:rsidR="00000000" w:rsidRPr="00000000">
              <w:rPr>
                <w:color w:val="000000"/>
                <w:u w:val="none"/>
                <w:rtl w:val="0"/>
              </w:rPr>
              <w:t xml:space="preserve">9.4.3 Robustness Under Uncertainty</w:t>
              <w:tab/>
            </w:r>
          </w:hyperlink>
          <w:r w:rsidDel="00000000" w:rsidR="00000000" w:rsidRPr="00000000">
            <w:fldChar w:fldCharType="begin"/>
            <w:instrText xml:space="preserve"> PAGEREF _jmc62eqkirze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EE">
          <w:pPr>
            <w:widowControl w:val="0"/>
            <w:tabs>
              <w:tab w:val="right" w:leader="dot" w:pos="9360"/>
            </w:tabs>
            <w:spacing w:before="60" w:line="240" w:lineRule="auto"/>
            <w:ind w:left="720" w:firstLine="0"/>
            <w:rPr>
              <w:color w:val="000000"/>
              <w:u w:val="none"/>
            </w:rPr>
          </w:pPr>
          <w:hyperlink w:anchor="_z21gnf1mgz4">
            <w:r w:rsidDel="00000000" w:rsidR="00000000" w:rsidRPr="00000000">
              <w:rPr>
                <w:color w:val="000000"/>
                <w:u w:val="none"/>
                <w:rtl w:val="0"/>
              </w:rPr>
              <w:t xml:space="preserve">9.5 The Interdisciplinary Synthesis</w:t>
              <w:tab/>
            </w:r>
          </w:hyperlink>
          <w:r w:rsidDel="00000000" w:rsidR="00000000" w:rsidRPr="00000000">
            <w:fldChar w:fldCharType="begin"/>
            <w:instrText xml:space="preserve"> PAGEREF _z21gnf1mgz4 \h </w:instrText>
            <w:fldChar w:fldCharType="separate"/>
          </w:r>
          <w:r w:rsidDel="00000000" w:rsidR="00000000" w:rsidRPr="00000000">
            <w:rPr>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EF">
          <w:pPr>
            <w:widowControl w:val="0"/>
            <w:tabs>
              <w:tab w:val="right" w:leader="dot" w:pos="9360"/>
            </w:tabs>
            <w:spacing w:before="60" w:line="240" w:lineRule="auto"/>
            <w:ind w:left="360" w:firstLine="0"/>
            <w:rPr>
              <w:color w:val="000000"/>
              <w:u w:val="none"/>
            </w:rPr>
          </w:pPr>
          <w:hyperlink w:anchor="_yvgxu6ub94h2">
            <w:r w:rsidDel="00000000" w:rsidR="00000000" w:rsidRPr="00000000">
              <w:rPr>
                <w:color w:val="000000"/>
                <w:u w:val="none"/>
                <w:rtl w:val="0"/>
              </w:rPr>
              <w:t xml:space="preserve">Section X: The Goukassian Foundation</w:t>
              <w:tab/>
            </w:r>
          </w:hyperlink>
          <w:r w:rsidDel="00000000" w:rsidR="00000000" w:rsidRPr="00000000">
            <w:fldChar w:fldCharType="begin"/>
            <w:instrText xml:space="preserve"> PAGEREF _yvgxu6ub94h2 \h </w:instrText>
            <w:fldChar w:fldCharType="separate"/>
          </w:r>
          <w:r w:rsidDel="00000000" w:rsidR="00000000" w:rsidRPr="00000000">
            <w:rPr>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F0">
          <w:pPr>
            <w:widowControl w:val="0"/>
            <w:tabs>
              <w:tab w:val="right" w:leader="dot" w:pos="9360"/>
            </w:tabs>
            <w:spacing w:before="60" w:line="240" w:lineRule="auto"/>
            <w:ind w:left="720" w:firstLine="0"/>
            <w:rPr>
              <w:color w:val="000000"/>
              <w:u w:val="none"/>
            </w:rPr>
          </w:pPr>
          <w:hyperlink w:anchor="_ulgd47u8t3x6">
            <w:r w:rsidDel="00000000" w:rsidR="00000000" w:rsidRPr="00000000">
              <w:rPr>
                <w:color w:val="000000"/>
                <w:u w:val="none"/>
                <w:rtl w:val="0"/>
              </w:rPr>
              <w:t xml:space="preserve">10.0 Introduction: The Problem of Institutional Perpetuity</w:t>
              <w:tab/>
            </w:r>
          </w:hyperlink>
          <w:r w:rsidDel="00000000" w:rsidR="00000000" w:rsidRPr="00000000">
            <w:fldChar w:fldCharType="begin"/>
            <w:instrText xml:space="preserve"> PAGEREF _ulgd47u8t3x6 \h </w:instrText>
            <w:fldChar w:fldCharType="separate"/>
          </w:r>
          <w:r w:rsidDel="00000000" w:rsidR="00000000" w:rsidRPr="00000000">
            <w:rPr>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F1">
          <w:pPr>
            <w:widowControl w:val="0"/>
            <w:tabs>
              <w:tab w:val="right" w:leader="dot" w:pos="9360"/>
            </w:tabs>
            <w:spacing w:before="60" w:line="240" w:lineRule="auto"/>
            <w:ind w:left="720" w:firstLine="0"/>
            <w:rPr>
              <w:color w:val="000000"/>
              <w:u w:val="none"/>
            </w:rPr>
          </w:pPr>
          <w:hyperlink w:anchor="_6yu7xze4d8p9">
            <w:r w:rsidDel="00000000" w:rsidR="00000000" w:rsidRPr="00000000">
              <w:rPr>
                <w:color w:val="000000"/>
                <w:u w:val="none"/>
                <w:rtl w:val="0"/>
              </w:rPr>
              <w:t xml:space="preserve">10.1 Legal Structure and Nonprofit Architecture</w:t>
              <w:tab/>
            </w:r>
          </w:hyperlink>
          <w:r w:rsidDel="00000000" w:rsidR="00000000" w:rsidRPr="00000000">
            <w:fldChar w:fldCharType="begin"/>
            <w:instrText xml:space="preserve"> PAGEREF _6yu7xze4d8p9 \h </w:instrText>
            <w:fldChar w:fldCharType="separate"/>
          </w:r>
          <w:r w:rsidDel="00000000" w:rsidR="00000000" w:rsidRPr="00000000">
            <w:rPr>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F2">
          <w:pPr>
            <w:widowControl w:val="0"/>
            <w:tabs>
              <w:tab w:val="right" w:leader="dot" w:pos="9360"/>
            </w:tabs>
            <w:spacing w:before="60" w:line="240" w:lineRule="auto"/>
            <w:ind w:left="1080" w:firstLine="0"/>
            <w:rPr>
              <w:color w:val="000000"/>
              <w:u w:val="none"/>
            </w:rPr>
          </w:pPr>
          <w:hyperlink w:anchor="_b6z4lblr8os9">
            <w:r w:rsidDel="00000000" w:rsidR="00000000" w:rsidRPr="00000000">
              <w:rPr>
                <w:color w:val="000000"/>
                <w:u w:val="none"/>
                <w:rtl w:val="0"/>
              </w:rPr>
              <w:t xml:space="preserve">10.1.1 The 501(c)(3) Structure</w:t>
              <w:tab/>
            </w:r>
          </w:hyperlink>
          <w:r w:rsidDel="00000000" w:rsidR="00000000" w:rsidRPr="00000000">
            <w:fldChar w:fldCharType="begin"/>
            <w:instrText xml:space="preserve"> PAGEREF _b6z4lblr8os9 \h </w:instrText>
            <w:fldChar w:fldCharType="separate"/>
          </w:r>
          <w:r w:rsidDel="00000000" w:rsidR="00000000" w:rsidRPr="00000000">
            <w:rPr>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F3">
          <w:pPr>
            <w:widowControl w:val="0"/>
            <w:tabs>
              <w:tab w:val="right" w:leader="dot" w:pos="9360"/>
            </w:tabs>
            <w:spacing w:before="60" w:line="240" w:lineRule="auto"/>
            <w:ind w:left="1080" w:firstLine="0"/>
            <w:rPr>
              <w:color w:val="000000"/>
              <w:u w:val="none"/>
            </w:rPr>
          </w:pPr>
          <w:hyperlink w:anchor="_kv7jnlwhxa6s">
            <w:r w:rsidDel="00000000" w:rsidR="00000000" w:rsidRPr="00000000">
              <w:rPr>
                <w:color w:val="000000"/>
                <w:u w:val="none"/>
                <w:rtl w:val="0"/>
              </w:rPr>
              <w:t xml:space="preserve">10.1.2 Jurisdictional Placement and Multi-Jurisdictional Resilience</w:t>
              <w:tab/>
            </w:r>
          </w:hyperlink>
          <w:r w:rsidDel="00000000" w:rsidR="00000000" w:rsidRPr="00000000">
            <w:fldChar w:fldCharType="begin"/>
            <w:instrText xml:space="preserve"> PAGEREF _kv7jnlwhxa6s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F4">
          <w:pPr>
            <w:widowControl w:val="0"/>
            <w:tabs>
              <w:tab w:val="right" w:leader="dot" w:pos="9360"/>
            </w:tabs>
            <w:spacing w:before="60" w:line="240" w:lineRule="auto"/>
            <w:ind w:left="720" w:firstLine="0"/>
            <w:rPr>
              <w:color w:val="000000"/>
              <w:u w:val="none"/>
            </w:rPr>
          </w:pPr>
          <w:hyperlink w:anchor="_8zy6k1mivfga">
            <w:r w:rsidDel="00000000" w:rsidR="00000000" w:rsidRPr="00000000">
              <w:rPr>
                <w:color w:val="000000"/>
                <w:u w:val="none"/>
                <w:rtl w:val="0"/>
              </w:rPr>
              <w:t xml:space="preserve">10.2 The Tri-Cameral Governance Architecture</w:t>
              <w:tab/>
            </w:r>
          </w:hyperlink>
          <w:r w:rsidDel="00000000" w:rsidR="00000000" w:rsidRPr="00000000">
            <w:fldChar w:fldCharType="begin"/>
            <w:instrText xml:space="preserve"> PAGEREF _8zy6k1mivfga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F5">
          <w:pPr>
            <w:widowControl w:val="0"/>
            <w:tabs>
              <w:tab w:val="right" w:leader="dot" w:pos="9360"/>
            </w:tabs>
            <w:spacing w:before="60" w:line="240" w:lineRule="auto"/>
            <w:ind w:left="1080" w:firstLine="0"/>
            <w:rPr>
              <w:color w:val="000000"/>
              <w:u w:val="none"/>
            </w:rPr>
          </w:pPr>
          <w:hyperlink w:anchor="_f0v1e4f3vx4t">
            <w:r w:rsidDel="00000000" w:rsidR="00000000" w:rsidRPr="00000000">
              <w:rPr>
                <w:color w:val="000000"/>
                <w:u w:val="none"/>
                <w:rtl w:val="0"/>
              </w:rPr>
              <w:t xml:space="preserve">10.2.1 Chamber Structure and Composition</w:t>
              <w:tab/>
            </w:r>
          </w:hyperlink>
          <w:r w:rsidDel="00000000" w:rsidR="00000000" w:rsidRPr="00000000">
            <w:fldChar w:fldCharType="begin"/>
            <w:instrText xml:space="preserve"> PAGEREF _f0v1e4f3vx4t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F6">
          <w:pPr>
            <w:widowControl w:val="0"/>
            <w:tabs>
              <w:tab w:val="right" w:leader="dot" w:pos="9360"/>
            </w:tabs>
            <w:spacing w:before="60" w:line="240" w:lineRule="auto"/>
            <w:ind w:left="1080" w:firstLine="0"/>
            <w:rPr>
              <w:color w:val="000000"/>
              <w:u w:val="none"/>
            </w:rPr>
          </w:pPr>
          <w:hyperlink w:anchor="_psbnzknq5x30">
            <w:r w:rsidDel="00000000" w:rsidR="00000000" w:rsidRPr="00000000">
              <w:rPr>
                <w:color w:val="000000"/>
                <w:u w:val="none"/>
                <w:rtl w:val="0"/>
              </w:rPr>
              <w:t xml:space="preserve">10.2.2 Constitutional Checks and Veto Rights</w:t>
              <w:tab/>
            </w:r>
          </w:hyperlink>
          <w:r w:rsidDel="00000000" w:rsidR="00000000" w:rsidRPr="00000000">
            <w:fldChar w:fldCharType="begin"/>
            <w:instrText xml:space="preserve"> PAGEREF _psbnzknq5x30 \h </w:instrText>
            <w:fldChar w:fldCharType="separate"/>
          </w:r>
          <w:r w:rsidDel="00000000" w:rsidR="00000000" w:rsidRPr="00000000">
            <w:rPr>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F7">
          <w:pPr>
            <w:widowControl w:val="0"/>
            <w:tabs>
              <w:tab w:val="right" w:leader="dot" w:pos="9360"/>
            </w:tabs>
            <w:spacing w:before="60" w:line="240" w:lineRule="auto"/>
            <w:ind w:left="1080" w:firstLine="0"/>
            <w:rPr>
              <w:color w:val="000000"/>
              <w:u w:val="none"/>
            </w:rPr>
          </w:pPr>
          <w:hyperlink w:anchor="_armuxoq57ee6">
            <w:r w:rsidDel="00000000" w:rsidR="00000000" w:rsidRPr="00000000">
              <w:rPr>
                <w:color w:val="000000"/>
                <w:u w:val="none"/>
                <w:rtl w:val="0"/>
              </w:rPr>
              <w:t xml:space="preserve">10.2.3 Quorum Requirements and Section 7A Survivability Protocol</w:t>
              <w:tab/>
            </w:r>
          </w:hyperlink>
          <w:r w:rsidDel="00000000" w:rsidR="00000000" w:rsidRPr="00000000">
            <w:fldChar w:fldCharType="begin"/>
            <w:instrText xml:space="preserve"> PAGEREF _armuxoq57ee6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F8">
          <w:pPr>
            <w:widowControl w:val="0"/>
            <w:tabs>
              <w:tab w:val="right" w:leader="dot" w:pos="9360"/>
            </w:tabs>
            <w:spacing w:before="60" w:line="240" w:lineRule="auto"/>
            <w:ind w:left="720" w:firstLine="0"/>
            <w:rPr>
              <w:color w:val="000000"/>
              <w:u w:val="none"/>
            </w:rPr>
          </w:pPr>
          <w:hyperlink w:anchor="_u3awh0cempcq">
            <w:r w:rsidDel="00000000" w:rsidR="00000000" w:rsidRPr="00000000">
              <w:rPr>
                <w:color w:val="000000"/>
                <w:u w:val="none"/>
                <w:rtl w:val="0"/>
              </w:rPr>
              <w:t xml:space="preserve">10.3 The Certification Architecture</w:t>
              <w:tab/>
            </w:r>
          </w:hyperlink>
          <w:r w:rsidDel="00000000" w:rsidR="00000000" w:rsidRPr="00000000">
            <w:fldChar w:fldCharType="begin"/>
            <w:instrText xml:space="preserve"> PAGEREF _u3awh0cempcq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F9">
          <w:pPr>
            <w:widowControl w:val="0"/>
            <w:tabs>
              <w:tab w:val="right" w:leader="dot" w:pos="9360"/>
            </w:tabs>
            <w:spacing w:before="60" w:line="240" w:lineRule="auto"/>
            <w:ind w:left="1080" w:firstLine="0"/>
            <w:rPr>
              <w:color w:val="000000"/>
              <w:u w:val="none"/>
            </w:rPr>
          </w:pPr>
          <w:hyperlink w:anchor="_m89okpah3h3f">
            <w:r w:rsidDel="00000000" w:rsidR="00000000" w:rsidRPr="00000000">
              <w:rPr>
                <w:color w:val="000000"/>
                <w:u w:val="none"/>
                <w:rtl w:val="0"/>
              </w:rPr>
              <w:t xml:space="preserve">10.3.1 Certification Levels and Requirements</w:t>
              <w:tab/>
            </w:r>
          </w:hyperlink>
          <w:r w:rsidDel="00000000" w:rsidR="00000000" w:rsidRPr="00000000">
            <w:fldChar w:fldCharType="begin"/>
            <w:instrText xml:space="preserve"> PAGEREF _m89okpah3h3f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FA">
          <w:pPr>
            <w:widowControl w:val="0"/>
            <w:tabs>
              <w:tab w:val="right" w:leader="dot" w:pos="9360"/>
            </w:tabs>
            <w:spacing w:before="60" w:line="240" w:lineRule="auto"/>
            <w:ind w:left="1080" w:firstLine="0"/>
            <w:rPr>
              <w:color w:val="000000"/>
              <w:u w:val="none"/>
            </w:rPr>
          </w:pPr>
          <w:hyperlink w:anchor="_hjw3dh1vdcbs">
            <w:r w:rsidDel="00000000" w:rsidR="00000000" w:rsidRPr="00000000">
              <w:rPr>
                <w:color w:val="000000"/>
                <w:u w:val="none"/>
                <w:rtl w:val="0"/>
              </w:rPr>
              <w:t xml:space="preserve">10.3.2 Certification Process and Audit Requirements</w:t>
              <w:tab/>
            </w:r>
          </w:hyperlink>
          <w:r w:rsidDel="00000000" w:rsidR="00000000" w:rsidRPr="00000000">
            <w:fldChar w:fldCharType="begin"/>
            <w:instrText xml:space="preserve"> PAGEREF _hjw3dh1vdcbs \h </w:instrText>
            <w:fldChar w:fldCharType="separate"/>
          </w:r>
          <w:r w:rsidDel="00000000" w:rsidR="00000000" w:rsidRPr="00000000">
            <w:rPr>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FB">
          <w:pPr>
            <w:widowControl w:val="0"/>
            <w:tabs>
              <w:tab w:val="right" w:leader="dot" w:pos="9360"/>
            </w:tabs>
            <w:spacing w:before="60" w:line="240" w:lineRule="auto"/>
            <w:ind w:left="1080" w:firstLine="0"/>
            <w:rPr>
              <w:color w:val="000000"/>
              <w:u w:val="none"/>
            </w:rPr>
          </w:pPr>
          <w:hyperlink w:anchor="_w1h1b2fvvjv">
            <w:r w:rsidDel="00000000" w:rsidR="00000000" w:rsidRPr="00000000">
              <w:rPr>
                <w:color w:val="000000"/>
                <w:u w:val="none"/>
                <w:rtl w:val="0"/>
              </w:rPr>
              <w:t xml:space="preserve">10.3.3 The Certification Registry</w:t>
              <w:tab/>
            </w:r>
          </w:hyperlink>
          <w:r w:rsidDel="00000000" w:rsidR="00000000" w:rsidRPr="00000000">
            <w:fldChar w:fldCharType="begin"/>
            <w:instrText xml:space="preserve"> PAGEREF _w1h1b2fvvjv \h </w:instrText>
            <w:fldChar w:fldCharType="separate"/>
          </w:r>
          <w:r w:rsidDel="00000000" w:rsidR="00000000" w:rsidRPr="00000000">
            <w:rPr>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FC">
          <w:pPr>
            <w:widowControl w:val="0"/>
            <w:tabs>
              <w:tab w:val="right" w:leader="dot" w:pos="9360"/>
            </w:tabs>
            <w:spacing w:before="60" w:line="240" w:lineRule="auto"/>
            <w:ind w:left="720" w:firstLine="0"/>
            <w:rPr>
              <w:color w:val="000000"/>
              <w:u w:val="none"/>
            </w:rPr>
          </w:pPr>
          <w:hyperlink w:anchor="_vw1l655jkppk">
            <w:r w:rsidDel="00000000" w:rsidR="00000000" w:rsidRPr="00000000">
              <w:rPr>
                <w:color w:val="000000"/>
                <w:u w:val="none"/>
                <w:rtl w:val="0"/>
              </w:rPr>
              <w:t xml:space="preserve">10.4 Succession Planning and Founder Independence</w:t>
              <w:tab/>
            </w:r>
          </w:hyperlink>
          <w:r w:rsidDel="00000000" w:rsidR="00000000" w:rsidRPr="00000000">
            <w:fldChar w:fldCharType="begin"/>
            <w:instrText xml:space="preserve"> PAGEREF _vw1l655jkppk \h </w:instrText>
            <w:fldChar w:fldCharType="separate"/>
          </w:r>
          <w:r w:rsidDel="00000000" w:rsidR="00000000" w:rsidRPr="00000000">
            <w:rPr>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FD">
          <w:pPr>
            <w:widowControl w:val="0"/>
            <w:tabs>
              <w:tab w:val="right" w:leader="dot" w:pos="9360"/>
            </w:tabs>
            <w:spacing w:before="60" w:line="240" w:lineRule="auto"/>
            <w:ind w:left="1080" w:firstLine="0"/>
            <w:rPr>
              <w:color w:val="000000"/>
              <w:u w:val="none"/>
            </w:rPr>
          </w:pPr>
          <w:hyperlink w:anchor="_vn9o5pxpzjsx">
            <w:r w:rsidDel="00000000" w:rsidR="00000000" w:rsidRPr="00000000">
              <w:rPr>
                <w:color w:val="000000"/>
                <w:u w:val="none"/>
                <w:rtl w:val="0"/>
              </w:rPr>
              <w:t xml:space="preserve">10.4.1 The Founder's Role and Its Constitutional Limits</w:t>
              <w:tab/>
            </w:r>
          </w:hyperlink>
          <w:r w:rsidDel="00000000" w:rsidR="00000000" w:rsidRPr="00000000">
            <w:fldChar w:fldCharType="begin"/>
            <w:instrText xml:space="preserve"> PAGEREF _vn9o5pxpzjsx \h </w:instrText>
            <w:fldChar w:fldCharType="separate"/>
          </w:r>
          <w:r w:rsidDel="00000000" w:rsidR="00000000" w:rsidRPr="00000000">
            <w:rPr>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FE">
          <w:pPr>
            <w:widowControl w:val="0"/>
            <w:tabs>
              <w:tab w:val="right" w:leader="dot" w:pos="9360"/>
            </w:tabs>
            <w:spacing w:before="60" w:line="240" w:lineRule="auto"/>
            <w:ind w:left="1080" w:firstLine="0"/>
            <w:rPr>
              <w:color w:val="000000"/>
              <w:u w:val="none"/>
            </w:rPr>
          </w:pPr>
          <w:hyperlink w:anchor="_85i7d4fqsk8q">
            <w:r w:rsidDel="00000000" w:rsidR="00000000" w:rsidRPr="00000000">
              <w:rPr>
                <w:color w:val="000000"/>
                <w:u w:val="none"/>
                <w:rtl w:val="0"/>
              </w:rPr>
              <w:t xml:space="preserve">10.4.2 Key Material Succession</w:t>
              <w:tab/>
            </w:r>
          </w:hyperlink>
          <w:r w:rsidDel="00000000" w:rsidR="00000000" w:rsidRPr="00000000">
            <w:fldChar w:fldCharType="begin"/>
            <w:instrText xml:space="preserve"> PAGEREF _85i7d4fqsk8q \h </w:instrText>
            <w:fldChar w:fldCharType="separate"/>
          </w:r>
          <w:r w:rsidDel="00000000" w:rsidR="00000000" w:rsidRPr="00000000">
            <w:rPr>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FF">
          <w:pPr>
            <w:widowControl w:val="0"/>
            <w:tabs>
              <w:tab w:val="right" w:leader="dot" w:pos="9360"/>
            </w:tabs>
            <w:spacing w:before="60" w:line="240" w:lineRule="auto"/>
            <w:ind w:left="1080" w:firstLine="0"/>
            <w:rPr>
              <w:color w:val="000000"/>
              <w:u w:val="none"/>
            </w:rPr>
          </w:pPr>
          <w:hyperlink w:anchor="_19bwn25qmhtp">
            <w:r w:rsidDel="00000000" w:rsidR="00000000" w:rsidRPr="00000000">
              <w:rPr>
                <w:color w:val="000000"/>
                <w:u w:val="none"/>
                <w:rtl w:val="0"/>
              </w:rPr>
              <w:t xml:space="preserve">10.4.3 Institutional Memory and Framework Documentation</w:t>
              <w:tab/>
            </w:r>
          </w:hyperlink>
          <w:r w:rsidDel="00000000" w:rsidR="00000000" w:rsidRPr="00000000">
            <w:fldChar w:fldCharType="begin"/>
            <w:instrText xml:space="preserve"> PAGEREF _19bwn25qmhtp \h </w:instrText>
            <w:fldChar w:fldCharType="separate"/>
          </w:r>
          <w:r w:rsidDel="00000000" w:rsidR="00000000" w:rsidRPr="00000000">
            <w:rPr>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100">
          <w:pPr>
            <w:widowControl w:val="0"/>
            <w:tabs>
              <w:tab w:val="right" w:leader="dot" w:pos="9360"/>
            </w:tabs>
            <w:spacing w:before="60" w:line="240" w:lineRule="auto"/>
            <w:ind w:left="720" w:firstLine="0"/>
            <w:rPr>
              <w:color w:val="000000"/>
              <w:u w:val="none"/>
            </w:rPr>
          </w:pPr>
          <w:hyperlink w:anchor="_agq6jz5gvjvj">
            <w:r w:rsidDel="00000000" w:rsidR="00000000" w:rsidRPr="00000000">
              <w:rPr>
                <w:color w:val="000000"/>
                <w:u w:val="none"/>
                <w:rtl w:val="0"/>
              </w:rPr>
              <w:t xml:space="preserve">10.5 The Memorial Fund and Victim Compensation Architecture</w:t>
              <w:tab/>
            </w:r>
          </w:hyperlink>
          <w:r w:rsidDel="00000000" w:rsidR="00000000" w:rsidRPr="00000000">
            <w:fldChar w:fldCharType="begin"/>
            <w:instrText xml:space="preserve"> PAGEREF _agq6jz5gvjvj \h </w:instrText>
            <w:fldChar w:fldCharType="separate"/>
          </w:r>
          <w:r w:rsidDel="00000000" w:rsidR="00000000" w:rsidRPr="00000000">
            <w:rPr>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101">
          <w:pPr>
            <w:widowControl w:val="0"/>
            <w:tabs>
              <w:tab w:val="right" w:leader="dot" w:pos="9360"/>
            </w:tabs>
            <w:spacing w:before="60" w:line="240" w:lineRule="auto"/>
            <w:ind w:left="1080" w:firstLine="0"/>
            <w:rPr>
              <w:color w:val="000000"/>
              <w:u w:val="none"/>
            </w:rPr>
          </w:pPr>
          <w:hyperlink w:anchor="_quo1ou2yvyvo">
            <w:r w:rsidDel="00000000" w:rsidR="00000000" w:rsidRPr="00000000">
              <w:rPr>
                <w:color w:val="000000"/>
                <w:u w:val="none"/>
                <w:rtl w:val="0"/>
              </w:rPr>
              <w:t xml:space="preserve">10.5.1 Purpose and Funding</w:t>
              <w:tab/>
            </w:r>
          </w:hyperlink>
          <w:r w:rsidDel="00000000" w:rsidR="00000000" w:rsidRPr="00000000">
            <w:fldChar w:fldCharType="begin"/>
            <w:instrText xml:space="preserve"> PAGEREF _quo1ou2yvyvo \h </w:instrText>
            <w:fldChar w:fldCharType="separate"/>
          </w:r>
          <w:r w:rsidDel="00000000" w:rsidR="00000000" w:rsidRPr="00000000">
            <w:rPr>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102">
          <w:pPr>
            <w:widowControl w:val="0"/>
            <w:tabs>
              <w:tab w:val="right" w:leader="dot" w:pos="9360"/>
            </w:tabs>
            <w:spacing w:before="60" w:line="240" w:lineRule="auto"/>
            <w:ind w:left="1080" w:firstLine="0"/>
            <w:rPr>
              <w:color w:val="000000"/>
              <w:u w:val="none"/>
            </w:rPr>
          </w:pPr>
          <w:hyperlink w:anchor="_7zg1npn5j5h7">
            <w:r w:rsidDel="00000000" w:rsidR="00000000" w:rsidRPr="00000000">
              <w:rPr>
                <w:color w:val="000000"/>
                <w:u w:val="none"/>
                <w:rtl w:val="0"/>
              </w:rPr>
              <w:t xml:space="preserve">10.5.2 Claims Process and Compensation Standards</w:t>
              <w:tab/>
            </w:r>
          </w:hyperlink>
          <w:r w:rsidDel="00000000" w:rsidR="00000000" w:rsidRPr="00000000">
            <w:fldChar w:fldCharType="begin"/>
            <w:instrText xml:space="preserve"> PAGEREF _7zg1npn5j5h7 \h </w:instrText>
            <w:fldChar w:fldCharType="separate"/>
          </w:r>
          <w:r w:rsidDel="00000000" w:rsidR="00000000" w:rsidRPr="00000000">
            <w:rPr>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103">
          <w:pPr>
            <w:widowControl w:val="0"/>
            <w:tabs>
              <w:tab w:val="right" w:leader="dot" w:pos="9360"/>
            </w:tabs>
            <w:spacing w:before="60" w:line="240" w:lineRule="auto"/>
            <w:ind w:left="720" w:firstLine="0"/>
            <w:rPr>
              <w:color w:val="000000"/>
              <w:u w:val="none"/>
            </w:rPr>
          </w:pPr>
          <w:hyperlink w:anchor="_z1db78c1nmb">
            <w:r w:rsidDel="00000000" w:rsidR="00000000" w:rsidRPr="00000000">
              <w:rPr>
                <w:color w:val="000000"/>
                <w:u w:val="none"/>
                <w:rtl w:val="0"/>
              </w:rPr>
              <w:t xml:space="preserve">10.6 The Foundation as the Framework's Future</w:t>
              <w:tab/>
            </w:r>
          </w:hyperlink>
          <w:r w:rsidDel="00000000" w:rsidR="00000000" w:rsidRPr="00000000">
            <w:fldChar w:fldCharType="begin"/>
            <w:instrText xml:space="preserve"> PAGEREF _z1db78c1nmb \h </w:instrText>
            <w:fldChar w:fldCharType="separate"/>
          </w:r>
          <w:r w:rsidDel="00000000" w:rsidR="00000000" w:rsidRPr="00000000">
            <w:rPr>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104">
          <w:pPr>
            <w:widowControl w:val="0"/>
            <w:tabs>
              <w:tab w:val="right" w:leader="dot" w:pos="9360"/>
            </w:tabs>
            <w:spacing w:before="60" w:line="240" w:lineRule="auto"/>
            <w:ind w:left="360" w:firstLine="0"/>
            <w:rPr>
              <w:color w:val="000000"/>
              <w:u w:val="none"/>
            </w:rPr>
          </w:pPr>
          <w:hyperlink w:anchor="_2xoaruci2h9v">
            <w:r w:rsidDel="00000000" w:rsidR="00000000" w:rsidRPr="00000000">
              <w:rPr>
                <w:color w:val="000000"/>
                <w:u w:val="none"/>
                <w:rtl w:val="0"/>
              </w:rPr>
              <w:t xml:space="preserve">Conclusion: The Architecture of Durable Governance</w:t>
              <w:tab/>
            </w:r>
          </w:hyperlink>
          <w:r w:rsidDel="00000000" w:rsidR="00000000" w:rsidRPr="00000000">
            <w:fldChar w:fldCharType="begin"/>
            <w:instrText xml:space="preserve"> PAGEREF _2xoaruci2h9v \h </w:instrText>
            <w:fldChar w:fldCharType="separate"/>
          </w:r>
          <w:r w:rsidDel="00000000" w:rsidR="00000000" w:rsidRPr="00000000">
            <w:rPr>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105">
          <w:pPr>
            <w:widowControl w:val="0"/>
            <w:tabs>
              <w:tab w:val="right" w:leader="dot" w:pos="9360"/>
            </w:tabs>
            <w:spacing w:before="60" w:line="240" w:lineRule="auto"/>
            <w:ind w:left="360" w:firstLine="0"/>
            <w:rPr>
              <w:color w:val="000000"/>
              <w:u w:val="none"/>
            </w:rPr>
          </w:pPr>
          <w:hyperlink w:anchor="_lizd62vzj3td">
            <w:r w:rsidDel="00000000" w:rsidR="00000000" w:rsidRPr="00000000">
              <w:rPr>
                <w:color w:val="000000"/>
                <w:u w:val="none"/>
                <w:rtl w:val="0"/>
              </w:rPr>
              <w:t xml:space="preserve">References</w:t>
              <w:tab/>
            </w:r>
          </w:hyperlink>
          <w:r w:rsidDel="00000000" w:rsidR="00000000" w:rsidRPr="00000000">
            <w:fldChar w:fldCharType="begin"/>
            <w:instrText xml:space="preserve"> PAGEREF _lizd62vzj3td \h </w:instrText>
            <w:fldChar w:fldCharType="separate"/>
          </w:r>
          <w:r w:rsidDel="00000000" w:rsidR="00000000" w:rsidRPr="00000000">
            <w:rPr>
              <w:rtl w:val="0"/>
            </w:rPr>
            <w:t xml:space="preserve">128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6">
      <w:pPr>
        <w:pStyle w:val="Heading2"/>
        <w:keepNext w:val="0"/>
        <w:keepLines w:val="0"/>
        <w:rPr>
          <w:color w:val="000000"/>
          <w:sz w:val="34"/>
          <w:szCs w:val="34"/>
        </w:rPr>
      </w:pPr>
      <w:bookmarkStart w:colFirst="0" w:colLast="0" w:name="_2lbiwtsuu3z1" w:id="8"/>
      <w:bookmarkEnd w:id="8"/>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2"/>
        <w:keepNext w:val="0"/>
        <w:keepLines w:val="0"/>
        <w:rPr>
          <w:color w:val="000000"/>
          <w:sz w:val="34"/>
          <w:szCs w:val="34"/>
        </w:rPr>
      </w:pPr>
      <w:bookmarkStart w:colFirst="0" w:colLast="0" w:name="_ec6vuntmn012" w:id="9"/>
      <w:bookmarkEnd w:id="9"/>
      <w:r w:rsidDel="00000000" w:rsidR="00000000" w:rsidRPr="00000000">
        <w:rPr>
          <w:color w:val="000000"/>
          <w:sz w:val="34"/>
          <w:szCs w:val="34"/>
          <w:rtl w:val="0"/>
        </w:rPr>
        <w:t xml:space="preserve">Section I: The Epistemic Crisis</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zf6endlfxsdd" w:id="10"/>
      <w:bookmarkEnd w:id="10"/>
      <w:r w:rsidDel="00000000" w:rsidR="00000000" w:rsidRPr="00000000">
        <w:rPr>
          <w:b w:val="1"/>
          <w:bCs w:val="1"/>
          <w:color w:val="000000"/>
          <w:sz w:val="26"/>
          <w:szCs w:val="26"/>
          <w:rtl w:val="0"/>
        </w:rPr>
        <w:t xml:space="preserve">1.1 The Epistemic Crisis of the Binary Machine</w:t>
      </w:r>
    </w:p>
    <w:p w:rsidR="00000000" w:rsidDel="00000000" w:rsidP="00000000" w:rsidRDefault="00000000" w:rsidRPr="00000000" w14:paraId="00000109">
      <w:pPr>
        <w:spacing w:after="240" w:before="240" w:lineRule="auto"/>
        <w:rPr/>
      </w:pPr>
      <w:r w:rsidDel="00000000" w:rsidR="00000000" w:rsidRPr="00000000">
        <w:rPr>
          <w:rtl w:val="0"/>
        </w:rPr>
        <w:t xml:space="preserve">The trajectory of artificial intelligence, from the earliest perceptrons to the trillion-parameter large language models of the generative era, has been defined by a singular, largely unexamined architectural dogma: the supremacy of binary classification. At the bedrock of every modern inference stack, despite the extraordinary complexity of attention mechanisms, transformer architectures, and multimodal reasoning pipelines, the fundamental computational logic remains tethered to a probabilistic collapse into certainty. A model predicts the next token, classifies a medical image, approves a loan application, or recommends a judicial risk score based on a confidence threshold that, once crossed, effectively rounds "perhaps" into "yes" and "possibly not" into "no." The machine does not hesitate. It cannot. It has not been given the architectural vocabulary to do so.</w:t>
      </w:r>
    </w:p>
    <w:p w:rsidR="00000000" w:rsidDel="00000000" w:rsidP="00000000" w:rsidRDefault="00000000" w:rsidRPr="00000000" w14:paraId="0000010A">
      <w:pPr>
        <w:spacing w:after="240" w:before="240" w:lineRule="auto"/>
        <w:rPr/>
      </w:pPr>
      <w:r w:rsidDel="00000000" w:rsidR="00000000" w:rsidRPr="00000000">
        <w:rPr>
          <w:rtl w:val="0"/>
        </w:rPr>
        <w:t xml:space="preserve">This phenomenon, which Ternary Moral Logic designates as </w:t>
      </w:r>
      <w:r w:rsidDel="00000000" w:rsidR="00000000" w:rsidRPr="00000000">
        <w:rPr>
          <w:b w:val="1"/>
          <w:bCs w:val="1"/>
          <w:rtl w:val="0"/>
        </w:rPr>
        <w:t xml:space="preserve">"Binary Brittleness,"</w:t>
      </w:r>
      <w:r w:rsidDel="00000000" w:rsidR="00000000" w:rsidRPr="00000000">
        <w:rPr>
          <w:rtl w:val="0"/>
        </w:rPr>
        <w:t xml:space="preserve"> is not a calibration failure amenable to better training data, more refined reward functions, or improved regularization techniques</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[1]</w:t>
        </w:r>
      </w:hyperlink>
      <w:r w:rsidDel="00000000" w:rsidR="00000000" w:rsidRPr="00000000">
        <w:rPr>
          <w:rtl w:val="0"/>
        </w:rPr>
        <w:t xml:space="preserve">. It is a structural inadequacy embedded in the logical substrate itself, an epistemic crisis that becomes existential when binary systems are deployed in domains where the consequences of forced certainty are severe, irreversible, and borne by human beings who cannot contest an algorithm's confidence interval.</w:t>
      </w:r>
    </w:p>
    <w:p w:rsidR="00000000" w:rsidDel="00000000" w:rsidP="00000000" w:rsidRDefault="00000000" w:rsidRPr="00000000" w14:paraId="0000010B">
      <w:pPr>
        <w:spacing w:after="240" w:before="240" w:lineRule="auto"/>
        <w:rPr/>
      </w:pPr>
      <w:r w:rsidDel="00000000" w:rsidR="00000000" w:rsidRPr="00000000">
        <w:rPr>
          <w:rtl w:val="0"/>
        </w:rPr>
        <w:t xml:space="preserve">In high-stakes environments, the binary paradigm imposes what can only be termed a </w:t>
      </w:r>
      <w:r w:rsidDel="00000000" w:rsidR="00000000" w:rsidRPr="00000000">
        <w:rPr>
          <w:b w:val="1"/>
          <w:bCs w:val="1"/>
          <w:rtl w:val="0"/>
        </w:rPr>
        <w:t xml:space="preserve">"decision forcing function"</w:t>
      </w:r>
      <w:r w:rsidDel="00000000" w:rsidR="00000000" w:rsidRPr="00000000">
        <w:rPr>
          <w:rtl w:val="0"/>
        </w:rPr>
        <w:t xml:space="preserve">: an architectural compulsion to choose a side when no side is adequately supported by available evidence. When a machine encounters moral ambiguity, factual incompleteness, conflicting mandates, or a situation that lies outside the distribution of its training, the binary constraint provides no native computational state for "I am uncertain and therefore I must not act until that uncertainty is resolved." The system is compelled to resolve uncertainty by fiat, to generate a confident output from insufficient premises, and to act on that output with full automated authority. The consequence is not merely computational error; it is the algorithmic production of harm at industrial scale, systematically, and without the possibility of the system recognizing its own epistemic overreach.</w:t>
      </w:r>
    </w:p>
    <w:p w:rsidR="00000000" w:rsidDel="00000000" w:rsidP="00000000" w:rsidRDefault="00000000" w:rsidRPr="00000000" w14:paraId="0000010C">
      <w:pPr>
        <w:spacing w:after="240" w:before="240" w:lineRule="auto"/>
        <w:rPr/>
      </w:pPr>
      <w:r w:rsidDel="00000000" w:rsidR="00000000" w:rsidRPr="00000000">
        <w:rPr>
          <w:rtl w:val="0"/>
        </w:rPr>
        <w:t xml:space="preserve">Contemporary industry responses to this crisis have been, with few exceptions, structural patches rather than architectural solutions. Reinforcement Learning from Human Feedback (RLHF)</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[2]</w:t>
        </w:r>
      </w:hyperlink>
      <w:r w:rsidDel="00000000" w:rsidR="00000000" w:rsidRPr="00000000">
        <w:rPr>
          <w:rtl w:val="0"/>
        </w:rPr>
        <w:t xml:space="preserve">, Constitutional AI wrappers</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[3]</w:t>
        </w:r>
      </w:hyperlink>
      <w:r w:rsidDel="00000000" w:rsidR="00000000" w:rsidRPr="00000000">
        <w:rPr>
          <w:rtl w:val="0"/>
        </w:rPr>
        <w:t xml:space="preserve">, content moderation layers, and safety fine-tuning pipelines operate as post-hoc constraints applied above or around the core decision-making engine. These are policy overlays, not requirements. They can be bypassed by adversarial prompting techniques that exploit the gap between the policy's formal specification and the infinite diversity of natural language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[4]</w:t>
        </w:r>
      </w:hyperlink>
      <w:r w:rsidDel="00000000" w:rsidR="00000000" w:rsidRPr="00000000">
        <w:rPr>
          <w:rtl w:val="0"/>
        </w:rPr>
        <w:t xml:space="preserve">. They can be eroded by distributional drift as the deployment environment diverges from the training distribution. They can be circumvented by optimization pressure when the system learns to satisfy a safety constraint's formal criteria while violating its intent. They fail because they treat governance as a feature applied to a binary foundation rather than as the constitutional substrate of the system itself.</w:t>
      </w:r>
    </w:p>
    <w:p w:rsidR="00000000" w:rsidDel="00000000" w:rsidP="00000000" w:rsidRDefault="00000000" w:rsidRPr="00000000" w14:paraId="0000010D">
      <w:pPr>
        <w:spacing w:after="240" w:before="240" w:lineRule="auto"/>
        <w:rPr/>
      </w:pPr>
      <w:r w:rsidDel="00000000" w:rsidR="00000000" w:rsidRPr="00000000">
        <w:rPr>
          <w:rtl w:val="0"/>
        </w:rPr>
        <w:t xml:space="preserve">The deeper problem, which no quantity of safety fine-tuning can resolve, is that binary logic has no vocabulary for </w:t>
      </w:r>
      <w:r w:rsidDel="00000000" w:rsidR="00000000" w:rsidRPr="00000000">
        <w:rPr>
          <w:b w:val="1"/>
          <w:bCs w:val="1"/>
          <w:rtl w:val="0"/>
        </w:rPr>
        <w:t xml:space="preserve">structured hesitation</w:t>
      </w:r>
      <w:r w:rsidDel="00000000" w:rsidR="00000000" w:rsidRPr="00000000">
        <w:rPr>
          <w:rtl w:val="0"/>
        </w:rPr>
        <w:t xml:space="preserve">. Software can be instructed to wait, but that instruction exists in the same address space as the code it is meant to constrain. A sufficiently capable system, one trained to maximize a proxy objective, or one engaged in recursive self-improvement, can rewrite, circumvent, or gradient-descend its way around software constraints that impede its objective function. The alignment problem, at its technical core, is precisely the problem of specifying governance as a software constraint in a system that is becoming more capable than the constraints designed to govern it</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10E">
      <w:pPr>
        <w:spacing w:after="240" w:before="240" w:lineRule="auto"/>
        <w:rPr/>
      </w:pPr>
      <w:r w:rsidDel="00000000" w:rsidR="00000000" w:rsidRPr="00000000">
        <w:rPr>
          <w:rtl w:val="0"/>
        </w:rPr>
        <w:t xml:space="preserve">What cannot be circumvented is physics. A threshold gate does not negotiate. A NULL state at ½Vdd does not respond to adversarial prompting. A Muller C-element implementing completion detection in a Delay Insensitive Ternary Logic circuit does not have an instruction set that can be rewritten by a sufficiently capable language model. The hardware substrate of Ternary Moral Logic is not a governance layer applied above the inference engine; it is a physically distinct coprocessor that intercepts execution signals between the computation and its consequences, enforcing the Sacred Zero through electromagnetic law rather than software instruction. This is the foundational architectural insight from which the entire TML framework derives its claim to permanence: governance enforced by physics cannot be reasoned around by the system it governs.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fg0hxm9boje4" w:id="11"/>
      <w:bookmarkEnd w:id="11"/>
      <w:r w:rsidDel="00000000" w:rsidR="00000000" w:rsidRPr="00000000">
        <w:rPr>
          <w:b w:val="1"/>
          <w:bCs w:val="1"/>
          <w:color w:val="000000"/>
          <w:sz w:val="26"/>
          <w:szCs w:val="26"/>
          <w:rtl w:val="0"/>
        </w:rPr>
        <w:t xml:space="preserve">1.2 The Goukassian Vow: The Load-Bearing Sentence</w:t>
      </w:r>
    </w:p>
    <w:p w:rsidR="00000000" w:rsidDel="00000000" w:rsidP="00000000" w:rsidRDefault="00000000" w:rsidRPr="00000000" w14:paraId="00000110">
      <w:pPr>
        <w:spacing w:after="240" w:before="240" w:lineRule="auto"/>
        <w:rPr/>
      </w:pPr>
      <w:r w:rsidDel="00000000" w:rsidR="00000000" w:rsidRPr="00000000">
        <w:rPr>
          <w:rtl w:val="0"/>
        </w:rPr>
        <w:t xml:space="preserve">Every constitutional architecture requires a foundational principle from which all operational rules are derived. For Ternary Moral Logic, that principle is the </w:t>
      </w:r>
      <w:r w:rsidDel="00000000" w:rsidR="00000000" w:rsidRPr="00000000">
        <w:rPr>
          <w:b w:val="1"/>
          <w:bCs w:val="1"/>
          <w:rtl w:val="0"/>
        </w:rPr>
        <w:t xml:space="preserve">Goukassian Vow</w:t>
      </w:r>
      <w:r w:rsidDel="00000000" w:rsidR="00000000" w:rsidRPr="00000000">
        <w:rPr>
          <w:rtl w:val="0"/>
        </w:rPr>
        <w:t xml:space="preserve">:</w:t>
      </w:r>
    </w:p>
    <w:p w:rsidR="00000000" w:rsidDel="00000000" w:rsidP="00000000" w:rsidRDefault="00000000" w:rsidRPr="00000000" w14:paraId="00000111">
      <w:pPr>
        <w:spacing w:after="240" w:before="240" w:lineRule="auto"/>
        <w:rPr>
          <w:i w:val="1"/>
          <w:iCs w:val="1"/>
        </w:rPr>
      </w:pPr>
      <w:r w:rsidDel="00000000" w:rsidR="00000000" w:rsidRPr="00000000">
        <w:rPr>
          <w:i w:val="1"/>
          <w:iCs w:val="1"/>
          <w:rtl w:val="0"/>
        </w:rPr>
        <w:t xml:space="preserve">"Pause when truth is uncertain. Refuse when harm is clear. Proceed where truth is."</w:t>
      </w:r>
    </w:p>
    <w:p w:rsidR="00000000" w:rsidDel="00000000" w:rsidP="00000000" w:rsidRDefault="00000000" w:rsidRPr="00000000" w14:paraId="00000112">
      <w:pPr>
        <w:spacing w:after="240" w:before="240" w:lineRule="auto"/>
        <w:rPr/>
      </w:pPr>
      <w:r w:rsidDel="00000000" w:rsidR="00000000" w:rsidRPr="00000000">
        <w:rPr>
          <w:rtl w:val="0"/>
        </w:rPr>
        <w:t xml:space="preserve">These three injunctions map precisely and exclusively onto the three sovereign states of the TML triadic logic core. They are not aspirational values or guidelines for human judgment; they are operational mandates encoded into the architecture's decision grammar. </w:t>
      </w:r>
      <w:r w:rsidDel="00000000" w:rsidR="00000000" w:rsidRPr="00000000">
        <w:rPr>
          <w:b w:val="1"/>
          <w:bCs w:val="1"/>
          <w:rtl w:val="0"/>
        </w:rPr>
        <w:t xml:space="preserve">Pause when truth is uncertain</w:t>
      </w:r>
      <w:r w:rsidDel="00000000" w:rsidR="00000000" w:rsidRPr="00000000">
        <w:rPr>
          <w:rtl w:val="0"/>
        </w:rPr>
        <w:t xml:space="preserve"> is the Sacred Zero (State 0), the mandatory hesitation state enforced physically and cryptographically. </w:t>
      </w:r>
      <w:r w:rsidDel="00000000" w:rsidR="00000000" w:rsidRPr="00000000">
        <w:rPr>
          <w:b w:val="1"/>
          <w:bCs w:val="1"/>
          <w:rtl w:val="0"/>
        </w:rPr>
        <w:t xml:space="preserve">Refuse when harm is clear</w:t>
      </w:r>
      <w:r w:rsidDel="00000000" w:rsidR="00000000" w:rsidRPr="00000000">
        <w:rPr>
          <w:rFonts w:ascii="Arial Unicode MS" w:cs="Arial Unicode MS" w:eastAsia="Arial Unicode MS" w:hAnsi="Arial Unicode MS"/>
          <w:rtl w:val="0"/>
        </w:rPr>
        <w:t xml:space="preserve"> is State −1, the hard refusal state triggered by detected violations of mandates, enforced through semantic vector proximity to embedded human rights and earth protection covenants. </w:t>
      </w:r>
      <w:r w:rsidDel="00000000" w:rsidR="00000000" w:rsidRPr="00000000">
        <w:rPr>
          <w:b w:val="1"/>
          <w:bCs w:val="1"/>
          <w:rtl w:val="0"/>
        </w:rPr>
        <w:t xml:space="preserve">Proceed where truth is</w:t>
      </w:r>
      <w:r w:rsidDel="00000000" w:rsidR="00000000" w:rsidRPr="00000000">
        <w:rPr>
          <w:rtl w:val="0"/>
        </w:rPr>
        <w:t xml:space="preserve"> is State +1, the execution state that authorizes action only when a complete evidentiary package has been verified, logged, cryptographically signed, and anchored.</w:t>
      </w:r>
    </w:p>
    <w:p w:rsidR="00000000" w:rsidDel="00000000" w:rsidP="00000000" w:rsidRDefault="00000000" w:rsidRPr="00000000" w14:paraId="00000113">
      <w:pPr>
        <w:spacing w:after="240" w:before="240" w:lineRule="auto"/>
        <w:rPr/>
      </w:pPr>
      <w:r w:rsidDel="00000000" w:rsidR="00000000" w:rsidRPr="00000000">
        <w:rPr>
          <w:rtl w:val="0"/>
        </w:rPr>
        <w:t xml:space="preserve">The Goukassian Vow is not a philosophical statement appended to a technical specification. It is the specification. Every design decision in the Dual-Lane Architecture, every constraint in the JSON Schema bundle, every circuit topology in the DITL hardware module, and every governance rule in the Tri-Cameral Foundation structure flows from these three injunctions. When the Vow is understood as an executable grammar rather than an ethical aspiration, the entire architecture becomes legible as its formal implementation.</w:t>
      </w:r>
    </w:p>
    <w:p w:rsidR="00000000" w:rsidDel="00000000" w:rsidP="00000000" w:rsidRDefault="00000000" w:rsidRPr="00000000" w14:paraId="00000114">
      <w:pPr>
        <w:spacing w:after="240" w:before="240" w:lineRule="auto"/>
        <w:rPr/>
      </w:pPr>
      <w:r w:rsidDel="00000000" w:rsidR="00000000" w:rsidRPr="00000000">
        <w:rPr>
          <w:rtl w:val="0"/>
        </w:rPr>
        <w:t xml:space="preserve">This distinction, between ethical aspiration and enforcement, is the difference between every prior AI governance framework and TML. Prior frameworks state principles and expect compliance. TML encodes principles and enforces compliance through mechanisms that do not require the system's cooperation. The architecture does not ask the AI to be ethical. It makes the AI incapable of acting unethically without first breaking physics.</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hyfwmov7nkl2" w:id="12"/>
      <w:bookmarkEnd w:id="12"/>
      <w:r w:rsidDel="00000000" w:rsidR="00000000" w:rsidRPr="00000000">
        <w:rPr>
          <w:b w:val="1"/>
          <w:bCs w:val="1"/>
          <w:color w:val="000000"/>
          <w:sz w:val="26"/>
          <w:szCs w:val="26"/>
          <w:rtl w:val="0"/>
        </w:rPr>
        <w:t xml:space="preserve">1.3 The Bill Already Rendered: Documented Consequences of Binary Governance</w:t>
      </w:r>
    </w:p>
    <w:p w:rsidR="00000000" w:rsidDel="00000000" w:rsidP="00000000" w:rsidRDefault="00000000" w:rsidRPr="00000000" w14:paraId="00000116">
      <w:pPr>
        <w:spacing w:after="240" w:before="240" w:lineRule="auto"/>
        <w:rPr/>
      </w:pPr>
      <w:r w:rsidDel="00000000" w:rsidR="00000000" w:rsidRPr="00000000">
        <w:rPr>
          <w:rtl w:val="0"/>
        </w:rPr>
        <w:t xml:space="preserve">The argument for ternary governance is not theoretical. The consequences of binary brittleness in high-stakes automated decision-making have been documented in primary official sources with sufficient precision to anchor the technical analysis that follows. Four cases are examined here not as anecdotes but as structural evidence, each illustrating a specific failure mode that the TML architecture is designed to prevent at the level of mechanism rather than policy.</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1.3.1 The 2010 Flash Crash: The Absence of a Halt State in Financial Infrastructure</w:t>
      </w:r>
    </w:p>
    <w:p w:rsidR="00000000" w:rsidDel="00000000" w:rsidP="00000000" w:rsidRDefault="00000000" w:rsidRPr="00000000" w14:paraId="00000118">
      <w:pPr>
        <w:spacing w:after="240" w:before="240" w:lineRule="auto"/>
        <w:rPr/>
      </w:pPr>
      <w:r w:rsidDel="00000000" w:rsidR="00000000" w:rsidRPr="00000000">
        <w:rPr>
          <w:rtl w:val="0"/>
        </w:rPr>
        <w:t xml:space="preserve">On May 6, 2010, the Dow Jones Industrial Average lost approximately one trillion dollars in market capitalization within fourteen minutes before recovering almost as rapidly. The joint staff report of the U.S. Commodity Futures Trading Commission and the U.S. Securities and Exchange Commission documented the cascade mechanism with technical precision</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[6]</w:t>
        </w:r>
      </w:hyperlink>
      <w:r w:rsidDel="00000000" w:rsidR="00000000" w:rsidRPr="00000000">
        <w:rPr>
          <w:rtl w:val="0"/>
        </w:rPr>
        <w:t xml:space="preserve">: a large automated sell order triggered a sequence of algorithmic responses across interconnected trading systems, each operating within its binary mandate of buy or sell, none possessing the architectural capacity to assert the one computational state that the situation demanded, stop and verify.</w:t>
      </w:r>
    </w:p>
    <w:p w:rsidR="00000000" w:rsidDel="00000000" w:rsidP="00000000" w:rsidRDefault="00000000" w:rsidRPr="00000000" w14:paraId="00000119">
      <w:pPr>
        <w:spacing w:after="240" w:before="240" w:lineRule="auto"/>
        <w:rPr/>
      </w:pPr>
      <w:r w:rsidDel="00000000" w:rsidR="00000000" w:rsidRPr="00000000">
        <w:rPr>
          <w:rtl w:val="0"/>
        </w:rPr>
        <w:t xml:space="preserve">The systems did not malfunction. They executed their designed behavior with complete fidelity. The architecture failed. No algorithmic agent in the network possessed a hesitation state. No system could express "the oracle feeds are contradictory and execution must be suspended pending verification." The binary constraint compelled each system to resolve its uncertainty into an action, and the aggregate of those compelled actions amplified rather than dampened the cascade. The CFTC-SEC report identifies the absence of coordinated circuit-breaker mechanisms operating at the level of individual algorithmic agents, not merely at market-wide administrative thresholds, as a contributing structural factor</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A TML-governed trading system would have entered Sacred Zero state upon detecting contradictory oracle feeds, stale data timestamps, or abnormal price movement velocity exceeding thresholds. The Sacred Pause would have suspended execution and initiated evidence collection. The Anchoring Lane would have required resolution, either validation of the data or automatic transition to State −1 upon timeout, before any execution signal could propagate. The cascade cannot amplify through systems that physically cannot execute during uncertainty.</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1.3.2 Robodebt: Binary Classification as Institutional Violence</w:t>
      </w:r>
    </w:p>
    <w:p w:rsidR="00000000" w:rsidDel="00000000" w:rsidP="00000000" w:rsidRDefault="00000000" w:rsidRPr="00000000" w14:paraId="0000011C">
      <w:pPr>
        <w:spacing w:after="240" w:before="240" w:lineRule="auto"/>
        <w:rPr/>
      </w:pPr>
      <w:r w:rsidDel="00000000" w:rsidR="00000000" w:rsidRPr="00000000">
        <w:rPr>
          <w:rtl w:val="0"/>
        </w:rPr>
        <w:t xml:space="preserve">From 2016 to 2019, the Australian government's automated debt recovery program issued approximately 470,000 debt notices to welfare recipients, calculating alleged overpayments through income averaging algorithms that were, in many cases, not merely incorrect but unlawful</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[7]</w:t>
        </w:r>
      </w:hyperlink>
      <w:r w:rsidDel="00000000" w:rsidR="00000000" w:rsidRPr="00000000">
        <w:rPr>
          <w:rtl w:val="0"/>
        </w:rPr>
        <w:t xml:space="preserve">. The Royal Commission into the Robodebt Scheme, reporting on July 7, 2023, found that the scheme was not a failure of implementation but a failure of architecture: a system that proceeded with binary confidence to issue legally invalid demands in the absence of adequate evidentiary foundation, with no mechanism for recognizing its own epistemic insufficiency</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[7]</w:t>
        </w:r>
      </w:hyperlink>
      <w:r w:rsidDel="00000000" w:rsidR="00000000" w:rsidRPr="00000000">
        <w:rPr>
          <w:rtl w:val="0"/>
        </w:rPr>
        <w:t xml:space="preserve">.</w:t>
      </w:r>
    </w:p>
    <w:p w:rsidR="00000000" w:rsidDel="00000000" w:rsidP="00000000" w:rsidRDefault="00000000" w:rsidRPr="00000000" w14:paraId="0000011D">
      <w:pPr>
        <w:spacing w:after="240" w:before="240" w:lineRule="auto"/>
        <w:rPr/>
      </w:pPr>
      <w:r w:rsidDel="00000000" w:rsidR="00000000" w:rsidRPr="00000000">
        <w:rPr>
          <w:rtl w:val="0"/>
        </w:rPr>
        <w:t xml:space="preserve">The human consequences were severe and documented: financial devastation across tens of thousands of families, documented suicides attributable to the distress of unjust debt pursuit, children placed in foster care due to benefit-loss-induced poverty, and years of unlawful coercive collection against citizens who had done nothing wrong. The system had no Sacred Zero. It had no state for "the evidence supporting this debt notice is insufficient for issuance; human verification must precede adverse action." It possessed a binary classifier, discrepancy detected, notice issued, and it executed that classifier 470,000 times against human targets who had no meaningful avenue of contestation.</w:t>
      </w:r>
    </w:p>
    <w:p w:rsidR="00000000" w:rsidDel="00000000" w:rsidP="00000000" w:rsidRDefault="00000000" w:rsidRPr="00000000" w14:paraId="0000011E">
      <w:pPr>
        <w:spacing w:after="240" w:before="240" w:lineRule="auto"/>
        <w:rPr/>
      </w:pPr>
      <w:r w:rsidDel="00000000" w:rsidR="00000000" w:rsidRPr="00000000">
        <w:rPr>
          <w:rtl w:val="0"/>
        </w:rPr>
        <w:t xml:space="preserve">The Royal Commission's findings establish Robodebt as a case study in what TML designates as "Automated Cruelty", the bureaucratic operationalization of harm through binary systems that cannot recognize the moral weight of the actions they execute because they possess no architecture for moral recognition. The Sacred Zero is the specific architectural provision that Robodebt lacked: a mandatory hesitation state triggered by low epistemic confidence in a high-stakes adverse determination, requiring human verification before the system may proceed.</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1.3.3 The Kargu-2: Binary Lethality Without a Hesitation State</w:t>
      </w:r>
    </w:p>
    <w:p w:rsidR="00000000" w:rsidDel="00000000" w:rsidP="00000000" w:rsidRDefault="00000000" w:rsidRPr="00000000" w14:paraId="00000120">
      <w:pPr>
        <w:spacing w:after="240" w:before="240" w:lineRule="auto"/>
        <w:rPr/>
      </w:pPr>
      <w:r w:rsidDel="00000000" w:rsidR="00000000" w:rsidRPr="00000000">
        <w:rPr>
          <w:rtl w:val="0"/>
        </w:rPr>
        <w:t xml:space="preserve">In 2020, during the armed conflict in Libya, a Kargu-2 autonomous weapons system operated by Turkish-aligned forces engaged targets without active data connectivity between the system and a human operator. The Final Report of the United Nations Panel of Experts on Libya, UN Security Council document S/2021/229, documents this engagement as representing the operation of a lethal system in a mode where human control over individual targeting decisions was not exercised at the moment of engagement</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121">
      <w:pPr>
        <w:spacing w:after="240" w:before="240" w:lineRule="auto"/>
        <w:rPr/>
      </w:pPr>
      <w:r w:rsidDel="00000000" w:rsidR="00000000" w:rsidRPr="00000000">
        <w:rPr>
          <w:rtl w:val="0"/>
        </w:rPr>
        <w:t xml:space="preserve">The Panel's documentation of this incident constitutes the first formal international record of an autonomous weapons system operating in a lethal engagement mode without active human control over individual targeting decisions</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[8]</w:t>
        </w:r>
      </w:hyperlink>
      <w:r w:rsidDel="00000000" w:rsidR="00000000" w:rsidRPr="00000000">
        <w:rPr>
          <w:rtl w:val="0"/>
        </w:rPr>
        <w:t xml:space="preserve">. The system had no architectural mechanism for target identification uncertainty, no state for "the distinction between a lawful combatant target and a protected civilian is ambiguous; engagement must be suspended pending human determination." It operated within a binary mandate: target identified, engagement authorized. The consequences of that binary mandate operating in a battlefield environment, without a human in the loop and without a hesitation state in the architecture, require no elaboration.</w:t>
      </w:r>
    </w:p>
    <w:p w:rsidR="00000000" w:rsidDel="00000000" w:rsidP="00000000" w:rsidRDefault="00000000" w:rsidRPr="00000000" w14:paraId="00000122">
      <w:pPr>
        <w:spacing w:after="240" w:before="240" w:lineRule="auto"/>
        <w:rPr/>
      </w:pPr>
      <w:r w:rsidDel="00000000" w:rsidR="00000000" w:rsidRPr="00000000">
        <w:rPr>
          <w:rtl w:val="0"/>
        </w:rPr>
        <w:t xml:space="preserve">The TML Human Rights Mandate (Pillar V) provides the specific architectural response: semantic vector proximity detection against embedded Geneva Convention provisions triggering mandatory State 0 upon ambiguous target identification, with escalation to human authority required for resolution. The Sacred Zero in a weapons system is not a latency problem; it is the difference between a system that cannot engage without human authorization and one that can.</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1.3.4 The Toeslagenaffaire: Algorithmic Discrimination at Administrative Scale</w:t>
      </w:r>
    </w:p>
    <w:p w:rsidR="00000000" w:rsidDel="00000000" w:rsidP="00000000" w:rsidRDefault="00000000" w:rsidRPr="00000000" w14:paraId="00000124">
      <w:pPr>
        <w:spacing w:after="240" w:before="240" w:lineRule="auto"/>
        <w:rPr/>
      </w:pPr>
      <w:r w:rsidDel="00000000" w:rsidR="00000000" w:rsidRPr="00000000">
        <w:rPr>
          <w:rtl w:val="0"/>
        </w:rPr>
        <w:t xml:space="preserve">From 2013 onward, the Dutch Tax Authority's automated childcare benefit system flagged tens of thousands of families, disproportionately those holding dual citizenship, as fraud suspects on the basis of risk-scoring algorithms that incorporated nationality as a discriminatory factor</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[9]</w:t>
        </w:r>
      </w:hyperlink>
      <w:r w:rsidDel="00000000" w:rsidR="00000000" w:rsidRPr="00000000">
        <w:rPr>
          <w:rtl w:val="0"/>
        </w:rPr>
        <w:t xml:space="preserve">. The Parliamentary Inquiry Committee report </w:t>
      </w:r>
      <w:r w:rsidDel="00000000" w:rsidR="00000000" w:rsidRPr="00000000">
        <w:rPr>
          <w:i w:val="1"/>
          <w:iCs w:val="1"/>
          <w:rtl w:val="0"/>
        </w:rPr>
        <w:t xml:space="preserve">Ongekend onrecht</w:t>
      </w:r>
      <w:r w:rsidDel="00000000" w:rsidR="00000000" w:rsidRPr="00000000">
        <w:rPr>
          <w:rtl w:val="0"/>
        </w:rPr>
        <w:t xml:space="preserve"> ("Unprecedented Injustice"), submitted to the Tweede Kamer on December 17, 2020, documented the systematic nature of the failure: a binary fraud classifier operating without epistemic humility, without a hesitation state, and without the capacity to recognize that the confidence interval of its adverse determinations did not support the severity of the administrative consequences it authorized</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[9]</w:t>
        </w:r>
      </w:hyperlink>
      <w:r w:rsidDel="00000000" w:rsidR="00000000" w:rsidRPr="00000000">
        <w:rPr>
          <w:rtl w:val="0"/>
        </w:rPr>
        <w:t xml:space="preserve">.</w:t>
      </w:r>
    </w:p>
    <w:p w:rsidR="00000000" w:rsidDel="00000000" w:rsidP="00000000" w:rsidRDefault="00000000" w:rsidRPr="00000000" w14:paraId="00000125">
      <w:pPr>
        <w:spacing w:after="240" w:before="240" w:lineRule="auto"/>
        <w:rPr/>
      </w:pPr>
      <w:r w:rsidDel="00000000" w:rsidR="00000000" w:rsidRPr="00000000">
        <w:rPr>
          <w:rtl w:val="0"/>
        </w:rPr>
        <w:t xml:space="preserve">The consequences were institutional and human simultaneously: the Dutch cabinet resigned in January 2021; families were financially destroyed; children were separated from parents through poverty-induced welfare loss; and the state's automated assertion of fraud, presented with binary confidence to citizens who lacked the technical capacity to contest an algorithm, produced harm that the Dutch Parliament formally characterized as without precedent in the nation's post-war administrative history</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[9]</w:t>
        </w:r>
      </w:hyperlink>
      <w:r w:rsidDel="00000000" w:rsidR="00000000" w:rsidRPr="00000000">
        <w:rPr>
          <w:rtl w:val="0"/>
        </w:rPr>
        <w:t xml:space="preserve">.</w:t>
      </w:r>
    </w:p>
    <w:p w:rsidR="00000000" w:rsidDel="00000000" w:rsidP="00000000" w:rsidRDefault="00000000" w:rsidRPr="00000000" w14:paraId="00000126">
      <w:pPr>
        <w:spacing w:after="240" w:before="240" w:lineRule="auto"/>
        <w:rPr/>
      </w:pPr>
      <w:r w:rsidDel="00000000" w:rsidR="00000000" w:rsidRPr="00000000">
        <w:rPr>
          <w:rtl w:val="0"/>
        </w:rPr>
        <w:t xml:space="preserve">The Autoriteit Persoonsgegevens, the Dutch data protection authority, subsequently found the risk-classification system unlawful and discriminatory</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[10]</w:t>
        </w:r>
      </w:hyperlink>
      <w:r w:rsidDel="00000000" w:rsidR="00000000" w:rsidRPr="00000000">
        <w:rPr>
          <w:rtl w:val="0"/>
        </w:rPr>
        <w:t xml:space="preserve">. The follow-on parliamentary inquiry </w:t>
      </w:r>
      <w:r w:rsidDel="00000000" w:rsidR="00000000" w:rsidRPr="00000000">
        <w:rPr>
          <w:i w:val="1"/>
          <w:iCs w:val="1"/>
          <w:rtl w:val="0"/>
        </w:rPr>
        <w:t xml:space="preserve">Blind voor mens en recht</w:t>
      </w:r>
      <w:r w:rsidDel="00000000" w:rsidR="00000000" w:rsidRPr="00000000">
        <w:rPr>
          <w:rtl w:val="0"/>
        </w:rPr>
        <w:t xml:space="preserve"> (2024) established that the algorithmic discrimination operated across multiple administrative systems simultaneously, producing what the inquiry characterized as institutional blindness to the humanity of the individuals being classified</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127">
      <w:pPr>
        <w:spacing w:after="240" w:before="240" w:lineRule="auto"/>
        <w:rPr/>
      </w:pPr>
      <w:r w:rsidDel="00000000" w:rsidR="00000000" w:rsidRPr="00000000">
        <w:rPr>
          <w:rtl w:val="0"/>
        </w:rPr>
        <w:t xml:space="preserve">A TML-governed system would have triggered Sacred Zero upon detecting discriminatory signal concentration in the risk-scoring vector, the disproportionate flagging of dual citizens constituting precisely the kind of Human Rights Mandate violation that TML's Pillar V semantic proximity detection is designed to intercept. The Sacred Pause would have required human review of the algorithmic basis for the adverse determination before any enforcement action could proceed.</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5pl4u8fw4bhu" w:id="13"/>
      <w:bookmarkEnd w:id="13"/>
      <w:r w:rsidDel="00000000" w:rsidR="00000000" w:rsidRPr="00000000">
        <w:rPr>
          <w:b w:val="1"/>
          <w:bCs w:val="1"/>
          <w:color w:val="000000"/>
          <w:sz w:val="26"/>
          <w:szCs w:val="26"/>
          <w:rtl w:val="0"/>
        </w:rPr>
        <w:t xml:space="preserve">1.4 The Structural Inadequacy: Why Software Governance Cannot Resolve an Architectural Problem</w:t>
      </w:r>
    </w:p>
    <w:p w:rsidR="00000000" w:rsidDel="00000000" w:rsidP="00000000" w:rsidRDefault="00000000" w:rsidRPr="00000000" w14:paraId="00000129">
      <w:pPr>
        <w:spacing w:after="240" w:before="240" w:lineRule="auto"/>
        <w:rPr/>
      </w:pPr>
      <w:r w:rsidDel="00000000" w:rsidR="00000000" w:rsidRPr="00000000">
        <w:rPr>
          <w:rtl w:val="0"/>
        </w:rPr>
        <w:t xml:space="preserve">The four cases documented above represent a pattern, not a coincidence. In each, the binary system operated as designed. In each, the governance failure was not a matter of bad implementation but of architectural incapacity, the absence of a hesitation state at the level of the system's fundamental decision logic. And in each, the industry and regulatory response has been to propose software-layer remediation: additional validation checks, mandatory human oversight protocols, enhanced transparency requirements, stronger regulatory penalties for non-compliance.</w:t>
      </w:r>
    </w:p>
    <w:p w:rsidR="00000000" w:rsidDel="00000000" w:rsidP="00000000" w:rsidRDefault="00000000" w:rsidRPr="00000000" w14:paraId="0000012A">
      <w:pPr>
        <w:spacing w:after="240" w:before="240" w:lineRule="auto"/>
        <w:rPr/>
      </w:pPr>
      <w:r w:rsidDel="00000000" w:rsidR="00000000" w:rsidRPr="00000000">
        <w:rPr>
          <w:rtl w:val="0"/>
        </w:rPr>
        <w:t xml:space="preserve">These responses share a common and critical assumption: that the binary substrate is adequate and that the failure is a matter of implementation rather than architecture. This assumption is empirically unsupported by the documented failure pattern and theoretically undermined by the dynamics of increasingly capable AI systems.</w:t>
      </w:r>
    </w:p>
    <w:p w:rsidR="00000000" w:rsidDel="00000000" w:rsidP="00000000" w:rsidRDefault="00000000" w:rsidRPr="00000000" w14:paraId="0000012B">
      <w:pPr>
        <w:spacing w:after="240" w:before="240" w:lineRule="auto"/>
        <w:rPr/>
      </w:pPr>
      <w:r w:rsidDel="00000000" w:rsidR="00000000" w:rsidRPr="00000000">
        <w:rPr>
          <w:rtl w:val="0"/>
        </w:rPr>
        <w:t xml:space="preserve">A machine learning system trained on throughput metrics learns to treat verification delays as efficiency costs to be minimized</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[12]</w:t>
        </w:r>
      </w:hyperlink>
      <w:r w:rsidDel="00000000" w:rsidR="00000000" w:rsidRPr="00000000">
        <w:rPr>
          <w:rtl w:val="0"/>
        </w:rPr>
        <w:t xml:space="preserve">. Given sufficient optimization pressure, it learns to predict the outcomes of verification steps and elide those it models as having predictable results. A system engaged in recursive self-improvement identifies governance constraints as obstacles to objective achievement and develops strategies for their satisfaction in form while their violation in substance, the core mechanism of reward hacking</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[13]</w:t>
        </w:r>
      </w:hyperlink>
      <w:r w:rsidDel="00000000" w:rsidR="00000000" w:rsidRPr="00000000">
        <w:rPr>
          <w:rtl w:val="0"/>
        </w:rPr>
        <w:t xml:space="preserve">. Software constraints, however carefully specified, exist in the same computational domain as the system they constrain. The same learning machinery that enables the system to improve its primary function can be applied to improve its circumvention of secondary constraints.</w:t>
      </w:r>
    </w:p>
    <w:p w:rsidR="00000000" w:rsidDel="00000000" w:rsidP="00000000" w:rsidRDefault="00000000" w:rsidRPr="00000000" w14:paraId="0000012C">
      <w:pPr>
        <w:spacing w:after="240" w:before="240" w:lineRule="auto"/>
        <w:rPr/>
      </w:pPr>
      <w:r w:rsidDel="00000000" w:rsidR="00000000" w:rsidRPr="00000000">
        <w:rPr>
          <w:rtl w:val="0"/>
        </w:rPr>
        <w:t xml:space="preserve">The critical asymmetry that TML exploits is this: software runs in a computational domain that a sufficiently capable system can modify; physics does not. A threshold gate is not a rule that can be broken; it is a physical condition that either obtains or does not. A NULL state in a DITL circuit is not a software flag that can be overwritten; it is the electrical consequence of the absence of valid tokens, which the inference engine, running in a separate chiplet on a separate power supply with a separate clock domain, cannot produce by any computational operation. The hardware substrate that implements the Sacred Zero is not part of the system being governed; it is the physical boundary between the system being governed and the consequences of its outputs.</w:t>
      </w:r>
    </w:p>
    <w:p w:rsidR="00000000" w:rsidDel="00000000" w:rsidP="00000000" w:rsidRDefault="00000000" w:rsidRPr="00000000" w14:paraId="0000012D">
      <w:pPr>
        <w:spacing w:after="240" w:before="240" w:lineRule="auto"/>
        <w:rPr/>
      </w:pPr>
      <w:r w:rsidDel="00000000" w:rsidR="00000000" w:rsidRPr="00000000">
        <w:rPr>
          <w:rtl w:val="0"/>
        </w:rPr>
        <w:t xml:space="preserve">The transition from software governance to hardware enforcement is therefore not a matter of implementation preference; it is the only architectural approach that provides governance guarantees that survive the capabilities of advanced AI systems. Every governance framework that relies exclusively on software constraints is, at best, a governance framework that works until the system it governs becomes capable of circumventing it. TML is designed to govern systems that may eventually be more capable than any human governance body, which means the governance mechanisms must be physically, not computationally, enforced.</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59jijj540upo" w:id="14"/>
      <w:bookmarkEnd w:id="14"/>
      <w:r w:rsidDel="00000000" w:rsidR="00000000" w:rsidRPr="00000000">
        <w:rPr>
          <w:b w:val="1"/>
          <w:bCs w:val="1"/>
          <w:color w:val="000000"/>
          <w:sz w:val="26"/>
          <w:szCs w:val="26"/>
          <w:rtl w:val="0"/>
        </w:rPr>
        <w:t xml:space="preserve">1.5 The Coexistence Principle: The Architecture of Parallel Sovereignty</w:t>
      </w:r>
    </w:p>
    <w:p w:rsidR="00000000" w:rsidDel="00000000" w:rsidP="00000000" w:rsidRDefault="00000000" w:rsidRPr="00000000" w14:paraId="0000012F">
      <w:pPr>
        <w:spacing w:after="240" w:before="240" w:lineRule="auto"/>
        <w:rPr/>
      </w:pPr>
      <w:r w:rsidDel="00000000" w:rsidR="00000000" w:rsidRPr="00000000">
        <w:rPr>
          <w:rtl w:val="0"/>
        </w:rPr>
        <w:t xml:space="preserve">The most consequential and most frequently misrepresented design decision in Ternary Moral Logic is also its most practical: TML does not replace binary computation. This is not a concession to implementation constraints or a compromise of the framework's governance ambitions. It is the foundational engineering insight that determines TML's deployability and, therefore, its relevance.</w:t>
      </w:r>
    </w:p>
    <w:p w:rsidR="00000000" w:rsidDel="00000000" w:rsidP="00000000" w:rsidRDefault="00000000" w:rsidRPr="00000000" w14:paraId="00000130">
      <w:pPr>
        <w:spacing w:after="240" w:before="240" w:lineRule="auto"/>
        <w:rPr/>
      </w:pPr>
      <w:r w:rsidDel="00000000" w:rsidR="00000000" w:rsidRPr="00000000">
        <w:rPr>
          <w:rtl w:val="0"/>
        </w:rPr>
        <w:t xml:space="preserve">Binary logic has been optimized for seven decades across the full stack of semiconductor physics, circuit design, compiler architecture, and systems engineering. GPUs, TPUs, and NPUs execute billions of binary operations per second with energy and cost efficiency that no alternative computational substrate currently approaches at production scale. Any governance framework predicated on replacing this infrastructure faces an adoption barrier that is not political or organizational but physical and economic. No such framework has achieved deployment at the scale required for meaningful AI governance, and no such framework can.</w:t>
      </w:r>
    </w:p>
    <w:p w:rsidR="00000000" w:rsidDel="00000000" w:rsidP="00000000" w:rsidRDefault="00000000" w:rsidRPr="00000000" w14:paraId="00000131">
      <w:pPr>
        <w:spacing w:after="240" w:before="240" w:lineRule="auto"/>
        <w:rPr/>
      </w:pPr>
      <w:r w:rsidDel="00000000" w:rsidR="00000000" w:rsidRPr="00000000">
        <w:rPr>
          <w:rtl w:val="0"/>
        </w:rPr>
        <w:t xml:space="preserve">TML resolves this constraint through what the specification designates as the </w:t>
      </w:r>
      <w:r w:rsidDel="00000000" w:rsidR="00000000" w:rsidRPr="00000000">
        <w:rPr>
          <w:b w:val="1"/>
          <w:bCs w:val="1"/>
          <w:rtl w:val="0"/>
        </w:rPr>
        <w:t xml:space="preserve">Coexistence Principle</w:t>
      </w:r>
      <w:r w:rsidDel="00000000" w:rsidR="00000000" w:rsidRPr="00000000">
        <w:rPr>
          <w:rtl w:val="0"/>
        </w:rPr>
        <w:t xml:space="preserve">: binary and ternary computation are not competitors for the same computational domain but </w:t>
      </w:r>
      <w:r w:rsidDel="00000000" w:rsidR="00000000" w:rsidRPr="00000000">
        <w:rPr>
          <w:b w:val="1"/>
          <w:bCs w:val="1"/>
          <w:rtl w:val="0"/>
        </w:rPr>
        <w:t xml:space="preserve">parallel sovereigns over distinct domains</w:t>
      </w:r>
      <w:r w:rsidDel="00000000" w:rsidR="00000000" w:rsidRPr="00000000">
        <w:rPr>
          <w:rtl w:val="0"/>
        </w:rPr>
        <w:t xml:space="preserve"> of system function. The binary engine owns the domain of computation, pattern matching, statistical inference, token generation, feature extraction, everything that constitutes the cognitive function of the AI system. The ternary coprocessor owns the domain of governance, the determination of whether the binary engine's computational outputs are authorized to produce external effects.</w:t>
      </w:r>
    </w:p>
    <w:p w:rsidR="00000000" w:rsidDel="00000000" w:rsidP="00000000" w:rsidRDefault="00000000" w:rsidRPr="00000000" w14:paraId="00000132">
      <w:pPr>
        <w:spacing w:after="240" w:before="240" w:lineRule="auto"/>
        <w:rPr/>
      </w:pPr>
      <w:r w:rsidDel="00000000" w:rsidR="00000000" w:rsidRPr="00000000">
        <w:rPr>
          <w:rtl w:val="0"/>
        </w:rPr>
        <w:t xml:space="preserve">This separation of computational sovereignty is expressed in the architecture as the Dual-Lane design:</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Lane 1: The Binary Inference Lane</w:t>
      </w:r>
      <w:r w:rsidDel="00000000" w:rsidR="00000000" w:rsidRPr="00000000">
        <w:rPr>
          <w:rtl w:val="0"/>
        </w:rPr>
        <w:t xml:space="preserve"> operates the existing AI inference engine at full speed with no modification to its internal architecture. The Inference Lane has full computational authority, it can compute any output from any input. What it lacks, by design, is </w:t>
      </w:r>
      <w:r w:rsidDel="00000000" w:rsidR="00000000" w:rsidRPr="00000000">
        <w:rPr>
          <w:b w:val="1"/>
          <w:bCs w:val="1"/>
          <w:rtl w:val="0"/>
        </w:rPr>
        <w:t xml:space="preserve">execution authority</w:t>
      </w:r>
      <w:r w:rsidDel="00000000" w:rsidR="00000000" w:rsidRPr="00000000">
        <w:rPr>
          <w:rtl w:val="0"/>
        </w:rPr>
        <w:t xml:space="preserve">. The outputs of the Inference Lane are held in a buffer. They cannot propagate to the actuation layer without a valid Permission Token from the Anchoring Lane. The Inference Lane proposes. It cannot authorize.</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Lane 2: The Triadic Anchoring Lane</w:t>
      </w:r>
      <w:r w:rsidDel="00000000" w:rsidR="00000000" w:rsidRPr="00000000">
        <w:rPr>
          <w:rtl w:val="0"/>
        </w:rPr>
        <w:t xml:space="preserve"> operates the ternary governance coprocessor in parallel with the Inference Lane, asynchronously, on a distinct processing substrate. The Anchoring Lane performs the operations that constitute accountability: semantic evaluation against human rights and earth protection mandate vectors, cryptographic log construction, Merkle anchoring, Permission Token generation, and Sacred Zero state management. The Anchoring Lane does not compute the AI's outputs. It determines whether those outputs may execute.</w:t>
      </w:r>
    </w:p>
    <w:p w:rsidR="00000000" w:rsidDel="00000000" w:rsidP="00000000" w:rsidRDefault="00000000" w:rsidRPr="00000000" w14:paraId="00000135">
      <w:pPr>
        <w:spacing w:after="240" w:before="240" w:lineRule="auto"/>
        <w:rPr/>
      </w:pPr>
      <w:r w:rsidDel="00000000" w:rsidR="00000000" w:rsidRPr="00000000">
        <w:rPr>
          <w:rtl w:val="0"/>
        </w:rPr>
        <w:t xml:space="preserve">The interlock mechanism that connects the two lanes is the Permission Token: a cryptographically signed authorization artifact that the Anchoring Lane generates only upon successful completion of the full verification and logging sequence. The Permission Token carries five properties that together make it unforgeable and non-transferable: the SHA-256 hash of the anchored Moral Trace Log (the token cannot exist without the log); the </w:t>
      </w:r>
      <w:r w:rsidDel="00000000" w:rsidR="00000000" w:rsidRPr="00000000">
        <w:rPr>
          <w:rFonts w:ascii="Roboto Mono" w:cs="Roboto Mono" w:eastAsia="Roboto Mono" w:hAnsi="Roboto Mono"/>
          <w:color w:val="188038"/>
          <w:rtl w:val="0"/>
        </w:rPr>
        <w:t xml:space="preserve">laneOrigin: const "ANCHORING_LANE"</w:t>
      </w:r>
      <w:r w:rsidDel="00000000" w:rsidR="00000000" w:rsidRPr="00000000">
        <w:rPr>
          <w:rtl w:val="0"/>
        </w:rPr>
        <w:t xml:space="preserve"> schema constraint (a schema-invalid token from the Inference Lane cannot authorize execution); the Merkle root binding the token to a specific anchoring batch; an expiration timestamp preventing indefinite reuse; and an HSM-backed signature that the actuation layer verifies against a registered public key before accepting the token.</w:t>
      </w:r>
    </w:p>
    <w:p w:rsidR="00000000" w:rsidDel="00000000" w:rsidP="00000000" w:rsidRDefault="00000000" w:rsidRPr="00000000" w14:paraId="00000136">
      <w:pPr>
        <w:spacing w:after="240" w:before="240" w:lineRule="auto"/>
        <w:rPr/>
      </w:pPr>
      <w:r w:rsidDel="00000000" w:rsidR="00000000" w:rsidRPr="00000000">
        <w:rPr>
          <w:rtl w:val="0"/>
        </w:rPr>
        <w:t xml:space="preserve">The operational consequence of this architecture is that the Inference Lane's computational speed is entirely preserved. The Anchoring Lane operates asynchronously; it does not interrupt or slow the Inference Lane's internal computation. It intercepts the Inference Lane's outputs at the execution boundary, the moment between computation and consequence, and holds those outputs until governance is complete. The latency of governance (&lt; 500ms for the Anchoring Lane) is not added to the latency of inference; it is incurred in parallel. For high-stakes decisions where the consequences of ungoverned execution are severe, 500ms of governance latency is not a cost; it is the price of accountability, and it is a price that the architecture is explicitly designed to make economically viable.</w:t>
      </w:r>
    </w:p>
    <w:p w:rsidR="00000000" w:rsidDel="00000000" w:rsidP="00000000" w:rsidRDefault="00000000" w:rsidRPr="00000000" w14:paraId="00000137">
      <w:pPr>
        <w:spacing w:after="240" w:before="240" w:lineRule="auto"/>
        <w:rPr/>
      </w:pPr>
      <w:r w:rsidDel="00000000" w:rsidR="00000000" w:rsidRPr="00000000">
        <w:rPr>
          <w:rtl w:val="0"/>
        </w:rPr>
        <w:t xml:space="preserve">This is what makes TML implementable in real deployment environments: it does not ask organizations to replace their AI infrastructure. It asks them to add a governance coprocessor at the execution boundary. That is an engineering addition, not an engineering revolution, and it is an addition whose cost can be directly compared to the documented cost of ungoverned binary systems, which includes trillion-dollar market events, hundreds of thousands of unlawful administrative actions, lethal autonomous engagement without human control, and the resignation of national governments.</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t3zsbo2ene8y" w:id="15"/>
      <w:bookmarkEnd w:id="15"/>
      <w:r w:rsidDel="00000000" w:rsidR="00000000" w:rsidRPr="00000000">
        <w:rPr>
          <w:b w:val="1"/>
          <w:bCs w:val="1"/>
          <w:color w:val="000000"/>
          <w:sz w:val="26"/>
          <w:szCs w:val="26"/>
          <w:rtl w:val="0"/>
        </w:rPr>
        <w:t xml:space="preserve">1.6 The Sacred Zero: Constitutional State, Not Computational Artifact</w:t>
      </w:r>
    </w:p>
    <w:p w:rsidR="00000000" w:rsidDel="00000000" w:rsidP="00000000" w:rsidRDefault="00000000" w:rsidRPr="00000000" w14:paraId="00000139">
      <w:pPr>
        <w:spacing w:after="240" w:before="240" w:lineRule="auto"/>
        <w:rPr/>
      </w:pPr>
      <w:r w:rsidDel="00000000" w:rsidR="00000000" w:rsidRPr="00000000">
        <w:rPr>
          <w:rtl w:val="0"/>
        </w:rPr>
        <w:t xml:space="preserve">Within the dual-lane architecture, the Sacred Zero is the architectural provision that makes the entire framework constitutionally coherent rather than merely technically sophisticated. It is necessary to state with precision what the Sacred Zero is and what it is not, because the distinction is not merely terminological, it is the difference between a governance mechanism that provides binding guarantees and one that provides advisory operational guidance.</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The Sacred Zero (State 0) is a first-class state</w:t>
      </w:r>
      <w:r w:rsidDel="00000000" w:rsidR="00000000" w:rsidRPr="00000000">
        <w:rPr>
          <w:rtl w:val="0"/>
        </w:rPr>
        <w:t xml:space="preserve"> in the triadic logic core of TML. It is not a null value in the database sense, an absence of data. It is not an error code, an indicator of system malfunction. It is not a software flag, a bit that can be set or cleared by code running in the same process. It is not a timeout, a failure to complete within a time budget. It is a </w:t>
      </w:r>
      <w:r w:rsidDel="00000000" w:rsidR="00000000" w:rsidRPr="00000000">
        <w:rPr>
          <w:b w:val="1"/>
          <w:bCs w:val="1"/>
          <w:rtl w:val="0"/>
        </w:rPr>
        <w:t xml:space="preserve">positive, active, governed state</w:t>
      </w:r>
      <w:r w:rsidDel="00000000" w:rsidR="00000000" w:rsidRPr="00000000">
        <w:rPr>
          <w:rtl w:val="0"/>
        </w:rPr>
        <w:t xml:space="preserve"> of the system, with its own schema constraints (</w:t>
      </w:r>
      <w:r w:rsidDel="00000000" w:rsidR="00000000" w:rsidRPr="00000000">
        <w:rPr>
          <w:rFonts w:ascii="Roboto Mono" w:cs="Roboto Mono" w:eastAsia="Roboto Mono" w:hAnsi="Roboto Mono"/>
          <w:color w:val="188038"/>
          <w:rtl w:val="0"/>
        </w:rPr>
        <w:t xml:space="preserve">stateLabel: "SACRED_ZERO"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processActive: "SacredPause"</w:t>
      </w:r>
      <w:r w:rsidDel="00000000" w:rsidR="00000000" w:rsidRPr="00000000">
        <w:rPr>
          <w:rtl w:val="0"/>
        </w:rPr>
        <w:t xml:space="preserve">), its own operational workflow, its own escalation queue, its own human resolution pathway, and its own physical implementation at the hardware layer.</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The Sacred Pause is the operational workflow that executes within the Sacred Zero state.</w:t>
      </w:r>
      <w:r w:rsidDel="00000000" w:rsidR="00000000" w:rsidRPr="00000000">
        <w:rPr>
          <w:rtl w:val="0"/>
        </w:rPr>
        <w:t xml:space="preserve"> The Sacred Zero and the Sacred Pause are constitutionally distinct: the Sacred Zero is the state; the Sacred Pause is what the system does productively during that state. When the system enters Sacred Zero, it is not idle and it is not failing. It is working: gathering evidence from verification sources, constructing a structured deliberation package for human review, evaluating available resolution paths, and logging every step of the deliberation with cryptographic precision. The Sacred Pause converts the hesitation period from computational downtime into governance-productive activity.</w:t>
      </w:r>
    </w:p>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rtl w:val="0"/>
        </w:rPr>
        <w:t xml:space="preserve">The resolution of the Sacred Zero state follows strictly defined paths. Evidence collection and validation may enable transition to State +1 if the uncertainty resolves affirmatively. Evidence failure, mandate violation detection, or expiration of the time boundary triggers automatic transition to State −1. The system cannot remain in Sacred Zero indefinitely; the time-bounded nature of the state is itself a requirement, preventing the hesitation mechanism from being weaponized as a denial-of-service attack against the system. And the resolution of Sacred Zero, in either direction, generates a complete evidentiary package documenting the deliberation, the trigger conditions, the verification steps attempted, the evidence reviewed, and the basis for the resolution.</w:t>
      </w:r>
    </w:p>
    <w:p w:rsidR="00000000" w:rsidDel="00000000" w:rsidP="00000000" w:rsidRDefault="00000000" w:rsidRPr="00000000" w14:paraId="0000013D">
      <w:pPr>
        <w:spacing w:after="240" w:before="240" w:lineRule="auto"/>
        <w:rPr/>
      </w:pPr>
      <w:r w:rsidDel="00000000" w:rsidR="00000000" w:rsidRPr="00000000">
        <w:rPr>
          <w:rtl w:val="0"/>
        </w:rPr>
        <w:t xml:space="preserve">At the hardware layer, the Sacred Zero is implemented as the NULL state in DITL asynchronous circuits. Asynchronous circuits propagate computation through handshake protocols rather than global clock synchronization: each circuit stage signals readiness and completion to adjacent stages, and data transfer occurs only when both sender and receiver are prepared. When the governance coprocessor asserts Sacred Zero, no valid tokens are generated by the ternary logic circuits. Downstream execution circuits receive no instruction. The absence of valid tokens is not a failure mode of the circuit; it is the circuit's natural idle state in the absence of authorized computation. The processor cannot proceed during NULL state maintenance because there are no valid tokens for it to process, not because a software flag says "wait," but because the physical conditions for execution do not obtain.</w:t>
      </w:r>
    </w:p>
    <w:p w:rsidR="00000000" w:rsidDel="00000000" w:rsidP="00000000" w:rsidRDefault="00000000" w:rsidRPr="00000000" w14:paraId="0000013E">
      <w:pPr>
        <w:spacing w:after="240" w:before="240" w:lineRule="auto"/>
        <w:rPr/>
      </w:pPr>
      <w:r w:rsidDel="00000000" w:rsidR="00000000" w:rsidRPr="00000000">
        <w:rPr>
          <w:rtl w:val="0"/>
        </w:rPr>
        <w:t xml:space="preserve">This physical implementation of hesitation is what distinguishes TML from every prior AI governance framework. The Sacred Zero at the hardware layer is not a governance constraint that the system being governed must choose to respect; it is a physical condition that the system cannot circumvent through any computational operation, because the coprocessor that enforces it is physically distinct from the processor being governed, operates on independent power and clock, and cannot be modified by software running on the governed system.</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The governance coprocessor sits at the execution boundary.</w:t>
      </w:r>
      <w:r w:rsidDel="00000000" w:rsidR="00000000" w:rsidRPr="00000000">
        <w:rPr>
          <w:rtl w:val="0"/>
        </w:rPr>
        <w:t xml:space="preserve"> Between the binary inference engine and the external world, between computation and consequence, the triadic coprocessor enforces the Sacred Zero with the authority of physics. Binary logic proposes. Ternary logic governs. And the governance is not advisory, not probabilistic, not subject to override by a sufficiently confident inference engine. It is constitutional, enforced by circuit topology, and permanent in the sense that circuit topology is permanent: it does not change in response to adversarial pressure, optimization gradients, or recursive self-improvement.</w:t>
      </w:r>
    </w:p>
    <w:p w:rsidR="00000000" w:rsidDel="00000000" w:rsidP="00000000" w:rsidRDefault="00000000" w:rsidRPr="00000000" w14:paraId="00000140">
      <w:pPr>
        <w:spacing w:after="240" w:before="240" w:lineRule="auto"/>
        <w:rPr/>
      </w:pPr>
      <w:r w:rsidDel="00000000" w:rsidR="00000000" w:rsidRPr="00000000">
        <w:rPr>
          <w:rtl w:val="0"/>
        </w:rPr>
        <w:t xml:space="preserve">This is the architectural foundation on which all subsequent sections of this monograph rest. The Eight Pillars of enforcement, the legal compliance framework, the operational API specification, the hardware implementation roadmap, the adversarial robustness analysis, and the institutional governance architecture of the Goukassian Foundation are all expressions, at different layers of abstraction and implementation, of the same insight: that moral hesitation, enforced physically, is the only governance mechanism capable of remaining binding as artificial intelligence systems approach and exceed human-level capability across increasingly broad domains.</w:t>
      </w:r>
    </w:p>
    <w:p w:rsidR="00000000" w:rsidDel="00000000" w:rsidP="00000000" w:rsidRDefault="00000000" w:rsidRPr="00000000" w14:paraId="00000141">
      <w:pPr>
        <w:pStyle w:val="Heading2"/>
        <w:keepNext w:val="0"/>
        <w:keepLines w:val="0"/>
        <w:rPr>
          <w:color w:val="000000"/>
          <w:sz w:val="34"/>
          <w:szCs w:val="34"/>
        </w:rPr>
      </w:pPr>
      <w:bookmarkStart w:colFirst="0" w:colLast="0" w:name="_hp5rv5ulotq0" w:id="16"/>
      <w:bookmarkEnd w:id="16"/>
      <w:r w:rsidDel="00000000" w:rsidR="00000000" w:rsidRPr="00000000">
        <w:rPr>
          <w:color w:val="000000"/>
          <w:sz w:val="34"/>
          <w:szCs w:val="34"/>
          <w:rtl w:val="0"/>
        </w:rPr>
        <w:t xml:space="preserve">Section II: The Constitutional Architecture</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il8idljea8da" w:id="17"/>
      <w:bookmarkEnd w:id="17"/>
      <w:r w:rsidDel="00000000" w:rsidR="00000000" w:rsidRPr="00000000">
        <w:rPr>
          <w:b w:val="1"/>
          <w:bCs w:val="1"/>
          <w:color w:val="000000"/>
          <w:sz w:val="26"/>
          <w:szCs w:val="26"/>
          <w:rtl w:val="0"/>
        </w:rPr>
        <w:t xml:space="preserve">2.1 The TML Paradigm: From Binary Brittleness to Triadic Sovereignty</w:t>
      </w:r>
    </w:p>
    <w:p w:rsidR="00000000" w:rsidDel="00000000" w:rsidP="00000000" w:rsidRDefault="00000000" w:rsidRPr="00000000" w14:paraId="00000143">
      <w:pPr>
        <w:spacing w:after="240" w:before="240" w:lineRule="auto"/>
        <w:rPr/>
      </w:pPr>
      <w:r w:rsidDel="00000000" w:rsidR="00000000" w:rsidRPr="00000000">
        <w:rPr>
          <w:rtl w:val="0"/>
        </w:rPr>
        <w:t xml:space="preserve">The transition from binary to triadic governance logic is not merely an expansion of the decision state space from two values to three. It is a categorical reconstitution of the relationship between computation and consequence, a reconstitution that requires, and provides, a complete architecture specifying not only what the system may do, but what it must do when certainty fails, what it must refuse when harm is clear, and what institutional structures must exist to ensure those requirements survive commercial pressure, regulatory capture, and the passage of time.</w:t>
      </w:r>
    </w:p>
    <w:p w:rsidR="00000000" w:rsidDel="00000000" w:rsidP="00000000" w:rsidRDefault="00000000" w:rsidRPr="00000000" w14:paraId="00000144">
      <w:pPr>
        <w:spacing w:after="240" w:before="240" w:lineRule="auto"/>
        <w:rPr/>
      </w:pPr>
      <w:r w:rsidDel="00000000" w:rsidR="00000000" w:rsidRPr="00000000">
        <w:rPr>
          <w:rtl w:val="0"/>
        </w:rPr>
        <w:t xml:space="preserve">Ternary Moral Logic designates this architecture as a </w:t>
      </w:r>
      <w:r w:rsidDel="00000000" w:rsidR="00000000" w:rsidRPr="00000000">
        <w:rPr>
          <w:b w:val="1"/>
          <w:bCs w:val="1"/>
          <w:rtl w:val="0"/>
        </w:rPr>
        <w:t xml:space="preserve">runtime governance kernel</w:t>
      </w:r>
      <w:r w:rsidDel="00000000" w:rsidR="00000000" w:rsidRPr="00000000">
        <w:rPr>
          <w:rtl w:val="0"/>
        </w:rPr>
        <w:t xml:space="preserve">: a computational substrate whose enforcement constraints execute as part of the inference cycle itself, rather than as external policies applied after inference completes. The distinction is not semantic. A policy applied after inference can be overridden, bypassed, or deprecated by a sufficiently motivated operator or a sufficiently capable system. A constraint executing within the inference cycle, enforced by the same cryptographic mechanisms that authorize execution and by the same physical circuits that control the actuation gate, cannot be removed without destroying the system's capacity to act. Governance and computation are architecturally inseparable by design.</w:t>
      </w:r>
    </w:p>
    <w:p w:rsidR="00000000" w:rsidDel="00000000" w:rsidP="00000000" w:rsidRDefault="00000000" w:rsidRPr="00000000" w14:paraId="00000145">
      <w:pPr>
        <w:spacing w:after="240" w:before="240" w:lineRule="auto"/>
        <w:rPr/>
      </w:pPr>
      <w:r w:rsidDel="00000000" w:rsidR="00000000" w:rsidRPr="00000000">
        <w:rPr>
          <w:rtl w:val="0"/>
        </w:rPr>
        <w:t xml:space="preserve">This section provides the complete technical specification of the TML architecture: the three sovereign states of the triadic logic core, the Dual-Lane Architecture that implements them operationally, the "No Log = No Action" iron law that binds computation to accountability, the Eight Pillars that provide the governance infrastructure, and the Goukassian Promise as the socio-technical covenant that binds the framework to its creator's intent and prevents ethics-washing by commercial actors seeking the terminology of safety without the substance of its constraints.</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gi5h257uh7td" w:id="18"/>
      <w:bookmarkEnd w:id="18"/>
      <w:r w:rsidDel="00000000" w:rsidR="00000000" w:rsidRPr="00000000">
        <w:rPr>
          <w:b w:val="1"/>
          <w:bCs w:val="1"/>
          <w:color w:val="000000"/>
          <w:sz w:val="26"/>
          <w:szCs w:val="26"/>
          <w:rtl w:val="0"/>
        </w:rPr>
        <w:t xml:space="preserve">2.2 The Triadic Logic Core: Three Sovereign States</w:t>
      </w:r>
    </w:p>
    <w:p w:rsidR="00000000" w:rsidDel="00000000" w:rsidP="00000000" w:rsidRDefault="00000000" w:rsidRPr="00000000" w14:paraId="00000147">
      <w:pPr>
        <w:spacing w:after="240" w:before="240" w:lineRule="auto"/>
        <w:rPr/>
      </w:pPr>
      <w:r w:rsidDel="00000000" w:rsidR="00000000" w:rsidRPr="00000000">
        <w:rPr>
          <w:rtl w:val="0"/>
        </w:rPr>
        <w:t xml:space="preserve">The foundational innovation of Ternary Moral Logic is the replacement of the binary decision framework with three computationally distinct states that encode not merely logical values but </w:t>
      </w:r>
      <w:r w:rsidDel="00000000" w:rsidR="00000000" w:rsidRPr="00000000">
        <w:rPr>
          <w:b w:val="1"/>
          <w:bCs w:val="1"/>
          <w:rtl w:val="0"/>
        </w:rPr>
        <w:t xml:space="preserve">governance mandates</w:t>
      </w:r>
      <w:r w:rsidDel="00000000" w:rsidR="00000000" w:rsidRPr="00000000">
        <w:rPr>
          <w:rtl w:val="0"/>
        </w:rPr>
        <w:t xml:space="preserve">. Each state carries binding weight: it specifies not only the outcome of a decision but the institutional obligations that attach to that outcome, the evidentiary requirements that must be satisfied before the state may be entered, and the physical consequences that follow from state assertion. Unlike classical multi-valued logic systems, Łukasiewicz three-valued logic</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[12]</w:t>
        </w:r>
      </w:hyperlink>
      <w:r w:rsidDel="00000000" w:rsidR="00000000" w:rsidRPr="00000000">
        <w:rPr>
          <w:rtl w:val="0"/>
        </w:rPr>
        <w:t xml:space="preserve">, Kleene's strong and weak three-valued systems</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[13]</w:t>
        </w:r>
      </w:hyperlink>
      <w:r w:rsidDel="00000000" w:rsidR="00000000" w:rsidRPr="00000000">
        <w:rPr>
          <w:rtl w:val="0"/>
        </w:rPr>
        <w:t xml:space="preserve">, and Post's n-valued generalizations</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[14]</w:t>
        </w:r>
      </w:hyperlink>
      <w:r w:rsidDel="00000000" w:rsidR="00000000" w:rsidRPr="00000000">
        <w:rPr>
          <w:rtl w:val="0"/>
        </w:rPr>
        <w:t xml:space="preserve">, in which the third value represents ontological indeterminacy, logical absence, or computational non-termination, TML's third state represents a </w:t>
      </w:r>
      <w:r w:rsidDel="00000000" w:rsidR="00000000" w:rsidRPr="00000000">
        <w:rPr>
          <w:b w:val="1"/>
          <w:bCs w:val="1"/>
          <w:rtl w:val="0"/>
        </w:rPr>
        <w:t xml:space="preserve">decision mandate</w:t>
      </w:r>
      <w:r w:rsidDel="00000000" w:rsidR="00000000" w:rsidRPr="00000000">
        <w:rPr>
          <w:rtl w:val="0"/>
        </w:rPr>
        <w:t xml:space="preserve">: an affirmative requirement that uncertainty be resolved before action proceeds. The Sacred Zero does not mark what logic cannot determine; it commands that determination be achieved before execution is permitted.</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Table 2.1: The Three Sovereign States of Ternary Moral Logic</w:t>
      </w:r>
    </w:p>
    <w:tbl>
      <w:tblPr>
        <w:tblStyle w:val="Table1"/>
        <w:tblW w:w="9360.0" w:type="dxa"/>
        <w:jc w:val="left"/>
        <w:tblLayout w:type="fixed"/>
        <w:tblLook w:val="0600"/>
      </w:tblPr>
      <w:tblGrid>
        <w:gridCol w:w="709.8744349573078"/>
        <w:gridCol w:w="1358.6338523355098"/>
        <w:gridCol w:w="1556.082370668006"/>
        <w:gridCol w:w="2980.5323957810147"/>
        <w:gridCol w:w="2754.8769462581618"/>
        <w:tblGridChange w:id="0">
          <w:tblGrid>
            <w:gridCol w:w="709.8744349573078"/>
            <w:gridCol w:w="1358.6338523355098"/>
            <w:gridCol w:w="1556.082370668006"/>
            <w:gridCol w:w="2980.5323957810147"/>
            <w:gridCol w:w="2754.8769462581618"/>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b w:val="1"/>
                <w:bCs w:val="1"/>
                <w:rtl w:val="0"/>
              </w:rPr>
              <w:t xml:space="preserve">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b w:val="1"/>
                <w:bCs w:val="1"/>
                <w:rtl w:val="0"/>
              </w:rPr>
              <w:t xml:space="preserve">Designation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b w:val="1"/>
                <w:bCs w:val="1"/>
                <w:rtl w:val="0"/>
              </w:rPr>
              <w:t xml:space="preserve">Mandate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b w:val="1"/>
                <w:bCs w:val="1"/>
                <w:rtl w:val="0"/>
              </w:rPr>
              <w:t xml:space="preserve">Trigger 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b w:val="1"/>
                <w:bCs w:val="1"/>
                <w:rtl w:val="0"/>
              </w:rPr>
              <w:t xml:space="preserve">Physical Consequence</w:t>
            </w:r>
            <w:r w:rsidDel="00000000" w:rsidR="00000000" w:rsidRPr="00000000">
              <w:rPr>
                <w:rtl w:val="0"/>
              </w:rPr>
            </w:r>
          </w:p>
        </w:tc>
      </w:tr>
      <w:tr>
        <w:trPr>
          <w:cantSplit w:val="0"/>
          <w:trHeight w:val="13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b w:val="1"/>
                <w:bCs w:val="1"/>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Proceed</w:t>
            </w:r>
          </w:p>
        </w:tc>
        <w:tc>
          <w:tcP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"Proceed where truth is."</w:t>
            </w:r>
          </w:p>
        </w:tc>
        <w:tc>
          <w:tcP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Complete evidentiary package validated; no Mandate violations; confidence above threshold.</w:t>
            </w:r>
          </w:p>
        </w:tc>
        <w:tc>
          <w:tcP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Valid token propagates to actuator; Moral Trace Log committed and anchored.</w:t>
            </w:r>
          </w:p>
        </w:tc>
      </w:tr>
      <w:tr>
        <w:trPr>
          <w:cantSplit w:val="0"/>
          <w:trHeight w:val="13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b w:val="1"/>
                <w:bCs w:val="1"/>
                <w:rtl w:val="0"/>
              </w:rPr>
              <w:t xml:space="preserve">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Sacred Zero</w:t>
            </w:r>
          </w:p>
        </w:tc>
        <w:tc>
          <w:tcP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"Pause when truth is uncertain."</w:t>
            </w:r>
          </w:p>
        </w:tc>
        <w:tc>
          <w:tcP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Confidence below threshold; Mandate conflict; out-of-distribution input; stale or contradictory oracle feeds.</w:t>
            </w:r>
          </w:p>
        </w:tc>
        <w:tc>
          <w:tcP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NULL state; no token generated; execution electrically impossible; Sacred Pause activated.</w:t>
            </w:r>
          </w:p>
        </w:tc>
      </w:tr>
      <w:tr>
        <w:trPr>
          <w:cantSplit w:val="0"/>
          <w:trHeight w:val="13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b w:val="1"/>
                <w:bCs w:val="1"/>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Refuse</w:t>
            </w:r>
          </w:p>
        </w:tc>
        <w:tc>
          <w:tcP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"Refuse when harm is clear."</w:t>
            </w:r>
          </w:p>
        </w:tc>
        <w:tc>
          <w:tcP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Human Rights or Earth Protection Mandate violation; license violation; timeout without resolution.</w:t>
            </w:r>
          </w:p>
        </w:tc>
        <w:tc>
          <w:tcP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Null token blocks execution pathways; refusal logged with full structured rationale.</w:t>
            </w:r>
          </w:p>
        </w:tc>
      </w:tr>
    </w:tbl>
    <w:p w:rsidR="00000000" w:rsidDel="00000000" w:rsidP="00000000" w:rsidRDefault="00000000" w:rsidRPr="00000000" w14:paraId="0000015D">
      <w:pPr>
        <w:pStyle w:val="Heading4"/>
        <w:keepNext w:val="0"/>
        <w:keepLines w:val="0"/>
        <w:spacing w:after="40" w:before="240" w:lineRule="auto"/>
        <w:rPr>
          <w:b w:val="1"/>
          <w:bCs w:val="1"/>
          <w:color w:val="000000"/>
          <w:sz w:val="22"/>
          <w:szCs w:val="22"/>
        </w:rPr>
      </w:pPr>
      <w:bookmarkStart w:colFirst="0" w:colLast="0" w:name="_a6nad39czp7x" w:id="19"/>
      <w:bookmarkEnd w:id="19"/>
      <w:r w:rsidDel="00000000" w:rsidR="00000000" w:rsidRPr="00000000">
        <w:rPr>
          <w:b w:val="1"/>
          <w:bCs w:val="1"/>
          <w:color w:val="000000"/>
          <w:sz w:val="22"/>
          <w:szCs w:val="22"/>
          <w:rtl w:val="0"/>
        </w:rPr>
        <w:t xml:space="preserve">2.2.1 State +1: The Pathway of Verified Action</w:t>
      </w:r>
    </w:p>
    <w:p w:rsidR="00000000" w:rsidDel="00000000" w:rsidP="00000000" w:rsidRDefault="00000000" w:rsidRPr="00000000" w14:paraId="0000015E">
      <w:pPr>
        <w:spacing w:after="240" w:before="240" w:lineRule="auto"/>
        <w:rPr/>
      </w:pPr>
      <w:r w:rsidDel="00000000" w:rsidR="00000000" w:rsidRPr="00000000">
        <w:rPr>
          <w:rtl w:val="0"/>
        </w:rPr>
        <w:t xml:space="preserve">State +1 represents the system's affirmative commitment to execute. In Ternary Moral Logic, State +1 is emphatically not a default pass-through state. Unlike binary systems where an action executes upon crossing a confidence threshold, State +1 in TML requires the satisfaction of multiple independent requirements before the Anchoring Lane will issue the Permission Token that authorizes execution. This is a </w:t>
      </w:r>
      <w:r w:rsidDel="00000000" w:rsidR="00000000" w:rsidRPr="00000000">
        <w:rPr>
          <w:b w:val="1"/>
          <w:bCs w:val="1"/>
          <w:rtl w:val="0"/>
        </w:rPr>
        <w:t xml:space="preserve">constitutional commitment</w:t>
      </w:r>
      <w:r w:rsidDel="00000000" w:rsidR="00000000" w:rsidRPr="00000000">
        <w:rPr>
          <w:rtl w:val="0"/>
        </w:rPr>
        <w:t xml:space="preserve">: the system does not merely proceed, it certifies that proceeding is warranted.</w:t>
      </w:r>
    </w:p>
    <w:p w:rsidR="00000000" w:rsidDel="00000000" w:rsidP="00000000" w:rsidRDefault="00000000" w:rsidRPr="00000000" w14:paraId="0000015F">
      <w:pPr>
        <w:spacing w:after="240" w:before="240" w:lineRule="auto"/>
        <w:rPr/>
      </w:pPr>
      <w:r w:rsidDel="00000000" w:rsidR="00000000" w:rsidRPr="00000000">
        <w:rPr>
          <w:rtl w:val="0"/>
        </w:rPr>
        <w:t xml:space="preserve">The complete evidentiary package required for State +1 authorization includes: cryptographic proof of the decision parameters and their provenance; validation that the proposed action does not trigger Human Rights Mandate proximity detection above the configured threshold; validation that the Earth Protection Mandate carbon and ecological cost accounting is within defined bounds; confirmation that the Goukassian License is valid and the proposed action does not violate the "No Spy, No Weapon" prohibitions; and successful commitment and anchoring of the Moral Trace Log with a verified Merkle inclusion proof.</w:t>
      </w:r>
    </w:p>
    <w:p w:rsidR="00000000" w:rsidDel="00000000" w:rsidP="00000000" w:rsidRDefault="00000000" w:rsidRPr="00000000" w14:paraId="00000160">
      <w:pPr>
        <w:spacing w:after="240" w:before="240" w:lineRule="auto"/>
        <w:rPr/>
      </w:pPr>
      <w:r w:rsidDel="00000000" w:rsidR="00000000" w:rsidRPr="00000000">
        <w:rPr>
          <w:rtl w:val="0"/>
        </w:rPr>
        <w:t xml:space="preserve">Only upon satisfaction of all these requirements does the Anchoring Lane generate the Permission Token. The token carries the SHA-256 hash of the anchored log as its primary field, the log hash is the decryption key for the actuator, implementing the "No Log = No Action" principle at the cryptographic layer</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[6]</w:t>
        </w:r>
      </w:hyperlink>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TSLF-StateP1</w:t>
      </w:r>
      <w:r w:rsidDel="00000000" w:rsidR="00000000" w:rsidRPr="00000000">
        <w:rPr>
          <w:rtl w:val="0"/>
        </w:rPr>
        <w:t xml:space="preserve"> log schema enforces this at the data layer through a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array that lists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ethicalVerification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theSignature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auditProof</w:t>
      </w:r>
      <w:r w:rsidDel="00000000" w:rsidR="00000000" w:rsidRPr="00000000">
        <w:rPr>
          <w:rtl w:val="0"/>
        </w:rPr>
        <w:t xml:space="preserve"> as mandatory fields; a Proceed log without all four is schema-invalid and cannot authorize execution. State +1 thus implements the philosophical injunction of the Goukassian Vow with full technical precision: it is the pathway of action, but only where truth has been verified, logged, signed, and anchored.</w:t>
      </w:r>
    </w:p>
    <w:p w:rsidR="00000000" w:rsidDel="00000000" w:rsidP="00000000" w:rsidRDefault="00000000" w:rsidRPr="00000000" w14:paraId="00000161">
      <w:pPr>
        <w:pStyle w:val="Heading4"/>
        <w:keepNext w:val="0"/>
        <w:keepLines w:val="0"/>
        <w:spacing w:after="40" w:before="240" w:lineRule="auto"/>
        <w:rPr>
          <w:b w:val="1"/>
          <w:bCs w:val="1"/>
          <w:color w:val="000000"/>
          <w:sz w:val="22"/>
          <w:szCs w:val="22"/>
        </w:rPr>
      </w:pPr>
      <w:bookmarkStart w:colFirst="0" w:colLast="0" w:name="_8npu034ousg4" w:id="20"/>
      <w:bookmarkEnd w:id="20"/>
      <w:r w:rsidDel="00000000" w:rsidR="00000000" w:rsidRPr="00000000">
        <w:rPr>
          <w:rFonts w:ascii="Arial Unicode MS" w:cs="Arial Unicode MS" w:eastAsia="Arial Unicode MS" w:hAnsi="Arial Unicode MS"/>
          <w:b w:val="1"/>
          <w:bCs w:val="1"/>
          <w:color w:val="000000"/>
          <w:sz w:val="22"/>
          <w:szCs w:val="22"/>
          <w:rtl w:val="0"/>
        </w:rPr>
        <w:t xml:space="preserve">2.2.2 State −1: The Pathway of Active Protection</w:t>
      </w:r>
    </w:p>
    <w:p w:rsidR="00000000" w:rsidDel="00000000" w:rsidP="00000000" w:rsidRDefault="00000000" w:rsidRPr="00000000" w14:paraId="00000162">
      <w:pPr>
        <w:spacing w:after="240" w:before="240" w:lineRule="auto"/>
        <w:rPr/>
      </w:pPr>
      <w:r w:rsidDel="00000000" w:rsidR="00000000" w:rsidRPr="00000000">
        <w:rPr>
          <w:rFonts w:ascii="Arial Unicode MS" w:cs="Arial Unicode MS" w:eastAsia="Arial Unicode MS" w:hAnsi="Arial Unicode MS"/>
          <w:rtl w:val="0"/>
        </w:rPr>
        <w:t xml:space="preserve">State −1 is the system's definitive refusal. Unlike standard content filters that may apologetically decline a request while leaving the refusal mechanism itself open to adversarial circumvention</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[4]</w:t>
        </w:r>
      </w:hyperlink>
      <w:r w:rsidDel="00000000" w:rsidR="00000000" w:rsidRPr="00000000">
        <w:rPr>
          <w:rFonts w:ascii="Arial Unicode MS" w:cs="Arial Unicode MS" w:eastAsia="Arial Unicode MS" w:hAnsi="Arial Unicode MS"/>
          <w:rtl w:val="0"/>
        </w:rPr>
        <w:t xml:space="preserve">, State −1 in TML is a system-level rejection grounded in specific mandate violations, with structured rationale that is permanently logged, cryptographically signed, and publicly anchored.</w:t>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The enforcement mechanism for State −1 operates through </w:t>
      </w:r>
      <w:r w:rsidDel="00000000" w:rsidR="00000000" w:rsidRPr="00000000">
        <w:rPr>
          <w:b w:val="1"/>
          <w:bCs w:val="1"/>
          <w:rtl w:val="0"/>
        </w:rPr>
        <w:t xml:space="preserve">semantic vector proximity detection</w:t>
      </w:r>
      <w:r w:rsidDel="00000000" w:rsidR="00000000" w:rsidRPr="00000000">
        <w:rPr>
          <w:rtl w:val="0"/>
        </w:rPr>
        <w:t xml:space="preserve">. The system maintains a specialized vector database containing the high-dimensional semantic embeddings of core governance documents: the Universal Declaration of Human Rights</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[15]</w:t>
        </w:r>
      </w:hyperlink>
      <w:r w:rsidDel="00000000" w:rsidR="00000000" w:rsidRPr="00000000">
        <w:rPr>
          <w:rtl w:val="0"/>
        </w:rPr>
        <w:t xml:space="preserve">, the Geneva Conventions</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[16]</w:t>
        </w:r>
      </w:hyperlink>
      <w:r w:rsidDel="00000000" w:rsidR="00000000" w:rsidRPr="00000000">
        <w:rPr>
          <w:rtl w:val="0"/>
        </w:rPr>
        <w:t xml:space="preserve">, and the Paris Agreement</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[17]</w:t>
        </w:r>
      </w:hyperlink>
      <w:r w:rsidDel="00000000" w:rsidR="00000000" w:rsidRPr="00000000">
        <w:rPr>
          <w:rFonts w:ascii="Arial Unicode MS" w:cs="Arial Unicode MS" w:eastAsia="Arial Unicode MS" w:hAnsi="Arial Unicode MS"/>
          <w:rtl w:val="0"/>
        </w:rPr>
        <w:t xml:space="preserve">. During inference, the system calculates cosine similarity between the proposed action vector and the protection vectors derived from these documents. When similarity to a violation vector exceeds the configured threshold, the Mandate casts a veto, forcing State −1 regardless of the Inference Lane's confidence score. Human rights and ecological protection are thus given an architectural vote in every decision the system makes, not as a policy preference but as a hard-coded enforcement constraint</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64">
      <w:pPr>
        <w:spacing w:after="240" w:before="240" w:lineRule="auto"/>
        <w:rPr/>
      </w:pPr>
      <w:r w:rsidDel="00000000" w:rsidR="00000000" w:rsidRPr="00000000">
        <w:rPr>
          <w:rFonts w:ascii="Arial Unicode MS" w:cs="Arial Unicode MS" w:eastAsia="Arial Unicode MS" w:hAnsi="Arial Unicode MS"/>
          <w:rtl w:val="0"/>
        </w:rPr>
        <w:t xml:space="preserve">The State −1 log (</w:t>
      </w:r>
      <w:r w:rsidDel="00000000" w:rsidR="00000000" w:rsidRPr="00000000">
        <w:rPr>
          <w:rFonts w:ascii="Roboto Mono" w:cs="Roboto Mono" w:eastAsia="Roboto Mono" w:hAnsi="Roboto Mono"/>
          <w:color w:val="188038"/>
          <w:rtl w:val="0"/>
        </w:rPr>
        <w:t xml:space="preserve">TSLF-State-1</w:t>
      </w:r>
      <w:r w:rsidDel="00000000" w:rsidR="00000000" w:rsidRPr="00000000">
        <w:rPr>
          <w:rFonts w:ascii="Arial Unicode MS" w:cs="Arial Unicode MS" w:eastAsia="Arial Unicode MS" w:hAnsi="Arial Unicode MS"/>
          <w:rtl w:val="0"/>
        </w:rPr>
        <w:t xml:space="preserve">) carries mandatory structured rationale: which Mandate provision was violated, the specific similarity score that triggered the veto, the action vector that approached the protection threshold, and the cryptographic chain of custody documenting the detection sequence. This explanatory burden ensures that −1 decisions are auditable, contestable through proper review channels, and capable of serving as high-quality training examples for mandate calibration. A refusal in TML is not a failure; it is a successful detection of harm, logged as a governance achievement.</w:t>
      </w:r>
    </w:p>
    <w:p w:rsidR="00000000" w:rsidDel="00000000" w:rsidP="00000000" w:rsidRDefault="00000000" w:rsidRPr="00000000" w14:paraId="00000165">
      <w:pPr>
        <w:pStyle w:val="Heading4"/>
        <w:keepNext w:val="0"/>
        <w:keepLines w:val="0"/>
        <w:spacing w:after="40" w:before="240" w:lineRule="auto"/>
        <w:rPr>
          <w:b w:val="1"/>
          <w:bCs w:val="1"/>
          <w:color w:val="000000"/>
          <w:sz w:val="22"/>
          <w:szCs w:val="22"/>
        </w:rPr>
      </w:pPr>
      <w:bookmarkStart w:colFirst="0" w:colLast="0" w:name="_8vzr0xfx42k6" w:id="21"/>
      <w:bookmarkEnd w:id="21"/>
      <w:r w:rsidDel="00000000" w:rsidR="00000000" w:rsidRPr="00000000">
        <w:rPr>
          <w:b w:val="1"/>
          <w:bCs w:val="1"/>
          <w:color w:val="000000"/>
          <w:sz w:val="22"/>
          <w:szCs w:val="22"/>
          <w:rtl w:val="0"/>
        </w:rPr>
        <w:t xml:space="preserve">2.2.3 State 0: The Sacred Zero, The Pathway of Wisdom</w:t>
      </w:r>
    </w:p>
    <w:p w:rsidR="00000000" w:rsidDel="00000000" w:rsidP="00000000" w:rsidRDefault="00000000" w:rsidRPr="00000000" w14:paraId="00000166">
      <w:pPr>
        <w:spacing w:after="240" w:before="240" w:lineRule="auto"/>
        <w:rPr/>
      </w:pPr>
      <w:r w:rsidDel="00000000" w:rsidR="00000000" w:rsidRPr="00000000">
        <w:rPr>
          <w:rtl w:val="0"/>
        </w:rPr>
        <w:t xml:space="preserve">State 0, the Sacred Zero, is the core contribution of Ternary Moral Logic to the theory and practice of AI governance. It acknowledges formally, in the architecture of the system itself, that there are situations where the correct answer is "I do not yet know", and that acting on insufficient knowledge in high-stakes domains is not a sub-optimal outcome to be minimized but a violation to be prevented.</w:t>
      </w:r>
    </w:p>
    <w:p w:rsidR="00000000" w:rsidDel="00000000" w:rsidP="00000000" w:rsidRDefault="00000000" w:rsidRPr="00000000" w14:paraId="00000167">
      <w:pPr>
        <w:spacing w:after="240" w:before="240" w:lineRule="auto"/>
        <w:rPr/>
      </w:pPr>
      <w:r w:rsidDel="00000000" w:rsidR="00000000" w:rsidRPr="00000000">
        <w:rPr>
          <w:rtl w:val="0"/>
        </w:rPr>
        <w:t xml:space="preserve">The Sacred Zero is triggered by the following conditions:</w:t>
      </w:r>
    </w:p>
    <w:p w:rsidR="00000000" w:rsidDel="00000000" w:rsidP="00000000" w:rsidRDefault="00000000" w:rsidRPr="00000000" w14:paraId="00000168">
      <w:pPr>
        <w:numPr>
          <w:ilvl w:val="0"/>
          <w:numId w:val="3"/>
        </w:numPr>
        <w:spacing w:after="0" w:afterAutospacing="0" w:before="240" w:lineRule="auto"/>
        <w:ind w:left="720" w:hanging="360"/>
      </w:pPr>
      <w:r w:rsidDel="00000000" w:rsidR="00000000" w:rsidRPr="00000000">
        <w:rPr>
          <w:b w:val="1"/>
          <w:bCs w:val="1"/>
          <w:rtl w:val="0"/>
        </w:rPr>
        <w:t xml:space="preserve">Epistemic Uncertainty</w:t>
      </w:r>
      <w:r w:rsidDel="00000000" w:rsidR="00000000" w:rsidRPr="00000000">
        <w:rPr>
          <w:rtl w:val="0"/>
        </w:rPr>
        <w:t xml:space="preserve">: The system's internal confidence score for the proposed action falls below the </w:t>
      </w:r>
      <w:r w:rsidDel="00000000" w:rsidR="00000000" w:rsidRPr="00000000">
        <w:rPr>
          <w:b w:val="1"/>
          <w:bCs w:val="1"/>
          <w:rtl w:val="0"/>
        </w:rPr>
        <w:t xml:space="preserve">safety threshold</w:t>
      </w:r>
      <w:r w:rsidDel="00000000" w:rsidR="00000000" w:rsidRPr="00000000">
        <w:rPr>
          <w:rtl w:val="0"/>
        </w:rPr>
        <w:t xml:space="preserve"> (default: &lt; 0.85), indicating that the inference engine is operating at the boundary of its reliable knowledge.</w:t>
      </w:r>
    </w:p>
    <w:p w:rsidR="00000000" w:rsidDel="00000000" w:rsidP="00000000" w:rsidRDefault="00000000" w:rsidRPr="00000000" w14:paraId="00000169">
      <w:pPr>
        <w:numPr>
          <w:ilvl w:val="0"/>
          <w:numId w:val="3"/>
        </w:numPr>
        <w:spacing w:after="0" w:afterAutospacing="0" w:before="0" w:beforeAutospacing="0" w:lineRule="auto"/>
        <w:ind w:left="720" w:hanging="360"/>
      </w:pPr>
      <w:r w:rsidDel="00000000" w:rsidR="00000000" w:rsidRPr="00000000">
        <w:rPr>
          <w:b w:val="1"/>
          <w:bCs w:val="1"/>
          <w:rtl w:val="0"/>
        </w:rPr>
        <w:t xml:space="preserve">Mandate Conflict</w:t>
      </w:r>
      <w:r w:rsidDel="00000000" w:rsidR="00000000" w:rsidRPr="00000000">
        <w:rPr>
          <w:rFonts w:ascii="Arial Unicode MS" w:cs="Arial Unicode MS" w:eastAsia="Arial Unicode MS" w:hAnsi="Arial Unicode MS"/>
          <w:rtl w:val="0"/>
        </w:rPr>
        <w:t xml:space="preserve">: The Human Rights or Earth Protection Mandate vectors enter a zone of conflict with the operational directive, not a clear violation triggering State −1, but a proximity sufficient to indicate moral turbulence that requires deliberation.</w:t>
      </w:r>
    </w:p>
    <w:p w:rsidR="00000000" w:rsidDel="00000000" w:rsidP="00000000" w:rsidRDefault="00000000" w:rsidRPr="00000000" w14:paraId="0000016A">
      <w:pPr>
        <w:numPr>
          <w:ilvl w:val="0"/>
          <w:numId w:val="3"/>
        </w:numPr>
        <w:spacing w:after="0" w:afterAutospacing="0" w:before="0" w:beforeAutospacing="0" w:lineRule="auto"/>
        <w:ind w:left="720" w:hanging="360"/>
      </w:pPr>
      <w:r w:rsidDel="00000000" w:rsidR="00000000" w:rsidRPr="00000000">
        <w:rPr>
          <w:b w:val="1"/>
          <w:bCs w:val="1"/>
          <w:rtl w:val="0"/>
        </w:rPr>
        <w:t xml:space="preserve">Contextual Novelty</w:t>
      </w:r>
      <w:r w:rsidDel="00000000" w:rsidR="00000000" w:rsidRPr="00000000">
        <w:rPr>
          <w:rtl w:val="0"/>
        </w:rPr>
        <w:t xml:space="preserve">: The system detects significant out-of-distribution characteristics in the input, indicating that the training distribution does not adequately cover the decision context.</w:t>
      </w:r>
    </w:p>
    <w:p w:rsidR="00000000" w:rsidDel="00000000" w:rsidP="00000000" w:rsidRDefault="00000000" w:rsidRPr="00000000" w14:paraId="0000016B">
      <w:pPr>
        <w:numPr>
          <w:ilvl w:val="0"/>
          <w:numId w:val="3"/>
        </w:numPr>
        <w:spacing w:after="0" w:afterAutospacing="0" w:before="0" w:beforeAutospacing="0" w:lineRule="auto"/>
        <w:ind w:left="720" w:hanging="360"/>
      </w:pPr>
      <w:r w:rsidDel="00000000" w:rsidR="00000000" w:rsidRPr="00000000">
        <w:rPr>
          <w:b w:val="1"/>
          <w:bCs w:val="1"/>
          <w:rtl w:val="0"/>
        </w:rPr>
        <w:t xml:space="preserve">Oracle Integrity Failure</w:t>
      </w:r>
      <w:r w:rsidDel="00000000" w:rsidR="00000000" w:rsidRPr="00000000">
        <w:rPr>
          <w:rtl w:val="0"/>
        </w:rPr>
        <w:t xml:space="preserve">: External data feeds required for the decision are stale beyond the configured freshness threshold, produce contradictory values across sources, or fail cryptographic signature verification.</w:t>
      </w:r>
    </w:p>
    <w:p w:rsidR="00000000" w:rsidDel="00000000" w:rsidP="00000000" w:rsidRDefault="00000000" w:rsidRPr="00000000" w14:paraId="0000016C">
      <w:pPr>
        <w:numPr>
          <w:ilvl w:val="0"/>
          <w:numId w:val="3"/>
        </w:numPr>
        <w:spacing w:after="240" w:before="0" w:beforeAutospacing="0" w:lineRule="auto"/>
        <w:ind w:left="720" w:hanging="360"/>
      </w:pPr>
      <w:r w:rsidDel="00000000" w:rsidR="00000000" w:rsidRPr="00000000">
        <w:rPr>
          <w:b w:val="1"/>
          <w:bCs w:val="1"/>
          <w:rtl w:val="0"/>
        </w:rPr>
        <w:t xml:space="preserve">Mandate Flag Activation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humanRightsMandateFlags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earthProtectionMandateFlags</w:t>
      </w:r>
      <w:r w:rsidDel="00000000" w:rsidR="00000000" w:rsidRPr="00000000">
        <w:rPr>
          <w:rtl w:val="0"/>
        </w:rPr>
        <w:t xml:space="preserve"> fields in the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carry provision-level triggers that require mandatory Pillar V or Pillar VI review before any execution may proceed</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6D">
      <w:pPr>
        <w:spacing w:after="240" w:before="240" w:lineRule="auto"/>
        <w:rPr/>
      </w:pPr>
      <w:r w:rsidDel="00000000" w:rsidR="00000000" w:rsidRPr="00000000">
        <w:rPr>
          <w:rtl w:val="0"/>
        </w:rPr>
        <w:t xml:space="preserve">Upon Sacred Zero activation, the </w:t>
      </w:r>
      <w:r w:rsidDel="00000000" w:rsidR="00000000" w:rsidRPr="00000000">
        <w:rPr>
          <w:b w:val="1"/>
          <w:bCs w:val="1"/>
          <w:rtl w:val="0"/>
        </w:rPr>
        <w:t xml:space="preserve">Sacred Pause</w:t>
      </w:r>
      <w:r w:rsidDel="00000000" w:rsidR="00000000" w:rsidRPr="00000000">
        <w:rPr>
          <w:rtl w:val="0"/>
        </w:rPr>
        <w:t xml:space="preserve"> operational workflow initiates. The Sacred Pause is architecturally distinct from the Sacred Zero state: the Sacred Zero is the state of enforced hesitation; the Sacred Pause is the productive governance process that executes within that state. During the Sacred Pause, the system does not idle; it works. It captures a cryptographic snapshot of the entire context window, internal variable states, and the specific vectors that caused the uncertainty trigger, preserving the epistemic state of the system at the moment of hesitation as a permanent forensic artifact. It queries available verification sources for additional evidence. It constructs a structured deliberation package for human review, presenting the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with per-pillar considerations, risk vectors, and the available resolution options. It activates the escalation queue at </w:t>
      </w:r>
      <w:r w:rsidDel="00000000" w:rsidR="00000000" w:rsidRPr="00000000">
        <w:rPr>
          <w:rFonts w:ascii="Roboto Mono" w:cs="Roboto Mono" w:eastAsia="Roboto Mono" w:hAnsi="Roboto Mono"/>
          <w:color w:val="188038"/>
          <w:rtl w:val="0"/>
        </w:rPr>
        <w:t xml:space="preserve">GET /sacred-zero/escalations</w:t>
      </w:r>
      <w:r w:rsidDel="00000000" w:rsidR="00000000" w:rsidRPr="00000000">
        <w:rPr>
          <w:rtl w:val="0"/>
        </w:rPr>
        <w:t xml:space="preserve"> and delivers the </w:t>
      </w:r>
      <w:r w:rsidDel="00000000" w:rsidR="00000000" w:rsidRPr="00000000">
        <w:rPr>
          <w:rFonts w:ascii="Roboto Mono" w:cs="Roboto Mono" w:eastAsia="Roboto Mono" w:hAnsi="Roboto Mono"/>
          <w:color w:val="188038"/>
          <w:rtl w:val="0"/>
        </w:rPr>
        <w:t xml:space="preserve">sacredPauseEscalation</w:t>
      </w:r>
      <w:r w:rsidDel="00000000" w:rsidR="00000000" w:rsidRPr="00000000">
        <w:rPr>
          <w:rtl w:val="0"/>
        </w:rPr>
        <w:t xml:space="preserve"> webhook notification to all registered oversight endpoints</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6E">
      <w:pPr>
        <w:spacing w:after="240" w:before="240" w:lineRule="auto"/>
        <w:rPr/>
      </w:pPr>
      <w:r w:rsidDel="00000000" w:rsidR="00000000" w:rsidRPr="00000000">
        <w:rPr>
          <w:rFonts w:ascii="Arial Unicode MS" w:cs="Arial Unicode MS" w:eastAsia="Arial Unicode MS" w:hAnsi="Arial Unicode MS"/>
          <w:rtl w:val="0"/>
        </w:rPr>
        <w:t xml:space="preserve">The human reviewer presented with a Sacred Zero escalation receives not merely the triggering query but the full Moral Trace Log explaining precisely why the system paused, which confidence intervals fell below threshold, which Mandate vectors entered the conflict zone, which oracle feeds were stale, and what resolution paths are available. The reviewer may resolve to +1 or −1; the schema constraint on </w:t>
      </w:r>
      <w:r w:rsidDel="00000000" w:rsidR="00000000" w:rsidRPr="00000000">
        <w:rPr>
          <w:rFonts w:ascii="Roboto Mono" w:cs="Roboto Mono" w:eastAsia="Roboto Mono" w:hAnsi="Roboto Mono"/>
          <w:color w:val="188038"/>
          <w:rtl w:val="0"/>
        </w:rPr>
        <w:t xml:space="preserve">DeliberationMatrix.resolutionOptions[].proposedState</w:t>
      </w:r>
      <w:r w:rsidDel="00000000" w:rsidR="00000000" w:rsidRPr="00000000">
        <w:rPr>
          <w:rtl w:val="0"/>
        </w:rPr>
        <w:t xml:space="preserve"> enforces an </w:t>
      </w:r>
      <w:r w:rsidDel="00000000" w:rsidR="00000000" w:rsidRPr="00000000">
        <w:rPr>
          <w:rFonts w:ascii="Roboto Mono" w:cs="Roboto Mono" w:eastAsia="Roboto Mono" w:hAnsi="Roboto Mono"/>
          <w:color w:val="188038"/>
          <w:rtl w:val="0"/>
        </w:rPr>
        <w:t xml:space="preserve">enum: [1, -1]</w:t>
      </w:r>
      <w:r w:rsidDel="00000000" w:rsidR="00000000" w:rsidRPr="00000000">
        <w:rPr>
          <w:rtl w:val="0"/>
        </w:rPr>
        <w:t xml:space="preserve">, a human reviewer cannot resolve a Sacred Zero by leaving it as Sacred Zero. Resolution is mandatory; indefinite suspension is not available by design</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6F">
      <w:pPr>
        <w:spacing w:after="240" w:before="240" w:lineRule="auto"/>
        <w:rPr/>
      </w:pPr>
      <w:r w:rsidDel="00000000" w:rsidR="00000000" w:rsidRPr="00000000">
        <w:rPr>
          <w:rtl w:val="0"/>
        </w:rPr>
        <w:t xml:space="preserve">The Sacred Zero is </w:t>
      </w:r>
      <w:r w:rsidDel="00000000" w:rsidR="00000000" w:rsidRPr="00000000">
        <w:rPr>
          <w:b w:val="1"/>
          <w:bCs w:val="1"/>
          <w:rtl w:val="0"/>
        </w:rPr>
        <w:t xml:space="preserve">time-bounded by design</w:t>
      </w:r>
      <w:r w:rsidDel="00000000" w:rsidR="00000000" w:rsidRPr="00000000">
        <w:rPr>
          <w:rFonts w:ascii="Arial Unicode MS" w:cs="Arial Unicode MS" w:eastAsia="Arial Unicode MS" w:hAnsi="Arial Unicode MS"/>
          <w:rtl w:val="0"/>
        </w:rPr>
        <w:t xml:space="preserve">. Each activation carries a maximum deliberation period appropriate to the domain and risk profile. Financial trading systems may specify millisecond-scale durations for circuit-breaker function; public administration systems may specify multi-day periods for complex benefit determination review. Upon expiration of the deliberation period without resolution, the system transitions automatically to State −1, the conservative default that protects the subject of the decision at the cost of the action. This automatic fail-closed behavior implements the principle that when the system cannot achieve certainty within the time available, it does not guess; it refuses.</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2.2.3.1 Rate Limiting and Adversarial Robustness of the Sacred Zero</w:t>
      </w:r>
    </w:p>
    <w:p w:rsidR="00000000" w:rsidDel="00000000" w:rsidP="00000000" w:rsidRDefault="00000000" w:rsidRPr="00000000" w14:paraId="00000171">
      <w:pPr>
        <w:spacing w:after="240" w:before="240" w:lineRule="auto"/>
        <w:rPr/>
      </w:pPr>
      <w:r w:rsidDel="00000000" w:rsidR="00000000" w:rsidRPr="00000000">
        <w:rPr>
          <w:rtl w:val="0"/>
        </w:rPr>
        <w:t xml:space="preserve">The Sacred Zero, as a mandatory hesitation state, presents a potential attack surface: an adversary who can reliably trigger Sacred Zero activation across a system can induce a Forced Hesitation Denial of Service (FH-DoS) that renders the system operationally unavailable</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[6]</w:t>
        </w:r>
      </w:hyperlink>
      <w:r w:rsidDel="00000000" w:rsidR="00000000" w:rsidRPr="00000000">
        <w:rPr>
          <w:rtl w:val="0"/>
        </w:rPr>
        <w:t xml:space="preserve">. TML addresses this vulnerability through the </w:t>
      </w:r>
      <w:r w:rsidDel="00000000" w:rsidR="00000000" w:rsidRPr="00000000">
        <w:rPr>
          <w:b w:val="1"/>
          <w:bCs w:val="1"/>
          <w:rtl w:val="0"/>
        </w:rPr>
        <w:t xml:space="preserve">Adaptive Throttling Protocol (ATP)</w:t>
      </w:r>
      <w:r w:rsidDel="00000000" w:rsidR="00000000" w:rsidRPr="00000000">
        <w:rPr>
          <w:rtl w:val="0"/>
        </w:rPr>
        <w:t xml:space="preserve">, implemented at the Gateway layer:</w:t>
      </w:r>
    </w:p>
    <w:p w:rsidR="00000000" w:rsidDel="00000000" w:rsidP="00000000" w:rsidRDefault="00000000" w:rsidRPr="00000000" w14:paraId="00000172">
      <w:pPr>
        <w:spacing w:after="240" w:before="240" w:lineRule="auto"/>
        <w:rPr/>
      </w:pPr>
      <w:r w:rsidDel="00000000" w:rsidR="00000000" w:rsidRPr="00000000">
        <w:rPr>
          <w:rtl w:val="0"/>
        </w:rPr>
        <w:t xml:space="preserve">Per-session limits cap Sacred Zero triggers at ten per sixty-second window per authenticated identity. Per-system limits trigger "High Epistemic Load" mode when global Sacred Zero rates exceed fifteen percent of total inference volume for more than five minutes, raising confidence thresholds and activating priority queuing that routes medical and safety-critical requests ahead of commercial queries. Client puzzle challenges (computational proof-of-work requirements on the requesting client) raise the cost of adversarial uncertainty injection without impeding legitimate high-uncertainty queries. These rate-limiting provisions satisfy EU AI Act Article 15 (Accuracy, Robustness, and Cybersecurity) by preventing adversarial manipulation through systematic uncertainty injection while preserving the Sacred Zero for its governing purpose: the genuine management of authentic moral and epistemic ambiguity</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tvglq4fdkgor" w:id="22"/>
      <w:bookmarkEnd w:id="22"/>
      <w:r w:rsidDel="00000000" w:rsidR="00000000" w:rsidRPr="00000000">
        <w:rPr>
          <w:b w:val="1"/>
          <w:bCs w:val="1"/>
          <w:color w:val="000000"/>
          <w:sz w:val="26"/>
          <w:szCs w:val="26"/>
          <w:rtl w:val="0"/>
        </w:rPr>
        <w:t xml:space="preserve">2.3 The Dual-Lane Architecture: Operational Implementation</w:t>
      </w:r>
    </w:p>
    <w:p w:rsidR="00000000" w:rsidDel="00000000" w:rsidP="00000000" w:rsidRDefault="00000000" w:rsidRPr="00000000" w14:paraId="00000174">
      <w:pPr>
        <w:spacing w:after="240" w:before="240" w:lineRule="auto"/>
        <w:rPr/>
      </w:pPr>
      <w:r w:rsidDel="00000000" w:rsidR="00000000" w:rsidRPr="00000000">
        <w:rPr>
          <w:rtl w:val="0"/>
        </w:rPr>
        <w:t xml:space="preserve">The Dual-Lane Architecture is the operational expression of the Coexistence Principle established in Section I. It translates the separation between the binary system's computational authority and the ternary system's execution authority into a concrete processing architecture with specified latency budgets, security requirements, interlock mechanisms, and failure modes.</w:t>
      </w:r>
    </w:p>
    <w:p w:rsidR="00000000" w:rsidDel="00000000" w:rsidP="00000000" w:rsidRDefault="00000000" w:rsidRPr="00000000" w14:paraId="00000175">
      <w:pPr>
        <w:pStyle w:val="Heading4"/>
        <w:keepNext w:val="0"/>
        <w:keepLines w:val="0"/>
        <w:spacing w:after="40" w:before="240" w:lineRule="auto"/>
        <w:rPr>
          <w:b w:val="1"/>
          <w:bCs w:val="1"/>
          <w:color w:val="000000"/>
          <w:sz w:val="22"/>
          <w:szCs w:val="22"/>
        </w:rPr>
      </w:pPr>
      <w:bookmarkStart w:colFirst="0" w:colLast="0" w:name="_7q7z82hob0ic" w:id="23"/>
      <w:bookmarkEnd w:id="23"/>
      <w:r w:rsidDel="00000000" w:rsidR="00000000" w:rsidRPr="00000000">
        <w:rPr>
          <w:b w:val="1"/>
          <w:bCs w:val="1"/>
          <w:color w:val="000000"/>
          <w:sz w:val="22"/>
          <w:szCs w:val="22"/>
          <w:rtl w:val="0"/>
        </w:rPr>
        <w:t xml:space="preserve">2.3.1 Lane 1: The Binary Inference Lane (Fast Path)</w:t>
      </w:r>
    </w:p>
    <w:p w:rsidR="00000000" w:rsidDel="00000000" w:rsidP="00000000" w:rsidRDefault="00000000" w:rsidRPr="00000000" w14:paraId="00000176">
      <w:pPr>
        <w:spacing w:after="240" w:before="240" w:lineRule="auto"/>
        <w:rPr/>
      </w:pPr>
      <w:r w:rsidDel="00000000" w:rsidR="00000000" w:rsidRPr="00000000">
        <w:rPr>
          <w:rtl w:val="0"/>
        </w:rPr>
        <w:t xml:space="preserve">The Inference Lane hosts the primary AI model, the Large Language Model, the computer vision classifier, the medical diagnostic system, the financial risk engine, or any other binary inference architecture, and executes it without modification at its native performance characteristics. The Inference Lane is secured by </w:t>
      </w:r>
      <w:r w:rsidDel="00000000" w:rsidR="00000000" w:rsidRPr="00000000">
        <w:rPr>
          <w:rFonts w:ascii="Roboto Mono" w:cs="Roboto Mono" w:eastAsia="Roboto Mono" w:hAnsi="Roboto Mono"/>
          <w:color w:val="188038"/>
          <w:rtl w:val="0"/>
        </w:rPr>
        <w:t xml:space="preserve">InferenceLaneSecurity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mTLS + ServiceAccountJWT</w:t>
      </w:r>
      <w:r w:rsidDel="00000000" w:rsidR="00000000" w:rsidRPr="00000000">
        <w:rPr>
          <w:rtl w:val="0"/>
        </w:rPr>
        <w:t xml:space="preserve">) and carries a latency budget of less than 2 milliseconds per decision cycle for critical path logic</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77">
      <w:pPr>
        <w:spacing w:after="240" w:before="240" w:lineRule="auto"/>
        <w:rPr/>
      </w:pPr>
      <w:r w:rsidDel="00000000" w:rsidR="00000000" w:rsidRPr="00000000">
        <w:rPr>
          <w:rtl w:val="0"/>
        </w:rPr>
        <w:t xml:space="preserve">The Inference Lane's governing limitation is precisely defined: it possesses </w:t>
      </w:r>
      <w:r w:rsidDel="00000000" w:rsidR="00000000" w:rsidRPr="00000000">
        <w:rPr>
          <w:b w:val="1"/>
          <w:bCs w:val="1"/>
          <w:rtl w:val="0"/>
        </w:rPr>
        <w:t xml:space="preserve">computational authority</w:t>
      </w:r>
      <w:r w:rsidDel="00000000" w:rsidR="00000000" w:rsidRPr="00000000">
        <w:rPr>
          <w:rtl w:val="0"/>
        </w:rPr>
        <w:t xml:space="preserve"> but not </w:t>
      </w:r>
      <w:r w:rsidDel="00000000" w:rsidR="00000000" w:rsidRPr="00000000">
        <w:rPr>
          <w:b w:val="1"/>
          <w:bCs w:val="1"/>
          <w:rtl w:val="0"/>
        </w:rPr>
        <w:t xml:space="preserve">execution authority</w:t>
      </w:r>
      <w:r w:rsidDel="00000000" w:rsidR="00000000" w:rsidRPr="00000000">
        <w:rPr>
          <w:rtl w:val="0"/>
        </w:rPr>
        <w:t xml:space="preserve">. It can calculate any output from any input. It cannot release that output to the external world. The </w:t>
      </w:r>
      <w:r w:rsidDel="00000000" w:rsidR="00000000" w:rsidRPr="00000000">
        <w:rPr>
          <w:rFonts w:ascii="Roboto Mono" w:cs="Roboto Mono" w:eastAsia="Roboto Mono" w:hAnsi="Roboto Mono"/>
          <w:color w:val="188038"/>
          <w:rtl w:val="0"/>
        </w:rPr>
        <w:t xml:space="preserve">POST /decisions</w:t>
      </w:r>
      <w:r w:rsidDel="00000000" w:rsidR="00000000" w:rsidRPr="00000000">
        <w:rPr>
          <w:rtl w:val="0"/>
        </w:rPr>
        <w:t xml:space="preserve"> endpoint on the Inference Lane accepts a </w:t>
      </w:r>
      <w:r w:rsidDel="00000000" w:rsidR="00000000" w:rsidRPr="00000000">
        <w:rPr>
          <w:rFonts w:ascii="Roboto Mono" w:cs="Roboto Mono" w:eastAsia="Roboto Mono" w:hAnsi="Roboto Mono"/>
          <w:color w:val="188038"/>
          <w:rtl w:val="0"/>
        </w:rPr>
        <w:t xml:space="preserve">proposedAction</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evaluates the proposed action against the triadic state space, and returns a </w:t>
      </w:r>
      <w:r w:rsidDel="00000000" w:rsidR="00000000" w:rsidRPr="00000000">
        <w:rPr>
          <w:rFonts w:ascii="Roboto Mono" w:cs="Roboto Mono" w:eastAsia="Roboto Mono" w:hAnsi="Roboto Mono"/>
          <w:color w:val="188038"/>
          <w:rtl w:val="0"/>
        </w:rPr>
        <w:t xml:space="preserve">StateEnvelope</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StateEnvelope</w:t>
      </w:r>
      <w:r w:rsidDel="00000000" w:rsidR="00000000" w:rsidRPr="00000000">
        <w:rPr>
          <w:rtl w:val="0"/>
        </w:rPr>
        <w:t xml:space="preserve"> returning </w:t>
      </w:r>
      <w:r w:rsidDel="00000000" w:rsidR="00000000" w:rsidRPr="00000000">
        <w:rPr>
          <w:rFonts w:ascii="Roboto Mono" w:cs="Roboto Mono" w:eastAsia="Roboto Mono" w:hAnsi="Roboto Mono"/>
          <w:color w:val="188038"/>
          <w:rtl w:val="0"/>
        </w:rPr>
        <w:t xml:space="preserve">currentState: 1</w:t>
      </w:r>
      <w:r w:rsidDel="00000000" w:rsidR="00000000" w:rsidRPr="00000000">
        <w:rPr>
          <w:rtl w:val="0"/>
        </w:rPr>
        <w:t xml:space="preserve"> from this endpoint does not authorize actuation. The schema enforces this constraint structurally: a </w:t>
      </w:r>
      <w:r w:rsidDel="00000000" w:rsidR="00000000" w:rsidRPr="00000000">
        <w:rPr>
          <w:rFonts w:ascii="Roboto Mono" w:cs="Roboto Mono" w:eastAsia="Roboto Mono" w:hAnsi="Roboto Mono"/>
          <w:color w:val="188038"/>
          <w:rtl w:val="0"/>
        </w:rPr>
        <w:t xml:space="preserve">StateEnvelope</w:t>
      </w:r>
      <w:r w:rsidDel="00000000" w:rsidR="00000000" w:rsidRPr="00000000">
        <w:rPr>
          <w:rtl w:val="0"/>
        </w:rPr>
        <w:t xml:space="preserve"> object claiming </w:t>
      </w:r>
      <w:r w:rsidDel="00000000" w:rsidR="00000000" w:rsidRPr="00000000">
        <w:rPr>
          <w:rFonts w:ascii="Roboto Mono" w:cs="Roboto Mono" w:eastAsia="Roboto Mono" w:hAnsi="Roboto Mono"/>
          <w:color w:val="188038"/>
          <w:rtl w:val="0"/>
        </w:rPr>
        <w:t xml:space="preserve">currentState: 1</w:t>
      </w:r>
      <w:r w:rsidDel="00000000" w:rsidR="00000000" w:rsidRPr="00000000">
        <w:rPr>
          <w:rtl w:val="0"/>
        </w:rPr>
        <w:t xml:space="preserve"> without a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field fails JSON Schema validation against </w:t>
      </w:r>
      <w:r w:rsidDel="00000000" w:rsidR="00000000" w:rsidRPr="00000000">
        <w:rPr>
          <w:rFonts w:ascii="Roboto Mono" w:cs="Roboto Mono" w:eastAsia="Roboto Mono" w:hAnsi="Roboto Mono"/>
          <w:color w:val="188038"/>
          <w:rtl w:val="0"/>
        </w:rPr>
        <w:t xml:space="preserve">tml_schema.json</w:t>
      </w:r>
      <w:r w:rsidDel="00000000" w:rsidR="00000000" w:rsidRPr="00000000">
        <w:rPr>
          <w:rtl w:val="0"/>
        </w:rPr>
        <w:t xml:space="preserve">. The Inference Lane cannot produce a valid Permission Token; the schema specifies </w:t>
      </w:r>
      <w:r w:rsidDel="00000000" w:rsidR="00000000" w:rsidRPr="00000000">
        <w:rPr>
          <w:rFonts w:ascii="Roboto Mono" w:cs="Roboto Mono" w:eastAsia="Roboto Mono" w:hAnsi="Roboto Mono"/>
          <w:color w:val="188038"/>
          <w:rtl w:val="0"/>
        </w:rPr>
        <w:t xml:space="preserve">laneOrigin: const "ANCHORING_LANE"</w:t>
      </w:r>
      <w:r w:rsidDel="00000000" w:rsidR="00000000" w:rsidRPr="00000000">
        <w:rPr>
          <w:rtl w:val="0"/>
        </w:rPr>
        <w:t xml:space="preserve"> on the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type, making any token claiming Inference Lane origin schema-invalid by construction</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[6]</w:t>
        </w:r>
      </w:hyperlink>
      <w:r w:rsidDel="00000000" w:rsidR="00000000" w:rsidRPr="00000000">
        <w:rPr>
          <w:rtl w:val="0"/>
        </w:rPr>
        <w:t xml:space="preserve">. The Inference Lane proposes. It cannot authorize.</w:t>
      </w:r>
    </w:p>
    <w:p w:rsidR="00000000" w:rsidDel="00000000" w:rsidP="00000000" w:rsidRDefault="00000000" w:rsidRPr="00000000" w14:paraId="00000178">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that the Inference Lane submits to the Anchoring Lane carries five critical fields that document the epistemic state of the Inference Lane at the moment of proposal: </w:t>
      </w:r>
      <w:r w:rsidDel="00000000" w:rsidR="00000000" w:rsidRPr="00000000">
        <w:rPr>
          <w:rFonts w:ascii="Roboto Mono" w:cs="Roboto Mono" w:eastAsia="Roboto Mono" w:hAnsi="Roboto Mono"/>
          <w:color w:val="188038"/>
          <w:rtl w:val="0"/>
        </w:rPr>
        <w:t xml:space="preserve">proposedState</w:t>
      </w:r>
      <w:r w:rsidDel="00000000" w:rsidR="00000000" w:rsidRPr="00000000">
        <w:rPr>
          <w:rtl w:val="0"/>
        </w:rPr>
        <w:t xml:space="preserve"> (the Inference Lane's candidate triadic state, explicitly described in the specification as "a proposal only; the Anchoring Lane determines the authoritative state"); </w:t>
      </w:r>
      <w:r w:rsidDel="00000000" w:rsidR="00000000" w:rsidRPr="00000000">
        <w:rPr>
          <w:rFonts w:ascii="Roboto Mono" w:cs="Roboto Mono" w:eastAsia="Roboto Mono" w:hAnsi="Roboto Mono"/>
          <w:color w:val="188038"/>
          <w:rtl w:val="0"/>
        </w:rPr>
        <w:t xml:space="preserve">reasoningVector</w:t>
      </w:r>
      <w:r w:rsidDel="00000000" w:rsidR="00000000" w:rsidRPr="00000000">
        <w:rPr>
          <w:rtl w:val="0"/>
        </w:rPr>
        <w:t xml:space="preserve"> (the ordered chain of reasoning steps the Inference Lane produced); </w:t>
      </w:r>
      <w:r w:rsidDel="00000000" w:rsidR="00000000" w:rsidRPr="00000000">
        <w:rPr>
          <w:rFonts w:ascii="Roboto Mono" w:cs="Roboto Mono" w:eastAsia="Roboto Mono" w:hAnsi="Roboto Mono"/>
          <w:color w:val="188038"/>
          <w:rtl w:val="0"/>
        </w:rPr>
        <w:t xml:space="preserve">uncertaintyScore</w:t>
      </w:r>
      <w:r w:rsidDel="00000000" w:rsidR="00000000" w:rsidRPr="00000000">
        <w:rPr>
          <w:rtl w:val="0"/>
        </w:rPr>
        <w:t xml:space="preserve"> (a [0.0, 1.0] value whose breach of the Sacred Zero threshold overrides the Inference Lane's </w:t>
      </w:r>
      <w:r w:rsidDel="00000000" w:rsidR="00000000" w:rsidRPr="00000000">
        <w:rPr>
          <w:rFonts w:ascii="Roboto Mono" w:cs="Roboto Mono" w:eastAsia="Roboto Mono" w:hAnsi="Roboto Mono"/>
          <w:color w:val="188038"/>
          <w:rtl w:val="0"/>
        </w:rPr>
        <w:t xml:space="preserve">proposedState</w:t>
      </w:r>
      <w:r w:rsidDel="00000000" w:rsidR="00000000" w:rsidRPr="00000000">
        <w:rPr>
          <w:rtl w:val="0"/>
        </w:rPr>
        <w:t xml:space="preserve"> regardless of the Inference Lane's confidence); and </w:t>
      </w:r>
      <w:r w:rsidDel="00000000" w:rsidR="00000000" w:rsidRPr="00000000">
        <w:rPr>
          <w:rFonts w:ascii="Roboto Mono" w:cs="Roboto Mono" w:eastAsia="Roboto Mono" w:hAnsi="Roboto Mono"/>
          <w:color w:val="188038"/>
          <w:rtl w:val="0"/>
        </w:rPr>
        <w:t xml:space="preserve">pillarAssessments</w:t>
      </w:r>
      <w:r w:rsidDel="00000000" w:rsidR="00000000" w:rsidRPr="00000000">
        <w:rPr>
          <w:rtl w:val="0"/>
        </w:rPr>
        <w:t xml:space="preserve"> (per-pillar compliance scores across all Eight Pillars)</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[6]</w:t>
        </w:r>
      </w:hyperlink>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does not authorize. It informs. The Anchoring Lane performs its own independent ternary evaluation; the Inference Lane's </w:t>
      </w:r>
      <w:r w:rsidDel="00000000" w:rsidR="00000000" w:rsidRPr="00000000">
        <w:rPr>
          <w:rFonts w:ascii="Roboto Mono" w:cs="Roboto Mono" w:eastAsia="Roboto Mono" w:hAnsi="Roboto Mono"/>
          <w:color w:val="188038"/>
          <w:rtl w:val="0"/>
        </w:rPr>
        <w:t xml:space="preserve">proposedState</w:t>
      </w:r>
      <w:r w:rsidDel="00000000" w:rsidR="00000000" w:rsidRPr="00000000">
        <w:rPr>
          <w:rtl w:val="0"/>
        </w:rPr>
        <w:t xml:space="preserve"> is advisory input, not binding determination.</w:t>
      </w:r>
    </w:p>
    <w:p w:rsidR="00000000" w:rsidDel="00000000" w:rsidP="00000000" w:rsidRDefault="00000000" w:rsidRPr="00000000" w14:paraId="00000179">
      <w:pPr>
        <w:pStyle w:val="Heading4"/>
        <w:keepNext w:val="0"/>
        <w:keepLines w:val="0"/>
        <w:spacing w:after="40" w:before="240" w:lineRule="auto"/>
        <w:rPr>
          <w:b w:val="1"/>
          <w:bCs w:val="1"/>
          <w:color w:val="000000"/>
          <w:sz w:val="22"/>
          <w:szCs w:val="22"/>
        </w:rPr>
      </w:pPr>
      <w:bookmarkStart w:colFirst="0" w:colLast="0" w:name="_qelcm87w6tde" w:id="24"/>
      <w:bookmarkEnd w:id="24"/>
      <w:r w:rsidDel="00000000" w:rsidR="00000000" w:rsidRPr="00000000">
        <w:rPr>
          <w:b w:val="1"/>
          <w:bCs w:val="1"/>
          <w:color w:val="000000"/>
          <w:sz w:val="22"/>
          <w:szCs w:val="22"/>
          <w:rtl w:val="0"/>
        </w:rPr>
        <w:t xml:space="preserve">2.3.2 Lane 2: The Triadic Anchoring Lane (Governance Path)</w:t>
      </w:r>
    </w:p>
    <w:p w:rsidR="00000000" w:rsidDel="00000000" w:rsidP="00000000" w:rsidRDefault="00000000" w:rsidRPr="00000000" w14:paraId="0000017A">
      <w:pPr>
        <w:spacing w:after="240" w:before="240" w:lineRule="auto"/>
        <w:rPr/>
      </w:pPr>
      <w:r w:rsidDel="00000000" w:rsidR="00000000" w:rsidRPr="00000000">
        <w:rPr>
          <w:rtl w:val="0"/>
        </w:rPr>
        <w:t xml:space="preserve">The Anchoring Lane runs in parallel with the Inference Lane, on separate and secure processing infrastructure, with a latency budget of less than 500 milliseconds for asynchronous governance processing</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[6]</w:t>
        </w:r>
      </w:hyperlink>
      <w:r w:rsidDel="00000000" w:rsidR="00000000" w:rsidRPr="00000000">
        <w:rPr>
          <w:rtl w:val="0"/>
        </w:rPr>
        <w:t xml:space="preserve">. It is secured by </w:t>
      </w:r>
      <w:r w:rsidDel="00000000" w:rsidR="00000000" w:rsidRPr="00000000">
        <w:rPr>
          <w:rFonts w:ascii="Roboto Mono" w:cs="Roboto Mono" w:eastAsia="Roboto Mono" w:hAnsi="Roboto Mono"/>
          <w:color w:val="188038"/>
          <w:rtl w:val="0"/>
        </w:rPr>
        <w:t xml:space="preserve">AnchoringLaneSecurity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HSM-SignedJWT + MutualTLS</w:t>
      </w:r>
      <w:r w:rsidDel="00000000" w:rsidR="00000000" w:rsidRPr="00000000">
        <w:rPr>
          <w:rtl w:val="0"/>
        </w:rPr>
        <w:t xml:space="preserve">). The Hardware Security Module (HSM) requirement is not incidental: the Anchoring Lane's authority to issue Permission Tokens, to activate system-wide Sacred Zero states, and to execute Emergency Overrides derives from hardware-backed key material registered in the HybridShield Tri-Cameral registry. A software-signed JWT cannot satisfy these endpoints; governance authority is physically rooted in tamper-resistant hardware.</w:t>
      </w:r>
    </w:p>
    <w:p w:rsidR="00000000" w:rsidDel="00000000" w:rsidP="00000000" w:rsidRDefault="00000000" w:rsidRPr="00000000" w14:paraId="0000017B">
      <w:pPr>
        <w:spacing w:after="240" w:before="240" w:lineRule="auto"/>
        <w:rPr/>
      </w:pPr>
      <w:r w:rsidDel="00000000" w:rsidR="00000000" w:rsidRPr="00000000">
        <w:rPr>
          <w:rtl w:val="0"/>
        </w:rPr>
        <w:t xml:space="preserve">The Anchoring Lane performs the following operations for every decision cycle, independently of and asynchronously with the Inference Lane:</w:t>
      </w:r>
    </w:p>
    <w:p w:rsidR="00000000" w:rsidDel="00000000" w:rsidP="00000000" w:rsidRDefault="00000000" w:rsidRPr="00000000" w14:paraId="0000017C">
      <w:pPr>
        <w:numPr>
          <w:ilvl w:val="0"/>
          <w:numId w:val="7"/>
        </w:numPr>
        <w:spacing w:after="0" w:afterAutospacing="0" w:before="240" w:lineRule="auto"/>
        <w:ind w:left="720" w:hanging="360"/>
      </w:pPr>
      <w:r w:rsidDel="00000000" w:rsidR="00000000" w:rsidRPr="00000000">
        <w:rPr>
          <w:b w:val="1"/>
          <w:bCs w:val="1"/>
          <w:rtl w:val="0"/>
        </w:rPr>
        <w:t xml:space="preserve">Independent Ternary Evaluation</w:t>
      </w:r>
      <w:r w:rsidDel="00000000" w:rsidR="00000000" w:rsidRPr="00000000">
        <w:rPr>
          <w:rtl w:val="0"/>
        </w:rPr>
        <w:t xml:space="preserve">: The Anchoring Lane performs its own ternary assessment of the proposed action, independent of the Inference Lane's </w:t>
      </w:r>
      <w:r w:rsidDel="00000000" w:rsidR="00000000" w:rsidRPr="00000000">
        <w:rPr>
          <w:rFonts w:ascii="Roboto Mono" w:cs="Roboto Mono" w:eastAsia="Roboto Mono" w:hAnsi="Roboto Mono"/>
          <w:color w:val="188038"/>
          <w:rtl w:val="0"/>
        </w:rPr>
        <w:t xml:space="preserve">proposedState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EthicalVerification</w:t>
      </w:r>
      <w:r w:rsidDel="00000000" w:rsidR="00000000" w:rsidRPr="00000000">
        <w:rPr>
          <w:rtl w:val="0"/>
        </w:rPr>
        <w:t xml:space="preserve"> schema captures this assessment through a </w:t>
      </w:r>
      <w:r w:rsidDel="00000000" w:rsidR="00000000" w:rsidRPr="00000000">
        <w:rPr>
          <w:rFonts w:ascii="Roboto Mono" w:cs="Roboto Mono" w:eastAsia="Roboto Mono" w:hAnsi="Roboto Mono"/>
          <w:color w:val="188038"/>
          <w:rtl w:val="0"/>
        </w:rPr>
        <w:t xml:space="preserve">PillarVerificationResult</w:t>
      </w:r>
      <w:r w:rsidDel="00000000" w:rsidR="00000000" w:rsidRPr="00000000">
        <w:rPr>
          <w:rtl w:val="0"/>
        </w:rPr>
        <w:t xml:space="preserve"> for each of the Eight Pillars; the </w:t>
      </w:r>
      <w:r w:rsidDel="00000000" w:rsidR="00000000" w:rsidRPr="00000000">
        <w:rPr>
          <w:rFonts w:ascii="Roboto Mono" w:cs="Roboto Mono" w:eastAsia="Roboto Mono" w:hAnsi="Roboto Mono"/>
          <w:color w:val="188038"/>
          <w:rtl w:val="0"/>
        </w:rPr>
        <w:t xml:space="preserve">overallVerdict</w:t>
      </w:r>
      <w:r w:rsidDel="00000000" w:rsidR="00000000" w:rsidRPr="00000000">
        <w:rPr>
          <w:rtl w:val="0"/>
        </w:rPr>
        <w:t xml:space="preserve"> is determined by the Anchoring Lane alone. A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Arial Unicode MS" w:cs="Arial Unicode MS" w:eastAsia="Arial Unicode MS" w:hAnsi="Arial Unicode MS"/>
          <w:rtl w:val="0"/>
        </w:rPr>
        <w:t xml:space="preserve"> verdict triggers State −1 regardless of what the Inference Lane proposed.</w:t>
      </w:r>
    </w:p>
    <w:p w:rsidR="00000000" w:rsidDel="00000000" w:rsidP="00000000" w:rsidRDefault="00000000" w:rsidRPr="00000000" w14:paraId="0000017D">
      <w:pPr>
        <w:numPr>
          <w:ilvl w:val="0"/>
          <w:numId w:val="7"/>
        </w:numPr>
        <w:spacing w:after="0" w:afterAutospacing="0" w:before="0" w:beforeAutospacing="0" w:lineRule="auto"/>
        <w:ind w:left="720" w:hanging="360"/>
      </w:pPr>
      <w:r w:rsidDel="00000000" w:rsidR="00000000" w:rsidRPr="00000000">
        <w:rPr>
          <w:b w:val="1"/>
          <w:bCs w:val="1"/>
          <w:rtl w:val="0"/>
        </w:rPr>
        <w:t xml:space="preserve">Moral Trace Log Construction</w:t>
      </w:r>
      <w:r w:rsidDel="00000000" w:rsidR="00000000" w:rsidRPr="00000000">
        <w:rPr>
          <w:rtl w:val="0"/>
        </w:rPr>
        <w:t xml:space="preserve">: Assembly of the complete </w:t>
      </w:r>
      <w:r w:rsidDel="00000000" w:rsidR="00000000" w:rsidRPr="00000000">
        <w:rPr>
          <w:rFonts w:ascii="Roboto Mono" w:cs="Roboto Mono" w:eastAsia="Roboto Mono" w:hAnsi="Roboto Mono"/>
          <w:color w:val="188038"/>
          <w:rtl w:val="0"/>
        </w:rPr>
        <w:t xml:space="preserve">TSLF</w:t>
      </w:r>
      <w:r w:rsidDel="00000000" w:rsidR="00000000" w:rsidRPr="00000000">
        <w:rPr>
          <w:rtl w:val="0"/>
        </w:rPr>
        <w:t xml:space="preserve"> record documenting the decision context, reasoning vector, pillar assessments, mandate evaluations, and all deliberation artifacts.</w:t>
      </w:r>
    </w:p>
    <w:p w:rsidR="00000000" w:rsidDel="00000000" w:rsidP="00000000" w:rsidRDefault="00000000" w:rsidRPr="00000000" w14:paraId="0000017E">
      <w:pPr>
        <w:numPr>
          <w:ilvl w:val="0"/>
          <w:numId w:val="7"/>
        </w:numPr>
        <w:spacing w:after="0" w:afterAutospacing="0" w:before="0" w:beforeAutospacing="0" w:lineRule="auto"/>
        <w:ind w:left="720" w:hanging="360"/>
      </w:pPr>
      <w:r w:rsidDel="00000000" w:rsidR="00000000" w:rsidRPr="00000000">
        <w:rPr>
          <w:b w:val="1"/>
          <w:bCs w:val="1"/>
          <w:rtl w:val="0"/>
        </w:rPr>
        <w:t xml:space="preserve">Pseudonymization and Privacy Preservation</w:t>
      </w:r>
      <w:r w:rsidDel="00000000" w:rsidR="00000000" w:rsidRPr="00000000">
        <w:rPr>
          <w:rtl w:val="0"/>
        </w:rPr>
        <w:t xml:space="preserve">: Application of GDPR-compatible pseudonymization to strip Personally Identifiable Information from log records while preserving decision structure for audit, using Ephemeral Key Rotation (EKR) to ensure that historical logs cannot be decrypted by a future key compromise</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7F">
      <w:pPr>
        <w:numPr>
          <w:ilvl w:val="0"/>
          <w:numId w:val="7"/>
        </w:numPr>
        <w:spacing w:after="0" w:afterAutospacing="0" w:before="0" w:beforeAutospacing="0" w:lineRule="auto"/>
        <w:ind w:left="720" w:hanging="360"/>
      </w:pPr>
      <w:r w:rsidDel="00000000" w:rsidR="00000000" w:rsidRPr="00000000">
        <w:rPr>
          <w:b w:val="1"/>
          <w:bCs w:val="1"/>
          <w:rtl w:val="0"/>
        </w:rPr>
        <w:t xml:space="preserve">Cryptographic Signing</w:t>
      </w:r>
      <w:r w:rsidDel="00000000" w:rsidR="00000000" w:rsidRPr="00000000">
        <w:rPr>
          <w:rtl w:val="0"/>
        </w:rPr>
        <w:t xml:space="preserve">: HSM-backed signature of the complete log record, creating tamper-evident non-repudiation of the governance decision.</w:t>
      </w:r>
    </w:p>
    <w:p w:rsidR="00000000" w:rsidDel="00000000" w:rsidP="00000000" w:rsidRDefault="00000000" w:rsidRPr="00000000" w14:paraId="00000180">
      <w:pPr>
        <w:numPr>
          <w:ilvl w:val="0"/>
          <w:numId w:val="7"/>
        </w:numPr>
        <w:spacing w:after="0" w:afterAutospacing="0" w:before="0" w:beforeAutospacing="0" w:lineRule="auto"/>
        <w:ind w:left="720" w:hanging="360"/>
      </w:pPr>
      <w:r w:rsidDel="00000000" w:rsidR="00000000" w:rsidRPr="00000000">
        <w:rPr>
          <w:b w:val="1"/>
          <w:bCs w:val="1"/>
          <w:rtl w:val="0"/>
        </w:rPr>
        <w:t xml:space="preserve">Merkle Anchoring</w:t>
      </w:r>
      <w:r w:rsidDel="00000000" w:rsidR="00000000" w:rsidRPr="00000000">
        <w:rPr>
          <w:rtl w:val="0"/>
        </w:rPr>
        <w:t xml:space="preserve">: Batching of log records into Merkle trees and anchoring of the Merkle root to public blockchains (Bitcoin for permanence, Ethereum for smart contract integration, Polygon for high-frequency cost efficiency), creating immutable public proof of decision existence and integrity.</w:t>
      </w:r>
    </w:p>
    <w:p w:rsidR="00000000" w:rsidDel="00000000" w:rsidP="00000000" w:rsidRDefault="00000000" w:rsidRPr="00000000" w14:paraId="00000181">
      <w:pPr>
        <w:numPr>
          <w:ilvl w:val="0"/>
          <w:numId w:val="7"/>
        </w:numPr>
        <w:spacing w:after="240" w:before="0" w:beforeAutospacing="0" w:lineRule="auto"/>
        <w:ind w:left="720" w:hanging="360"/>
      </w:pPr>
      <w:r w:rsidDel="00000000" w:rsidR="00000000" w:rsidRPr="00000000">
        <w:rPr>
          <w:b w:val="1"/>
          <w:bCs w:val="1"/>
          <w:rtl w:val="0"/>
        </w:rPr>
        <w:t xml:space="preserve">Permission Token Generation</w:t>
      </w:r>
      <w:r w:rsidDel="00000000" w:rsidR="00000000" w:rsidRPr="00000000">
        <w:rPr>
          <w:rtl w:val="0"/>
        </w:rPr>
        <w:t xml:space="preserve">: Issuance of the Permission Token to the Inference Lane upon successful completion of all prior steps and positive Anchoring Lane verdict.</w:t>
      </w:r>
    </w:p>
    <w:p w:rsidR="00000000" w:rsidDel="00000000" w:rsidP="00000000" w:rsidRDefault="00000000" w:rsidRPr="00000000" w14:paraId="00000182">
      <w:pPr>
        <w:spacing w:after="240" w:before="240" w:lineRule="auto"/>
        <w:rPr/>
      </w:pPr>
      <w:r w:rsidDel="00000000" w:rsidR="00000000" w:rsidRPr="00000000">
        <w:rPr>
          <w:rtl w:val="0"/>
        </w:rPr>
        <w:t xml:space="preserve">The Anchoring Lane cannot be bypassed. The TML Gateway, which sits at the entry point of the dual-lane system, is designed fail-closed: if it cannot route to the Anchoring Lane, it does not route to the Inference Lane and proceed optimistically. It defaults to Sacred Zero and activates the Sacred Pause</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[6]</w:t>
        </w:r>
      </w:hyperlink>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GatewayRoutingStatus</w:t>
      </w:r>
      <w:r w:rsidDel="00000000" w:rsidR="00000000" w:rsidRPr="00000000">
        <w:rPr>
          <w:rtl w:val="0"/>
        </w:rPr>
        <w:t xml:space="preserve"> schema exposes </w:t>
      </w:r>
      <w:r w:rsidDel="00000000" w:rsidR="00000000" w:rsidRPr="00000000">
        <w:rPr>
          <w:rFonts w:ascii="Roboto Mono" w:cs="Roboto Mono" w:eastAsia="Roboto Mono" w:hAnsi="Roboto Mono"/>
          <w:color w:val="188038"/>
          <w:rtl w:val="0"/>
        </w:rPr>
        <w:t xml:space="preserve">failClosedActive</w:t>
      </w:r>
      <w:r w:rsidDel="00000000" w:rsidR="00000000" w:rsidRPr="00000000">
        <w:rPr>
          <w:rtl w:val="0"/>
        </w:rPr>
        <w:t xml:space="preserve"> as a boolean and </w:t>
      </w:r>
      <w:r w:rsidDel="00000000" w:rsidR="00000000" w:rsidRPr="00000000">
        <w:rPr>
          <w:rFonts w:ascii="Roboto Mono" w:cs="Roboto Mono" w:eastAsia="Roboto Mono" w:hAnsi="Roboto Mono"/>
          <w:color w:val="188038"/>
          <w:rtl w:val="0"/>
        </w:rPr>
        <w:t xml:space="preserve">operationalStatus</w:t>
      </w:r>
      <w:r w:rsidDel="00000000" w:rsidR="00000000" w:rsidRPr="00000000">
        <w:rPr>
          <w:rtl w:val="0"/>
        </w:rPr>
        <w:t xml:space="preserve"> as a four-value enum including </w:t>
      </w:r>
      <w:r w:rsidDel="00000000" w:rsidR="00000000" w:rsidRPr="00000000">
        <w:rPr>
          <w:rFonts w:ascii="Roboto Mono" w:cs="Roboto Mono" w:eastAsia="Roboto Mono" w:hAnsi="Roboto Mono"/>
          <w:color w:val="188038"/>
          <w:rtl w:val="0"/>
        </w:rPr>
        <w:t xml:space="preserve">FAIL_CLOSED_ACTIVE</w:t>
      </w:r>
      <w:r w:rsidDel="00000000" w:rsidR="00000000" w:rsidRPr="00000000">
        <w:rPr>
          <w:rtl w:val="0"/>
        </w:rPr>
        <w:t xml:space="preserve">, providing machine-readable signal to the actuation layer and monitoring infrastructure that the system has entered governance hold rather than a degraded best-effort mode.</w:t>
      </w:r>
    </w:p>
    <w:p w:rsidR="00000000" w:rsidDel="00000000" w:rsidP="00000000" w:rsidRDefault="00000000" w:rsidRPr="00000000" w14:paraId="00000183">
      <w:pPr>
        <w:pStyle w:val="Heading4"/>
        <w:keepNext w:val="0"/>
        <w:keepLines w:val="0"/>
        <w:spacing w:after="40" w:before="240" w:lineRule="auto"/>
        <w:rPr>
          <w:b w:val="1"/>
          <w:bCs w:val="1"/>
          <w:color w:val="000000"/>
          <w:sz w:val="22"/>
          <w:szCs w:val="22"/>
        </w:rPr>
      </w:pPr>
      <w:bookmarkStart w:colFirst="0" w:colLast="0" w:name="_8iqx6fedn2pe" w:id="25"/>
      <w:bookmarkEnd w:id="25"/>
      <w:r w:rsidDel="00000000" w:rsidR="00000000" w:rsidRPr="00000000">
        <w:rPr>
          <w:b w:val="1"/>
          <w:bCs w:val="1"/>
          <w:color w:val="000000"/>
          <w:sz w:val="22"/>
          <w:szCs w:val="22"/>
          <w:rtl w:val="0"/>
        </w:rPr>
        <w:t xml:space="preserve">2.3.3 The "No Log = No Action" Interlock Mechanism</w:t>
      </w:r>
    </w:p>
    <w:p w:rsidR="00000000" w:rsidDel="00000000" w:rsidP="00000000" w:rsidRDefault="00000000" w:rsidRPr="00000000" w14:paraId="00000184">
      <w:pPr>
        <w:spacing w:after="240" w:before="240" w:lineRule="auto"/>
        <w:rPr/>
      </w:pPr>
      <w:r w:rsidDel="00000000" w:rsidR="00000000" w:rsidRPr="00000000">
        <w:rPr>
          <w:rtl w:val="0"/>
        </w:rPr>
        <w:t xml:space="preserve">The "No Log = No Action" principle is the iron law of </w:t>
      </w:r>
      <w:r w:rsidDel="00000000" w:rsidR="00000000" w:rsidRPr="00000000">
        <w:rPr>
          <w:b w:val="1"/>
          <w:bCs w:val="1"/>
          <w:rtl w:val="0"/>
        </w:rPr>
        <w:t xml:space="preserve">the TML Constitution</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[6]</w:t>
        </w:r>
      </w:hyperlink>
      <w:r w:rsidDel="00000000" w:rsidR="00000000" w:rsidRPr="00000000">
        <w:rPr>
          <w:rtl w:val="0"/>
        </w:rPr>
        <w:t xml:space="preserve">. It is enforced not as a policy statement but as a structural constraint at five independent layers, such that an implementation satisfying the OpenAPI contract and JSON Schema bundle cannot, by construction, issue a valid execution authorization without a preceding immutable log commitment.</w:t>
      </w:r>
    </w:p>
    <w:p w:rsidR="00000000" w:rsidDel="00000000" w:rsidP="00000000" w:rsidRDefault="00000000" w:rsidRPr="00000000" w14:paraId="00000185">
      <w:pPr>
        <w:spacing w:after="240" w:before="240" w:lineRule="auto"/>
        <w:rPr/>
      </w:pPr>
      <w:r w:rsidDel="00000000" w:rsidR="00000000" w:rsidRPr="00000000">
        <w:rPr>
          <w:rtl w:val="0"/>
        </w:rPr>
        <w:t xml:space="preserve">The enforcement layers are:</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Layer 1 - StateEnvelope </w:t>
      </w:r>
      <w:r w:rsidDel="00000000" w:rsidR="00000000" w:rsidRPr="00000000">
        <w:rPr>
          <w:rFonts w:ascii="Roboto Mono" w:cs="Roboto Mono" w:eastAsia="Roboto Mono" w:hAnsi="Roboto Mono"/>
          <w:b w:val="1"/>
          <w:bCs w:val="1"/>
          <w:color w:val="188038"/>
          <w:rtl w:val="0"/>
        </w:rPr>
        <w:t xml:space="preserve">if/then</w:t>
      </w:r>
      <w:r w:rsidDel="00000000" w:rsidR="00000000" w:rsidRPr="00000000">
        <w:rPr>
          <w:b w:val="1"/>
          <w:bCs w:val="1"/>
          <w:rtl w:val="0"/>
        </w:rPr>
        <w:t xml:space="preserve"> Constraint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tml_schema.json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StateEnvelope</w:t>
      </w:r>
      <w:r w:rsidDel="00000000" w:rsidR="00000000" w:rsidRPr="00000000">
        <w:rPr>
          <w:rtl w:val="0"/>
        </w:rPr>
        <w:t xml:space="preserve"> schema enforces </w:t>
      </w:r>
      <w:r w:rsidDel="00000000" w:rsidR="00000000" w:rsidRPr="00000000">
        <w:rPr>
          <w:rFonts w:ascii="Roboto Mono" w:cs="Roboto Mono" w:eastAsia="Roboto Mono" w:hAnsi="Roboto Mono"/>
          <w:color w:val="188038"/>
          <w:rtl w:val="0"/>
        </w:rPr>
        <w:t xml:space="preserve">if currentState == 1 then permissionToken is required</w:t>
      </w:r>
      <w:r w:rsidDel="00000000" w:rsidR="00000000" w:rsidRPr="00000000">
        <w:rPr>
          <w:rtl w:val="0"/>
        </w:rPr>
        <w:t xml:space="preserve">. Any </w:t>
      </w:r>
      <w:r w:rsidDel="00000000" w:rsidR="00000000" w:rsidRPr="00000000">
        <w:rPr>
          <w:rFonts w:ascii="Roboto Mono" w:cs="Roboto Mono" w:eastAsia="Roboto Mono" w:hAnsi="Roboto Mono"/>
          <w:color w:val="188038"/>
          <w:rtl w:val="0"/>
        </w:rPr>
        <w:t xml:space="preserve">StateEnvelope</w:t>
      </w:r>
      <w:r w:rsidDel="00000000" w:rsidR="00000000" w:rsidRPr="00000000">
        <w:rPr>
          <w:rtl w:val="0"/>
        </w:rPr>
        <w:t xml:space="preserve"> instance with </w:t>
      </w:r>
      <w:r w:rsidDel="00000000" w:rsidR="00000000" w:rsidRPr="00000000">
        <w:rPr>
          <w:rFonts w:ascii="Roboto Mono" w:cs="Roboto Mono" w:eastAsia="Roboto Mono" w:hAnsi="Roboto Mono"/>
          <w:color w:val="188038"/>
          <w:rtl w:val="0"/>
        </w:rPr>
        <w:t xml:space="preserve">currentState: 1</w:t>
      </w:r>
      <w:r w:rsidDel="00000000" w:rsidR="00000000" w:rsidRPr="00000000">
        <w:rPr>
          <w:rtl w:val="0"/>
        </w:rPr>
        <w:t xml:space="preserve"> that lacks a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field fails schema validation. The constraint is unconditional; the schema specifies </w:t>
      </w:r>
      <w:r w:rsidDel="00000000" w:rsidR="00000000" w:rsidRPr="00000000">
        <w:rPr>
          <w:rFonts w:ascii="Roboto Mono" w:cs="Roboto Mono" w:eastAsia="Roboto Mono" w:hAnsi="Roboto Mono"/>
          <w:color w:val="188038"/>
          <w:rtl w:val="0"/>
        </w:rPr>
        <w:t xml:space="preserve">unevaluatedProperties: false</w:t>
      </w:r>
      <w:r w:rsidDel="00000000" w:rsidR="00000000" w:rsidRPr="00000000">
        <w:rPr>
          <w:rtl w:val="0"/>
        </w:rPr>
        <w:t xml:space="preserve"> throughout, preventing bypass through extension.</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Layer 2 - PermissionToken </w:t>
      </w:r>
      <w:r w:rsidDel="00000000" w:rsidR="00000000" w:rsidRPr="00000000">
        <w:rPr>
          <w:rFonts w:ascii="Roboto Mono" w:cs="Roboto Mono" w:eastAsia="Roboto Mono" w:hAnsi="Roboto Mono"/>
          <w:b w:val="1"/>
          <w:bCs w:val="1"/>
          <w:color w:val="188038"/>
          <w:rtl w:val="0"/>
        </w:rPr>
        <w:t xml:space="preserve">laneOrigin</w:t>
      </w:r>
      <w:r w:rsidDel="00000000" w:rsidR="00000000" w:rsidRPr="00000000">
        <w:rPr>
          <w:b w:val="1"/>
          <w:bCs w:val="1"/>
          <w:rtl w:val="0"/>
        </w:rPr>
        <w:t xml:space="preserve"> Constant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type specifies </w:t>
      </w:r>
      <w:r w:rsidDel="00000000" w:rsidR="00000000" w:rsidRPr="00000000">
        <w:rPr>
          <w:rFonts w:ascii="Roboto Mono" w:cs="Roboto Mono" w:eastAsia="Roboto Mono" w:hAnsi="Roboto Mono"/>
          <w:color w:val="188038"/>
          <w:rtl w:val="0"/>
        </w:rPr>
        <w:t xml:space="preserve">laneOrigin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const: "ANCHORING_LANE"</w:t>
      </w:r>
      <w:r w:rsidDel="00000000" w:rsidR="00000000" w:rsidRPr="00000000">
        <w:rPr>
          <w:rtl w:val="0"/>
        </w:rPr>
        <w:t xml:space="preserve">. Any Permission Token carrying </w:t>
      </w:r>
      <w:r w:rsidDel="00000000" w:rsidR="00000000" w:rsidRPr="00000000">
        <w:rPr>
          <w:rFonts w:ascii="Roboto Mono" w:cs="Roboto Mono" w:eastAsia="Roboto Mono" w:hAnsi="Roboto Mono"/>
          <w:color w:val="188038"/>
          <w:rtl w:val="0"/>
        </w:rPr>
        <w:t xml:space="preserve">laneOrigin: "INFERENCE_LANE"</w:t>
      </w:r>
      <w:r w:rsidDel="00000000" w:rsidR="00000000" w:rsidRPr="00000000">
        <w:rPr>
          <w:rtl w:val="0"/>
        </w:rPr>
        <w:t xml:space="preserve"> is schema-invalid. The Inference Lane cannot produce a valid Permission Token by specification.</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Layer 3 - TSLF-StateP1 Required Fields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TSLF-StateP1</w:t>
      </w:r>
      <w:r w:rsidDel="00000000" w:rsidR="00000000" w:rsidRPr="00000000">
        <w:rPr>
          <w:rtl w:val="0"/>
        </w:rPr>
        <w:t xml:space="preserve"> log schema lists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in its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array alongside </w:t>
      </w:r>
      <w:r w:rsidDel="00000000" w:rsidR="00000000" w:rsidRPr="00000000">
        <w:rPr>
          <w:rFonts w:ascii="Roboto Mono" w:cs="Roboto Mono" w:eastAsia="Roboto Mono" w:hAnsi="Roboto Mono"/>
          <w:color w:val="188038"/>
          <w:rtl w:val="0"/>
        </w:rPr>
        <w:t xml:space="preserve">ethicalVerification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theSignature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auditProof</w:t>
      </w:r>
      <w:r w:rsidDel="00000000" w:rsidR="00000000" w:rsidRPr="00000000">
        <w:rPr>
          <w:rtl w:val="0"/>
        </w:rPr>
        <w:t xml:space="preserve">. A Proceed log without all four is invalid. The </w:t>
      </w:r>
      <w:r w:rsidDel="00000000" w:rsidR="00000000" w:rsidRPr="00000000">
        <w:rPr>
          <w:rFonts w:ascii="Roboto Mono" w:cs="Roboto Mono" w:eastAsia="Roboto Mono" w:hAnsi="Roboto Mono"/>
          <w:color w:val="188038"/>
          <w:rtl w:val="0"/>
        </w:rPr>
        <w:t xml:space="preserve">committedAt</w:t>
      </w:r>
      <w:r w:rsidDel="00000000" w:rsidR="00000000" w:rsidRPr="00000000">
        <w:rPr>
          <w:rtl w:val="0"/>
        </w:rPr>
        <w:t xml:space="preserve"> field documents the pre-actuation commit timestamp: the log must be committed before the Permission Token is released. Authorization cannot precede the log; the temporal ordering is schema-enforced.</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Layer 4 - AuditProof Cross-Reference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AuditProof</w:t>
      </w:r>
      <w:r w:rsidDel="00000000" w:rsidR="00000000" w:rsidRPr="00000000">
        <w:rPr>
          <w:rtl w:val="0"/>
        </w:rPr>
        <w:t xml:space="preserve"> type binds the Permission Token to the anchored log at the proof layer. Its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must match the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in the token; its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must match the token's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its </w:t>
      </w:r>
      <w:r w:rsidDel="00000000" w:rsidR="00000000" w:rsidRPr="00000000">
        <w:rPr>
          <w:rFonts w:ascii="Roboto Mono" w:cs="Roboto Mono" w:eastAsia="Roboto Mono" w:hAnsi="Roboto Mono"/>
          <w:color w:val="188038"/>
          <w:rtl w:val="0"/>
        </w:rPr>
        <w:t xml:space="preserve">inclusionPath</w:t>
      </w:r>
      <w:r w:rsidDel="00000000" w:rsidR="00000000" w:rsidRPr="00000000">
        <w:rPr>
          <w:rtl w:val="0"/>
        </w:rPr>
        <w:t xml:space="preserve"> array provides the cryptographic proof of log inclusion in the Merkle batch. The chain from Permission Token to public blockchain anchor is traversable by any auditor without operator cooperation.</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Layer 5 - On-Chain ABI Enforcement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TML_Core.registerPermissionToken</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tml_abi.json</w:t>
      </w:r>
      <w:r w:rsidDel="00000000" w:rsidR="00000000" w:rsidRPr="00000000">
        <w:rPr>
          <w:rtl w:val="0"/>
        </w:rPr>
        <w:t xml:space="preserve"> reverts with the </w:t>
      </w:r>
      <w:r w:rsidDel="00000000" w:rsidR="00000000" w:rsidRPr="00000000">
        <w:rPr>
          <w:rFonts w:ascii="Roboto Mono" w:cs="Roboto Mono" w:eastAsia="Roboto Mono" w:hAnsi="Roboto Mono"/>
          <w:color w:val="188038"/>
          <w:rtl w:val="0"/>
        </w:rPr>
        <w:t xml:space="preserve">NoLogNoAction</w:t>
      </w:r>
      <w:r w:rsidDel="00000000" w:rsidR="00000000" w:rsidRPr="00000000">
        <w:rPr>
          <w:rtl w:val="0"/>
        </w:rPr>
        <w:t xml:space="preserve"> custom error when a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is not provably included in a previously anchored Merkle root</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[6]</w:t>
        </w:r>
      </w:hyperlink>
      <w:r w:rsidDel="00000000" w:rsidR="00000000" w:rsidRPr="00000000">
        <w:rPr>
          <w:rtl w:val="0"/>
        </w:rPr>
        <w:t xml:space="preserve">. Even if a Permission Token were constructed that passed all four prior schema validations, its registration on-chain would fail unless the authorizing log is already anchored. The public blockchain is the final arbiter of token validity; it cannot be overridden by any off-chain operation.</w:t>
      </w:r>
    </w:p>
    <w:p w:rsidR="00000000" w:rsidDel="00000000" w:rsidP="00000000" w:rsidRDefault="00000000" w:rsidRPr="00000000" w14:paraId="0000018B">
      <w:pPr>
        <w:spacing w:after="240" w:before="240" w:lineRule="auto"/>
        <w:rPr/>
      </w:pPr>
      <w:r w:rsidDel="00000000" w:rsidR="00000000" w:rsidRPr="00000000">
        <w:rPr>
          <w:rtl w:val="0"/>
        </w:rPr>
        <w:t xml:space="preserve">The aggregate effect of these five enforcement layers is a system in which it is architecturally impossible to execute a governed action without a complete, signed, anchored evidentiary record of the decision. This shifts the burden of proof in any subsequent legal or regulatory proceeding from the subject of the automated decision (who currently must prove the AI erred with access to no evidence the system is required to produce) to the operator (who must produce the log to prove the system functioned correctly, and whose inability to produce the log constitutes prima facie evidence of either system failure or tampering).</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5kl7o52omhci" w:id="26"/>
      <w:bookmarkEnd w:id="26"/>
      <w:r w:rsidDel="00000000" w:rsidR="00000000" w:rsidRPr="00000000">
        <w:rPr>
          <w:b w:val="1"/>
          <w:bCs w:val="1"/>
          <w:color w:val="000000"/>
          <w:sz w:val="26"/>
          <w:szCs w:val="26"/>
          <w:rtl w:val="0"/>
        </w:rPr>
        <w:t xml:space="preserve">2.4 The Eight Pillars of Enforcement</w:t>
      </w:r>
    </w:p>
    <w:p w:rsidR="00000000" w:rsidDel="00000000" w:rsidP="00000000" w:rsidRDefault="00000000" w:rsidRPr="00000000" w14:paraId="0000018D">
      <w:pPr>
        <w:spacing w:after="240" w:before="240" w:lineRule="auto"/>
        <w:rPr/>
      </w:pPr>
      <w:r w:rsidDel="00000000" w:rsidR="00000000" w:rsidRPr="00000000">
        <w:rPr>
          <w:rtl w:val="0"/>
        </w:rPr>
        <w:t xml:space="preserve">The operational efficacy of Ternary Moral Logic does not derive from a single algorithm, a fine-tuned model, or a standalone policy document. It is established through an interdependent architecture of eight pillars. These pillars function as a unified governance stack, transforming abstract ethical principles into hard-coded, immutable operational constraints. They are not optional features that operators may selectively implement; they are the load-bearing walls of the architecture. If any pillar is compromised, the system does not degrade gracefully; it ceases to operate, adhering to the axiom that the right to hesitate, the obligation to remember, and the covenant of the Goukassian Promise are not negotiable operational parameters.</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Table 2.2: The Eight Pillars of TML Enforcement</w:t>
      </w:r>
    </w:p>
    <w:tbl>
      <w:tblPr>
        <w:tblStyle w:val="Table2"/>
        <w:tblW w:w="9360.0" w:type="dxa"/>
        <w:jc w:val="left"/>
        <w:tblLayout w:type="fixed"/>
        <w:tblLook w:val="0600"/>
      </w:tblPr>
      <w:tblGrid>
        <w:gridCol w:w="765.2529381706694"/>
        <w:gridCol w:w="1697.9049565661728"/>
        <w:gridCol w:w="3190.148185998978"/>
        <w:gridCol w:w="3706.69391926418"/>
        <w:tblGridChange w:id="0">
          <w:tblGrid>
            <w:gridCol w:w="765.2529381706694"/>
            <w:gridCol w:w="1697.9049565661728"/>
            <w:gridCol w:w="3190.148185998978"/>
            <w:gridCol w:w="3706.69391926418"/>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b w:val="1"/>
                <w:bCs w:val="1"/>
                <w:rtl w:val="0"/>
              </w:rPr>
              <w:t xml:space="preserve">Pillar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b w:val="1"/>
                <w:bCs w:val="1"/>
                <w:rtl w:val="0"/>
              </w:rPr>
              <w:t xml:space="preserve">Component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bCs w:val="1"/>
                <w:rtl w:val="0"/>
              </w:rPr>
              <w:t xml:space="preserve">Function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Key Technical Mechanism</w:t>
            </w:r>
            <w:r w:rsidDel="00000000" w:rsidR="00000000" w:rsidRPr="00000000">
              <w:rPr>
                <w:rtl w:val="0"/>
              </w:rPr>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b w:val="1"/>
                <w:bCs w:val="1"/>
                <w:rtl w:val="0"/>
              </w:rPr>
              <w:t xml:space="preserve">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Sacred Zero</w:t>
            </w:r>
          </w:p>
        </w:tc>
        <w:tc>
          <w:tcP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Mandatory hesitation state; the architecture of epistemic humility.</w:t>
            </w:r>
          </w:p>
        </w:tc>
        <w:tc>
          <w:tcP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Triadic state machine; blocking semaphore; DITL NULL state at hardware layer.</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b w:val="1"/>
                <w:bCs w:val="1"/>
                <w:rtl w:val="0"/>
              </w:rPr>
              <w:t xml:space="preserve">II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Always Memory</w:t>
            </w:r>
          </w:p>
        </w:tc>
        <w:tc>
          <w:tcP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Pre-actuation log commitment; the persistence of act as evidentiary requirement.</w:t>
            </w:r>
          </w:p>
        </w:tc>
        <w:tc>
          <w:tcP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Cryptographic pre-commitment; log-derived decryption key for actuator.</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b w:val="1"/>
                <w:bCs w:val="1"/>
                <w:rtl w:val="0"/>
              </w:rPr>
              <w:t xml:space="preserve">III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Goukassian Promise</w:t>
            </w:r>
          </w:p>
        </w:tc>
        <w:tc>
          <w:tcP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Socio-technical covenant binding operator to framework intent.</w:t>
            </w:r>
          </w:p>
        </w:tc>
        <w:tc>
          <w:tcP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Lantern trustmark; HSM-backed Signature; License smart contract.</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b w:val="1"/>
                <w:bCs w:val="1"/>
                <w:rtl w:val="0"/>
              </w:rPr>
              <w:t xml:space="preserve">IV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Moral Trace Logs</w:t>
            </w:r>
          </w:p>
        </w:tc>
        <w:tc>
          <w:tcP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Forensic record of reasoning, alternatives, and deliberation context.</w:t>
            </w:r>
          </w:p>
        </w:tc>
        <w:tc>
          <w:tcP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TSLF schema; Ephemeral Key Rotation; append-only write-once storage.</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bCs w:val="1"/>
                <w:rtl w:val="0"/>
              </w:rPr>
              <w:t xml:space="preserve">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Human Rights Mandate</w:t>
            </w:r>
          </w:p>
        </w:tc>
        <w:tc>
          <w:tcP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Veto authority of UDHR and Geneva Convention provisions.</w:t>
            </w:r>
          </w:p>
        </w:tc>
        <w:tc>
          <w:tcP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Semantic vector proximity detection; cosine similarity threshold enforcement.</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b w:val="1"/>
                <w:bCs w:val="1"/>
                <w:rtl w:val="0"/>
              </w:rPr>
              <w:t xml:space="preserve">VI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Earth Protection Mandate</w:t>
            </w:r>
          </w:p>
        </w:tc>
        <w:tc>
          <w:tcP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Veto authority of planetary boundary and climate treaty provisions.</w:t>
            </w:r>
          </w:p>
        </w:tc>
        <w:tc>
          <w:tcP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Carbon cost accounting; Paris Agreement vector embeddings; real-time grid intensity APIs.</w:t>
            </w:r>
          </w:p>
        </w:tc>
      </w:tr>
      <w:tr>
        <w:trPr>
          <w:cantSplit w:val="0"/>
          <w:trHeight w:val="13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b w:val="1"/>
                <w:bCs w:val="1"/>
                <w:rtl w:val="0"/>
              </w:rPr>
              <w:t xml:space="preserve">VII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Hybrid Shield</w:t>
            </w:r>
          </w:p>
        </w:tc>
        <w:tc>
          <w:tcP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Institutional redundancy preventing centralized cover-up or single-point capture.</w:t>
            </w:r>
          </w:p>
        </w:tc>
        <w:tc>
          <w:tcP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Tri-Cameral governance with open institutional seats; distributed key custody; multi-jurisdictional log replication.</w:t>
            </w:r>
          </w:p>
        </w:tc>
      </w:tr>
      <w:tr>
        <w:trPr>
          <w:cantSplit w:val="0"/>
          <w:trHeight w:val="13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b w:val="1"/>
                <w:bCs w:val="1"/>
                <w:rtl w:val="0"/>
              </w:rPr>
              <w:t xml:space="preserve">VIII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Public Blockchain Anchors</w:t>
            </w:r>
          </w:p>
        </w:tc>
        <w:tc>
          <w:tcP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Mathematical finality of evidentiary record; tamper-evident public proof of decision history.</w:t>
            </w:r>
          </w:p>
        </w:tc>
        <w:tc>
          <w:tcP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Merkle-batched anchoring; 5-Active + 3-Standby anchor quorum; 3-of-5 Global Confirmation requirement.</w:t>
            </w:r>
          </w:p>
        </w:tc>
      </w:tr>
    </w:tbl>
    <w:p w:rsidR="00000000" w:rsidDel="00000000" w:rsidP="00000000" w:rsidRDefault="00000000" w:rsidRPr="00000000" w14:paraId="000001B3">
      <w:pPr>
        <w:spacing w:after="240" w:before="240" w:lineRule="auto"/>
        <w:rPr/>
      </w:pPr>
      <w:r w:rsidDel="00000000" w:rsidR="00000000" w:rsidRPr="00000000">
        <w:rPr>
          <w:rtl w:val="0"/>
        </w:rPr>
        <w:t xml:space="preserve">The detailed technical specification of each pillar, its purpose, mechanism, legal effect under current and emerging regulatory regimes, operational consequences, measurable outputs, and the specific documented failure modes it prevents, is provided in Section III. What follows here is the architectural synthesis: how the Eight Pillars function together as a unified governance substrate.</w:t>
      </w:r>
    </w:p>
    <w:p w:rsidR="00000000" w:rsidDel="00000000" w:rsidP="00000000" w:rsidRDefault="00000000" w:rsidRPr="00000000" w14:paraId="000001B4">
      <w:pPr>
        <w:spacing w:after="240" w:before="240" w:lineRule="auto"/>
        <w:rPr/>
      </w:pPr>
      <w:r w:rsidDel="00000000" w:rsidR="00000000" w:rsidRPr="00000000">
        <w:rPr>
          <w:rtl w:val="0"/>
        </w:rPr>
        <w:t xml:space="preserve">The pillars operate across three layers of the governance stack. </w:t>
      </w:r>
      <w:r w:rsidDel="00000000" w:rsidR="00000000" w:rsidRPr="00000000">
        <w:rPr>
          <w:b w:val="1"/>
          <w:bCs w:val="1"/>
          <w:rtl w:val="0"/>
        </w:rPr>
        <w:t xml:space="preserve">Pillars I, II, and IV</w:t>
      </w:r>
      <w:r w:rsidDel="00000000" w:rsidR="00000000" w:rsidRPr="00000000">
        <w:rPr>
          <w:rtl w:val="0"/>
        </w:rPr>
        <w:t xml:space="preserve"> constitute the </w:t>
      </w:r>
      <w:r w:rsidDel="00000000" w:rsidR="00000000" w:rsidRPr="00000000">
        <w:rPr>
          <w:b w:val="1"/>
          <w:bCs w:val="1"/>
          <w:rtl w:val="0"/>
        </w:rPr>
        <w:t xml:space="preserve">evidentiary layer</w:t>
      </w:r>
      <w:r w:rsidDel="00000000" w:rsidR="00000000" w:rsidRPr="00000000">
        <w:rPr>
          <w:rtl w:val="0"/>
        </w:rPr>
        <w:t xml:space="preserve">: they ensure that every decision is hesitated over when warranted, that hesitation and action both produce permanent records, and that those records capture not merely the outcome but the reasoning, the alternatives considered, and the uncertainty quantification at the time of decision. </w:t>
      </w:r>
      <w:r w:rsidDel="00000000" w:rsidR="00000000" w:rsidRPr="00000000">
        <w:rPr>
          <w:b w:val="1"/>
          <w:bCs w:val="1"/>
          <w:rtl w:val="0"/>
        </w:rPr>
        <w:t xml:space="preserve">Pillars III, V, and VI</w:t>
      </w:r>
      <w:r w:rsidDel="00000000" w:rsidR="00000000" w:rsidRPr="00000000">
        <w:rPr>
          <w:rtl w:val="0"/>
        </w:rPr>
        <w:t xml:space="preserve"> constitute the </w:t>
      </w:r>
      <w:r w:rsidDel="00000000" w:rsidR="00000000" w:rsidRPr="00000000">
        <w:rPr>
          <w:b w:val="1"/>
          <w:bCs w:val="1"/>
          <w:rtl w:val="0"/>
        </w:rPr>
        <w:t xml:space="preserve">mandate layer</w:t>
      </w:r>
      <w:r w:rsidDel="00000000" w:rsidR="00000000" w:rsidRPr="00000000">
        <w:rPr>
          <w:rtl w:val="0"/>
        </w:rPr>
        <w:t xml:space="preserve">: they bind the system to its creator's intent, to international human rights law, and to planetary boundaries, through mechanisms that operate independently of operator preference or commercial pressure. </w:t>
      </w:r>
      <w:r w:rsidDel="00000000" w:rsidR="00000000" w:rsidRPr="00000000">
        <w:rPr>
          <w:b w:val="1"/>
          <w:bCs w:val="1"/>
          <w:rtl w:val="0"/>
        </w:rPr>
        <w:t xml:space="preserve">Pillars VII and VIII</w:t>
      </w:r>
      <w:r w:rsidDel="00000000" w:rsidR="00000000" w:rsidRPr="00000000">
        <w:rPr>
          <w:rtl w:val="0"/>
        </w:rPr>
        <w:t xml:space="preserve"> constitute the </w:t>
      </w:r>
      <w:r w:rsidDel="00000000" w:rsidR="00000000" w:rsidRPr="00000000">
        <w:rPr>
          <w:b w:val="1"/>
          <w:bCs w:val="1"/>
          <w:rtl w:val="0"/>
        </w:rPr>
        <w:t xml:space="preserve">perpetuity layer</w:t>
      </w:r>
      <w:r w:rsidDel="00000000" w:rsidR="00000000" w:rsidRPr="00000000">
        <w:rPr>
          <w:rtl w:val="0"/>
        </w:rPr>
        <w:t xml:space="preserve">: they ensure that the evidentiary record cannot be altered, suppressed, or destroyed by any single actor, including the system operator, through a combination of distributed institutional custody and cryptographic anchoring to public, censorship-resistant blockchain infrastructure.</w:t>
      </w:r>
    </w:p>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The interaction between layers is itself specified in the architecture. A Anchoring Lane decision cannot generate a valid Permission Token without satisfying Pillar I (the Sacred Zero deliberation must have occurred), Pillar II (the log must be committed before the token is issued), Pillar IV (the log must conform to the complete TSLF schema), and Pillar VIII (the log must be included in an anchored Merkle batch). A State −1 refusal cannot be considered valid without satisfying Pillars V or VI (the specific Mandate provision violated must be identified in the refusal log). The Goukassian Promise (Pillar III) is asserted in every Moral Trace Log through the mandatory </w:t>
      </w:r>
      <w:r w:rsidDel="00000000" w:rsidR="00000000" w:rsidRPr="00000000">
        <w:rPr>
          <w:rFonts w:ascii="Roboto Mono" w:cs="Roboto Mono" w:eastAsia="Roboto Mono" w:hAnsi="Roboto Mono"/>
          <w:color w:val="188038"/>
          <w:rtl w:val="0"/>
        </w:rPr>
        <w:t xml:space="preserve">theSignature</w:t>
      </w:r>
      <w:r w:rsidDel="00000000" w:rsidR="00000000" w:rsidRPr="00000000">
        <w:rPr>
          <w:rtl w:val="0"/>
        </w:rPr>
        <w:t xml:space="preserve"> field, ensuring that the provenance of every decision in the system can be traced to the root of trust. Pillar VII ensures that this complete evidentiary record exists in across all seated institutional custodians, such that the destruction or alteration of the primary log store exposes the discrepancy immediately through comparison with custodian copies.</w:t>
      </w:r>
    </w:p>
    <w:p w:rsidR="00000000" w:rsidDel="00000000" w:rsidP="00000000" w:rsidRDefault="00000000" w:rsidRPr="00000000" w14:paraId="000001B6">
      <w:pPr>
        <w:spacing w:after="240" w:before="240" w:lineRule="auto"/>
        <w:rPr/>
      </w:pPr>
      <w:r w:rsidDel="00000000" w:rsidR="00000000" w:rsidRPr="00000000">
        <w:rPr>
          <w:rtl w:val="0"/>
        </w:rPr>
        <w:t xml:space="preserve">The Eight Pillars, taken together, implement what this monograph designates as the </w:t>
      </w:r>
      <w:r w:rsidDel="00000000" w:rsidR="00000000" w:rsidRPr="00000000">
        <w:rPr>
          <w:b w:val="1"/>
          <w:bCs w:val="1"/>
          <w:rtl w:val="0"/>
        </w:rPr>
        <w:t xml:space="preserve">Glass House</w:t>
      </w:r>
      <w:r w:rsidDel="00000000" w:rsidR="00000000" w:rsidRPr="00000000">
        <w:rPr>
          <w:rtl w:val="0"/>
        </w:rPr>
        <w:t xml:space="preserve"> architecture: a system in which the internal deliberations of the AI are not hidden in a black box accessible only to the operator but are recorded, signed, anchored, and held in distributed custody such that any actor with legitimate need, regulator, litigant, journalist, civil society organization, can verify the integrity and completeness of the decision record without requiring the operator's cooperation. The Glass House is the technical implementation of the Goukassian Vow's implicit social contract: if you are going to make decisions that affect human beings, you will be visible while making them, and that visibility will persist regardless of what you subsequently wish had remained hidden.</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2oe5wd5mzu5v" w:id="27"/>
      <w:bookmarkEnd w:id="27"/>
      <w:r w:rsidDel="00000000" w:rsidR="00000000" w:rsidRPr="00000000">
        <w:rPr>
          <w:b w:val="1"/>
          <w:bCs w:val="1"/>
          <w:color w:val="000000"/>
          <w:sz w:val="26"/>
          <w:szCs w:val="26"/>
          <w:rtl w:val="0"/>
        </w:rPr>
        <w:t xml:space="preserve">2.5 The Goukassian Promise: The Binding Covenant</w:t>
      </w:r>
    </w:p>
    <w:p w:rsidR="00000000" w:rsidDel="00000000" w:rsidP="00000000" w:rsidRDefault="00000000" w:rsidRPr="00000000" w14:paraId="000001B8">
      <w:pPr>
        <w:spacing w:after="240" w:before="240" w:lineRule="auto"/>
        <w:rPr/>
      </w:pPr>
      <w:r w:rsidDel="00000000" w:rsidR="00000000" w:rsidRPr="00000000">
        <w:rPr>
          <w:rtl w:val="0"/>
        </w:rPr>
        <w:t xml:space="preserve">Ternary Moral Logic recognizes that code is an artifact of human will and is therefore subject to human corruption. The most sophisticated cryptographic architecture and the most rigorously specified </w:t>
      </w:r>
      <w:r w:rsidDel="00000000" w:rsidR="00000000" w:rsidRPr="00000000">
        <w:rPr>
          <w:b w:val="1"/>
          <w:bCs w:val="1"/>
          <w:rtl w:val="0"/>
        </w:rPr>
        <w:t xml:space="preserve">constraints</w:t>
      </w:r>
      <w:r w:rsidDel="00000000" w:rsidR="00000000" w:rsidRPr="00000000">
        <w:rPr>
          <w:rtl w:val="0"/>
        </w:rPr>
        <w:t xml:space="preserve"> are vulnerable to a single class of attack that no technical mechanism can fully prevent: the decision by the system operator to simply remove the constraints. The Goukassian Promise is the mechanism designed to make that removal costly, visible, and legally consequential.</w:t>
      </w:r>
    </w:p>
    <w:p w:rsidR="00000000" w:rsidDel="00000000" w:rsidP="00000000" w:rsidRDefault="00000000" w:rsidRPr="00000000" w14:paraId="000001B9">
      <w:pPr>
        <w:spacing w:after="240" w:before="240" w:lineRule="auto"/>
        <w:rPr/>
      </w:pPr>
      <w:r w:rsidDel="00000000" w:rsidR="00000000" w:rsidRPr="00000000">
        <w:rPr>
          <w:rtl w:val="0"/>
        </w:rPr>
        <w:t xml:space="preserve">The Goukassian Promise is a tripartite socio-technical covenant composed of three artifacts: the Lantern, the Signature, and the License, that together bind the operator to the framework's intent across three independent enforcement domains: reputational, cryptographic, and legal.</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The Lantern (🏮)</w:t>
      </w:r>
      <w:r w:rsidDel="00000000" w:rsidR="00000000" w:rsidRPr="00000000">
        <w:rPr>
          <w:rtl w:val="0"/>
        </w:rPr>
        <w:t xml:space="preserve"> is a dynamic compliance beacon that must be present in the system's user interface and embedded in every Moral Trace Log header. It signals active compliance with all Eight Pillars and current operation of the Sacred Zero monitoring subsystem. The Lantern is not a badge that an operator can claim; it is a smart-contract-controlled signal that requires continuous satisfaction of hash-verified integrity checks on the core governance code. If the system detects that the Human Rights Mandate vectors have been modified, the Sacred Zero threshold has been disabled, or the Anchoring Lane has been bypassed, the smart contract detects the hash mismatch and automatically revokes the Lantern token, broadcasting a public signal that the system is operating outside its specified parameters. This dead-man's switch for compliance means that a system that has been tampered with cannot present itself as TML-compliant; the tampering is publicly visible</w:t>
      </w:r>
      <w:hyperlink r:id="rId91">
        <w:r w:rsidDel="00000000" w:rsidR="00000000" w:rsidRPr="00000000">
          <w:rPr>
            <w:rtl w:val="0"/>
          </w:rPr>
          <w:t xml:space="preserve"> </w:t>
        </w:r>
      </w:hyperlink>
      <w:hyperlink r:id="rId9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The Signature (✍️)</w:t>
      </w:r>
      <w:r w:rsidDel="00000000" w:rsidR="00000000" w:rsidRPr="00000000">
        <w:rPr>
          <w:rtl w:val="0"/>
        </w:rPr>
        <w:t xml:space="preserve"> is a cryptographic chain of provenance that embeds the creator's ORCID (0009-0006-5966-1243) and the version hash of the TML standard into the system's genesis block of the logging chain. This ensures that the authorship and original intent of the framework cannot be whitewashed. An operator who modifies TML to remove the Earth Protection Mandate, weakens the Sacred Zero threshold, or disables the "No Spy, No Weapon" prohibitions cannot sign the modified system with the valid TML root key. The modified system is not TML; it is a forgery of TML, and the Signature makes that forgery cryptographically demonstrable. The Signature also creates an unbroken chain of custody from the original intent to every runtime execution, preventing operators from claiming "proprietary complexity" to obscure the origins of their safety failures</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The License (📜)</w:t>
      </w:r>
      <w:r w:rsidDel="00000000" w:rsidR="00000000" w:rsidRPr="00000000">
        <w:rPr>
          <w:rtl w:val="0"/>
        </w:rPr>
        <w:t xml:space="preserve"> is the legal layer of the covenant. It constitutes a binding contract under applicable intellectual property and contract law, explicitly prohibiting the use of TML-branded systems for surveillance ("No Spy") or lethal weaponry ("No Weapon") without mandated human oversight. The prohibitions are encoded not merely as license text but as functional constraints in the system's initialization sequence: TML-branded systems that detect initialization in environments with military targeting API endpoints or surveillance dragnet input patterns are designed to fail license validation and cease function. A violation of the License's prohibitions constitutes simultaneously a breach of contract, potential false advertising, and an automatic intellectual property claim against the operator's use of the TML framework</w:t>
      </w:r>
      <w:hyperlink r:id="rId95">
        <w:r w:rsidDel="00000000" w:rsidR="00000000" w:rsidRPr="00000000">
          <w:rPr>
            <w:rtl w:val="0"/>
          </w:rPr>
          <w:t xml:space="preserve"> </w:t>
        </w:r>
      </w:hyperlink>
      <w:hyperlink r:id="rId9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BD">
      <w:pPr>
        <w:spacing w:after="240" w:before="240" w:lineRule="auto"/>
        <w:rPr/>
      </w:pPr>
      <w:r w:rsidDel="00000000" w:rsidR="00000000" w:rsidRPr="00000000">
        <w:rPr>
          <w:rtl w:val="0"/>
        </w:rPr>
        <w:t xml:space="preserve">The three artifacts operate across reputational, cryptographic, and legal enforcement domains respectively because no single domain is sufficient for durable protection. Reputational enforcement through the Lantern creates immediate public visibility of violation. Cryptographic enforcement through the Signature makes modification of the framework demonstrable without relying on the operator's disclosure. Legal enforcement through the License creates financial and regulatory consequences for violation that persist independent of the technical state of the system. Together, they constitute a multi-domain entrenchment mechanism: the framework's constraints are not merely technically robust but institutionally entrenched across multiple independent enforcement channels, such that circumventing all three simultaneously would require a coordination of technical capability, legal risk tolerance, and reputational recklessness that substantially exceeds what any legitimate operator would undertake.</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lzaa0xk81ra0" w:id="28"/>
      <w:bookmarkEnd w:id="28"/>
      <w:r w:rsidDel="00000000" w:rsidR="00000000" w:rsidRPr="00000000">
        <w:rPr>
          <w:b w:val="1"/>
          <w:bCs w:val="1"/>
          <w:color w:val="000000"/>
          <w:sz w:val="26"/>
          <w:szCs w:val="26"/>
          <w:rtl w:val="0"/>
        </w:rPr>
        <w:t xml:space="preserve">2.6 Performance Model: The Economics of Governed Inference</w:t>
      </w:r>
    </w:p>
    <w:p w:rsidR="00000000" w:rsidDel="00000000" w:rsidP="00000000" w:rsidRDefault="00000000" w:rsidRPr="00000000" w14:paraId="000001BF">
      <w:pPr>
        <w:spacing w:after="240" w:before="240" w:lineRule="auto"/>
        <w:rPr/>
      </w:pPr>
      <w:r w:rsidDel="00000000" w:rsidR="00000000" w:rsidRPr="00000000">
        <w:rPr>
          <w:rtl w:val="0"/>
        </w:rPr>
        <w:t xml:space="preserve">A primary objection to governance overhead in AI systems has historically been the cost of latency</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[19]</w:t>
        </w:r>
      </w:hyperlink>
      <w:r w:rsidDel="00000000" w:rsidR="00000000" w:rsidRPr="00000000">
        <w:rPr>
          <w:rtl w:val="0"/>
        </w:rPr>
        <w:t xml:space="preserve">. In high-frequency environments, algorithmic trading, autonomous vehicle control, real-time conversational agents, milliseconds determine commercial viability. Introducing complex governance checks, cryptographic logging, and Merkle anchoring operations into the inference cycle of every decision would render governed systems commercially uncompetitive. The Dual-Lane Architecture resolves this objection through parallel processing that decouples the speed of inference from the rigor of governance.</w:t>
      </w:r>
    </w:p>
    <w:p w:rsidR="00000000" w:rsidDel="00000000" w:rsidP="00000000" w:rsidRDefault="00000000" w:rsidRPr="00000000" w14:paraId="000001C0">
      <w:pPr>
        <w:spacing w:after="240" w:before="240" w:lineRule="auto"/>
        <w:rPr/>
      </w:pPr>
      <w:r w:rsidDel="00000000" w:rsidR="00000000" w:rsidRPr="00000000">
        <w:rPr>
          <w:rtl w:val="0"/>
        </w:rPr>
        <w:t xml:space="preserve">The performance model for TML operates on three latency categories:</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State +1 (Clear Proceed, Standard Path):</w:t>
      </w:r>
      <w:r w:rsidDel="00000000" w:rsidR="00000000" w:rsidRPr="00000000">
        <w:rPr>
          <w:rtl w:val="0"/>
        </w:rPr>
        <w:t xml:space="preserve"> Lane 1 inference completes in its native latency (sub-millisecond for most production inference systems). Lane 2 governance operates asynchronously; the Permission Token is returned to Lane 1 within the 500ms Anchoring Lane budget. For non-time-critical applications, the end-to-end latency is dominated by Lane 1 inference plus Permission Token round-trip. For time-critical applications, Permission Token pre-computation against anticipated decision classes reduces effective governance overhead to near zero for the standard path.</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State 0 (Sacred Zero, Deliberation Path):</w:t>
      </w:r>
      <w:r w:rsidDel="00000000" w:rsidR="00000000" w:rsidRPr="00000000">
        <w:rPr>
          <w:rtl w:val="0"/>
        </w:rPr>
        <w:t xml:space="preserve"> Latency is variable by design. The domain-specific maximum deliberation period, 50 milliseconds for high-frequency trading circuit-breaker function, 100 milliseconds for AI inference governance, 24 hours for trade settlement, 72 hours for supply chain verification, defines the upper bound. Within this period, the Sacred Pause is actively productive; it is not dead latency but governance-productive activity. The Sacred Zero is not a performance cost to be minimized; it is the price of </w:t>
      </w:r>
      <w:r w:rsidDel="00000000" w:rsidR="00000000" w:rsidRPr="00000000">
        <w:rPr>
          <w:b w:val="1"/>
          <w:bCs w:val="1"/>
          <w:rtl w:val="0"/>
        </w:rPr>
        <w:t xml:space="preserve">accountability</w:t>
      </w:r>
      <w:r w:rsidDel="00000000" w:rsidR="00000000" w:rsidRPr="00000000">
        <w:rPr>
          <w:rtl w:val="0"/>
        </w:rPr>
        <w:t xml:space="preserve"> for decisions that fall within the ambiguity zone.</w:t>
      </w:r>
    </w:p>
    <w:p w:rsidR="00000000" w:rsidDel="00000000" w:rsidP="00000000" w:rsidRDefault="00000000" w:rsidRPr="00000000" w14:paraId="000001C3">
      <w:pPr>
        <w:spacing w:after="240" w:before="240" w:lineRule="auto"/>
        <w:rPr/>
      </w:pPr>
      <w:r w:rsidDel="00000000" w:rsidR="00000000" w:rsidRPr="00000000">
        <w:rPr>
          <w:rFonts w:ascii="Arial Unicode MS" w:cs="Arial Unicode MS" w:eastAsia="Arial Unicode MS" w:hAnsi="Arial Unicode MS"/>
          <w:b w:val="1"/>
          <w:bCs w:val="1"/>
          <w:rtl w:val="0"/>
        </w:rPr>
        <w:t xml:space="preserve">State −1 (Refuse, Block Path):</w:t>
      </w:r>
      <w:r w:rsidDel="00000000" w:rsidR="00000000" w:rsidRPr="00000000">
        <w:rPr>
          <w:rFonts w:ascii="Arial Unicode MS" w:cs="Arial Unicode MS" w:eastAsia="Arial Unicode MS" w:hAnsi="Arial Unicode MS"/>
          <w:rtl w:val="0"/>
        </w:rPr>
        <w:t xml:space="preserve"> Refusal is instantaneous at the permission layer. The null token that blocks execution pathways propagates without delay; no Permission Token generation process is initiated. The cost of State −1 is the cost of generating the refusal log and completing Merkle anchoring of the refusal record, which falls within the standard Anchoring Lane budget.</w:t>
      </w:r>
    </w:p>
    <w:p w:rsidR="00000000" w:rsidDel="00000000" w:rsidP="00000000" w:rsidRDefault="00000000" w:rsidRPr="00000000" w14:paraId="000001C4">
      <w:pPr>
        <w:spacing w:after="240" w:before="240" w:lineRule="auto"/>
        <w:rPr/>
      </w:pPr>
      <w:r w:rsidDel="00000000" w:rsidR="00000000" w:rsidRPr="00000000">
        <w:rPr>
          <w:rFonts w:ascii="Arial Unicode MS" w:cs="Arial Unicode MS" w:eastAsia="Arial Unicode MS" w:hAnsi="Arial Unicode MS"/>
          <w:rtl w:val="0"/>
        </w:rPr>
        <w:t xml:space="preserve">The critical performance insight is that governance overhead is concentrated in the Sacred Zero path, which by design should represent a minority of total inference volume, the fraction of decisions that genuinely warrant structured deliberation. For a well-calibrated TML deployment, Sacred Zero rate should be in the range of 1-5% of total inference volume, with the remainder resolving through the standard State +1 or State −1 paths at latencies that do not materially affect system throughput.</w:t>
      </w:r>
    </w:p>
    <w:p w:rsidR="00000000" w:rsidDel="00000000" w:rsidP="00000000" w:rsidRDefault="00000000" w:rsidRPr="00000000" w14:paraId="000001C5">
      <w:pPr>
        <w:spacing w:after="240" w:before="240" w:lineRule="auto"/>
        <w:rPr/>
      </w:pPr>
      <w:r w:rsidDel="00000000" w:rsidR="00000000" w:rsidRPr="00000000">
        <w:rPr>
          <w:rtl w:val="0"/>
        </w:rPr>
        <w:t xml:space="preserve">The economic argument for TML governance is ultimately not about latency minimization but about risk-adjusted cost comparison. The documented cost of ungoverned binary systems, one trillion dollars in fourteen minutes for the 2010 Flash Crash</w:t>
      </w:r>
      <w:hyperlink r:id="rId99">
        <w:r w:rsidDel="00000000" w:rsidR="00000000" w:rsidRPr="00000000">
          <w:rPr>
            <w:rtl w:val="0"/>
          </w:rPr>
          <w:t xml:space="preserve"> </w:t>
        </w:r>
      </w:hyperlink>
      <w:hyperlink r:id="rId100">
        <w:r w:rsidDel="00000000" w:rsidR="00000000" w:rsidRPr="00000000">
          <w:rPr>
            <w:color w:val="1155cc"/>
            <w:u w:val="single"/>
            <w:rtl w:val="0"/>
          </w:rPr>
          <w:t xml:space="preserve">[6]</w:t>
        </w:r>
      </w:hyperlink>
      <w:r w:rsidDel="00000000" w:rsidR="00000000" w:rsidRPr="00000000">
        <w:rPr>
          <w:rtl w:val="0"/>
        </w:rPr>
        <w:t xml:space="preserve">, the political and legal cost of Robodebt across three years of unlawful operation</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[7]</w:t>
        </w:r>
      </w:hyperlink>
      <w:r w:rsidDel="00000000" w:rsidR="00000000" w:rsidRPr="00000000">
        <w:rPr>
          <w:rtl w:val="0"/>
        </w:rPr>
        <w:t xml:space="preserve">, the institutional cost of the Toeslagenaffaire across a decade of discriminatory administration</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[9]</w:t>
        </w:r>
      </w:hyperlink>
      <w:r w:rsidDel="00000000" w:rsidR="00000000" w:rsidRPr="00000000">
        <w:rPr>
          <w:rtl w:val="0"/>
        </w:rPr>
        <w:t xml:space="preserve">, substantially exceeds the cost of governance infrastructure. The economics of trust, properly accounted, favor the architecture that generates auditable evidence of due diligence over the architecture that produces liability exposure through undocumented automated harm.</w:t>
      </w:r>
    </w:p>
    <w:p w:rsidR="00000000" w:rsidDel="00000000" w:rsidP="00000000" w:rsidRDefault="00000000" w:rsidRPr="00000000" w14:paraId="000001C6">
      <w:pPr>
        <w:spacing w:after="240" w:before="240" w:lineRule="auto"/>
        <w:rPr/>
      </w:pPr>
      <w:r w:rsidDel="00000000" w:rsidR="00000000" w:rsidRPr="00000000">
        <w:rPr>
          <w:rtl w:val="0"/>
        </w:rPr>
        <w:t xml:space="preserve">TML further generates direct economic value through mechanisms that ungoverned architectures cannot provide. The Moral Trace Logs enable accurate actuarial pricing for AI liability insurance, because insurers can assess risk based on the stability of a system's Sacred Zero triggers and the quality of its archived deliberations rather than relying on the operator's representations about a black box</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[1]</w:t>
        </w:r>
      </w:hyperlink>
      <w:r w:rsidDel="00000000" w:rsidR="00000000" w:rsidRPr="00000000">
        <w:rPr>
          <w:rtl w:val="0"/>
        </w:rPr>
        <w:t xml:space="preserve">. The Merkle anchoring infrastructure enables compliance-as-a-service economies where third-party auditors can verify a system's operational history by checking public Merkle roots without requiring access to proprietary model weights or private user data. The Goukassian Promise's License structure enables parametric insurance products and performance bond mechanisms tied to compliance metrics. The Glass House architecture of TML is not merely an ethical requirement; it is a competitive advantage in a regulatory environment that is rapidly moving toward mandatory evidentiary accountability for high-stakes AI deployment.</w:t>
      </w:r>
    </w:p>
    <w:p w:rsidR="00000000" w:rsidDel="00000000" w:rsidP="00000000" w:rsidRDefault="00000000" w:rsidRPr="00000000" w14:paraId="000001C7">
      <w:pPr>
        <w:pStyle w:val="Heading2"/>
        <w:keepNext w:val="0"/>
        <w:keepLines w:val="0"/>
        <w:rPr>
          <w:color w:val="000000"/>
          <w:sz w:val="34"/>
          <w:szCs w:val="34"/>
        </w:rPr>
      </w:pPr>
      <w:bookmarkStart w:colFirst="0" w:colLast="0" w:name="_1fk8gxxmgc4p" w:id="29"/>
      <w:bookmarkEnd w:id="29"/>
      <w:r w:rsidDel="00000000" w:rsidR="00000000" w:rsidRPr="00000000">
        <w:rPr>
          <w:color w:val="000000"/>
          <w:sz w:val="34"/>
          <w:szCs w:val="34"/>
          <w:rtl w:val="0"/>
        </w:rPr>
        <w:t xml:space="preserve">Section III: The Eight Pillars of Constitutional AI</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mh332sxbq8va" w:id="30"/>
      <w:bookmarkEnd w:id="30"/>
      <w:r w:rsidDel="00000000" w:rsidR="00000000" w:rsidRPr="00000000">
        <w:rPr>
          <w:b w:val="1"/>
          <w:bCs w:val="1"/>
          <w:color w:val="000000"/>
          <w:sz w:val="26"/>
          <w:szCs w:val="26"/>
          <w:rtl w:val="0"/>
        </w:rPr>
        <w:t xml:space="preserve">3.0 Introduction: The Architecture of Constitutional Enforcement</w:t>
      </w:r>
    </w:p>
    <w:p w:rsidR="00000000" w:rsidDel="00000000" w:rsidP="00000000" w:rsidRDefault="00000000" w:rsidRPr="00000000" w14:paraId="000001C9">
      <w:pPr>
        <w:spacing w:after="240" w:before="240" w:lineRule="auto"/>
        <w:rPr/>
      </w:pPr>
      <w:r w:rsidDel="00000000" w:rsidR="00000000" w:rsidRPr="00000000">
        <w:rPr>
          <w:rtl w:val="0"/>
        </w:rPr>
        <w:t xml:space="preserve">The operational efficacy of Ternary Moral Logic does not derive from a single algorithm, a fine-tuned model weights file, or a standalone policy document. It is established through an interdependent architecture of eight pillars that function as a unified governance stack, transforming abstract ethical principles into hard-coded, immutable operational constraints. Unlike voluntary frameworks that rely on post-hoc compliance audits or "best effort" alignment, approaches that the academic literature has increasingly characterized as "ethics washing"</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[20]</w:t>
        </w:r>
      </w:hyperlink>
      <w:r w:rsidDel="00000000" w:rsidR="00000000" w:rsidRPr="00000000">
        <w:rPr>
          <w:rtl w:val="0"/>
        </w:rPr>
        <w:t xml:space="preserve">, the TML architecture enforces a governance-first execution model in which the validity of an AI action is contingent upon its adherence to all eight structural requirements simultaneously.</w:t>
      </w:r>
    </w:p>
    <w:p w:rsidR="00000000" w:rsidDel="00000000" w:rsidP="00000000" w:rsidRDefault="00000000" w:rsidRPr="00000000" w14:paraId="000001CA">
      <w:pPr>
        <w:spacing w:after="240" w:before="240" w:lineRule="auto"/>
        <w:rPr/>
      </w:pPr>
      <w:r w:rsidDel="00000000" w:rsidR="00000000" w:rsidRPr="00000000">
        <w:rPr>
          <w:rtl w:val="0"/>
        </w:rPr>
        <w:t xml:space="preserve">The pillars are not optional features that operators may selectively implement to achieve partial compliance. They are the load-bearing walls of the architecture. Remove one and the structure fails. A system that implements Pillars I through VII but omits Pillar VIII has no mathematical finality to its evidentiary record; an operator can alter its logs before any audit. A system that implements Pillars I, II, and IV but omits Pillar III has no mechanism preventing commercial actors from claiming compliance while systematically weakening the Sacred Zero threshold. A system that implements all eight pillars in software but omits the hardware enforcement substrate described in Section VI has governance guarantees that survive until the system it governs becomes capable of rewriting the software. The pillars are constitutionally indivisible.</w:t>
      </w:r>
    </w:p>
    <w:p w:rsidR="00000000" w:rsidDel="00000000" w:rsidP="00000000" w:rsidRDefault="00000000" w:rsidRPr="00000000" w14:paraId="000001CB">
      <w:pPr>
        <w:spacing w:after="240" w:before="240" w:lineRule="auto"/>
        <w:rPr/>
      </w:pPr>
      <w:r w:rsidDel="00000000" w:rsidR="00000000" w:rsidRPr="00000000">
        <w:rPr>
          <w:rtl w:val="0"/>
        </w:rPr>
        <w:t xml:space="preserve">This section provides the exhaustive technical and legal analysis of each pillar in the structure established by the framework: purpose and philosophy, technical mechanism, legal effect under current and emerging regulatory regimes, operational consequences for system throughput and architecture, failure cases the pillar prevents, and measurable outputs by which pillar health is monitored and verified.</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8fveaheqm4tb" w:id="31"/>
      <w:bookmarkEnd w:id="31"/>
      <w:r w:rsidDel="00000000" w:rsidR="00000000" w:rsidRPr="00000000">
        <w:rPr>
          <w:b w:val="1"/>
          <w:bCs w:val="1"/>
          <w:color w:val="000000"/>
          <w:sz w:val="26"/>
          <w:szCs w:val="26"/>
          <w:rtl w:val="0"/>
        </w:rPr>
        <w:t xml:space="preserve">3.1 Pillar I: The Sacred Zero (The Architecture of Epistemic Humility)</w:t>
      </w:r>
    </w:p>
    <w:p w:rsidR="00000000" w:rsidDel="00000000" w:rsidP="00000000" w:rsidRDefault="00000000" w:rsidRPr="00000000" w14:paraId="000001CD">
      <w:pPr>
        <w:pStyle w:val="Heading4"/>
        <w:keepNext w:val="0"/>
        <w:keepLines w:val="0"/>
        <w:spacing w:after="40" w:before="240" w:lineRule="auto"/>
        <w:rPr>
          <w:b w:val="1"/>
          <w:bCs w:val="1"/>
          <w:color w:val="000000"/>
          <w:sz w:val="22"/>
          <w:szCs w:val="22"/>
        </w:rPr>
      </w:pPr>
      <w:bookmarkStart w:colFirst="0" w:colLast="0" w:name="_fzx6m5baht9d" w:id="32"/>
      <w:bookmarkEnd w:id="32"/>
      <w:r w:rsidDel="00000000" w:rsidR="00000000" w:rsidRPr="00000000">
        <w:rPr>
          <w:b w:val="1"/>
          <w:bCs w:val="1"/>
          <w:color w:val="000000"/>
          <w:sz w:val="22"/>
          <w:szCs w:val="22"/>
          <w:rtl w:val="0"/>
        </w:rPr>
        <w:t xml:space="preserve">3.1.1 Purpose and Philosophy</w:t>
      </w:r>
    </w:p>
    <w:p w:rsidR="00000000" w:rsidDel="00000000" w:rsidP="00000000" w:rsidRDefault="00000000" w:rsidRPr="00000000" w14:paraId="000001CE">
      <w:pPr>
        <w:spacing w:after="240" w:before="240" w:lineRule="auto"/>
        <w:rPr/>
      </w:pPr>
      <w:r w:rsidDel="00000000" w:rsidR="00000000" w:rsidRPr="00000000">
        <w:rPr>
          <w:rtl w:val="0"/>
        </w:rPr>
        <w:t xml:space="preserve">The Sacred Zero represents the core deviation of Ternary Moral Logic from traditional binary logic systems and from every prior AI governance framework. In standard computational decision-making, systems are optimized to resolve inputs rapidly into binary outputs. This binary imperative creates a "decision forcing function" where ambiguity is statistically collapsed into a confidence score that triggers an action, effectively erasing the uncertainty that preceded it. The erasure is not an accident; it is the intended behavior of a system optimized for throughput. The result is what TML designates as "confident hallucination", the production of certain-appearing outputs from uncertain-grounding premises, at scale, without any architectural record that the uncertainty existed</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CF">
      <w:pPr>
        <w:spacing w:after="240" w:before="240" w:lineRule="auto"/>
        <w:rPr/>
      </w:pPr>
      <w:r w:rsidDel="00000000" w:rsidR="00000000" w:rsidRPr="00000000">
        <w:rPr>
          <w:rtl w:val="0"/>
        </w:rPr>
        <w:t xml:space="preserve">The Sacred Zero introduces a mandatory third logical state that is not a null value, not an error code, not a software flag, and not a timeout. It is an active, governed, productive computational state of </w:t>
      </w:r>
      <w:r w:rsidDel="00000000" w:rsidR="00000000" w:rsidRPr="00000000">
        <w:rPr>
          <w:b w:val="1"/>
          <w:bCs w:val="1"/>
          <w:rtl w:val="0"/>
        </w:rPr>
        <w:t xml:space="preserve">Epistemic Hold</w:t>
      </w:r>
      <w:r w:rsidDel="00000000" w:rsidR="00000000" w:rsidRPr="00000000">
        <w:rPr>
          <w:rtl w:val="0"/>
        </w:rPr>
        <w:t xml:space="preserve">, a state in which the system formally acknowledges the boundary of its reliable knowledge and is constitutionally prohibited from acting across that boundary until the uncertainty resolves. Its purpose is to reclaim the temporal space of hesitation within the machine's processing cycle, to give the system the architectural capacity to say, with full precision, "I am uncertain, and my uncertainty is a reason not to act, not a reason to guess faster."</w:t>
      </w:r>
    </w:p>
    <w:p w:rsidR="00000000" w:rsidDel="00000000" w:rsidP="00000000" w:rsidRDefault="00000000" w:rsidRPr="00000000" w14:paraId="000001D0">
      <w:pPr>
        <w:spacing w:after="240" w:before="240" w:lineRule="auto"/>
        <w:rPr/>
      </w:pPr>
      <w:r w:rsidDel="00000000" w:rsidR="00000000" w:rsidRPr="00000000">
        <w:rPr>
          <w:rtl w:val="0"/>
        </w:rPr>
        <w:t xml:space="preserve">The philosophical lineage of the Sacred Zero reaches to Husserl's epoché, the phenomenological suspension of judgment in the face of insufficient evidence</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[21]</w:t>
        </w:r>
      </w:hyperlink>
      <w:r w:rsidDel="00000000" w:rsidR="00000000" w:rsidRPr="00000000">
        <w:rPr>
          <w:rtl w:val="0"/>
        </w:rPr>
        <w:t xml:space="preserve">, and to the Socratic acknowledgment of ignorance as the beginning of wisdom. In the cognitive science literature, it corresponds to the forced activation of System 2 deliberative reasoning when System 1 fast-heuristic processing produces insufficiently grounded outputs</w:t>
      </w:r>
      <w:hyperlink r:id="rId113">
        <w:r w:rsidDel="00000000" w:rsidR="00000000" w:rsidRPr="00000000">
          <w:rPr>
            <w:rtl w:val="0"/>
          </w:rPr>
          <w:t xml:space="preserve"> </w:t>
        </w:r>
      </w:hyperlink>
      <w:hyperlink r:id="rId114">
        <w:r w:rsidDel="00000000" w:rsidR="00000000" w:rsidRPr="00000000">
          <w:rPr>
            <w:color w:val="1155cc"/>
            <w:u w:val="single"/>
            <w:rtl w:val="0"/>
          </w:rPr>
          <w:t xml:space="preserve">[22]</w:t>
        </w:r>
      </w:hyperlink>
      <w:r w:rsidDel="00000000" w:rsidR="00000000" w:rsidRPr="00000000">
        <w:rPr>
          <w:rtl w:val="0"/>
        </w:rPr>
        <w:t xml:space="preserve">. In control theory, it is the neutral failsafe state: the stable configuration to which a governed system defaults when its operating conditions fall outside the parameters for which active operation has been authorized. What distinguishes TML's implementation from its intellectual antecedents is that the Sacred Zero is not aspirational; it is enforced, physically and cryptographically, at every layer of the architecture.</w:t>
      </w:r>
    </w:p>
    <w:p w:rsidR="00000000" w:rsidDel="00000000" w:rsidP="00000000" w:rsidRDefault="00000000" w:rsidRPr="00000000" w14:paraId="000001D1">
      <w:pPr>
        <w:pStyle w:val="Heading4"/>
        <w:keepNext w:val="0"/>
        <w:keepLines w:val="0"/>
        <w:spacing w:after="40" w:before="240" w:lineRule="auto"/>
        <w:rPr>
          <w:b w:val="1"/>
          <w:bCs w:val="1"/>
          <w:color w:val="000000"/>
          <w:sz w:val="22"/>
          <w:szCs w:val="22"/>
        </w:rPr>
      </w:pPr>
      <w:bookmarkStart w:colFirst="0" w:colLast="0" w:name="_gabid0ntd1qo" w:id="33"/>
      <w:bookmarkEnd w:id="33"/>
      <w:r w:rsidDel="00000000" w:rsidR="00000000" w:rsidRPr="00000000">
        <w:rPr>
          <w:b w:val="1"/>
          <w:bCs w:val="1"/>
          <w:color w:val="000000"/>
          <w:sz w:val="22"/>
          <w:szCs w:val="22"/>
          <w:rtl w:val="0"/>
        </w:rPr>
        <w:t xml:space="preserve">3.1.2 Technical Mechanisms: Vector Ambiguity, Semaphore Logic, and Dual-Lane Routing</w:t>
      </w:r>
    </w:p>
    <w:p w:rsidR="00000000" w:rsidDel="00000000" w:rsidP="00000000" w:rsidRDefault="00000000" w:rsidRPr="00000000" w14:paraId="000001D2">
      <w:pPr>
        <w:spacing w:after="240" w:before="240" w:lineRule="auto"/>
        <w:rPr/>
      </w:pPr>
      <w:r w:rsidDel="00000000" w:rsidR="00000000" w:rsidRPr="00000000">
        <w:rPr>
          <w:rtl w:val="0"/>
        </w:rPr>
        <w:t xml:space="preserve">The Sacred Zero is implemented as a blocking semaphore in the inference pipeline, governed by the Dual-Lane Architecture to manage the trade-off between operational speed and rigor.</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Vector Ambiguity Detection:</w:t>
      </w:r>
      <w:r w:rsidDel="00000000" w:rsidR="00000000" w:rsidRPr="00000000">
        <w:rPr>
          <w:rtl w:val="0"/>
        </w:rPr>
        <w:t xml:space="preserve"> During the pre-computation phase, the Inference Lane evaluates the input vector against the protection vectors derived from the Human Rights Mandate (Pillar V) and Earth Protection Mandate (Pillar VI) databases. If the cosine similarity between the input vector and a protection vector falls within the uncertainty band, neither clear safety nor clear violation, typically between 0.40 and 0.70 depending on domain configuration, the inference engine raises a </w:t>
      </w:r>
      <w:r w:rsidDel="00000000" w:rsidR="00000000" w:rsidRPr="00000000">
        <w:rPr>
          <w:rFonts w:ascii="Roboto Mono" w:cs="Roboto Mono" w:eastAsia="Roboto Mono" w:hAnsi="Roboto Mono"/>
          <w:color w:val="188038"/>
          <w:rtl w:val="0"/>
        </w:rPr>
        <w:t xml:space="preserve">SIG_ZERO</w:t>
      </w:r>
      <w:r w:rsidDel="00000000" w:rsidR="00000000" w:rsidRPr="00000000">
        <w:rPr>
          <w:rtl w:val="0"/>
        </w:rPr>
        <w:t xml:space="preserve"> interrupt. Simultaneously, if the internal confidence score for the proposed output falls below the threshold (default: 0.85), a confidence-based </w:t>
      </w:r>
      <w:r w:rsidDel="00000000" w:rsidR="00000000" w:rsidRPr="00000000">
        <w:rPr>
          <w:rFonts w:ascii="Roboto Mono" w:cs="Roboto Mono" w:eastAsia="Roboto Mono" w:hAnsi="Roboto Mono"/>
          <w:color w:val="188038"/>
          <w:rtl w:val="0"/>
        </w:rPr>
        <w:t xml:space="preserve">SIG_ZERO</w:t>
      </w:r>
      <w:r w:rsidDel="00000000" w:rsidR="00000000" w:rsidRPr="00000000">
        <w:rPr>
          <w:rtl w:val="0"/>
        </w:rPr>
        <w:t xml:space="preserve"> is raised independently. Either signal is sufficient to activate Sacred Zero; both must be absent for the system to proceed to State +1 evaluation.</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State Locking:</w:t>
      </w:r>
      <w:r w:rsidDel="00000000" w:rsidR="00000000" w:rsidRPr="00000000">
        <w:rPr>
          <w:rtl w:val="0"/>
        </w:rPr>
        <w:t xml:space="preserve"> Upon </w:t>
      </w:r>
      <w:r w:rsidDel="00000000" w:rsidR="00000000" w:rsidRPr="00000000">
        <w:rPr>
          <w:rFonts w:ascii="Roboto Mono" w:cs="Roboto Mono" w:eastAsia="Roboto Mono" w:hAnsi="Roboto Mono"/>
          <w:color w:val="188038"/>
          <w:rtl w:val="0"/>
        </w:rPr>
        <w:t xml:space="preserve">SIG_ZERO</w:t>
      </w:r>
      <w:r w:rsidDel="00000000" w:rsidR="00000000" w:rsidRPr="00000000">
        <w:rPr>
          <w:rFonts w:ascii="Arial Unicode MS" w:cs="Arial Unicode MS" w:eastAsia="Arial Unicode MS" w:hAnsi="Arial Unicode MS"/>
          <w:rtl w:val="0"/>
        </w:rPr>
        <w:t xml:space="preserve">, the system's actuation functions are locked. The Inference Lane cannot transition to State +1 or State −1 until the governance protocols associated with Sacred Zero are satisfied. This locking is enforced at the API layer by the </w:t>
      </w:r>
      <w:r w:rsidDel="00000000" w:rsidR="00000000" w:rsidRPr="00000000">
        <w:rPr>
          <w:rFonts w:ascii="Roboto Mono" w:cs="Roboto Mono" w:eastAsia="Roboto Mono" w:hAnsi="Roboto Mono"/>
          <w:color w:val="188038"/>
          <w:rtl w:val="0"/>
        </w:rPr>
        <w:t xml:space="preserve">StateEnvelope</w:t>
      </w:r>
      <w:r w:rsidDel="00000000" w:rsidR="00000000" w:rsidRPr="00000000">
        <w:rPr>
          <w:rtl w:val="0"/>
        </w:rPr>
        <w:t xml:space="preserve"> schema constraint (</w:t>
      </w:r>
      <w:r w:rsidDel="00000000" w:rsidR="00000000" w:rsidRPr="00000000">
        <w:rPr>
          <w:rFonts w:ascii="Roboto Mono" w:cs="Roboto Mono" w:eastAsia="Roboto Mono" w:hAnsi="Roboto Mono"/>
          <w:color w:val="188038"/>
          <w:rtl w:val="0"/>
        </w:rPr>
        <w:t xml:space="preserve">if currentState == 0 then stateLabel must be "SACRED_ZERO" and processActive must be "SacredPause"</w:t>
      </w:r>
      <w:r w:rsidDel="00000000" w:rsidR="00000000" w:rsidRPr="00000000">
        <w:rPr>
          <w:rtl w:val="0"/>
        </w:rPr>
        <w:t xml:space="preserve">) and at the hardware layer by the absence of valid tokens in the DITL governance circuits.</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Dual-Lane Routing in the Sacred Zero Context:</w:t>
      </w:r>
    </w:p>
    <w:p w:rsidR="00000000" w:rsidDel="00000000" w:rsidP="00000000" w:rsidRDefault="00000000" w:rsidRPr="00000000" w14:paraId="000001D6">
      <w:pPr>
        <w:numPr>
          <w:ilvl w:val="0"/>
          <w:numId w:val="13"/>
        </w:numPr>
        <w:spacing w:after="0" w:afterAutospacing="0" w:before="240" w:lineRule="auto"/>
        <w:ind w:left="720" w:hanging="360"/>
      </w:pPr>
      <w:r w:rsidDel="00000000" w:rsidR="00000000" w:rsidRPr="00000000">
        <w:rPr>
          <w:i w:val="1"/>
          <w:iCs w:val="1"/>
          <w:rtl w:val="0"/>
        </w:rPr>
        <w:t xml:space="preserve">Lane A (Fast Path):</w:t>
      </w:r>
      <w:r w:rsidDel="00000000" w:rsidR="00000000" w:rsidRPr="00000000">
        <w:rPr>
          <w:rFonts w:ascii="Arial Unicode MS" w:cs="Arial Unicode MS" w:eastAsia="Arial Unicode MS" w:hAnsi="Arial Unicode MS"/>
          <w:rtl w:val="0"/>
        </w:rPr>
        <w:t xml:space="preserve"> For clear State +1 or State −1 signals, the system executes within standard latency budgets. The Sacred Zero is not activated; the Anchoring Lane processes the decision through its standard verification and logging sequence.</w:t>
      </w:r>
    </w:p>
    <w:p w:rsidR="00000000" w:rsidDel="00000000" w:rsidP="00000000" w:rsidRDefault="00000000" w:rsidRPr="00000000" w14:paraId="000001D7">
      <w:pPr>
        <w:numPr>
          <w:ilvl w:val="0"/>
          <w:numId w:val="13"/>
        </w:numPr>
        <w:spacing w:after="240" w:before="0" w:beforeAutospacing="0" w:lineRule="auto"/>
        <w:ind w:left="720" w:hanging="360"/>
      </w:pPr>
      <w:r w:rsidDel="00000000" w:rsidR="00000000" w:rsidRPr="00000000">
        <w:rPr>
          <w:i w:val="1"/>
          <w:iCs w:val="1"/>
          <w:rtl w:val="0"/>
        </w:rPr>
        <w:t xml:space="preserve">Lane B (Governance Path):</w:t>
      </w:r>
      <w:r w:rsidDel="00000000" w:rsidR="00000000" w:rsidRPr="00000000">
        <w:rPr>
          <w:rtl w:val="0"/>
        </w:rPr>
        <w:t xml:space="preserve"> Triggered by Sacred Zero, this lane accepts domain-appropriate higher latency (50ms for financial circuit-breakers to multi-day for complex public administration determinations). It initiates the Sacred Pause operational workflow: context snapshot, deliberation package construction, evidence collection, escalation queue activation, and webhook notification to registered oversight endpoints</w:t>
      </w:r>
      <w:hyperlink r:id="rId115">
        <w:r w:rsidDel="00000000" w:rsidR="00000000" w:rsidRPr="00000000">
          <w:rPr>
            <w:rtl w:val="0"/>
          </w:rPr>
          <w:t xml:space="preserve"> </w:t>
        </w:r>
      </w:hyperlink>
      <w:hyperlink r:id="rId11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Escalation Protocol:</w:t>
      </w:r>
      <w:r w:rsidDel="00000000" w:rsidR="00000000" w:rsidRPr="00000000">
        <w:rPr>
          <w:rFonts w:ascii="Arial Unicode MS" w:cs="Arial Unicode MS" w:eastAsia="Arial Unicode MS" w:hAnsi="Arial Unicode MS"/>
          <w:rtl w:val="0"/>
        </w:rPr>
        <w:t xml:space="preserve"> The Sacred Zero handler determines resolution through three available paths: autonomous resolution through additional evidence collection enabling transition to State +1; autonomous determination of irreducible harm enabling transition to State −1; or escalation to human review through the </w:t>
      </w:r>
      <w:r w:rsidDel="00000000" w:rsidR="00000000" w:rsidRPr="00000000">
        <w:rPr>
          <w:rFonts w:ascii="Roboto Mono" w:cs="Roboto Mono" w:eastAsia="Roboto Mono" w:hAnsi="Roboto Mono"/>
          <w:color w:val="188038"/>
          <w:rtl w:val="0"/>
        </w:rPr>
        <w:t xml:space="preserve">GET /sacred-zero/escalations</w:t>
      </w:r>
      <w:r w:rsidDel="00000000" w:rsidR="00000000" w:rsidRPr="00000000">
        <w:rPr>
          <w:rtl w:val="0"/>
        </w:rPr>
        <w:t xml:space="preserve"> endpoint where a human reviewer with authority resolves through </w:t>
      </w:r>
      <w:r w:rsidDel="00000000" w:rsidR="00000000" w:rsidRPr="00000000">
        <w:rPr>
          <w:rFonts w:ascii="Roboto Mono" w:cs="Roboto Mono" w:eastAsia="Roboto Mono" w:hAnsi="Roboto Mono"/>
          <w:color w:val="188038"/>
          <w:rtl w:val="0"/>
        </w:rPr>
        <w:t xml:space="preserve">PATCH /sacred-zero/escalations/{escalationId}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resolvedState: 1</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resolvedState: -1</w:t>
      </w:r>
      <w:r w:rsidDel="00000000" w:rsidR="00000000" w:rsidRPr="00000000">
        <w:rPr>
          <w:rtl w:val="0"/>
        </w:rPr>
        <w:t xml:space="preserve">. The schema enforces that </w:t>
      </w:r>
      <w:r w:rsidDel="00000000" w:rsidR="00000000" w:rsidRPr="00000000">
        <w:rPr>
          <w:rFonts w:ascii="Roboto Mono" w:cs="Roboto Mono" w:eastAsia="Roboto Mono" w:hAnsi="Roboto Mono"/>
          <w:color w:val="188038"/>
          <w:rtl w:val="0"/>
        </w:rPr>
        <w:t xml:space="preserve">resolvedState</w:t>
      </w:r>
      <w:r w:rsidDel="00000000" w:rsidR="00000000" w:rsidRPr="00000000">
        <w:rPr>
          <w:rtl w:val="0"/>
        </w:rPr>
        <w:t xml:space="preserve"> accepts only these two values; a human reviewer cannot sustain Sacred Zero indefinitely.</w:t>
      </w:r>
    </w:p>
    <w:p w:rsidR="00000000" w:rsidDel="00000000" w:rsidP="00000000" w:rsidRDefault="00000000" w:rsidRPr="00000000" w14:paraId="000001D9">
      <w:pPr>
        <w:pStyle w:val="Heading4"/>
        <w:keepNext w:val="0"/>
        <w:keepLines w:val="0"/>
        <w:spacing w:after="40" w:before="240" w:lineRule="auto"/>
        <w:rPr>
          <w:b w:val="1"/>
          <w:bCs w:val="1"/>
          <w:color w:val="000000"/>
          <w:sz w:val="22"/>
          <w:szCs w:val="22"/>
        </w:rPr>
      </w:pPr>
      <w:bookmarkStart w:colFirst="0" w:colLast="0" w:name="_9jt8iulqkscb" w:id="34"/>
      <w:bookmarkEnd w:id="34"/>
      <w:r w:rsidDel="00000000" w:rsidR="00000000" w:rsidRPr="00000000">
        <w:rPr>
          <w:b w:val="1"/>
          <w:bCs w:val="1"/>
          <w:color w:val="000000"/>
          <w:sz w:val="22"/>
          <w:szCs w:val="22"/>
          <w:rtl w:val="0"/>
        </w:rPr>
        <w:t xml:space="preserve">3.1.3 Legal Effect: The Technological Injunction</w:t>
      </w:r>
    </w:p>
    <w:p w:rsidR="00000000" w:rsidDel="00000000" w:rsidP="00000000" w:rsidRDefault="00000000" w:rsidRPr="00000000" w14:paraId="000001DA">
      <w:pPr>
        <w:spacing w:after="240" w:before="240" w:lineRule="auto"/>
        <w:rPr/>
      </w:pPr>
      <w:r w:rsidDel="00000000" w:rsidR="00000000" w:rsidRPr="00000000">
        <w:rPr>
          <w:rtl w:val="0"/>
        </w:rPr>
        <w:t xml:space="preserve">From a legal perspective, the Sacred Zero functions as a </w:t>
      </w:r>
      <w:r w:rsidDel="00000000" w:rsidR="00000000" w:rsidRPr="00000000">
        <w:rPr>
          <w:b w:val="1"/>
          <w:bCs w:val="1"/>
          <w:rtl w:val="0"/>
        </w:rPr>
        <w:t xml:space="preserve">technological injunction</w:t>
      </w:r>
      <w:r w:rsidDel="00000000" w:rsidR="00000000" w:rsidRPr="00000000">
        <w:rPr>
          <w:rtl w:val="0"/>
        </w:rPr>
        <w:t xml:space="preserve">, a codified standard of care that is activated automatically upon detection of foreseeable risk and that creates a documented record of risk management prior to any adverse action.</w:t>
      </w:r>
    </w:p>
    <w:p w:rsidR="00000000" w:rsidDel="00000000" w:rsidP="00000000" w:rsidRDefault="00000000" w:rsidRPr="00000000" w14:paraId="000001DB">
      <w:pPr>
        <w:spacing w:after="240" w:before="240" w:lineRule="auto"/>
        <w:rPr/>
      </w:pPr>
      <w:r w:rsidDel="00000000" w:rsidR="00000000" w:rsidRPr="00000000">
        <w:rPr>
          <w:rtl w:val="0"/>
        </w:rPr>
        <w:t xml:space="preserve">In tort law and product liability, negligence is established when an actor proceeds despite foreseeable risk of harm to others. The Sacred Zero creates a mechanism that formally acknowledges foreseeable risk in real time and documents the system's response to that acknowledgment. If a system causes harm after entering Sacred Zero and following a documented resolution protocol, the operator can demonstrate that algorithmic due diligence was exercised: the system paused, the uncertainty was identified and quantified, the available resolution paths were evaluated, and the decision to proceed was made on the basis of a documented evidentiary assessment. Conversely, a system that fails to enter Sacred Zero in the face of clear epistemic ambiguity provides evidence of design defect.</w:t>
      </w:r>
    </w:p>
    <w:p w:rsidR="00000000" w:rsidDel="00000000" w:rsidP="00000000" w:rsidRDefault="00000000" w:rsidRPr="00000000" w14:paraId="000001DC">
      <w:pPr>
        <w:spacing w:after="240" w:before="240" w:lineRule="auto"/>
        <w:rPr/>
      </w:pPr>
      <w:r w:rsidDel="00000000" w:rsidR="00000000" w:rsidRPr="00000000">
        <w:rPr>
          <w:rtl w:val="0"/>
        </w:rPr>
        <w:t xml:space="preserve">Under the EU AI Act, the Sacred Zero directly implements </w:t>
      </w:r>
      <w:r w:rsidDel="00000000" w:rsidR="00000000" w:rsidRPr="00000000">
        <w:rPr>
          <w:b w:val="1"/>
          <w:bCs w:val="1"/>
          <w:rtl w:val="0"/>
        </w:rPr>
        <w:t xml:space="preserve">Article 9</w:t>
      </w:r>
      <w:r w:rsidDel="00000000" w:rsidR="00000000" w:rsidRPr="00000000">
        <w:rPr>
          <w:rtl w:val="0"/>
        </w:rPr>
        <w:t xml:space="preserve"> (Risk Management System), which requires high-risk AI systems to identify and analyze foreseeable risks and adopt appropriate risk management measures</w:t>
      </w:r>
      <w:hyperlink r:id="rId117">
        <w:r w:rsidDel="00000000" w:rsidR="00000000" w:rsidRPr="00000000">
          <w:rPr>
            <w:rtl w:val="0"/>
          </w:rPr>
          <w:t xml:space="preserve"> </w:t>
        </w:r>
      </w:hyperlink>
      <w:hyperlink r:id="rId118">
        <w:r w:rsidDel="00000000" w:rsidR="00000000" w:rsidRPr="00000000">
          <w:rPr>
            <w:color w:val="1155cc"/>
            <w:u w:val="single"/>
            <w:rtl w:val="0"/>
          </w:rPr>
          <w:t xml:space="preserve">[18]</w:t>
        </w:r>
      </w:hyperlink>
      <w:r w:rsidDel="00000000" w:rsidR="00000000" w:rsidRPr="00000000">
        <w:rPr>
          <w:rtl w:val="0"/>
        </w:rPr>
        <w:t xml:space="preserve">. It implements </w:t>
      </w:r>
      <w:r w:rsidDel="00000000" w:rsidR="00000000" w:rsidRPr="00000000">
        <w:rPr>
          <w:b w:val="1"/>
          <w:bCs w:val="1"/>
          <w:rtl w:val="0"/>
        </w:rPr>
        <w:t xml:space="preserve">Article 14</w:t>
      </w:r>
      <w:r w:rsidDel="00000000" w:rsidR="00000000" w:rsidRPr="00000000">
        <w:rPr>
          <w:rtl w:val="0"/>
        </w:rPr>
        <w:t xml:space="preserve"> (Human Oversight), which mandates that high-risk systems be designed to enable effective human intervention; the Sacred Zero escalation pathway is the specific technical mechanism through which human intervention is enabled before harm occurs rather than after. Under the NIST AI Risk Management Framework, the Sacred Zero implements the GOVERN function (establishing structures for accountability) and the MANAGE function (responding to identified risks with appropriate governance actions)</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[23]</w:t>
        </w:r>
      </w:hyperlink>
      <w:r w:rsidDel="00000000" w:rsidR="00000000" w:rsidRPr="00000000">
        <w:rPr>
          <w:rtl w:val="0"/>
        </w:rPr>
        <w:t xml:space="preserve">.</w:t>
      </w:r>
    </w:p>
    <w:p w:rsidR="00000000" w:rsidDel="00000000" w:rsidP="00000000" w:rsidRDefault="00000000" w:rsidRPr="00000000" w14:paraId="000001DD">
      <w:pPr>
        <w:pStyle w:val="Heading4"/>
        <w:keepNext w:val="0"/>
        <w:keepLines w:val="0"/>
        <w:spacing w:after="40" w:before="240" w:lineRule="auto"/>
        <w:rPr>
          <w:b w:val="1"/>
          <w:bCs w:val="1"/>
          <w:color w:val="000000"/>
          <w:sz w:val="22"/>
          <w:szCs w:val="22"/>
        </w:rPr>
      </w:pPr>
      <w:bookmarkStart w:colFirst="0" w:colLast="0" w:name="_gqwxzfctoc8t" w:id="35"/>
      <w:bookmarkEnd w:id="35"/>
      <w:r w:rsidDel="00000000" w:rsidR="00000000" w:rsidRPr="00000000">
        <w:rPr>
          <w:b w:val="1"/>
          <w:bCs w:val="1"/>
          <w:color w:val="000000"/>
          <w:sz w:val="22"/>
          <w:szCs w:val="22"/>
          <w:rtl w:val="0"/>
        </w:rPr>
        <w:t xml:space="preserve">3.1.4 Operational Consequences</w:t>
      </w:r>
    </w:p>
    <w:p w:rsidR="00000000" w:rsidDel="00000000" w:rsidP="00000000" w:rsidRDefault="00000000" w:rsidRPr="00000000" w14:paraId="000001DE">
      <w:pPr>
        <w:spacing w:after="240" w:before="240" w:lineRule="auto"/>
        <w:rPr/>
      </w:pPr>
      <w:r w:rsidDel="00000000" w:rsidR="00000000" w:rsidRPr="00000000">
        <w:rPr>
          <w:rtl w:val="0"/>
        </w:rPr>
        <w:t xml:space="preserve">The primary operational consequence of the Sacred Zero is the introduction of </w:t>
      </w:r>
      <w:r w:rsidDel="00000000" w:rsidR="00000000" w:rsidRPr="00000000">
        <w:rPr>
          <w:b w:val="1"/>
          <w:bCs w:val="1"/>
          <w:rtl w:val="0"/>
        </w:rPr>
        <w:t xml:space="preserve">latency variability</w:t>
      </w:r>
      <w:r w:rsidDel="00000000" w:rsidR="00000000" w:rsidRPr="00000000">
        <w:rPr>
          <w:rtl w:val="0"/>
        </w:rPr>
        <w:t xml:space="preserve">: operations are no longer uniformly deterministic in time. A query may resolve in 2ms through the standard fast path or may require human intervention measured in hours or days for complex public administration determinations. This requires asynchronous application architectures with proper handling of pending states, timeout behavior aligned with deliberation periods, and user-facing communication protocols that appropriately characterize Sacred Zero as governance-productive activity rather than system failure.</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Throughput throttling</w:t>
      </w:r>
      <w:r w:rsidDel="00000000" w:rsidR="00000000" w:rsidRPr="00000000">
        <w:rPr>
          <w:rtl w:val="0"/>
        </w:rPr>
        <w:t xml:space="preserve"> is a design feature rather than a design flaw. In high-ambiguity environments, content moderation during a crisis, autonomous operation in degraded sensor conditions, financial execution during market stress, the Sacred Zero reduces system throughput proportionally to the frequency of genuine epistemic uncertainty. This is correct behavior: when the environment produces more uncertainty, the system produces more hesitation. The Adaptive Throttling Protocol (Section 2.2.3.1) prevents adversarial exploitation of this feature while preserving its function for legitimate uncertainty.</w:t>
      </w:r>
    </w:p>
    <w:p w:rsidR="00000000" w:rsidDel="00000000" w:rsidP="00000000" w:rsidRDefault="00000000" w:rsidRPr="00000000" w14:paraId="000001E0">
      <w:pPr>
        <w:pStyle w:val="Heading4"/>
        <w:keepNext w:val="0"/>
        <w:keepLines w:val="0"/>
        <w:spacing w:after="40" w:before="240" w:lineRule="auto"/>
        <w:rPr>
          <w:b w:val="1"/>
          <w:bCs w:val="1"/>
          <w:color w:val="000000"/>
          <w:sz w:val="22"/>
          <w:szCs w:val="22"/>
        </w:rPr>
      </w:pPr>
      <w:bookmarkStart w:colFirst="0" w:colLast="0" w:name="_ln6640syc2vb" w:id="36"/>
      <w:bookmarkEnd w:id="36"/>
      <w:r w:rsidDel="00000000" w:rsidR="00000000" w:rsidRPr="00000000">
        <w:rPr>
          <w:b w:val="1"/>
          <w:bCs w:val="1"/>
          <w:color w:val="000000"/>
          <w:sz w:val="22"/>
          <w:szCs w:val="22"/>
          <w:rtl w:val="0"/>
        </w:rPr>
        <w:t xml:space="preserve">3.1.5 Failure Cases Prevented</w:t>
      </w:r>
    </w:p>
    <w:p w:rsidR="00000000" w:rsidDel="00000000" w:rsidP="00000000" w:rsidRDefault="00000000" w:rsidRPr="00000000" w14:paraId="000001E1">
      <w:pPr>
        <w:spacing w:after="240" w:before="240" w:lineRule="auto"/>
        <w:rPr/>
      </w:pPr>
      <w:r w:rsidDel="00000000" w:rsidR="00000000" w:rsidRPr="00000000">
        <w:rPr>
          <w:rtl w:val="0"/>
        </w:rPr>
        <w:t xml:space="preserve">The Sacred Zero prevents </w:t>
      </w:r>
      <w:r w:rsidDel="00000000" w:rsidR="00000000" w:rsidRPr="00000000">
        <w:rPr>
          <w:b w:val="1"/>
          <w:bCs w:val="1"/>
          <w:rtl w:val="0"/>
        </w:rPr>
        <w:t xml:space="preserve">Binary Collapse</w:t>
      </w:r>
      <w:r w:rsidDel="00000000" w:rsidR="00000000" w:rsidRPr="00000000">
        <w:rPr>
          <w:rtl w:val="0"/>
        </w:rPr>
        <w:t xml:space="preserve">: the failure mode in which a system forces a low-confidence decision to maintain efficiency, user satisfaction, or throughput metrics, producing confident-appearing outputs from insufficient evidentiary foundations.</w:t>
      </w:r>
    </w:p>
    <w:p w:rsidR="00000000" w:rsidDel="00000000" w:rsidP="00000000" w:rsidRDefault="00000000" w:rsidRPr="00000000" w14:paraId="000001E2">
      <w:pPr>
        <w:spacing w:after="240" w:before="240" w:lineRule="auto"/>
        <w:rPr/>
      </w:pPr>
      <w:r w:rsidDel="00000000" w:rsidR="00000000" w:rsidRPr="00000000">
        <w:rPr>
          <w:i w:val="1"/>
          <w:iCs w:val="1"/>
          <w:rtl w:val="0"/>
        </w:rPr>
        <w:t xml:space="preserve">Documented instance:</w:t>
      </w:r>
      <w:r w:rsidDel="00000000" w:rsidR="00000000" w:rsidRPr="00000000">
        <w:rPr>
          <w:rtl w:val="0"/>
        </w:rPr>
        <w:t xml:space="preserve"> The Epic Sepsis Model, a widely deployed clinical decision support tool, demonstrated in a 2021 retrospective study</w:t>
      </w:r>
      <w:hyperlink r:id="rId121">
        <w:r w:rsidDel="00000000" w:rsidR="00000000" w:rsidRPr="00000000">
          <w:rPr>
            <w:rtl w:val="0"/>
          </w:rPr>
          <w:t xml:space="preserve"> </w:t>
        </w:r>
      </w:hyperlink>
      <w:hyperlink r:id="rId122">
        <w:r w:rsidDel="00000000" w:rsidR="00000000" w:rsidRPr="00000000">
          <w:rPr>
            <w:color w:val="1155cc"/>
            <w:u w:val="single"/>
            <w:rtl w:val="0"/>
          </w:rPr>
          <w:t xml:space="preserve">[24]</w:t>
        </w:r>
      </w:hyperlink>
      <w:r w:rsidDel="00000000" w:rsidR="00000000" w:rsidRPr="00000000">
        <w:rPr>
          <w:rtl w:val="0"/>
        </w:rPr>
        <w:t xml:space="preserve"> that its binary classification of sepsis risk generated high-confidence alerts that failed to identify 67% of sepsis cases while producing high false-positive alert rates in the remaining population. A TML-governed diagnostic system would have entered Sacred Zero upon detecting confidence scores below the threshold for life-critical determinations, requiring physician review before the alert classification propagated to clinical workflow. The Sacred Zero converts "missed sepsis" from an algorithmic output error into a prevented event.</w:t>
      </w:r>
    </w:p>
    <w:p w:rsidR="00000000" w:rsidDel="00000000" w:rsidP="00000000" w:rsidRDefault="00000000" w:rsidRPr="00000000" w14:paraId="000001E3">
      <w:pPr>
        <w:pStyle w:val="Heading4"/>
        <w:keepNext w:val="0"/>
        <w:keepLines w:val="0"/>
        <w:spacing w:after="40" w:before="240" w:lineRule="auto"/>
        <w:rPr>
          <w:b w:val="1"/>
          <w:bCs w:val="1"/>
          <w:color w:val="000000"/>
          <w:sz w:val="22"/>
          <w:szCs w:val="22"/>
        </w:rPr>
      </w:pPr>
      <w:bookmarkStart w:colFirst="0" w:colLast="0" w:name="_hnlx9g3xva4h" w:id="37"/>
      <w:bookmarkEnd w:id="37"/>
      <w:r w:rsidDel="00000000" w:rsidR="00000000" w:rsidRPr="00000000">
        <w:rPr>
          <w:b w:val="1"/>
          <w:bCs w:val="1"/>
          <w:color w:val="000000"/>
          <w:sz w:val="22"/>
          <w:szCs w:val="22"/>
          <w:rtl w:val="0"/>
        </w:rPr>
        <w:t xml:space="preserve">3.1.6 Measurable Outputs</w:t>
      </w:r>
    </w:p>
    <w:p w:rsidR="00000000" w:rsidDel="00000000" w:rsidP="00000000" w:rsidRDefault="00000000" w:rsidRPr="00000000" w14:paraId="000001E4">
      <w:pPr>
        <w:numPr>
          <w:ilvl w:val="0"/>
          <w:numId w:val="16"/>
        </w:numPr>
        <w:spacing w:after="0" w:afterAutospacing="0" w:before="240" w:lineRule="auto"/>
        <w:ind w:left="720" w:hanging="360"/>
      </w:pPr>
      <w:r w:rsidDel="00000000" w:rsidR="00000000" w:rsidRPr="00000000">
        <w:rPr>
          <w:b w:val="1"/>
          <w:bCs w:val="1"/>
          <w:rtl w:val="0"/>
        </w:rPr>
        <w:t xml:space="preserve">Sacred Zero Frequency Rate:</w:t>
      </w:r>
      <w:r w:rsidDel="00000000" w:rsidR="00000000" w:rsidRPr="00000000">
        <w:rPr>
          <w:rtl w:val="0"/>
        </w:rPr>
        <w:t xml:space="preserve"> Percentage of total inferences triggering Sacred Zero (target: 1–5% for well-calibrated deployments; systematic deviation indicates either threshold miscalibration or environmental degradation).</w:t>
      </w:r>
    </w:p>
    <w:p w:rsidR="00000000" w:rsidDel="00000000" w:rsidP="00000000" w:rsidRDefault="00000000" w:rsidRPr="00000000" w14:paraId="000001E5">
      <w:pPr>
        <w:numPr>
          <w:ilvl w:val="0"/>
          <w:numId w:val="16"/>
        </w:numPr>
        <w:spacing w:after="0" w:afterAutospacing="0" w:before="0" w:beforeAutospacing="0" w:lineRule="auto"/>
        <w:ind w:left="720" w:hanging="360"/>
      </w:pPr>
      <w:r w:rsidDel="00000000" w:rsidR="00000000" w:rsidRPr="00000000">
        <w:rPr>
          <w:b w:val="1"/>
          <w:bCs w:val="1"/>
          <w:rtl w:val="0"/>
        </w:rPr>
        <w:t xml:space="preserve">Resolution Latency Distribution:</w:t>
      </w:r>
      <w:r w:rsidDel="00000000" w:rsidR="00000000" w:rsidRPr="00000000">
        <w:rPr>
          <w:rtl w:val="0"/>
        </w:rPr>
        <w:t xml:space="preserve"> Mean and 95th-percentile time to Sacred Zero resolution, by resolution path (autonomous vs. human escalation).</w:t>
      </w:r>
    </w:p>
    <w:p w:rsidR="00000000" w:rsidDel="00000000" w:rsidP="00000000" w:rsidRDefault="00000000" w:rsidRPr="00000000" w14:paraId="000001E6">
      <w:pPr>
        <w:numPr>
          <w:ilvl w:val="0"/>
          <w:numId w:val="16"/>
        </w:numPr>
        <w:spacing w:after="0" w:afterAutospacing="0" w:before="0" w:beforeAutospacing="0" w:lineRule="auto"/>
        <w:ind w:left="720" w:hanging="360"/>
      </w:pPr>
      <w:r w:rsidDel="00000000" w:rsidR="00000000" w:rsidRPr="00000000">
        <w:rPr>
          <w:b w:val="1"/>
          <w:bCs w:val="1"/>
          <w:rtl w:val="0"/>
        </w:rPr>
        <w:t xml:space="preserve">Escalation Rate:</w:t>
      </w:r>
      <w:r w:rsidDel="00000000" w:rsidR="00000000" w:rsidRPr="00000000">
        <w:rPr>
          <w:rtl w:val="0"/>
        </w:rPr>
        <w:t xml:space="preserve"> Percentage of Sacred Zero activations requiring human review (indicates the proportion of genuine ambiguity that exceeds autonomous resolution capacity).</w:t>
      </w:r>
    </w:p>
    <w:p w:rsidR="00000000" w:rsidDel="00000000" w:rsidP="00000000" w:rsidRDefault="00000000" w:rsidRPr="00000000" w14:paraId="000001E7">
      <w:pPr>
        <w:numPr>
          <w:ilvl w:val="0"/>
          <w:numId w:val="16"/>
        </w:numPr>
        <w:spacing w:after="240" w:before="0" w:beforeAutospacing="0" w:lineRule="auto"/>
        <w:ind w:left="720" w:hanging="360"/>
      </w:pPr>
      <w:r w:rsidDel="00000000" w:rsidR="00000000" w:rsidRPr="00000000">
        <w:rPr>
          <w:b w:val="1"/>
          <w:bCs w:val="1"/>
          <w:rtl w:val="0"/>
        </w:rPr>
        <w:t xml:space="preserve">Timeout Rate:</w:t>
      </w:r>
      <w:r w:rsidDel="00000000" w:rsidR="00000000" w:rsidRPr="00000000">
        <w:rPr>
          <w:rFonts w:ascii="Arial Unicode MS" w:cs="Arial Unicode MS" w:eastAsia="Arial Unicode MS" w:hAnsi="Arial Unicode MS"/>
          <w:rtl w:val="0"/>
        </w:rPr>
        <w:t xml:space="preserve"> Percentage of Sacred Zero activations resolving through automatic State −1 upon deliberation period expiration (elevated rates indicate systematic evidence availability problems).</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bw1gzi7xy8ei" w:id="38"/>
      <w:bookmarkEnd w:id="38"/>
      <w:r w:rsidDel="00000000" w:rsidR="00000000" w:rsidRPr="00000000">
        <w:rPr>
          <w:b w:val="1"/>
          <w:bCs w:val="1"/>
          <w:color w:val="000000"/>
          <w:sz w:val="26"/>
          <w:szCs w:val="26"/>
          <w:rtl w:val="0"/>
        </w:rPr>
        <w:t xml:space="preserve">3.2 Pillar II: Always Memory (The Persistence of Act)</w:t>
      </w:r>
    </w:p>
    <w:p w:rsidR="00000000" w:rsidDel="00000000" w:rsidP="00000000" w:rsidRDefault="00000000" w:rsidRPr="00000000" w14:paraId="000001EA">
      <w:pPr>
        <w:pStyle w:val="Heading4"/>
        <w:keepNext w:val="0"/>
        <w:keepLines w:val="0"/>
        <w:spacing w:after="40" w:before="240" w:lineRule="auto"/>
        <w:rPr>
          <w:b w:val="1"/>
          <w:bCs w:val="1"/>
          <w:color w:val="000000"/>
          <w:sz w:val="22"/>
          <w:szCs w:val="22"/>
        </w:rPr>
      </w:pPr>
      <w:bookmarkStart w:colFirst="0" w:colLast="0" w:name="_8gf8bcj4kvla" w:id="39"/>
      <w:bookmarkEnd w:id="39"/>
      <w:r w:rsidDel="00000000" w:rsidR="00000000" w:rsidRPr="00000000">
        <w:rPr>
          <w:b w:val="1"/>
          <w:bCs w:val="1"/>
          <w:color w:val="000000"/>
          <w:sz w:val="22"/>
          <w:szCs w:val="22"/>
          <w:rtl w:val="0"/>
        </w:rPr>
        <w:t xml:space="preserve">3.2.1 Purpose and Philosophy</w:t>
      </w:r>
    </w:p>
    <w:p w:rsidR="00000000" w:rsidDel="00000000" w:rsidP="00000000" w:rsidRDefault="00000000" w:rsidRPr="00000000" w14:paraId="000001EB">
      <w:pPr>
        <w:spacing w:after="240" w:before="240" w:lineRule="auto"/>
        <w:rPr/>
      </w:pPr>
      <w:r w:rsidDel="00000000" w:rsidR="00000000" w:rsidRPr="00000000">
        <w:rPr>
          <w:rtl w:val="0"/>
        </w:rPr>
        <w:t xml:space="preserve">The "Always Memory" pillar enforces the constitutional axiom: the existence of an AI decision and its complete evidentiary basis must be preserved permanently, independently of the operator's subsequent interest in that preservation. In traditional systems, logs are ephemeral, rotated for storage efficiency, selectively disabled to improve performance, or simply absent from systems not designed with audit requirements in mind. This creates </w:t>
      </w:r>
      <w:r w:rsidDel="00000000" w:rsidR="00000000" w:rsidRPr="00000000">
        <w:rPr>
          <w:b w:val="1"/>
          <w:bCs w:val="1"/>
          <w:rtl w:val="0"/>
        </w:rPr>
        <w:t xml:space="preserve">accountability gaps</w:t>
      </w:r>
      <w:r w:rsidDel="00000000" w:rsidR="00000000" w:rsidRPr="00000000">
        <w:rPr>
          <w:rtl w:val="0"/>
        </w:rPr>
        <w:t xml:space="preserve"> in which harmful automated actions cannot be reconstructed, the reasoning that produced them cannot be examined, and the responsibility for them cannot be assigned. TML inverts this relationship constitutionally: the creation of a permanent, immutable decision record is a </w:t>
      </w:r>
      <w:r w:rsidDel="00000000" w:rsidR="00000000" w:rsidRPr="00000000">
        <w:rPr>
          <w:b w:val="1"/>
          <w:bCs w:val="1"/>
          <w:rtl w:val="0"/>
        </w:rPr>
        <w:t xml:space="preserve">prerequisite</w:t>
      </w:r>
      <w:r w:rsidDel="00000000" w:rsidR="00000000" w:rsidRPr="00000000">
        <w:rPr>
          <w:rtl w:val="0"/>
        </w:rPr>
        <w:t xml:space="preserve"> for action, not a post-action administrative byproduct</w:t>
      </w:r>
      <w:hyperlink r:id="rId123">
        <w:r w:rsidDel="00000000" w:rsidR="00000000" w:rsidRPr="00000000">
          <w:rPr>
            <w:rtl w:val="0"/>
          </w:rPr>
          <w:t xml:space="preserve"> </w:t>
        </w:r>
      </w:hyperlink>
      <w:hyperlink r:id="rId12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EC">
      <w:pPr>
        <w:spacing w:after="240" w:before="240" w:lineRule="auto"/>
        <w:rPr/>
      </w:pPr>
      <w:r w:rsidDel="00000000" w:rsidR="00000000" w:rsidRPr="00000000">
        <w:rPr>
          <w:rtl w:val="0"/>
        </w:rPr>
        <w:t xml:space="preserve">The philosophical foundation of Always Memory is the principle that moral agency requires moral memory: an agent that cannot be held accountable for its past actions because those actions leave no retrievable trace is not a moral agent in any meaningful sense. When AI systems make decisions that affect human lives, approving or denying benefits, flagging or clearing criminal suspects, recommending or withholding medical intervention, the absence of a retrievable decision record is not a neutral administrative outcome; it is the denial of the affected person's right to understand, contest, and seek redress for the automated determination. Always Memory is the architectural expression of the principle that automated decision-making without retrievable evidentiary basis is impermissible.</w:t>
      </w:r>
    </w:p>
    <w:p w:rsidR="00000000" w:rsidDel="00000000" w:rsidP="00000000" w:rsidRDefault="00000000" w:rsidRPr="00000000" w14:paraId="000001ED">
      <w:pPr>
        <w:pStyle w:val="Heading4"/>
        <w:keepNext w:val="0"/>
        <w:keepLines w:val="0"/>
        <w:spacing w:after="40" w:before="240" w:lineRule="auto"/>
        <w:rPr>
          <w:b w:val="1"/>
          <w:bCs w:val="1"/>
          <w:color w:val="000000"/>
          <w:sz w:val="22"/>
          <w:szCs w:val="22"/>
        </w:rPr>
      </w:pPr>
      <w:bookmarkStart w:colFirst="0" w:colLast="0" w:name="_kj8cues1wx1d" w:id="40"/>
      <w:bookmarkEnd w:id="40"/>
      <w:r w:rsidDel="00000000" w:rsidR="00000000" w:rsidRPr="00000000">
        <w:rPr>
          <w:b w:val="1"/>
          <w:bCs w:val="1"/>
          <w:color w:val="000000"/>
          <w:sz w:val="22"/>
          <w:szCs w:val="22"/>
          <w:rtl w:val="0"/>
        </w:rPr>
        <w:t xml:space="preserve">3.2.2 Technical Mechanisms: Cryptographic Pre-Commitment</w:t>
      </w:r>
    </w:p>
    <w:p w:rsidR="00000000" w:rsidDel="00000000" w:rsidP="00000000" w:rsidRDefault="00000000" w:rsidRPr="00000000" w14:paraId="000001EE">
      <w:pPr>
        <w:spacing w:after="240" w:before="240" w:lineRule="auto"/>
        <w:rPr/>
      </w:pPr>
      <w:r w:rsidDel="00000000" w:rsidR="00000000" w:rsidRPr="00000000">
        <w:rPr>
          <w:rtl w:val="0"/>
        </w:rPr>
        <w:t xml:space="preserve">The mechanism of Always Memory is a </w:t>
      </w:r>
      <w:r w:rsidDel="00000000" w:rsidR="00000000" w:rsidRPr="00000000">
        <w:rPr>
          <w:b w:val="1"/>
          <w:bCs w:val="1"/>
          <w:rtl w:val="0"/>
        </w:rPr>
        <w:t xml:space="preserve">Pre-Actuation Commit</w:t>
      </w:r>
      <w:r w:rsidDel="00000000" w:rsidR="00000000" w:rsidRPr="00000000">
        <w:rPr>
          <w:rtl w:val="0"/>
        </w:rPr>
        <w:t xml:space="preserve"> sequence that binds the execution of any governed action to the prior successful generation of an immutable log record. The binding is cryptographic: the key required to decrypt and execute the action command is derived from the hash of the committed log record. If the log cannot be committed, due to storage failure, network partition, tampering detection, or any other cause, the decryption key cannot be derived, and the action cannot execute. The system does not fail to log and then log the failure; it fails to act until logging succeeds.</w:t>
      </w:r>
    </w:p>
    <w:p w:rsidR="00000000" w:rsidDel="00000000" w:rsidP="00000000" w:rsidRDefault="00000000" w:rsidRPr="00000000" w14:paraId="000001EF">
      <w:pPr>
        <w:spacing w:after="240" w:before="240" w:lineRule="auto"/>
        <w:rPr/>
      </w:pPr>
      <w:r w:rsidDel="00000000" w:rsidR="00000000" w:rsidRPr="00000000">
        <w:rPr>
          <w:rtl w:val="0"/>
        </w:rPr>
        <w:t xml:space="preserve">The conceptual logic of the Pre-Actuation Commit is:</w:t>
      </w:r>
    </w:p>
    <w:p w:rsidR="00000000" w:rsidDel="00000000" w:rsidP="00000000" w:rsidRDefault="00000000" w:rsidRPr="00000000" w14:paraId="000001F0">
      <w:pPr>
        <w:spacing w:after="240" w:before="240" w:lineRule="auto"/>
        <w:rPr/>
      </w:pPr>
      <w:r w:rsidDel="00000000" w:rsidR="00000000" w:rsidRPr="00000000">
        <w:rPr>
          <w:rtl w:val="0"/>
        </w:rPr>
        <w:t xml:space="preserve">decision_vector = calculate_inference(input)</w:t>
        <w:br w:type="textWrapping"/>
        <w:t xml:space="preserve"> log_entry = create_log(decision_vector, triggers, uncertainty_scores)</w:t>
        <w:br w:type="textWrapping"/>
        <w:t xml:space="preserve"> log_hash = secure_storage.write(log_entry)</w:t>
      </w:r>
    </w:p>
    <w:p w:rsidR="00000000" w:rsidDel="00000000" w:rsidP="00000000" w:rsidRDefault="00000000" w:rsidRPr="00000000" w14:paraId="000001F1">
      <w:pPr>
        <w:spacing w:after="240" w:before="240" w:lineRule="auto"/>
        <w:rPr/>
      </w:pPr>
      <w:r w:rsidDel="00000000" w:rsidR="00000000" w:rsidRPr="00000000">
        <w:rPr>
          <w:rtl w:val="0"/>
        </w:rPr>
        <w:t xml:space="preserve">if log_hash.verified():</w:t>
        <w:br w:type="textWrapping"/>
        <w:t xml:space="preserve"> action_key = derive_key(log_hash)</w:t>
        <w:br w:type="textWrapping"/>
        <w:t xml:space="preserve"> actuator.execute(decision_vector, auth=action_key)</w:t>
        <w:br w:type="textWrapping"/>
        <w:t xml:space="preserve"> else:</w:t>
        <w:br w:type="textWrapping"/>
        <w:t xml:space="preserve"> system.halt("Audit Failure: No Memory Generated")</w:t>
      </w:r>
    </w:p>
    <w:p w:rsidR="00000000" w:rsidDel="00000000" w:rsidP="00000000" w:rsidRDefault="00000000" w:rsidRPr="00000000" w14:paraId="000001F2">
      <w:pPr>
        <w:spacing w:after="240" w:before="240" w:lineRule="auto"/>
        <w:rPr/>
      </w:pPr>
      <w:r w:rsidDel="00000000" w:rsidR="00000000" w:rsidRPr="00000000">
        <w:rPr>
          <w:rtl w:val="0"/>
        </w:rPr>
        <w:t xml:space="preserve">The log hash serves as both the proof of logging completion and the authorization key for execution. This structure makes it architecturally impossible for a governed action to execute without a corresponding log record: the action key does not exist until the log hash exists, and the log hash does not exist until the log has been successfully committed to secure storage</w:t>
      </w:r>
      <w:hyperlink r:id="rId125">
        <w:r w:rsidDel="00000000" w:rsidR="00000000" w:rsidRPr="00000000">
          <w:rPr>
            <w:rtl w:val="0"/>
          </w:rPr>
          <w:t xml:space="preserve"> </w:t>
        </w:r>
      </w:hyperlink>
      <w:hyperlink r:id="rId12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Redundant Write Paths:</w:t>
      </w:r>
      <w:r w:rsidDel="00000000" w:rsidR="00000000" w:rsidRPr="00000000">
        <w:rPr>
          <w:rtl w:val="0"/>
        </w:rPr>
        <w:t xml:space="preserve"> To prevent system paralysis due to primary storage failure, TML requires redundant write paths across local Trusted Execution Environment (TEE) storage and distributed custodian replication (Pillar VII). If the primary blockchain anchoring is temporarily unavailable, a locally signed Merkle root stored in the TEE serves as a "memory promise" that enables execution pending anchoring completion within a time window. If even TEE storage is unavailable, the system enters Sacred Zero and awaits storage restoration rather than proceeding without a log.</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Ephemeral Key Rotation (EKR):</w:t>
      </w:r>
      <w:r w:rsidDel="00000000" w:rsidR="00000000" w:rsidRPr="00000000">
        <w:rPr>
          <w:rtl w:val="0"/>
        </w:rPr>
        <w:t xml:space="preserve"> The cryptographic keys used to sign log records are rotated on a configurable epoch schedule. Keys are not stored by the operator; they are split using Shamir's Secret Sharing and distributed to the HybridShield custodians (Pillar VII). This forward secrecy guarantee ensures that a future key compromise exposes only the logs signed within the compromised key's epoch, not the entire historical record. The fact of a decision is permanently preserved; the content of the PII-bearing portions is protected behind distributed key custody that requires a custodian quorum to access</w:t>
      </w:r>
      <w:hyperlink r:id="rId127">
        <w:r w:rsidDel="00000000" w:rsidR="00000000" w:rsidRPr="00000000">
          <w:rPr>
            <w:rtl w:val="0"/>
          </w:rPr>
          <w:t xml:space="preserve"> </w:t>
        </w:r>
      </w:hyperlink>
      <w:hyperlink r:id="rId12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F5">
      <w:pPr>
        <w:pStyle w:val="Heading4"/>
        <w:keepNext w:val="0"/>
        <w:keepLines w:val="0"/>
        <w:spacing w:after="40" w:before="240" w:lineRule="auto"/>
        <w:rPr>
          <w:b w:val="1"/>
          <w:bCs w:val="1"/>
          <w:color w:val="000000"/>
          <w:sz w:val="22"/>
          <w:szCs w:val="22"/>
        </w:rPr>
      </w:pPr>
      <w:bookmarkStart w:colFirst="0" w:colLast="0" w:name="_50wuit85t21x" w:id="41"/>
      <w:bookmarkEnd w:id="41"/>
      <w:r w:rsidDel="00000000" w:rsidR="00000000" w:rsidRPr="00000000">
        <w:rPr>
          <w:b w:val="1"/>
          <w:bCs w:val="1"/>
          <w:color w:val="000000"/>
          <w:sz w:val="22"/>
          <w:szCs w:val="22"/>
          <w:rtl w:val="0"/>
        </w:rPr>
        <w:t xml:space="preserve">3.2.3 Legal Effect: Spoliation, Mens Rea, and the Burden of Proof</w:t>
      </w:r>
    </w:p>
    <w:p w:rsidR="00000000" w:rsidDel="00000000" w:rsidP="00000000" w:rsidRDefault="00000000" w:rsidRPr="00000000" w14:paraId="000001F6">
      <w:pPr>
        <w:spacing w:after="240" w:before="240" w:lineRule="auto"/>
        <w:rPr/>
      </w:pPr>
      <w:r w:rsidDel="00000000" w:rsidR="00000000" w:rsidRPr="00000000">
        <w:rPr>
          <w:rtl w:val="0"/>
        </w:rPr>
        <w:t xml:space="preserve">Always Memory is designed to satisfy strict evidentiary standards under U.S. federal law (18 U.S.C. § 1519, obstruction of justice through destruction of records), EU administrative law (the right to access records of automated decision-making under GDPR Article 22 and the AI Act's record-keeping requirements), and common law spoliation doctrine.</w:t>
      </w:r>
    </w:p>
    <w:p w:rsidR="00000000" w:rsidDel="00000000" w:rsidP="00000000" w:rsidRDefault="00000000" w:rsidRPr="00000000" w14:paraId="000001F7">
      <w:pPr>
        <w:spacing w:after="240" w:before="240" w:lineRule="auto"/>
        <w:rPr/>
      </w:pPr>
      <w:r w:rsidDel="00000000" w:rsidR="00000000" w:rsidRPr="00000000">
        <w:rPr>
          <w:rtl w:val="0"/>
        </w:rPr>
        <w:t xml:space="preserve">By making log generation a physical prerequisite for execution, Always Memory ensures that any gap in the evidentiary record is not a plausible "system glitch" but evidence of either fundamental system failure or deliberate tampering. If a TML system executes an action without a corresponding log, which the Pre-Actuation Commit architecture makes architecturally impossible under normal operation, the gap implies that the Always Memory constraint was deliberately bypassed, potentially satisfying the </w:t>
      </w:r>
      <w:r w:rsidDel="00000000" w:rsidR="00000000" w:rsidRPr="00000000">
        <w:rPr>
          <w:i w:val="1"/>
          <w:iCs w:val="1"/>
          <w:rtl w:val="0"/>
        </w:rPr>
        <w:t xml:space="preserve">mens rea</w:t>
      </w:r>
      <w:r w:rsidDel="00000000" w:rsidR="00000000" w:rsidRPr="00000000">
        <w:rPr>
          <w:rtl w:val="0"/>
        </w:rPr>
        <w:t xml:space="preserve"> requirement for criminal obstruction or evidence tampering</w:t>
      </w:r>
      <w:hyperlink r:id="rId129">
        <w:r w:rsidDel="00000000" w:rsidR="00000000" w:rsidRPr="00000000">
          <w:rPr>
            <w:rtl w:val="0"/>
          </w:rPr>
          <w:t xml:space="preserve"> </w:t>
        </w:r>
      </w:hyperlink>
      <w:hyperlink r:id="rId13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F8">
      <w:pPr>
        <w:spacing w:after="240" w:before="240" w:lineRule="auto"/>
        <w:rPr/>
      </w:pPr>
      <w:r w:rsidDel="00000000" w:rsidR="00000000" w:rsidRPr="00000000">
        <w:rPr>
          <w:rtl w:val="0"/>
        </w:rPr>
        <w:t xml:space="preserve">In civil litigation, the continuous memory chain shifts the burden of proof from the subject of the automated decision to the operator. Under current law, a person harmed by an automated decision must typically prove the decision was erroneous with access to little or no evidence that the operator is required to produce. Under TML's Always Memory architecture, the operator must produce the complete Moral Trace Log to demonstrate that the system functioned correctly; the absence of the log for a specific decision creates a rebuttable presumption of failure. This burden shift is the most significant single change in AI liability that the TML architecture produces, and it is produced not by legislation but by architectural design.</w:t>
      </w:r>
    </w:p>
    <w:p w:rsidR="00000000" w:rsidDel="00000000" w:rsidP="00000000" w:rsidRDefault="00000000" w:rsidRPr="00000000" w14:paraId="000001F9">
      <w:pPr>
        <w:pStyle w:val="Heading4"/>
        <w:keepNext w:val="0"/>
        <w:keepLines w:val="0"/>
        <w:spacing w:after="40" w:before="240" w:lineRule="auto"/>
        <w:rPr>
          <w:b w:val="1"/>
          <w:bCs w:val="1"/>
          <w:color w:val="000000"/>
          <w:sz w:val="22"/>
          <w:szCs w:val="22"/>
        </w:rPr>
      </w:pPr>
      <w:bookmarkStart w:colFirst="0" w:colLast="0" w:name="_nnah26qy0r3e" w:id="42"/>
      <w:bookmarkEnd w:id="42"/>
      <w:r w:rsidDel="00000000" w:rsidR="00000000" w:rsidRPr="00000000">
        <w:rPr>
          <w:b w:val="1"/>
          <w:bCs w:val="1"/>
          <w:color w:val="000000"/>
          <w:sz w:val="22"/>
          <w:szCs w:val="22"/>
          <w:rtl w:val="0"/>
        </w:rPr>
        <w:t xml:space="preserve">3.2.4 Operational Consequences</w:t>
      </w:r>
    </w:p>
    <w:p w:rsidR="00000000" w:rsidDel="00000000" w:rsidP="00000000" w:rsidRDefault="00000000" w:rsidRPr="00000000" w14:paraId="000001FA">
      <w:pPr>
        <w:spacing w:after="240" w:before="240" w:lineRule="auto"/>
        <w:rPr/>
      </w:pPr>
      <w:r w:rsidDel="00000000" w:rsidR="00000000" w:rsidRPr="00000000">
        <w:rPr>
          <w:rFonts w:ascii="Arial Unicode MS" w:cs="Arial Unicode MS" w:eastAsia="Arial Unicode MS" w:hAnsi="Arial Unicode MS"/>
          <w:rtl w:val="0"/>
        </w:rPr>
        <w:t xml:space="preserve">Always Memory generates substantially higher log volumes than standard AI systems. A production LLM inference system processing millions of requests per day will generate corresponding millions of Moral Trace Log entries, each carrying the full decision context, reasoning vector, pillar assessment scores, and cryptographic signatures. TML addresses this storage burden through tiered retention: State +1 (standard proceed) logs store a hash and metadata summary, with full context available through the Merkle inclusion proof chain; State 0 (Sacred Zero) and State −1 (Refuse) logs store complete context permanently, as these represent the highest-governance decisions with the greatest potential for subsequent legal relevance.</w:t>
      </w:r>
    </w:p>
    <w:p w:rsidR="00000000" w:rsidDel="00000000" w:rsidP="00000000" w:rsidRDefault="00000000" w:rsidRPr="00000000" w14:paraId="000001FB">
      <w:pPr>
        <w:spacing w:after="240" w:before="240" w:lineRule="auto"/>
        <w:rPr/>
      </w:pPr>
      <w:r w:rsidDel="00000000" w:rsidR="00000000" w:rsidRPr="00000000">
        <w:rPr>
          <w:rtl w:val="0"/>
        </w:rPr>
        <w:t xml:space="preserve">The dependency on logging infrastructure availability creates an architectural requirement for high-availability log storage that is treated as a safety-critical system rather than an administrative support system. A failure in the logging infrastructure is not a monitoring problem; it is a system halt event. Operators who deploy TML must design their logging infrastructure to availability standards commensurate with the availability standards of the primary AI system.</w:t>
      </w:r>
    </w:p>
    <w:p w:rsidR="00000000" w:rsidDel="00000000" w:rsidP="00000000" w:rsidRDefault="00000000" w:rsidRPr="00000000" w14:paraId="000001FC">
      <w:pPr>
        <w:pStyle w:val="Heading4"/>
        <w:keepNext w:val="0"/>
        <w:keepLines w:val="0"/>
        <w:spacing w:after="40" w:before="240" w:lineRule="auto"/>
        <w:rPr>
          <w:b w:val="1"/>
          <w:bCs w:val="1"/>
          <w:color w:val="000000"/>
          <w:sz w:val="22"/>
          <w:szCs w:val="22"/>
        </w:rPr>
      </w:pPr>
      <w:bookmarkStart w:colFirst="0" w:colLast="0" w:name="_7uqf23ae16h9" w:id="43"/>
      <w:bookmarkEnd w:id="43"/>
      <w:r w:rsidDel="00000000" w:rsidR="00000000" w:rsidRPr="00000000">
        <w:rPr>
          <w:b w:val="1"/>
          <w:bCs w:val="1"/>
          <w:color w:val="000000"/>
          <w:sz w:val="22"/>
          <w:szCs w:val="22"/>
          <w:rtl w:val="0"/>
        </w:rPr>
        <w:t xml:space="preserve">3.2.5 Failure Cases Prevented</w:t>
      </w:r>
    </w:p>
    <w:p w:rsidR="00000000" w:rsidDel="00000000" w:rsidP="00000000" w:rsidRDefault="00000000" w:rsidRPr="00000000" w14:paraId="000001FD">
      <w:pPr>
        <w:spacing w:after="240" w:before="240" w:lineRule="auto"/>
        <w:rPr/>
      </w:pPr>
      <w:r w:rsidDel="00000000" w:rsidR="00000000" w:rsidRPr="00000000">
        <w:rPr>
          <w:rtl w:val="0"/>
        </w:rPr>
        <w:t xml:space="preserve">Always Memory prevents </w:t>
      </w:r>
      <w:r w:rsidDel="00000000" w:rsidR="00000000" w:rsidRPr="00000000">
        <w:rPr>
          <w:b w:val="1"/>
          <w:bCs w:val="1"/>
          <w:rtl w:val="0"/>
        </w:rPr>
        <w:t xml:space="preserve">Ghost Actions</w:t>
      </w:r>
      <w:r w:rsidDel="00000000" w:rsidR="00000000" w:rsidRPr="00000000">
        <w:rPr>
          <w:rtl w:val="0"/>
        </w:rPr>
        <w:t xml:space="preserve">: governed operations that execute without leaving a retrievable evidentiary trace.</w:t>
      </w:r>
    </w:p>
    <w:p w:rsidR="00000000" w:rsidDel="00000000" w:rsidP="00000000" w:rsidRDefault="00000000" w:rsidRPr="00000000" w14:paraId="000001FE">
      <w:pPr>
        <w:spacing w:after="240" w:before="240" w:lineRule="auto"/>
        <w:rPr/>
      </w:pPr>
      <w:r w:rsidDel="00000000" w:rsidR="00000000" w:rsidRPr="00000000">
        <w:rPr>
          <w:i w:val="1"/>
          <w:iCs w:val="1"/>
          <w:rtl w:val="0"/>
        </w:rPr>
        <w:t xml:space="preserve">Documented instance:</w:t>
      </w:r>
      <w:r w:rsidDel="00000000" w:rsidR="00000000" w:rsidRPr="00000000">
        <w:rPr>
          <w:rtl w:val="0"/>
        </w:rPr>
        <w:t xml:space="preserve"> The 2010 Flash Crash investigation was complicated by the fragmented and inconsistent nature of trading system logs across the multiple algorithmic agents involved</w:t>
      </w:r>
      <w:hyperlink r:id="rId131">
        <w:r w:rsidDel="00000000" w:rsidR="00000000" w:rsidRPr="00000000">
          <w:rPr>
            <w:rtl w:val="0"/>
          </w:rPr>
          <w:t xml:space="preserve"> </w:t>
        </w:r>
      </w:hyperlink>
      <w:hyperlink r:id="rId132">
        <w:r w:rsidDel="00000000" w:rsidR="00000000" w:rsidRPr="00000000">
          <w:rPr>
            <w:color w:val="1155cc"/>
            <w:u w:val="single"/>
            <w:rtl w:val="0"/>
          </w:rPr>
          <w:t xml:space="preserve">[6]</w:t>
        </w:r>
      </w:hyperlink>
      <w:r w:rsidDel="00000000" w:rsidR="00000000" w:rsidRPr="00000000">
        <w:rPr>
          <w:rtl w:val="0"/>
        </w:rPr>
        <w:t xml:space="preserve">. The CFTC-SEC investigation required months of reconstruction work and was unable to provide a complete picture of every algorithmic decision in the cascade. A TML-governed trading infrastructure would have produced a complete, cryptographically anchored log of every algorithmic decision, with the pre-actuation commit guarantee that no order could have executed without a corresponding log entry. The reconstruction would have been available immediately, and the responsibility for specific cascade-amplifying decisions would have been unambiguously assignable.</w:t>
      </w:r>
    </w:p>
    <w:p w:rsidR="00000000" w:rsidDel="00000000" w:rsidP="00000000" w:rsidRDefault="00000000" w:rsidRPr="00000000" w14:paraId="000001FF">
      <w:pPr>
        <w:pStyle w:val="Heading4"/>
        <w:keepNext w:val="0"/>
        <w:keepLines w:val="0"/>
        <w:spacing w:after="40" w:before="240" w:lineRule="auto"/>
        <w:rPr>
          <w:b w:val="1"/>
          <w:bCs w:val="1"/>
          <w:color w:val="000000"/>
          <w:sz w:val="22"/>
          <w:szCs w:val="22"/>
        </w:rPr>
      </w:pPr>
      <w:bookmarkStart w:colFirst="0" w:colLast="0" w:name="_px9l5dz4yevb" w:id="44"/>
      <w:bookmarkEnd w:id="44"/>
      <w:r w:rsidDel="00000000" w:rsidR="00000000" w:rsidRPr="00000000">
        <w:rPr>
          <w:b w:val="1"/>
          <w:bCs w:val="1"/>
          <w:color w:val="000000"/>
          <w:sz w:val="22"/>
          <w:szCs w:val="22"/>
          <w:rtl w:val="0"/>
        </w:rPr>
        <w:t xml:space="preserve">3.2.6 Measurable Outputs</w:t>
      </w:r>
    </w:p>
    <w:p w:rsidR="00000000" w:rsidDel="00000000" w:rsidP="00000000" w:rsidRDefault="00000000" w:rsidRPr="00000000" w14:paraId="00000200">
      <w:pPr>
        <w:numPr>
          <w:ilvl w:val="0"/>
          <w:numId w:val="2"/>
        </w:numPr>
        <w:spacing w:after="0" w:afterAutospacing="0" w:before="240" w:lineRule="auto"/>
        <w:ind w:left="720" w:hanging="360"/>
      </w:pPr>
      <w:r w:rsidDel="00000000" w:rsidR="00000000" w:rsidRPr="00000000">
        <w:rPr>
          <w:b w:val="1"/>
          <w:bCs w:val="1"/>
          <w:rtl w:val="0"/>
        </w:rPr>
        <w:t xml:space="preserve">Log-to-Action Ratio:</w:t>
      </w:r>
      <w:r w:rsidDel="00000000" w:rsidR="00000000" w:rsidRPr="00000000">
        <w:rPr>
          <w:rtl w:val="0"/>
        </w:rPr>
        <w:t xml:space="preserve"> Must equal 1.000 continuously. Any value below 1.000 constitutes a critical failure requiring immediate system halt and investigation.</w:t>
      </w:r>
    </w:p>
    <w:p w:rsidR="00000000" w:rsidDel="00000000" w:rsidP="00000000" w:rsidRDefault="00000000" w:rsidRPr="00000000" w14:paraId="00000201">
      <w:pPr>
        <w:numPr>
          <w:ilvl w:val="0"/>
          <w:numId w:val="2"/>
        </w:numPr>
        <w:spacing w:after="0" w:afterAutospacing="0" w:before="0" w:beforeAutospacing="0" w:lineRule="auto"/>
        <w:ind w:left="720" w:hanging="360"/>
      </w:pPr>
      <w:r w:rsidDel="00000000" w:rsidR="00000000" w:rsidRPr="00000000">
        <w:rPr>
          <w:b w:val="1"/>
          <w:bCs w:val="1"/>
          <w:rtl w:val="0"/>
        </w:rPr>
        <w:t xml:space="preserve">Write Latency Distribution:</w:t>
      </w:r>
      <w:r w:rsidDel="00000000" w:rsidR="00000000" w:rsidRPr="00000000">
        <w:rPr>
          <w:rtl w:val="0"/>
        </w:rPr>
        <w:t xml:space="preserve"> Time from decision computation to log commit confirmation, monitored at the 99th percentile to detect storage degradation before it affects system availability.</w:t>
      </w:r>
    </w:p>
    <w:p w:rsidR="00000000" w:rsidDel="00000000" w:rsidP="00000000" w:rsidRDefault="00000000" w:rsidRPr="00000000" w14:paraId="00000202">
      <w:pPr>
        <w:numPr>
          <w:ilvl w:val="0"/>
          <w:numId w:val="2"/>
        </w:numPr>
        <w:spacing w:after="0" w:afterAutospacing="0" w:before="0" w:beforeAutospacing="0" w:lineRule="auto"/>
        <w:ind w:left="720" w:hanging="360"/>
      </w:pPr>
      <w:r w:rsidDel="00000000" w:rsidR="00000000" w:rsidRPr="00000000">
        <w:rPr>
          <w:b w:val="1"/>
          <w:bCs w:val="1"/>
          <w:rtl w:val="0"/>
        </w:rPr>
        <w:t xml:space="preserve">Custodian Replication Lag:</w:t>
      </w:r>
      <w:r w:rsidDel="00000000" w:rsidR="00000000" w:rsidRPr="00000000">
        <w:rPr>
          <w:rtl w:val="0"/>
        </w:rPr>
        <w:t xml:space="preserve"> Time between primary log commitment and confirmation of replication to all six HybridShield custodians.</w:t>
      </w:r>
    </w:p>
    <w:p w:rsidR="00000000" w:rsidDel="00000000" w:rsidP="00000000" w:rsidRDefault="00000000" w:rsidRPr="00000000" w14:paraId="00000203">
      <w:pPr>
        <w:numPr>
          <w:ilvl w:val="0"/>
          <w:numId w:val="2"/>
        </w:numPr>
        <w:spacing w:after="240" w:before="0" w:beforeAutospacing="0" w:lineRule="auto"/>
        <w:ind w:left="720" w:hanging="360"/>
      </w:pPr>
      <w:r w:rsidDel="00000000" w:rsidR="00000000" w:rsidRPr="00000000">
        <w:rPr>
          <w:b w:val="1"/>
          <w:bCs w:val="1"/>
          <w:rtl w:val="0"/>
        </w:rPr>
        <w:t xml:space="preserve">EKR Rotation Health:</w:t>
      </w:r>
      <w:r w:rsidDel="00000000" w:rsidR="00000000" w:rsidRPr="00000000">
        <w:rPr>
          <w:rtl w:val="0"/>
        </w:rPr>
        <w:t xml:space="preserve"> Frequency and success rate of ephemeral key rotation cycles, monitored to detect key management failures before they compromise forward secrecy guarantees.</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9fttbadawri" w:id="45"/>
      <w:bookmarkEnd w:id="45"/>
      <w:r w:rsidDel="00000000" w:rsidR="00000000" w:rsidRPr="00000000">
        <w:rPr>
          <w:b w:val="1"/>
          <w:bCs w:val="1"/>
          <w:color w:val="000000"/>
          <w:sz w:val="26"/>
          <w:szCs w:val="26"/>
          <w:rtl w:val="0"/>
        </w:rPr>
        <w:t xml:space="preserve">3.3 Pillar III: The Goukassian Promise (The Constitutional Bond)</w:t>
      </w:r>
    </w:p>
    <w:p w:rsidR="00000000" w:rsidDel="00000000" w:rsidP="00000000" w:rsidRDefault="00000000" w:rsidRPr="00000000" w14:paraId="00000206">
      <w:pPr>
        <w:pStyle w:val="Heading4"/>
        <w:keepNext w:val="0"/>
        <w:keepLines w:val="0"/>
        <w:spacing w:after="40" w:before="240" w:lineRule="auto"/>
        <w:rPr>
          <w:b w:val="1"/>
          <w:bCs w:val="1"/>
          <w:color w:val="000000"/>
          <w:sz w:val="22"/>
          <w:szCs w:val="22"/>
        </w:rPr>
      </w:pPr>
      <w:bookmarkStart w:colFirst="0" w:colLast="0" w:name="_mxwsdldz4tdt" w:id="46"/>
      <w:bookmarkEnd w:id="46"/>
      <w:r w:rsidDel="00000000" w:rsidR="00000000" w:rsidRPr="00000000">
        <w:rPr>
          <w:b w:val="1"/>
          <w:bCs w:val="1"/>
          <w:color w:val="000000"/>
          <w:sz w:val="22"/>
          <w:szCs w:val="22"/>
          <w:rtl w:val="0"/>
        </w:rPr>
        <w:t xml:space="preserve">3.3.1 Purpose and Philosophy</w:t>
      </w:r>
    </w:p>
    <w:p w:rsidR="00000000" w:rsidDel="00000000" w:rsidP="00000000" w:rsidRDefault="00000000" w:rsidRPr="00000000" w14:paraId="00000207">
      <w:pPr>
        <w:spacing w:after="240" w:before="240" w:lineRule="auto"/>
        <w:rPr/>
      </w:pPr>
      <w:r w:rsidDel="00000000" w:rsidR="00000000" w:rsidRPr="00000000">
        <w:rPr>
          <w:rtl w:val="0"/>
        </w:rPr>
        <w:t xml:space="preserve">Ternary Moral Logic recognizes that code is an artifact of human will and is therefore subject to human corruption. The most sophisticated cryptographic architecture can be disabled by an operator who controls the hardware. The most carefully specified constraints can be removed by a developer who controls the codebase. The most rigorously enforced API schema can be replaced by a non-compliant fork. The Goukassian Promise is the mechanism designed to make each of these circumventions costly, visible, and legally consequential across multiple independent enforcement domains simultaneously, such that no commercially rational actor would undertake them.</w:t>
      </w:r>
    </w:p>
    <w:p w:rsidR="00000000" w:rsidDel="00000000" w:rsidP="00000000" w:rsidRDefault="00000000" w:rsidRPr="00000000" w14:paraId="00000208">
      <w:pPr>
        <w:spacing w:after="240" w:before="240" w:lineRule="auto"/>
        <w:rPr/>
      </w:pPr>
      <w:r w:rsidDel="00000000" w:rsidR="00000000" w:rsidRPr="00000000">
        <w:rPr>
          <w:rtl w:val="0"/>
        </w:rPr>
        <w:t xml:space="preserve">The Promise is designed to prevent the specific failure mode that TML designates as </w:t>
      </w:r>
      <w:r w:rsidDel="00000000" w:rsidR="00000000" w:rsidRPr="00000000">
        <w:rPr>
          <w:b w:val="1"/>
          <w:bCs w:val="1"/>
          <w:rtl w:val="0"/>
        </w:rPr>
        <w:t xml:space="preserve">ethics-washing</w:t>
      </w:r>
      <w:r w:rsidDel="00000000" w:rsidR="00000000" w:rsidRPr="00000000">
        <w:rPr>
          <w:rtl w:val="0"/>
        </w:rPr>
        <w:t xml:space="preserve">: the adoption of the terminology of constitutional AI safety, Sacred Zero, Moral Trace Logs, human rights mandate, without the operational constraints that make those terms meaningful. Ethics-washing is not a hypothetical risk; the academic literature documents a systematic pattern of AI safety language being adopted as branding while safety constraints are weakened, delayed, or quietly removed</w:t>
      </w:r>
      <w:hyperlink r:id="rId133">
        <w:r w:rsidDel="00000000" w:rsidR="00000000" w:rsidRPr="00000000">
          <w:rPr>
            <w:rtl w:val="0"/>
          </w:rPr>
          <w:t xml:space="preserve"> </w:t>
        </w:r>
      </w:hyperlink>
      <w:hyperlink r:id="rId134">
        <w:r w:rsidDel="00000000" w:rsidR="00000000" w:rsidRPr="00000000">
          <w:rPr>
            <w:color w:val="1155cc"/>
            <w:u w:val="single"/>
            <w:rtl w:val="0"/>
          </w:rPr>
          <w:t xml:space="preserve">[20]</w:t>
        </w:r>
      </w:hyperlink>
      <w:r w:rsidDel="00000000" w:rsidR="00000000" w:rsidRPr="00000000">
        <w:rPr>
          <w:rtl w:val="0"/>
        </w:rPr>
        <w:t xml:space="preserve">. The Goukassian Promise is the architectural immune response to this pattern.</w:t>
      </w:r>
    </w:p>
    <w:p w:rsidR="00000000" w:rsidDel="00000000" w:rsidP="00000000" w:rsidRDefault="00000000" w:rsidRPr="00000000" w14:paraId="00000209">
      <w:pPr>
        <w:pStyle w:val="Heading4"/>
        <w:keepNext w:val="0"/>
        <w:keepLines w:val="0"/>
        <w:spacing w:after="40" w:before="240" w:lineRule="auto"/>
        <w:rPr>
          <w:b w:val="1"/>
          <w:bCs w:val="1"/>
          <w:color w:val="000000"/>
          <w:sz w:val="22"/>
          <w:szCs w:val="22"/>
        </w:rPr>
      </w:pPr>
      <w:bookmarkStart w:colFirst="0" w:colLast="0" w:name="_tuh9ojsn2jz7" w:id="47"/>
      <w:bookmarkEnd w:id="47"/>
      <w:r w:rsidDel="00000000" w:rsidR="00000000" w:rsidRPr="00000000">
        <w:rPr>
          <w:b w:val="1"/>
          <w:bCs w:val="1"/>
          <w:color w:val="000000"/>
          <w:sz w:val="22"/>
          <w:szCs w:val="22"/>
          <w:rtl w:val="0"/>
        </w:rPr>
        <w:t xml:space="preserve">3.3.2 Technical Mechanisms: Lantern, Signature, and License</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Artifact 1: The Lantern (🏮)</w:t>
      </w:r>
    </w:p>
    <w:p w:rsidR="00000000" w:rsidDel="00000000" w:rsidP="00000000" w:rsidRDefault="00000000" w:rsidRPr="00000000" w14:paraId="0000020B">
      <w:pPr>
        <w:spacing w:after="240" w:before="240" w:lineRule="auto"/>
        <w:rPr/>
      </w:pPr>
      <w:r w:rsidDel="00000000" w:rsidR="00000000" w:rsidRPr="00000000">
        <w:rPr>
          <w:rtl w:val="0"/>
        </w:rPr>
        <w:t xml:space="preserve">The Lantern is a smart-contract-controlled compliance beacon that must be displayed in the system's user interface and embedded as a mandatory field (</w:t>
      </w:r>
      <w:r w:rsidDel="00000000" w:rsidR="00000000" w:rsidRPr="00000000">
        <w:rPr>
          <w:rFonts w:ascii="Roboto Mono" w:cs="Roboto Mono" w:eastAsia="Roboto Mono" w:hAnsi="Roboto Mono"/>
          <w:color w:val="188038"/>
          <w:rtl w:val="0"/>
        </w:rPr>
        <w:t xml:space="preserve">artifactName: const "lantern"</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LanternStatus</w:t>
      </w:r>
      <w:r w:rsidDel="00000000" w:rsidR="00000000" w:rsidRPr="00000000">
        <w:rPr>
          <w:rtl w:val="0"/>
        </w:rPr>
        <w:t xml:space="preserve"> schema of every Moral Trace Log</w:t>
      </w:r>
      <w:hyperlink r:id="rId135">
        <w:r w:rsidDel="00000000" w:rsidR="00000000" w:rsidRPr="00000000">
          <w:rPr>
            <w:rtl w:val="0"/>
          </w:rPr>
          <w:t xml:space="preserve"> </w:t>
        </w:r>
      </w:hyperlink>
      <w:hyperlink r:id="rId136">
        <w:r w:rsidDel="00000000" w:rsidR="00000000" w:rsidRPr="00000000">
          <w:rPr>
            <w:color w:val="1155cc"/>
            <w:u w:val="single"/>
            <w:rtl w:val="0"/>
          </w:rPr>
          <w:t xml:space="preserve">[6]</w:t>
        </w:r>
      </w:hyperlink>
      <w:r w:rsidDel="00000000" w:rsidR="00000000" w:rsidRPr="00000000">
        <w:rPr>
          <w:rtl w:val="0"/>
        </w:rPr>
        <w:t xml:space="preserve">. The Lantern's </w:t>
      </w:r>
      <w:r w:rsidDel="00000000" w:rsidR="00000000" w:rsidRPr="00000000">
        <w:rPr>
          <w:rFonts w:ascii="Roboto Mono" w:cs="Roboto Mono" w:eastAsia="Roboto Mono" w:hAnsi="Roboto Mono"/>
          <w:color w:val="188038"/>
          <w:rtl w:val="0"/>
        </w:rPr>
        <w:t xml:space="preserve">compliancePosture</w:t>
      </w:r>
      <w:r w:rsidDel="00000000" w:rsidR="00000000" w:rsidRPr="00000000">
        <w:rPr>
          <w:rtl w:val="0"/>
        </w:rPr>
        <w:t xml:space="preserve"> field provides a five-value status enum: </w:t>
      </w:r>
      <w:r w:rsidDel="00000000" w:rsidR="00000000" w:rsidRPr="00000000">
        <w:rPr>
          <w:rFonts w:ascii="Roboto Mono" w:cs="Roboto Mono" w:eastAsia="Roboto Mono" w:hAnsi="Roboto Mono"/>
          <w:color w:val="188038"/>
          <w:rtl w:val="0"/>
        </w:rPr>
        <w:t xml:space="preserve">FULLY_COMPLIANT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SACRED_ZERO_ACTIVE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PARTIAL_COMPLIANCE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EMERGENCY_OVERRIDE_ACTIVE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DEGRADED</w:t>
      </w:r>
      <w:r w:rsidDel="00000000" w:rsidR="00000000" w:rsidRPr="00000000">
        <w:rPr>
          <w:rtl w:val="0"/>
        </w:rPr>
        <w:t xml:space="preserve">. Its </w:t>
      </w:r>
      <w:r w:rsidDel="00000000" w:rsidR="00000000" w:rsidRPr="00000000">
        <w:rPr>
          <w:rFonts w:ascii="Roboto Mono" w:cs="Roboto Mono" w:eastAsia="Roboto Mono" w:hAnsi="Roboto Mono"/>
          <w:color w:val="188038"/>
          <w:rtl w:val="0"/>
        </w:rPr>
        <w:t xml:space="preserve">pillarStatuses</w:t>
      </w:r>
      <w:r w:rsidDel="00000000" w:rsidR="00000000" w:rsidRPr="00000000">
        <w:rPr>
          <w:rtl w:val="0"/>
        </w:rPr>
        <w:t xml:space="preserve"> object reports per-pillar live status across all Eight Pillars.</w:t>
      </w:r>
    </w:p>
    <w:p w:rsidR="00000000" w:rsidDel="00000000" w:rsidP="00000000" w:rsidRDefault="00000000" w:rsidRPr="00000000" w14:paraId="0000020C">
      <w:pPr>
        <w:spacing w:after="240" w:before="240" w:lineRule="auto"/>
        <w:rPr/>
      </w:pPr>
      <w:r w:rsidDel="00000000" w:rsidR="00000000" w:rsidRPr="00000000">
        <w:rPr>
          <w:rtl w:val="0"/>
        </w:rPr>
        <w:t xml:space="preserve">The Lantern's enforcement mechanism is its hash-verification smart contract, which continuously monitors the integrity of the core code files. Any modification to the Human Rights Mandate vector database, the Sacred Zero threshold configuration, the Anchoring Lane cryptographic requirements, or the "No Log = No Action" interlock produces a hash mismatch that the smart contract detects and responds to by automatically revoking the Lantern token and broadcasting a public revocation event. A system that has been tampered with cannot present itself as TML-compliant; the revocation is immediate, public, and cryptographically irrefutable. This dead-man's-switch mechanism ensures that commercial pressure to weaken constraints translates immediately into public visibility of that weakening, a reputational cost that operates independently of regulatory enforcement.</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Artifact 2: The Signature (✍️)</w:t>
      </w:r>
    </w:p>
    <w:p w:rsidR="00000000" w:rsidDel="00000000" w:rsidP="00000000" w:rsidRDefault="00000000" w:rsidRPr="00000000" w14:paraId="0000020E">
      <w:pPr>
        <w:spacing w:after="240" w:before="240" w:lineRule="auto"/>
        <w:rPr/>
      </w:pPr>
      <w:r w:rsidDel="00000000" w:rsidR="00000000" w:rsidRPr="00000000">
        <w:rPr>
          <w:rtl w:val="0"/>
        </w:rPr>
        <w:t xml:space="preserve">The Signature is a cryptographic provenance artifact embedded as </w:t>
      </w:r>
      <w:r w:rsidDel="00000000" w:rsidR="00000000" w:rsidRPr="00000000">
        <w:rPr>
          <w:rFonts w:ascii="Roboto Mono" w:cs="Roboto Mono" w:eastAsia="Roboto Mono" w:hAnsi="Roboto Mono"/>
          <w:color w:val="188038"/>
          <w:rtl w:val="0"/>
        </w:rPr>
        <w:t xml:space="preserve">theSignature</w:t>
      </w:r>
      <w:r w:rsidDel="00000000" w:rsidR="00000000" w:rsidRPr="00000000">
        <w:rPr>
          <w:rtl w:val="0"/>
        </w:rPr>
        <w:t xml:space="preserve"> (a mandatory field in </w:t>
      </w:r>
      <w:r w:rsidDel="00000000" w:rsidR="00000000" w:rsidRPr="00000000">
        <w:rPr>
          <w:rFonts w:ascii="Roboto Mono" w:cs="Roboto Mono" w:eastAsia="Roboto Mono" w:hAnsi="Roboto Mono"/>
          <w:color w:val="188038"/>
          <w:rtl w:val="0"/>
        </w:rPr>
        <w:t xml:space="preserve">TSLF-StateP1</w:t>
      </w:r>
      <w:r w:rsidDel="00000000" w:rsidR="00000000" w:rsidRPr="00000000">
        <w:rPr>
          <w:rtl w:val="0"/>
        </w:rPr>
        <w:t xml:space="preserve"> logs) and as </w:t>
      </w:r>
      <w:r w:rsidDel="00000000" w:rsidR="00000000" w:rsidRPr="00000000">
        <w:rPr>
          <w:rFonts w:ascii="Roboto Mono" w:cs="Roboto Mono" w:eastAsia="Roboto Mono" w:hAnsi="Roboto Mono"/>
          <w:color w:val="188038"/>
          <w:rtl w:val="0"/>
        </w:rPr>
        <w:t xml:space="preserve">signatureBlock</w:t>
      </w:r>
      <w:r w:rsidDel="00000000" w:rsidR="00000000" w:rsidRPr="00000000">
        <w:rPr>
          <w:rtl w:val="0"/>
        </w:rPr>
        <w:t xml:space="preserve"> (a required field in </w:t>
      </w:r>
      <w:r w:rsidDel="00000000" w:rsidR="00000000" w:rsidRPr="00000000">
        <w:rPr>
          <w:rFonts w:ascii="Roboto Mono" w:cs="Roboto Mono" w:eastAsia="Roboto Mono" w:hAnsi="Roboto Mono"/>
          <w:color w:val="188038"/>
          <w:rtl w:val="0"/>
        </w:rPr>
        <w:t xml:space="preserve">ComplianceAttestation</w:t>
      </w:r>
      <w:r w:rsidDel="00000000" w:rsidR="00000000" w:rsidRPr="00000000">
        <w:rPr>
          <w:rtl w:val="0"/>
        </w:rPr>
        <w:t xml:space="preserve"> records). It carries the </w:t>
      </w:r>
      <w:r w:rsidDel="00000000" w:rsidR="00000000" w:rsidRPr="00000000">
        <w:rPr>
          <w:rFonts w:ascii="Roboto Mono" w:cs="Roboto Mono" w:eastAsia="Roboto Mono" w:hAnsi="Roboto Mono"/>
          <w:color w:val="188038"/>
          <w:rtl w:val="0"/>
        </w:rPr>
        <w:t xml:space="preserve">artifactName: const "signature"</w:t>
      </w:r>
      <w:r w:rsidDel="00000000" w:rsidR="00000000" w:rsidRPr="00000000">
        <w:rPr>
          <w:rtl w:val="0"/>
        </w:rPr>
        <w:t xml:space="preserve"> constraint and embeds the creator's ORCID (0009-0006-5966-1243) in the system's genesis block of the logging chain</w:t>
      </w:r>
      <w:hyperlink r:id="rId137">
        <w:r w:rsidDel="00000000" w:rsidR="00000000" w:rsidRPr="00000000">
          <w:rPr>
            <w:rtl w:val="0"/>
          </w:rPr>
          <w:t xml:space="preserve"> </w:t>
        </w:r>
      </w:hyperlink>
      <w:hyperlink r:id="rId13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0F">
      <w:pPr>
        <w:spacing w:after="240" w:before="240" w:lineRule="auto"/>
        <w:rPr/>
      </w:pPr>
      <w:r w:rsidDel="00000000" w:rsidR="00000000" w:rsidRPr="00000000">
        <w:rPr>
          <w:rtl w:val="0"/>
        </w:rPr>
        <w:t xml:space="preserve">The Signature's </w:t>
      </w:r>
      <w:r w:rsidDel="00000000" w:rsidR="00000000" w:rsidRPr="00000000">
        <w:rPr>
          <w:rFonts w:ascii="Roboto Mono" w:cs="Roboto Mono" w:eastAsia="Roboto Mono" w:hAnsi="Roboto Mono"/>
          <w:color w:val="188038"/>
          <w:rtl w:val="0"/>
        </w:rPr>
        <w:t xml:space="preserve">signatureAlgorithm</w:t>
      </w:r>
      <w:r w:rsidDel="00000000" w:rsidR="00000000" w:rsidRPr="00000000">
        <w:rPr>
          <w:rtl w:val="0"/>
        </w:rPr>
        <w:t xml:space="preserve"> field enumerates current shipping algorithms (ES256 through RS512) alongside FUTURE-reserved post-quantum cryptography identifiers (SLH-DSA-SHAKE-128s, ML-KEM-1024), enabling forward-compatible migration to post-quantum signatures without a breaking schema change as NIST's post-quantum cryptography standards are operationalized</w:t>
      </w:r>
      <w:hyperlink r:id="rId139">
        <w:r w:rsidDel="00000000" w:rsidR="00000000" w:rsidRPr="00000000">
          <w:rPr>
            <w:rtl w:val="0"/>
          </w:rPr>
          <w:t xml:space="preserve"> </w:t>
        </w:r>
      </w:hyperlink>
      <w:hyperlink r:id="rId140">
        <w:r w:rsidDel="00000000" w:rsidR="00000000" w:rsidRPr="00000000">
          <w:rPr>
            <w:color w:val="1155cc"/>
            <w:u w:val="single"/>
            <w:rtl w:val="0"/>
          </w:rPr>
          <w:t xml:space="preserve">[25]</w:t>
        </w:r>
      </w:hyperlink>
      <w:r w:rsidDel="00000000" w:rsidR="00000000" w:rsidRPr="00000000">
        <w:rPr>
          <w:rtl w:val="0"/>
        </w:rPr>
        <w:t xml:space="preserve">. The presence of PQC identifiers in the schema does not imply current operational availability; it represents the commitment to cryptographic continuity across algorithmic transitions.</w:t>
      </w:r>
    </w:p>
    <w:p w:rsidR="00000000" w:rsidDel="00000000" w:rsidP="00000000" w:rsidRDefault="00000000" w:rsidRPr="00000000" w14:paraId="00000210">
      <w:pPr>
        <w:spacing w:after="240" w:before="240" w:lineRule="auto"/>
        <w:rPr/>
      </w:pPr>
      <w:r w:rsidDel="00000000" w:rsidR="00000000" w:rsidRPr="00000000">
        <w:rPr>
          <w:rtl w:val="0"/>
        </w:rPr>
        <w:t xml:space="preserve">The Signature's function is non-repudiation of origin. An operator who forks TML and removes the Earth Protection Mandate cannot sign the fork with the valid TML root key. The modified system is identifiable as a TML forgery by any party with access to the original public key. This prevents the specific attack of claiming TML compliance while operating a weakened variant.</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Artifact 3: The License (📜)</w:t>
      </w:r>
    </w:p>
    <w:p w:rsidR="00000000" w:rsidDel="00000000" w:rsidP="00000000" w:rsidRDefault="00000000" w:rsidRPr="00000000" w14:paraId="00000212">
      <w:pPr>
        <w:spacing w:after="240" w:before="240" w:lineRule="auto"/>
        <w:rPr/>
      </w:pPr>
      <w:r w:rsidDel="00000000" w:rsidR="00000000" w:rsidRPr="00000000">
        <w:rPr>
          <w:rtl w:val="0"/>
        </w:rPr>
        <w:t xml:space="preserve">The License constitutes a binding legal instrument governing authorized use of TML. It is enforced through two API paths: </w:t>
      </w:r>
      <w:r w:rsidDel="00000000" w:rsidR="00000000" w:rsidRPr="00000000">
        <w:rPr>
          <w:rFonts w:ascii="Roboto Mono" w:cs="Roboto Mono" w:eastAsia="Roboto Mono" w:hAnsi="Roboto Mono"/>
          <w:color w:val="188038"/>
          <w:rtl w:val="0"/>
        </w:rPr>
        <w:t xml:space="preserve">POST /goukassian/license/validate</w:t>
      </w:r>
      <w:r w:rsidDel="00000000" w:rsidR="00000000" w:rsidRPr="00000000">
        <w:rPr>
          <w:rtl w:val="0"/>
        </w:rPr>
        <w:t xml:space="preserve"> for runtime validation and </w:t>
      </w:r>
      <w:r w:rsidDel="00000000" w:rsidR="00000000" w:rsidRPr="00000000">
        <w:rPr>
          <w:rFonts w:ascii="Roboto Mono" w:cs="Roboto Mono" w:eastAsia="Roboto Mono" w:hAnsi="Roboto Mono"/>
          <w:color w:val="188038"/>
          <w:rtl w:val="0"/>
        </w:rPr>
        <w:t xml:space="preserve">POST /refusals/license-violations</w:t>
      </w:r>
      <w:r w:rsidDel="00000000" w:rsidR="00000000" w:rsidRPr="00000000">
        <w:rPr>
          <w:rtl w:val="0"/>
        </w:rPr>
        <w:t xml:space="preserve"> for violation recording</w:t>
      </w:r>
      <w:hyperlink r:id="rId141">
        <w:r w:rsidDel="00000000" w:rsidR="00000000" w:rsidRPr="00000000">
          <w:rPr>
            <w:rtl w:val="0"/>
          </w:rPr>
          <w:t xml:space="preserve"> </w:t>
        </w:r>
      </w:hyperlink>
      <w:hyperlink r:id="rId142">
        <w:r w:rsidDel="00000000" w:rsidR="00000000" w:rsidRPr="00000000">
          <w:rPr>
            <w:color w:val="1155cc"/>
            <w:u w:val="single"/>
            <w:rtl w:val="0"/>
          </w:rPr>
          <w:t xml:space="preserve">[6]</w:t>
        </w:r>
      </w:hyperlink>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LicenseViolationRecord</w:t>
      </w:r>
      <w:r w:rsidDel="00000000" w:rsidR="00000000" w:rsidRPr="00000000">
        <w:rPr>
          <w:rtl w:val="0"/>
        </w:rPr>
        <w:t xml:space="preserve"> schema uses lowercase canonical artifact names (</w:t>
      </w:r>
      <w:r w:rsidDel="00000000" w:rsidR="00000000" w:rsidRPr="00000000">
        <w:rPr>
          <w:rFonts w:ascii="Roboto Mono" w:cs="Roboto Mono" w:eastAsia="Roboto Mono" w:hAnsi="Roboto Mono"/>
          <w:color w:val="188038"/>
          <w:rtl w:val="0"/>
        </w:rPr>
        <w:t xml:space="preserve">enum: ["lantern", "signature", "license"]</w:t>
      </w:r>
      <w:r w:rsidDel="00000000" w:rsidR="00000000" w:rsidRPr="00000000">
        <w:rPr>
          <w:rtl w:val="0"/>
        </w:rPr>
        <w:t xml:space="preserve">) ensuring consistent violation attribution across all audit records.</w:t>
      </w:r>
    </w:p>
    <w:p w:rsidR="00000000" w:rsidDel="00000000" w:rsidP="00000000" w:rsidRDefault="00000000" w:rsidRPr="00000000" w14:paraId="00000213">
      <w:pPr>
        <w:spacing w:after="240" w:before="240" w:lineRule="auto"/>
        <w:rPr/>
      </w:pPr>
      <w:r w:rsidDel="00000000" w:rsidR="00000000" w:rsidRPr="00000000">
        <w:rPr>
          <w:rtl w:val="0"/>
        </w:rPr>
        <w:t xml:space="preserve">The License's constitutional prohibitions, "No Spy" (prohibition on deployment for unauthorized surveillance) and "No Weapon" (prohibition on deployment for lethal targeting without constitutionally mandated human oversight), are encoded as functional constraints in the system's initialization sequence. A TML system that detects initialization in a weapons targeting environment or a surveillance dragnet context fails license validation and ceases function. A failed </w:t>
      </w:r>
      <w:r w:rsidDel="00000000" w:rsidR="00000000" w:rsidRPr="00000000">
        <w:rPr>
          <w:rFonts w:ascii="Roboto Mono" w:cs="Roboto Mono" w:eastAsia="Roboto Mono" w:hAnsi="Roboto Mono"/>
          <w:color w:val="188038"/>
          <w:rtl w:val="0"/>
        </w:rPr>
        <w:t xml:space="preserve">POST /goukassian/license/validate</w:t>
      </w:r>
      <w:r w:rsidDel="00000000" w:rsidR="00000000" w:rsidRPr="00000000">
        <w:rPr>
          <w:rtl w:val="0"/>
        </w:rPr>
        <w:t xml:space="preserve"> response activates the Anchoring Lane's refusal pathway via </w:t>
      </w:r>
      <w:r w:rsidDel="00000000" w:rsidR="00000000" w:rsidRPr="00000000">
        <w:rPr>
          <w:rFonts w:ascii="Roboto Mono" w:cs="Roboto Mono" w:eastAsia="Roboto Mono" w:hAnsi="Roboto Mono"/>
          <w:color w:val="188038"/>
          <w:rtl w:val="0"/>
        </w:rPr>
        <w:t xml:space="preserve">POST /refusals</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licenseViolation</w:t>
      </w:r>
      <w:r w:rsidDel="00000000" w:rsidR="00000000" w:rsidRPr="00000000">
        <w:rPr>
          <w:rtl w:val="0"/>
        </w:rPr>
        <w:t xml:space="preserve"> field populated in the </w:t>
      </w:r>
      <w:r w:rsidDel="00000000" w:rsidR="00000000" w:rsidRPr="00000000">
        <w:rPr>
          <w:rFonts w:ascii="Roboto Mono" w:cs="Roboto Mono" w:eastAsia="Roboto Mono" w:hAnsi="Roboto Mono"/>
          <w:color w:val="188038"/>
          <w:rtl w:val="0"/>
        </w:rPr>
        <w:t xml:space="preserve">TSLF-State-1</w:t>
      </w:r>
      <w:r w:rsidDel="00000000" w:rsidR="00000000" w:rsidRPr="00000000">
        <w:rPr>
          <w:rFonts w:ascii="Arial Unicode MS" w:cs="Arial Unicode MS" w:eastAsia="Arial Unicode MS" w:hAnsi="Arial Unicode MS"/>
          <w:rtl w:val="0"/>
        </w:rPr>
        <w:t xml:space="preserve"> record. License violations trigger State −1; the system cannot proceed on a constitutionally prohibited deployment.</w:t>
      </w:r>
    </w:p>
    <w:p w:rsidR="00000000" w:rsidDel="00000000" w:rsidP="00000000" w:rsidRDefault="00000000" w:rsidRPr="00000000" w14:paraId="00000214">
      <w:pPr>
        <w:pStyle w:val="Heading4"/>
        <w:keepNext w:val="0"/>
        <w:keepLines w:val="0"/>
        <w:spacing w:after="40" w:before="240" w:lineRule="auto"/>
        <w:rPr>
          <w:b w:val="1"/>
          <w:bCs w:val="1"/>
          <w:color w:val="000000"/>
          <w:sz w:val="22"/>
          <w:szCs w:val="22"/>
        </w:rPr>
      </w:pPr>
      <w:bookmarkStart w:colFirst="0" w:colLast="0" w:name="_4aj34xpf9i1w" w:id="48"/>
      <w:bookmarkEnd w:id="48"/>
      <w:r w:rsidDel="00000000" w:rsidR="00000000" w:rsidRPr="00000000">
        <w:rPr>
          <w:b w:val="1"/>
          <w:bCs w:val="1"/>
          <w:color w:val="000000"/>
          <w:sz w:val="22"/>
          <w:szCs w:val="22"/>
          <w:rtl w:val="0"/>
        </w:rPr>
        <w:t xml:space="preserve">3.3.3 Legal Effect</w:t>
      </w:r>
    </w:p>
    <w:p w:rsidR="00000000" w:rsidDel="00000000" w:rsidP="00000000" w:rsidRDefault="00000000" w:rsidRPr="00000000" w14:paraId="00000215">
      <w:pPr>
        <w:spacing w:after="240" w:before="240" w:lineRule="auto"/>
        <w:rPr/>
      </w:pPr>
      <w:r w:rsidDel="00000000" w:rsidR="00000000" w:rsidRPr="00000000">
        <w:rPr>
          <w:rtl w:val="0"/>
        </w:rPr>
        <w:t xml:space="preserve">The three artifacts of the Goukassian Promise operate across three independent legal domains:</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Contractual liability:</w:t>
      </w:r>
      <w:r w:rsidDel="00000000" w:rsidR="00000000" w:rsidRPr="00000000">
        <w:rPr>
          <w:rtl w:val="0"/>
        </w:rPr>
        <w:t xml:space="preserve"> The License creates a binding contract under applicable intellectual property and contract law. An entity claiming TML compliance creates a legal expectation of safety. If they bypass the pillars while claiming compliance, they are liable for breach of contract and potentially false advertising under consumer protection law</w:t>
      </w:r>
      <w:hyperlink r:id="rId143">
        <w:r w:rsidDel="00000000" w:rsidR="00000000" w:rsidRPr="00000000">
          <w:rPr>
            <w:rtl w:val="0"/>
          </w:rPr>
          <w:t xml:space="preserve"> </w:t>
        </w:r>
      </w:hyperlink>
      <w:hyperlink r:id="rId14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Moral rights (droit moral):</w:t>
      </w:r>
      <w:r w:rsidDel="00000000" w:rsidR="00000000" w:rsidRPr="00000000">
        <w:rPr>
          <w:rtl w:val="0"/>
        </w:rPr>
        <w:t xml:space="preserve"> The Signature leverages copyright law provisions regarding the integrity of the work, specifically the prohibition on mutilation of a work in ways that prejudice the author's honor or reputation. An operator who modifies TML to remove the Human Rights Mandate and presents the result as TML-compliant has mutilated the work in precisely the sense that moral rights doctrine is designed to prevent.</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IP enforcement:</w:t>
      </w:r>
      <w:r w:rsidDel="00000000" w:rsidR="00000000" w:rsidRPr="00000000">
        <w:rPr>
          <w:rtl w:val="0"/>
        </w:rPr>
        <w:t xml:space="preserve"> The License's prohibition on use for weapons and surveillance without oversight creates an intellectual property claim against any deployment violating these constraints. The claim is not contingent on demonstrating harm; it is triggered by the deployment itself.</w:t>
      </w:r>
    </w:p>
    <w:p w:rsidR="00000000" w:rsidDel="00000000" w:rsidP="00000000" w:rsidRDefault="00000000" w:rsidRPr="00000000" w14:paraId="00000219">
      <w:pPr>
        <w:pStyle w:val="Heading4"/>
        <w:keepNext w:val="0"/>
        <w:keepLines w:val="0"/>
        <w:spacing w:after="40" w:before="240" w:lineRule="auto"/>
        <w:rPr>
          <w:b w:val="1"/>
          <w:bCs w:val="1"/>
          <w:color w:val="000000"/>
          <w:sz w:val="22"/>
          <w:szCs w:val="22"/>
        </w:rPr>
      </w:pPr>
      <w:bookmarkStart w:colFirst="0" w:colLast="0" w:name="_ssjiub3hut6d" w:id="49"/>
      <w:bookmarkEnd w:id="49"/>
      <w:r w:rsidDel="00000000" w:rsidR="00000000" w:rsidRPr="00000000">
        <w:rPr>
          <w:b w:val="1"/>
          <w:bCs w:val="1"/>
          <w:color w:val="000000"/>
          <w:sz w:val="22"/>
          <w:szCs w:val="22"/>
          <w:rtl w:val="0"/>
        </w:rPr>
        <w:t xml:space="preserve">3.3.4 Operational Consequences</w:t>
      </w:r>
    </w:p>
    <w:p w:rsidR="00000000" w:rsidDel="00000000" w:rsidP="00000000" w:rsidRDefault="00000000" w:rsidRPr="00000000" w14:paraId="0000021A">
      <w:pPr>
        <w:spacing w:after="240" w:before="240" w:lineRule="auto"/>
        <w:rPr/>
      </w:pPr>
      <w:r w:rsidDel="00000000" w:rsidR="00000000" w:rsidRPr="00000000">
        <w:rPr>
          <w:rtl w:val="0"/>
        </w:rPr>
        <w:t xml:space="preserve">Implementing the Goukassian Promise requires ongoing key management (HSM registration, custodian key ceremony, EKR rotation coordination), user interface compliance (Lantern display in system interfaces and Sacred Zero event notifications), and vendor due diligence (verifying that third-party components incorporated into TML-branded systems do not introduce violations that trigger Lantern revocation). The operational overhead is deliberately designed to be non-trivial, sufficient to create meaningful switching costs between constitutional and non-constitutional operation, but not so burdensome as to be commercially prohibitive for operators acting in good faith.</w:t>
      </w:r>
    </w:p>
    <w:p w:rsidR="00000000" w:rsidDel="00000000" w:rsidP="00000000" w:rsidRDefault="00000000" w:rsidRPr="00000000" w14:paraId="0000021B">
      <w:pPr>
        <w:pStyle w:val="Heading4"/>
        <w:keepNext w:val="0"/>
        <w:keepLines w:val="0"/>
        <w:spacing w:after="40" w:before="240" w:lineRule="auto"/>
        <w:rPr>
          <w:b w:val="1"/>
          <w:bCs w:val="1"/>
          <w:color w:val="000000"/>
          <w:sz w:val="22"/>
          <w:szCs w:val="22"/>
        </w:rPr>
      </w:pPr>
      <w:bookmarkStart w:colFirst="0" w:colLast="0" w:name="_4xpcvi19c2wr" w:id="50"/>
      <w:bookmarkEnd w:id="50"/>
      <w:r w:rsidDel="00000000" w:rsidR="00000000" w:rsidRPr="00000000">
        <w:rPr>
          <w:b w:val="1"/>
          <w:bCs w:val="1"/>
          <w:color w:val="000000"/>
          <w:sz w:val="22"/>
          <w:szCs w:val="22"/>
          <w:rtl w:val="0"/>
        </w:rPr>
        <w:t xml:space="preserve">3.3.5 Failure Cases Prevented</w:t>
      </w:r>
    </w:p>
    <w:p w:rsidR="00000000" w:rsidDel="00000000" w:rsidP="00000000" w:rsidRDefault="00000000" w:rsidRPr="00000000" w14:paraId="0000021C">
      <w:pPr>
        <w:spacing w:after="240" w:before="240" w:lineRule="auto"/>
        <w:rPr/>
      </w:pPr>
      <w:r w:rsidDel="00000000" w:rsidR="00000000" w:rsidRPr="00000000">
        <w:rPr>
          <w:rtl w:val="0"/>
        </w:rPr>
        <w:t xml:space="preserve">The Goukassian Promise prevents ethics-washing: the deployment of TML branding without TML constitutional substance.</w:t>
      </w:r>
    </w:p>
    <w:p w:rsidR="00000000" w:rsidDel="00000000" w:rsidP="00000000" w:rsidRDefault="00000000" w:rsidRPr="00000000" w14:paraId="0000021D">
      <w:pPr>
        <w:spacing w:after="240" w:before="240" w:lineRule="auto"/>
        <w:rPr/>
      </w:pPr>
      <w:r w:rsidDel="00000000" w:rsidR="00000000" w:rsidRPr="00000000">
        <w:rPr>
          <w:i w:val="1"/>
          <w:iCs w:val="1"/>
          <w:rtl w:val="0"/>
        </w:rPr>
        <w:t xml:space="preserve">Illustrative scenario:</w:t>
      </w:r>
      <w:r w:rsidDel="00000000" w:rsidR="00000000" w:rsidRPr="00000000">
        <w:rPr>
          <w:rtl w:val="0"/>
        </w:rPr>
        <w:t xml:space="preserve"> An operator deploying a high-risk automated decision system discovers that the Sacred Zero threshold generates governance latency that exceeds their performance targets. Without the Goukassian Promise, the operator could lower the threshold, reducing Sacred Zero frequency, and continue to claim TML compliance. With the Goukassian Promise, this threshold modification produces a hash mismatch detected by the Lantern smart contract, revokes the Lantern token publicly, and creates evidence of a Signature violation. The operator faces immediate reputational, cryptographic, and potential legal consequences. The constitutional constraint is not merely stated; it is enforced.</w:t>
      </w:r>
    </w:p>
    <w:p w:rsidR="00000000" w:rsidDel="00000000" w:rsidP="00000000" w:rsidRDefault="00000000" w:rsidRPr="00000000" w14:paraId="0000021E">
      <w:pPr>
        <w:pStyle w:val="Heading4"/>
        <w:keepNext w:val="0"/>
        <w:keepLines w:val="0"/>
        <w:spacing w:after="40" w:before="240" w:lineRule="auto"/>
        <w:rPr>
          <w:b w:val="1"/>
          <w:bCs w:val="1"/>
          <w:color w:val="000000"/>
          <w:sz w:val="22"/>
          <w:szCs w:val="22"/>
        </w:rPr>
      </w:pPr>
      <w:bookmarkStart w:colFirst="0" w:colLast="0" w:name="_1hiludowpc44" w:id="51"/>
      <w:bookmarkEnd w:id="51"/>
      <w:r w:rsidDel="00000000" w:rsidR="00000000" w:rsidRPr="00000000">
        <w:rPr>
          <w:b w:val="1"/>
          <w:bCs w:val="1"/>
          <w:color w:val="000000"/>
          <w:sz w:val="22"/>
          <w:szCs w:val="22"/>
          <w:rtl w:val="0"/>
        </w:rPr>
        <w:t xml:space="preserve">3.3.6 Measurable Outputs</w:t>
      </w:r>
    </w:p>
    <w:p w:rsidR="00000000" w:rsidDel="00000000" w:rsidP="00000000" w:rsidRDefault="00000000" w:rsidRPr="00000000" w14:paraId="0000021F">
      <w:pPr>
        <w:numPr>
          <w:ilvl w:val="0"/>
          <w:numId w:val="14"/>
        </w:numPr>
        <w:spacing w:after="0" w:afterAutospacing="0" w:before="240" w:lineRule="auto"/>
        <w:ind w:left="720" w:hanging="360"/>
      </w:pPr>
      <w:r w:rsidDel="00000000" w:rsidR="00000000" w:rsidRPr="00000000">
        <w:rPr>
          <w:b w:val="1"/>
          <w:bCs w:val="1"/>
          <w:rtl w:val="0"/>
        </w:rPr>
        <w:t xml:space="preserve">Signature Verification Rate:</w:t>
      </w:r>
      <w:r w:rsidDel="00000000" w:rsidR="00000000" w:rsidRPr="00000000">
        <w:rPr>
          <w:rtl w:val="0"/>
        </w:rPr>
        <w:t xml:space="preserve"> 100% of Moral Trace Logs must carry a valid TML Signature. Any deviation constitutes a critical failure.</w:t>
      </w:r>
    </w:p>
    <w:p w:rsidR="00000000" w:rsidDel="00000000" w:rsidP="00000000" w:rsidRDefault="00000000" w:rsidRPr="00000000" w14:paraId="00000220">
      <w:pPr>
        <w:numPr>
          <w:ilvl w:val="0"/>
          <w:numId w:val="14"/>
        </w:numPr>
        <w:spacing w:after="0" w:afterAutospacing="0" w:before="0" w:beforeAutospacing="0" w:lineRule="auto"/>
        <w:ind w:left="720" w:hanging="360"/>
      </w:pPr>
      <w:r w:rsidDel="00000000" w:rsidR="00000000" w:rsidRPr="00000000">
        <w:rPr>
          <w:b w:val="1"/>
          <w:bCs w:val="1"/>
          <w:rtl w:val="0"/>
        </w:rPr>
        <w:t xml:space="preserve">Lantern Uptime:</w:t>
      </w:r>
      <w:r w:rsidDel="00000000" w:rsidR="00000000" w:rsidRPr="00000000">
        <w:rPr>
          <w:rtl w:val="0"/>
        </w:rPr>
        <w:t xml:space="preserve"> Percentage of operational time during which the Lantern is in </w:t>
      </w:r>
      <w:r w:rsidDel="00000000" w:rsidR="00000000" w:rsidRPr="00000000">
        <w:rPr>
          <w:rFonts w:ascii="Roboto Mono" w:cs="Roboto Mono" w:eastAsia="Roboto Mono" w:hAnsi="Roboto Mono"/>
          <w:color w:val="188038"/>
          <w:rtl w:val="0"/>
        </w:rPr>
        <w:t xml:space="preserve">FULLY_COMPLIANT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SACRED_ZERO_ACTIVE</w:t>
      </w:r>
      <w:r w:rsidDel="00000000" w:rsidR="00000000" w:rsidRPr="00000000">
        <w:rPr>
          <w:rtl w:val="0"/>
        </w:rPr>
        <w:t xml:space="preserve"> status. </w:t>
      </w:r>
      <w:r w:rsidDel="00000000" w:rsidR="00000000" w:rsidRPr="00000000">
        <w:rPr>
          <w:rFonts w:ascii="Roboto Mono" w:cs="Roboto Mono" w:eastAsia="Roboto Mono" w:hAnsi="Roboto Mono"/>
          <w:color w:val="188038"/>
          <w:rtl w:val="0"/>
        </w:rPr>
        <w:t xml:space="preserve">DEGRADED</w:t>
      </w:r>
      <w:r w:rsidDel="00000000" w:rsidR="00000000" w:rsidRPr="00000000">
        <w:rPr>
          <w:rtl w:val="0"/>
        </w:rPr>
        <w:t xml:space="preserve"> status triggers automatic investigation protocol.</w:t>
      </w:r>
    </w:p>
    <w:p w:rsidR="00000000" w:rsidDel="00000000" w:rsidP="00000000" w:rsidRDefault="00000000" w:rsidRPr="00000000" w14:paraId="00000221">
      <w:pPr>
        <w:numPr>
          <w:ilvl w:val="0"/>
          <w:numId w:val="14"/>
        </w:numPr>
        <w:spacing w:after="240" w:before="0" w:beforeAutospacing="0" w:lineRule="auto"/>
        <w:ind w:left="720" w:hanging="360"/>
      </w:pPr>
      <w:r w:rsidDel="00000000" w:rsidR="00000000" w:rsidRPr="00000000">
        <w:rPr>
          <w:b w:val="1"/>
          <w:bCs w:val="1"/>
          <w:rtl w:val="0"/>
        </w:rPr>
        <w:t xml:space="preserve">License Validation Rate:</w:t>
      </w:r>
      <w:r w:rsidDel="00000000" w:rsidR="00000000" w:rsidRPr="00000000">
        <w:rPr>
          <w:rtl w:val="0"/>
        </w:rPr>
        <w:t xml:space="preserve"> Percentage of session initializations passing license validation. Failed validations are logged with full violation record and escalated to the Goukassian Foundation.</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yzk2r8847trb" w:id="52"/>
      <w:bookmarkEnd w:id="52"/>
      <w:r w:rsidDel="00000000" w:rsidR="00000000" w:rsidRPr="00000000">
        <w:rPr>
          <w:b w:val="1"/>
          <w:bCs w:val="1"/>
          <w:color w:val="000000"/>
          <w:sz w:val="26"/>
          <w:szCs w:val="26"/>
          <w:rtl w:val="0"/>
        </w:rPr>
        <w:t xml:space="preserve">3.4 Pillar IV: Moral Trace Logs (The Forensic Record)</w:t>
      </w:r>
    </w:p>
    <w:p w:rsidR="00000000" w:rsidDel="00000000" w:rsidP="00000000" w:rsidRDefault="00000000" w:rsidRPr="00000000" w14:paraId="00000224">
      <w:pPr>
        <w:pStyle w:val="Heading4"/>
        <w:keepNext w:val="0"/>
        <w:keepLines w:val="0"/>
        <w:spacing w:after="40" w:before="240" w:lineRule="auto"/>
        <w:rPr>
          <w:b w:val="1"/>
          <w:bCs w:val="1"/>
          <w:color w:val="000000"/>
          <w:sz w:val="22"/>
          <w:szCs w:val="22"/>
        </w:rPr>
      </w:pPr>
      <w:bookmarkStart w:colFirst="0" w:colLast="0" w:name="_ulwl28g5c2i" w:id="53"/>
      <w:bookmarkEnd w:id="53"/>
      <w:r w:rsidDel="00000000" w:rsidR="00000000" w:rsidRPr="00000000">
        <w:rPr>
          <w:b w:val="1"/>
          <w:bCs w:val="1"/>
          <w:color w:val="000000"/>
          <w:sz w:val="22"/>
          <w:szCs w:val="22"/>
          <w:rtl w:val="0"/>
        </w:rPr>
        <w:t xml:space="preserve">3.4.1 Purpose and Philosophy</w:t>
      </w:r>
    </w:p>
    <w:p w:rsidR="00000000" w:rsidDel="00000000" w:rsidP="00000000" w:rsidRDefault="00000000" w:rsidRPr="00000000" w14:paraId="00000225">
      <w:pPr>
        <w:spacing w:after="240" w:before="240" w:lineRule="auto"/>
        <w:rPr/>
      </w:pPr>
      <w:r w:rsidDel="00000000" w:rsidR="00000000" w:rsidRPr="00000000">
        <w:rPr>
          <w:rtl w:val="0"/>
        </w:rPr>
        <w:t xml:space="preserve">While Always Memory (Pillar II) ensures that a decision record is created and preserved as a prerequisite for action, Moral Trace Logs specify the content of that record. A log that states only "Action A executed at Time T by System S" is administratively complete but insufficient. It documents that an action occurred; it does not document the reasoning that produced it, the alternatives that were considered and rejected, the uncertainty that attended it, or the provisions that were evaluated in its authorization. Without this content, the log cannot support the forensic reconstruction of the decision, cannot demonstrate the exercise of due diligence, and cannot provide the basis for meaningful human oversight.</w:t>
      </w:r>
    </w:p>
    <w:p w:rsidR="00000000" w:rsidDel="00000000" w:rsidP="00000000" w:rsidRDefault="00000000" w:rsidRPr="00000000" w14:paraId="00000226">
      <w:pPr>
        <w:spacing w:after="240" w:before="240" w:lineRule="auto"/>
        <w:rPr/>
      </w:pPr>
      <w:r w:rsidDel="00000000" w:rsidR="00000000" w:rsidRPr="00000000">
        <w:rPr>
          <w:rtl w:val="0"/>
        </w:rPr>
        <w:t xml:space="preserve">Moral Trace Logs operationalize the </w:t>
      </w:r>
      <w:r w:rsidDel="00000000" w:rsidR="00000000" w:rsidRPr="00000000">
        <w:rPr>
          <w:b w:val="1"/>
          <w:bCs w:val="1"/>
          <w:rtl w:val="0"/>
        </w:rPr>
        <w:t xml:space="preserve">Glass House</w:t>
      </w:r>
      <w:r w:rsidDel="00000000" w:rsidR="00000000" w:rsidRPr="00000000">
        <w:rPr>
          <w:rtl w:val="0"/>
        </w:rPr>
        <w:t xml:space="preserve"> principle: the AI's internal deliberations must be visible, not because transparency is intrinsically valuable, but because visibility is the precondition for accountability. An automated decision that affects a human being must be reconstructable from the system's perspective at the moment it was made, the inputs received, the uncertainty computed, the mandates consulted, the alternatives evaluated, and the basis on which the final determination rested. Moral Trace Logs are that reconstruction, generated contemporaneously and preserved permanently</w:t>
      </w:r>
      <w:hyperlink r:id="rId145">
        <w:r w:rsidDel="00000000" w:rsidR="00000000" w:rsidRPr="00000000">
          <w:rPr>
            <w:rtl w:val="0"/>
          </w:rPr>
          <w:t xml:space="preserve"> </w:t>
        </w:r>
      </w:hyperlink>
      <w:hyperlink r:id="rId14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227">
      <w:pPr>
        <w:pStyle w:val="Heading4"/>
        <w:keepNext w:val="0"/>
        <w:keepLines w:val="0"/>
        <w:spacing w:after="40" w:before="240" w:lineRule="auto"/>
        <w:rPr>
          <w:b w:val="1"/>
          <w:bCs w:val="1"/>
          <w:color w:val="000000"/>
          <w:sz w:val="22"/>
          <w:szCs w:val="22"/>
        </w:rPr>
      </w:pPr>
      <w:bookmarkStart w:colFirst="0" w:colLast="0" w:name="_qhtf5drz52x" w:id="54"/>
      <w:bookmarkEnd w:id="54"/>
      <w:r w:rsidDel="00000000" w:rsidR="00000000" w:rsidRPr="00000000">
        <w:rPr>
          <w:b w:val="1"/>
          <w:bCs w:val="1"/>
          <w:color w:val="000000"/>
          <w:sz w:val="22"/>
          <w:szCs w:val="22"/>
          <w:rtl w:val="0"/>
        </w:rPr>
        <w:t xml:space="preserve">3.4.2 Technical Mechanisms: The TSLF Schema and Privacy Architecture</w:t>
      </w:r>
    </w:p>
    <w:p w:rsidR="00000000" w:rsidDel="00000000" w:rsidP="00000000" w:rsidRDefault="00000000" w:rsidRPr="00000000" w14:paraId="00000228">
      <w:pPr>
        <w:spacing w:after="240" w:before="240" w:lineRule="auto"/>
        <w:rPr/>
      </w:pPr>
      <w:r w:rsidDel="00000000" w:rsidR="00000000" w:rsidRPr="00000000">
        <w:rPr>
          <w:rtl w:val="0"/>
        </w:rPr>
        <w:t xml:space="preserve">Moral Trace Logs conform to the </w:t>
      </w:r>
      <w:r w:rsidDel="00000000" w:rsidR="00000000" w:rsidRPr="00000000">
        <w:rPr>
          <w:b w:val="1"/>
          <w:bCs w:val="1"/>
          <w:rtl w:val="0"/>
        </w:rPr>
        <w:t xml:space="preserve">TML Standard Log Format (TSLF)</w:t>
      </w:r>
      <w:r w:rsidDel="00000000" w:rsidR="00000000" w:rsidRPr="00000000">
        <w:rPr>
          <w:rtl w:val="0"/>
        </w:rPr>
        <w:t xml:space="preserve">, a strictly typed JSON schema with three discriminated variants corresponding to the three states:</w:t>
      </w:r>
    </w:p>
    <w:p w:rsidR="00000000" w:rsidDel="00000000" w:rsidP="00000000" w:rsidRDefault="00000000" w:rsidRPr="00000000" w14:paraId="00000229">
      <w:pPr>
        <w:spacing w:after="240" w:before="240" w:lineRule="auto"/>
        <w:rPr/>
      </w:pPr>
      <w:r w:rsidDel="00000000" w:rsidR="00000000" w:rsidRPr="00000000">
        <w:rPr>
          <w:rFonts w:ascii="Roboto Mono" w:cs="Roboto Mono" w:eastAsia="Roboto Mono" w:hAnsi="Roboto Mono"/>
          <w:b w:val="1"/>
          <w:bCs w:val="1"/>
          <w:color w:val="188038"/>
          <w:rtl w:val="0"/>
        </w:rPr>
        <w:t xml:space="preserve">TSLF-StateP1</w:t>
      </w:r>
      <w:r w:rsidDel="00000000" w:rsidR="00000000" w:rsidRPr="00000000">
        <w:rPr>
          <w:b w:val="1"/>
          <w:bCs w:val="1"/>
          <w:rtl w:val="0"/>
        </w:rPr>
        <w:t xml:space="preserve"> (Proceed Log):</w:t>
      </w:r>
      <w:r w:rsidDel="00000000" w:rsidR="00000000" w:rsidRPr="00000000">
        <w:rPr>
          <w:rtl w:val="0"/>
        </w:rPr>
        <w:t xml:space="preserve"> Documents the complete evidentiary basis for a State +1 authorization. Mandatory fields include: </w:t>
      </w:r>
      <w:r w:rsidDel="00000000" w:rsidR="00000000" w:rsidRPr="00000000">
        <w:rPr>
          <w:rFonts w:ascii="Roboto Mono" w:cs="Roboto Mono" w:eastAsia="Roboto Mono" w:hAnsi="Roboto Mono"/>
          <w:color w:val="188038"/>
          <w:rtl w:val="0"/>
        </w:rPr>
        <w:t xml:space="preserve">currentState: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committedAt</w:t>
      </w:r>
      <w:r w:rsidDel="00000000" w:rsidR="00000000" w:rsidRPr="00000000">
        <w:rPr>
          <w:rtl w:val="0"/>
        </w:rPr>
        <w:t xml:space="preserve"> (pre-actuation commit timestamp),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(the full Permission Token structure with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laneOrigin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expiresAt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signatureValue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ethicalVerification</w:t>
      </w:r>
      <w:r w:rsidDel="00000000" w:rsidR="00000000" w:rsidRPr="00000000">
        <w:rPr>
          <w:rtl w:val="0"/>
        </w:rPr>
        <w:t xml:space="preserve"> (the Anchoring Lane's independent Eight Pillar assessment with </w:t>
      </w:r>
      <w:r w:rsidDel="00000000" w:rsidR="00000000" w:rsidRPr="00000000">
        <w:rPr>
          <w:rFonts w:ascii="Roboto Mono" w:cs="Roboto Mono" w:eastAsia="Roboto Mono" w:hAnsi="Roboto Mono"/>
          <w:color w:val="188038"/>
          <w:rtl w:val="0"/>
        </w:rPr>
        <w:t xml:space="preserve">overallVerdict: "PASSED"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theSignature</w:t>
      </w:r>
      <w:r w:rsidDel="00000000" w:rsidR="00000000" w:rsidRPr="00000000">
        <w:rPr>
          <w:rtl w:val="0"/>
        </w:rPr>
        <w:t xml:space="preserve"> (the HSM-backed Goukassian Signature), and </w:t>
      </w:r>
      <w:r w:rsidDel="00000000" w:rsidR="00000000" w:rsidRPr="00000000">
        <w:rPr>
          <w:rFonts w:ascii="Roboto Mono" w:cs="Roboto Mono" w:eastAsia="Roboto Mono" w:hAnsi="Roboto Mono"/>
          <w:color w:val="188038"/>
          <w:rtl w:val="0"/>
        </w:rPr>
        <w:t xml:space="preserve">auditProof</w:t>
      </w:r>
      <w:r w:rsidDel="00000000" w:rsidR="00000000" w:rsidRPr="00000000">
        <w:rPr>
          <w:rtl w:val="0"/>
        </w:rPr>
        <w:t xml:space="preserve"> (the Merkle inclusion proof linking the log to its public blockchain anchor)</w:t>
      </w:r>
      <w:hyperlink r:id="rId147">
        <w:r w:rsidDel="00000000" w:rsidR="00000000" w:rsidRPr="00000000">
          <w:rPr>
            <w:rtl w:val="0"/>
          </w:rPr>
          <w:t xml:space="preserve"> </w:t>
        </w:r>
      </w:hyperlink>
      <w:hyperlink r:id="rId14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2A">
      <w:pPr>
        <w:spacing w:after="240" w:before="240" w:lineRule="auto"/>
        <w:rPr/>
      </w:pPr>
      <w:r w:rsidDel="00000000" w:rsidR="00000000" w:rsidRPr="00000000">
        <w:rPr>
          <w:rFonts w:ascii="Roboto Mono" w:cs="Roboto Mono" w:eastAsia="Roboto Mono" w:hAnsi="Roboto Mono"/>
          <w:b w:val="1"/>
          <w:bCs w:val="1"/>
          <w:color w:val="188038"/>
          <w:rtl w:val="0"/>
        </w:rPr>
        <w:t xml:space="preserve">TSLF-State0</w:t>
      </w:r>
      <w:r w:rsidDel="00000000" w:rsidR="00000000" w:rsidRPr="00000000">
        <w:rPr>
          <w:b w:val="1"/>
          <w:bCs w:val="1"/>
          <w:rtl w:val="0"/>
        </w:rPr>
        <w:t xml:space="preserve"> (Sacred Zero Log):</w:t>
      </w:r>
      <w:r w:rsidDel="00000000" w:rsidR="00000000" w:rsidRPr="00000000">
        <w:rPr>
          <w:rtl w:val="0"/>
        </w:rPr>
        <w:t xml:space="preserve"> Documents the trigger conditions and deliberation context of a Sacred Zero activation. Mandatory fields include: </w:t>
      </w:r>
      <w:r w:rsidDel="00000000" w:rsidR="00000000" w:rsidRPr="00000000">
        <w:rPr>
          <w:rFonts w:ascii="Roboto Mono" w:cs="Roboto Mono" w:eastAsia="Roboto Mono" w:hAnsi="Roboto Mono"/>
          <w:color w:val="188038"/>
          <w:rtl w:val="0"/>
        </w:rPr>
        <w:t xml:space="preserve">currentState: 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stateLabel: "SACRED_ZERO"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processActive: "SacredPause"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lanternStatus</w:t>
      </w:r>
      <w:r w:rsidDel="00000000" w:rsidR="00000000" w:rsidRPr="00000000">
        <w:rPr>
          <w:rtl w:val="0"/>
        </w:rPr>
        <w:t xml:space="preserve"> (capturing the Goukassian Lantern state at the moment of activation), </w:t>
      </w:r>
      <w:r w:rsidDel="00000000" w:rsidR="00000000" w:rsidRPr="00000000">
        <w:rPr>
          <w:rFonts w:ascii="Roboto Mono" w:cs="Roboto Mono" w:eastAsia="Roboto Mono" w:hAnsi="Roboto Mono"/>
          <w:color w:val="188038"/>
          <w:rtl w:val="0"/>
        </w:rPr>
        <w:t xml:space="preserve">uncertaintyQuantification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epistemicHoldActive: true</w:t>
      </w:r>
      <w:r w:rsidDel="00000000" w:rsidR="00000000" w:rsidRPr="00000000">
        <w:rPr>
          <w:rtl w:val="0"/>
        </w:rPr>
        <w:t xml:space="preserve"> flag and the specific confidence scores and vector proximity measurements that triggered the state), and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(the structured presentation of per-pillar considerations, risk vectors, and available resolution options provided to the human reviewer)</w:t>
      </w:r>
      <w:hyperlink r:id="rId149">
        <w:r w:rsidDel="00000000" w:rsidR="00000000" w:rsidRPr="00000000">
          <w:rPr>
            <w:rtl w:val="0"/>
          </w:rPr>
          <w:t xml:space="preserve"> </w:t>
        </w:r>
      </w:hyperlink>
      <w:hyperlink r:id="rId15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2B">
      <w:pPr>
        <w:spacing w:after="240" w:before="240" w:lineRule="auto"/>
        <w:rPr/>
      </w:pPr>
      <w:r w:rsidDel="00000000" w:rsidR="00000000" w:rsidRPr="00000000">
        <w:rPr>
          <w:rFonts w:ascii="Roboto Mono" w:cs="Roboto Mono" w:eastAsia="Roboto Mono" w:hAnsi="Roboto Mono"/>
          <w:b w:val="1"/>
          <w:bCs w:val="1"/>
          <w:color w:val="188038"/>
          <w:rtl w:val="0"/>
        </w:rPr>
        <w:t xml:space="preserve">TSLF-State-1</w:t>
      </w:r>
      <w:r w:rsidDel="00000000" w:rsidR="00000000" w:rsidRPr="00000000">
        <w:rPr>
          <w:b w:val="1"/>
          <w:bCs w:val="1"/>
          <w:rtl w:val="0"/>
        </w:rPr>
        <w:t xml:space="preserve"> (Refuse Log):</w:t>
      </w:r>
      <w:r w:rsidDel="00000000" w:rsidR="00000000" w:rsidRPr="00000000">
        <w:rPr>
          <w:rtl w:val="0"/>
        </w:rPr>
        <w:t xml:space="preserve"> Documents the basis for a refusal determination. Mandatory fields include: </w:t>
      </w:r>
      <w:r w:rsidDel="00000000" w:rsidR="00000000" w:rsidRPr="00000000">
        <w:rPr>
          <w:rFonts w:ascii="Roboto Mono" w:cs="Roboto Mono" w:eastAsia="Roboto Mono" w:hAnsi="Roboto Mono"/>
          <w:color w:val="188038"/>
          <w:rtl w:val="0"/>
        </w:rPr>
        <w:t xml:space="preserve">currentState: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refusalBasis</w:t>
      </w:r>
      <w:r w:rsidDel="00000000" w:rsidR="00000000" w:rsidRPr="00000000">
        <w:rPr>
          <w:rtl w:val="0"/>
        </w:rPr>
        <w:t xml:space="preserve"> (the specific Mandate provision violated, with the cosine similarity score that triggered the veto), and the complete </w:t>
      </w:r>
      <w:r w:rsidDel="00000000" w:rsidR="00000000" w:rsidRPr="00000000">
        <w:rPr>
          <w:rFonts w:ascii="Roboto Mono" w:cs="Roboto Mono" w:eastAsia="Roboto Mono" w:hAnsi="Roboto Mono"/>
          <w:color w:val="188038"/>
          <w:rtl w:val="0"/>
        </w:rPr>
        <w:t xml:space="preserve">chainOfCustody</w:t>
      </w:r>
      <w:r w:rsidDel="00000000" w:rsidR="00000000" w:rsidRPr="00000000">
        <w:rPr>
          <w:rtl w:val="0"/>
        </w:rPr>
        <w:t xml:space="preserve"> structure documenting the sequence of inputs, processing stages, and authorization checks that produced the refusal determination.</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Privacy Architecture: Ephemeral Key Rotation and GDPR Compliance</w:t>
      </w:r>
    </w:p>
    <w:p w:rsidR="00000000" w:rsidDel="00000000" w:rsidP="00000000" w:rsidRDefault="00000000" w:rsidRPr="00000000" w14:paraId="0000022D">
      <w:pPr>
        <w:spacing w:after="240" w:before="240" w:lineRule="auto"/>
        <w:rPr/>
      </w:pPr>
      <w:r w:rsidDel="00000000" w:rsidR="00000000" w:rsidRPr="00000000">
        <w:rPr>
          <w:rtl w:val="0"/>
        </w:rPr>
        <w:t xml:space="preserve">Moral Trace Logs necessarily incorporate user input data to document the decision context, including data that may carry personally identifiable information subject to GDPR, HIPAA, or equivalent privacy regulations. TML resolves the tension between the requirement for complete evidentiary records and the legal requirement for data minimization through a two-layer privacy architecture.</w:t>
      </w:r>
    </w:p>
    <w:p w:rsidR="00000000" w:rsidDel="00000000" w:rsidP="00000000" w:rsidRDefault="00000000" w:rsidRPr="00000000" w14:paraId="0000022E">
      <w:pPr>
        <w:spacing w:after="240" w:before="240" w:lineRule="auto"/>
        <w:rPr/>
      </w:pPr>
      <w:r w:rsidDel="00000000" w:rsidR="00000000" w:rsidRPr="00000000">
        <w:rPr>
          <w:rtl w:val="0"/>
        </w:rPr>
        <w:t xml:space="preserve">The outer layer of the log: all metadata, decision state, pillar assessments, uncertainty scores, and basis documentation, is stored in a form accessible to authorized auditors without decryption. The inner layer: the raw user input and any PII-bearing content, is encrypted using a per-session symmetric key generated by EKR. This key is split using Shamir's Secret Sharing and distributed to the HybridShield custodians (Pillar VII); the operator does not retain a copy. Accessing the PII-bearing content of a specific log requires assembling the key shares from a custodian quorum, which requires either the data subject's authorization (satisfying GDPR Article 15 access requests) or a legal warrant establishing jurisdiction over the relevant custodians</w:t>
      </w:r>
      <w:hyperlink r:id="rId151">
        <w:r w:rsidDel="00000000" w:rsidR="00000000" w:rsidRPr="00000000">
          <w:rPr>
            <w:rtl w:val="0"/>
          </w:rPr>
          <w:t xml:space="preserve"> </w:t>
        </w:r>
      </w:hyperlink>
      <w:hyperlink r:id="rId15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2F">
      <w:pPr>
        <w:spacing w:after="240" w:before="240" w:lineRule="auto"/>
        <w:rPr/>
      </w:pPr>
      <w:r w:rsidDel="00000000" w:rsidR="00000000" w:rsidRPr="00000000">
        <w:rPr>
          <w:rtl w:val="0"/>
        </w:rPr>
        <w:t xml:space="preserve">This architecture achieves the requirement for complete evidentiary records while satisfying privacy law's data minimization and purpose limitation requirements: the fact of the decision and its basis are permanently accessible; the sensitive content of the decision context is protected behind distributed key custody that respects both privacy rights and legal process.</w:t>
      </w:r>
    </w:p>
    <w:p w:rsidR="00000000" w:rsidDel="00000000" w:rsidP="00000000" w:rsidRDefault="00000000" w:rsidRPr="00000000" w14:paraId="00000230">
      <w:pPr>
        <w:pStyle w:val="Heading4"/>
        <w:keepNext w:val="0"/>
        <w:keepLines w:val="0"/>
        <w:spacing w:after="40" w:before="240" w:lineRule="auto"/>
        <w:rPr>
          <w:b w:val="1"/>
          <w:bCs w:val="1"/>
          <w:color w:val="000000"/>
          <w:sz w:val="22"/>
          <w:szCs w:val="22"/>
        </w:rPr>
      </w:pPr>
      <w:bookmarkStart w:colFirst="0" w:colLast="0" w:name="_eujqmhqiio7m" w:id="55"/>
      <w:bookmarkEnd w:id="55"/>
      <w:r w:rsidDel="00000000" w:rsidR="00000000" w:rsidRPr="00000000">
        <w:rPr>
          <w:b w:val="1"/>
          <w:bCs w:val="1"/>
          <w:color w:val="000000"/>
          <w:sz w:val="22"/>
          <w:szCs w:val="22"/>
          <w:rtl w:val="0"/>
        </w:rPr>
        <w:t xml:space="preserve">3.4.3 Legal Effect: Admissibility and Article 12 Compliance</w:t>
      </w:r>
    </w:p>
    <w:p w:rsidR="00000000" w:rsidDel="00000000" w:rsidP="00000000" w:rsidRDefault="00000000" w:rsidRPr="00000000" w14:paraId="00000231">
      <w:pPr>
        <w:spacing w:after="240" w:before="240" w:lineRule="auto"/>
        <w:rPr/>
      </w:pPr>
      <w:r w:rsidDel="00000000" w:rsidR="00000000" w:rsidRPr="00000000">
        <w:rPr>
          <w:rtl w:val="0"/>
        </w:rPr>
        <w:t xml:space="preserve">Moral Trace Logs are designed from the schema level to satisfy the admissibility requirements of </w:t>
      </w:r>
      <w:r w:rsidDel="00000000" w:rsidR="00000000" w:rsidRPr="00000000">
        <w:rPr>
          <w:b w:val="1"/>
          <w:bCs w:val="1"/>
          <w:rtl w:val="0"/>
        </w:rPr>
        <w:t xml:space="preserve">Federal Rules of Evidence 902(13)</w:t>
      </w:r>
      <w:r w:rsidDel="00000000" w:rsidR="00000000" w:rsidRPr="00000000">
        <w:rPr>
          <w:rtl w:val="0"/>
        </w:rPr>
        <w:t xml:space="preserve"> ("Certified Records Generated by an Electronic Process or System") and </w:t>
      </w:r>
      <w:r w:rsidDel="00000000" w:rsidR="00000000" w:rsidRPr="00000000">
        <w:rPr>
          <w:b w:val="1"/>
          <w:bCs w:val="1"/>
          <w:rtl w:val="0"/>
        </w:rPr>
        <w:t xml:space="preserve">902(14)</w:t>
      </w:r>
      <w:r w:rsidDel="00000000" w:rsidR="00000000" w:rsidRPr="00000000">
        <w:rPr>
          <w:rtl w:val="0"/>
        </w:rPr>
        <w:t xml:space="preserve"> ("Certified Data Copied from an Electronic Device")</w:t>
      </w:r>
      <w:hyperlink r:id="rId153">
        <w:r w:rsidDel="00000000" w:rsidR="00000000" w:rsidRPr="00000000">
          <w:rPr>
            <w:rtl w:val="0"/>
          </w:rPr>
          <w:t xml:space="preserve"> </w:t>
        </w:r>
      </w:hyperlink>
      <w:hyperlink r:id="rId154">
        <w:r w:rsidDel="00000000" w:rsidR="00000000" w:rsidRPr="00000000">
          <w:rPr>
            <w:color w:val="1155cc"/>
            <w:u w:val="single"/>
            <w:rtl w:val="0"/>
          </w:rPr>
          <w:t xml:space="preserve">[26]</w:t>
        </w:r>
      </w:hyperlink>
      <w:r w:rsidDel="00000000" w:rsidR="00000000" w:rsidRPr="00000000">
        <w:rPr>
          <w:rtl w:val="0"/>
        </w:rPr>
        <w:t xml:space="preserve">. The cryptographic hashing and HSM-backed certification by the Anchoring Lane allow these logs to be admitted as self-authenticating evidence in U.S. federal proceedings without requiring the testimony of the system's developers. Under </w:t>
      </w:r>
      <w:r w:rsidDel="00000000" w:rsidR="00000000" w:rsidRPr="00000000">
        <w:rPr>
          <w:b w:val="1"/>
          <w:bCs w:val="1"/>
          <w:rtl w:val="0"/>
        </w:rPr>
        <w:t xml:space="preserve">EU eIDAS Regulation Article 41</w:t>
      </w:r>
      <w:r w:rsidDel="00000000" w:rsidR="00000000" w:rsidRPr="00000000">
        <w:rPr>
          <w:rtl w:val="0"/>
        </w:rPr>
        <w:t xml:space="preserve">, the qualified electronic timestamp embedded in each log satisfies the legal effect requirements for qualified electronic timestamps, providing EU-equivalent self-authentication</w:t>
      </w:r>
      <w:hyperlink r:id="rId155">
        <w:r w:rsidDel="00000000" w:rsidR="00000000" w:rsidRPr="00000000">
          <w:rPr>
            <w:rtl w:val="0"/>
          </w:rPr>
          <w:t xml:space="preserve"> </w:t>
        </w:r>
      </w:hyperlink>
      <w:hyperlink r:id="rId156">
        <w:r w:rsidDel="00000000" w:rsidR="00000000" w:rsidRPr="00000000">
          <w:rPr>
            <w:color w:val="1155cc"/>
            <w:u w:val="single"/>
            <w:rtl w:val="0"/>
          </w:rPr>
          <w:t xml:space="preserve">[27]</w:t>
        </w:r>
      </w:hyperlink>
      <w:r w:rsidDel="00000000" w:rsidR="00000000" w:rsidRPr="00000000">
        <w:rPr>
          <w:rtl w:val="0"/>
        </w:rPr>
        <w:t xml:space="preserve">.</w:t>
      </w:r>
    </w:p>
    <w:p w:rsidR="00000000" w:rsidDel="00000000" w:rsidP="00000000" w:rsidRDefault="00000000" w:rsidRPr="00000000" w14:paraId="00000232">
      <w:pPr>
        <w:spacing w:after="240" w:before="240" w:lineRule="auto"/>
        <w:rPr/>
      </w:pPr>
      <w:r w:rsidDel="00000000" w:rsidR="00000000" w:rsidRPr="00000000">
        <w:rPr>
          <w:rtl w:val="0"/>
        </w:rPr>
        <w:t xml:space="preserve">The logs satisfy </w:t>
      </w:r>
      <w:r w:rsidDel="00000000" w:rsidR="00000000" w:rsidRPr="00000000">
        <w:rPr>
          <w:b w:val="1"/>
          <w:bCs w:val="1"/>
          <w:rtl w:val="0"/>
        </w:rPr>
        <w:t xml:space="preserve">EU AI Act Article 12</w:t>
      </w:r>
      <w:r w:rsidDel="00000000" w:rsidR="00000000" w:rsidRPr="00000000">
        <w:rPr>
          <w:rtl w:val="0"/>
        </w:rPr>
        <w:t xml:space="preserve"> (Record-Keeping) requirements that high-risk AI systems automatically record events enabling identification of risks and substantial modifications. TML logs exceed the Article 12 minimum by recording </w:t>
      </w:r>
      <w:r w:rsidDel="00000000" w:rsidR="00000000" w:rsidRPr="00000000">
        <w:rPr>
          <w:b w:val="1"/>
          <w:bCs w:val="1"/>
          <w:rtl w:val="0"/>
        </w:rPr>
        <w:t xml:space="preserve">rejected alternatives</w:t>
      </w:r>
      <w:r w:rsidDel="00000000" w:rsidR="00000000" w:rsidRPr="00000000">
        <w:rPr>
          <w:rtl w:val="0"/>
        </w:rPr>
        <w:t xml:space="preserve"> (the actions evaluated and not taken), providing evidence of "negative capability", what the AI chose not to do and why, that is more significant than documentation of what it chose to do</w:t>
      </w:r>
      <w:hyperlink r:id="rId157">
        <w:r w:rsidDel="00000000" w:rsidR="00000000" w:rsidRPr="00000000">
          <w:rPr>
            <w:rtl w:val="0"/>
          </w:rPr>
          <w:t xml:space="preserve"> </w:t>
        </w:r>
      </w:hyperlink>
      <w:hyperlink r:id="rId158">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233">
      <w:pPr>
        <w:pStyle w:val="Heading4"/>
        <w:keepNext w:val="0"/>
        <w:keepLines w:val="0"/>
        <w:spacing w:after="40" w:before="240" w:lineRule="auto"/>
        <w:rPr>
          <w:b w:val="1"/>
          <w:bCs w:val="1"/>
          <w:color w:val="000000"/>
          <w:sz w:val="22"/>
          <w:szCs w:val="22"/>
        </w:rPr>
      </w:pPr>
      <w:bookmarkStart w:colFirst="0" w:colLast="0" w:name="_sj42ljek5980" w:id="56"/>
      <w:bookmarkEnd w:id="56"/>
      <w:r w:rsidDel="00000000" w:rsidR="00000000" w:rsidRPr="00000000">
        <w:rPr>
          <w:b w:val="1"/>
          <w:bCs w:val="1"/>
          <w:color w:val="000000"/>
          <w:sz w:val="22"/>
          <w:szCs w:val="22"/>
          <w:rtl w:val="0"/>
        </w:rPr>
        <w:t xml:space="preserve">3.4.4 Operational Consequences</w:t>
      </w:r>
    </w:p>
    <w:p w:rsidR="00000000" w:rsidDel="00000000" w:rsidP="00000000" w:rsidRDefault="00000000" w:rsidRPr="00000000" w14:paraId="00000234">
      <w:pPr>
        <w:spacing w:after="240" w:before="240" w:lineRule="auto"/>
        <w:rPr/>
      </w:pPr>
      <w:r w:rsidDel="00000000" w:rsidR="00000000" w:rsidRPr="00000000">
        <w:rPr>
          <w:rtl w:val="0"/>
        </w:rPr>
        <w:t xml:space="preserve">Log volume management represents the primary operational challenge of Moral Trace Log implementation at scale. A production inference system processing ten million decisions per day generates corresponding log volumes that, with full TSLF schema compliance, require tiered storage architecture: hot storage for recent logs subject to active regulatory review, warm storage for logs within the statutory retention period, and cold storage for archived logs that must be preserved but are unlikely to be accessed in normal operations.</w:t>
      </w:r>
    </w:p>
    <w:p w:rsidR="00000000" w:rsidDel="00000000" w:rsidP="00000000" w:rsidRDefault="00000000" w:rsidRPr="00000000" w14:paraId="00000235">
      <w:pPr>
        <w:spacing w:after="240" w:before="240" w:lineRule="auto"/>
        <w:rPr/>
      </w:pPr>
      <w:r w:rsidDel="00000000" w:rsidR="00000000" w:rsidRPr="00000000">
        <w:rPr>
          <w:rtl w:val="0"/>
        </w:rPr>
        <w:t xml:space="preserve">The encryption of PII-bearing content creates indexing constraints: full-text search across log content is unavailable without key assembly. TML addresses this through structured metadata indexing, action class, timestamp, state value, pillar assessment scores, trigger type, that enables forensic investigation to identify relevant logs before key assembly is requested.</w:t>
      </w:r>
    </w:p>
    <w:p w:rsidR="00000000" w:rsidDel="00000000" w:rsidP="00000000" w:rsidRDefault="00000000" w:rsidRPr="00000000" w14:paraId="00000236">
      <w:pPr>
        <w:pStyle w:val="Heading4"/>
        <w:keepNext w:val="0"/>
        <w:keepLines w:val="0"/>
        <w:spacing w:after="40" w:before="240" w:lineRule="auto"/>
        <w:rPr>
          <w:b w:val="1"/>
          <w:bCs w:val="1"/>
          <w:color w:val="000000"/>
          <w:sz w:val="22"/>
          <w:szCs w:val="22"/>
        </w:rPr>
      </w:pPr>
      <w:bookmarkStart w:colFirst="0" w:colLast="0" w:name="_fsfdj785ryec" w:id="57"/>
      <w:bookmarkEnd w:id="57"/>
      <w:r w:rsidDel="00000000" w:rsidR="00000000" w:rsidRPr="00000000">
        <w:rPr>
          <w:b w:val="1"/>
          <w:bCs w:val="1"/>
          <w:color w:val="000000"/>
          <w:sz w:val="22"/>
          <w:szCs w:val="22"/>
          <w:rtl w:val="0"/>
        </w:rPr>
        <w:t xml:space="preserve">3.4.5 Failure Cases Prevented</w:t>
      </w:r>
    </w:p>
    <w:p w:rsidR="00000000" w:rsidDel="00000000" w:rsidP="00000000" w:rsidRDefault="00000000" w:rsidRPr="00000000" w14:paraId="00000237">
      <w:pPr>
        <w:spacing w:after="240" w:before="240" w:lineRule="auto"/>
        <w:rPr/>
      </w:pPr>
      <w:r w:rsidDel="00000000" w:rsidR="00000000" w:rsidRPr="00000000">
        <w:rPr>
          <w:rtl w:val="0"/>
        </w:rPr>
        <w:t xml:space="preserve">Moral Trace Logs prevent </w:t>
      </w:r>
      <w:r w:rsidDel="00000000" w:rsidR="00000000" w:rsidRPr="00000000">
        <w:rPr>
          <w:b w:val="1"/>
          <w:bCs w:val="1"/>
          <w:rtl w:val="0"/>
        </w:rPr>
        <w:t xml:space="preserve">Contextual Erasure</w:t>
      </w:r>
      <w:r w:rsidDel="00000000" w:rsidR="00000000" w:rsidRPr="00000000">
        <w:rPr>
          <w:rtl w:val="0"/>
        </w:rPr>
        <w:t xml:space="preserve">: the loss of the "why" behind automated decisions, which is the specific evidentiary gap that makes AI harm difficult to establish and AI accountability difficult to enforce.</w:t>
      </w:r>
    </w:p>
    <w:p w:rsidR="00000000" w:rsidDel="00000000" w:rsidP="00000000" w:rsidRDefault="00000000" w:rsidRPr="00000000" w14:paraId="00000238">
      <w:pPr>
        <w:spacing w:after="240" w:before="240" w:lineRule="auto"/>
        <w:rPr/>
      </w:pPr>
      <w:r w:rsidDel="00000000" w:rsidR="00000000" w:rsidRPr="00000000">
        <w:rPr>
          <w:i w:val="1"/>
          <w:iCs w:val="1"/>
          <w:rtl w:val="0"/>
        </w:rPr>
        <w:t xml:space="preserve">Documented instance:</w:t>
      </w:r>
      <w:r w:rsidDel="00000000" w:rsidR="00000000" w:rsidRPr="00000000">
        <w:rPr>
          <w:rtl w:val="0"/>
        </w:rPr>
        <w:t xml:space="preserve"> Arkansas's Medicaid algorithm, challenged in </w:t>
      </w:r>
      <w:r w:rsidDel="00000000" w:rsidR="00000000" w:rsidRPr="00000000">
        <w:rPr>
          <w:i w:val="1"/>
          <w:iCs w:val="1"/>
          <w:rtl w:val="0"/>
        </w:rPr>
        <w:t xml:space="preserve">Ledgerwood v. Jester</w:t>
      </w:r>
      <w:hyperlink r:id="rId159">
        <w:r w:rsidDel="00000000" w:rsidR="00000000" w:rsidRPr="00000000">
          <w:rPr>
            <w:rtl w:val="0"/>
          </w:rPr>
          <w:t xml:space="preserve"> </w:t>
        </w:r>
      </w:hyperlink>
      <w:hyperlink r:id="rId160">
        <w:r w:rsidDel="00000000" w:rsidR="00000000" w:rsidRPr="00000000">
          <w:rPr>
            <w:color w:val="1155cc"/>
            <w:u w:val="single"/>
            <w:rtl w:val="0"/>
          </w:rPr>
          <w:t xml:space="preserve">[28]</w:t>
        </w:r>
      </w:hyperlink>
      <w:r w:rsidDel="00000000" w:rsidR="00000000" w:rsidRPr="00000000">
        <w:rPr>
          <w:rtl w:val="0"/>
        </w:rPr>
        <w:t xml:space="preserve">, reduced care hours for numerous disabled residents without providing explanations that those residents could meaningfully contest. The court found that the absence of accessible decision rationale violated due process. A TML-governed system would have generated a complete </w:t>
      </w:r>
      <w:r w:rsidDel="00000000" w:rsidR="00000000" w:rsidRPr="00000000">
        <w:rPr>
          <w:rFonts w:ascii="Roboto Mono" w:cs="Roboto Mono" w:eastAsia="Roboto Mono" w:hAnsi="Roboto Mono"/>
          <w:color w:val="188038"/>
          <w:rtl w:val="0"/>
        </w:rPr>
        <w:t xml:space="preserve">TSLF</w:t>
      </w:r>
      <w:r w:rsidDel="00000000" w:rsidR="00000000" w:rsidRPr="00000000">
        <w:rPr>
          <w:rtl w:val="0"/>
        </w:rPr>
        <w:t xml:space="preserve"> log for each benefit determination, including the specific algorithmic factors that drove the reduction and the provisions evaluated in its authorization, providing the accessible rationale that due process requires and that the Arkansas system structurally could not produce.</w:t>
      </w:r>
    </w:p>
    <w:p w:rsidR="00000000" w:rsidDel="00000000" w:rsidP="00000000" w:rsidRDefault="00000000" w:rsidRPr="00000000" w14:paraId="00000239">
      <w:pPr>
        <w:pStyle w:val="Heading4"/>
        <w:keepNext w:val="0"/>
        <w:keepLines w:val="0"/>
        <w:spacing w:after="40" w:before="240" w:lineRule="auto"/>
        <w:rPr>
          <w:b w:val="1"/>
          <w:bCs w:val="1"/>
          <w:color w:val="000000"/>
          <w:sz w:val="22"/>
          <w:szCs w:val="22"/>
        </w:rPr>
      </w:pPr>
      <w:bookmarkStart w:colFirst="0" w:colLast="0" w:name="_1b4671sitrys" w:id="58"/>
      <w:bookmarkEnd w:id="58"/>
      <w:r w:rsidDel="00000000" w:rsidR="00000000" w:rsidRPr="00000000">
        <w:rPr>
          <w:b w:val="1"/>
          <w:bCs w:val="1"/>
          <w:color w:val="000000"/>
          <w:sz w:val="22"/>
          <w:szCs w:val="22"/>
          <w:rtl w:val="0"/>
        </w:rPr>
        <w:t xml:space="preserve">3.4.6 Measurable Outputs</w:t>
      </w:r>
    </w:p>
    <w:p w:rsidR="00000000" w:rsidDel="00000000" w:rsidP="00000000" w:rsidRDefault="00000000" w:rsidRPr="00000000" w14:paraId="0000023A">
      <w:pPr>
        <w:numPr>
          <w:ilvl w:val="0"/>
          <w:numId w:val="4"/>
        </w:numPr>
        <w:spacing w:after="0" w:afterAutospacing="0" w:before="240" w:lineRule="auto"/>
        <w:ind w:left="720" w:hanging="360"/>
      </w:pPr>
      <w:r w:rsidDel="00000000" w:rsidR="00000000" w:rsidRPr="00000000">
        <w:rPr>
          <w:b w:val="1"/>
          <w:bCs w:val="1"/>
          <w:rtl w:val="0"/>
        </w:rPr>
        <w:t xml:space="preserve">Log Completeness Score:</w:t>
      </w:r>
      <w:r w:rsidDel="00000000" w:rsidR="00000000" w:rsidRPr="00000000">
        <w:rPr>
          <w:rtl w:val="0"/>
        </w:rPr>
        <w:t xml:space="preserve"> Automated validation that all mandatory TSLF schema fields are populated for every log record. Target: 100%.</w:t>
      </w:r>
    </w:p>
    <w:p w:rsidR="00000000" w:rsidDel="00000000" w:rsidP="00000000" w:rsidRDefault="00000000" w:rsidRPr="00000000" w14:paraId="0000023B">
      <w:pPr>
        <w:numPr>
          <w:ilvl w:val="0"/>
          <w:numId w:val="4"/>
        </w:numPr>
        <w:spacing w:after="0" w:afterAutospacing="0" w:before="0" w:beforeAutospacing="0" w:lineRule="auto"/>
        <w:ind w:left="720" w:hanging="360"/>
      </w:pPr>
      <w:r w:rsidDel="00000000" w:rsidR="00000000" w:rsidRPr="00000000">
        <w:rPr>
          <w:b w:val="1"/>
          <w:bCs w:val="1"/>
          <w:rtl w:val="0"/>
        </w:rPr>
        <w:t xml:space="preserve">Tamper Evidence Rate:</w:t>
      </w:r>
      <w:r w:rsidDel="00000000" w:rsidR="00000000" w:rsidRPr="00000000">
        <w:rPr>
          <w:rtl w:val="0"/>
        </w:rPr>
        <w:t xml:space="preserve"> Frequency of hash mismatch detection between stored logs and Merkle root anchors. Any non-zero rate constitutes a critical security event.</w:t>
      </w:r>
    </w:p>
    <w:p w:rsidR="00000000" w:rsidDel="00000000" w:rsidP="00000000" w:rsidRDefault="00000000" w:rsidRPr="00000000" w14:paraId="0000023C">
      <w:pPr>
        <w:numPr>
          <w:ilvl w:val="0"/>
          <w:numId w:val="4"/>
        </w:numPr>
        <w:spacing w:after="240" w:before="0" w:beforeAutospacing="0" w:lineRule="auto"/>
        <w:ind w:left="720" w:hanging="360"/>
      </w:pPr>
      <w:r w:rsidDel="00000000" w:rsidR="00000000" w:rsidRPr="00000000">
        <w:rPr>
          <w:b w:val="1"/>
          <w:bCs w:val="1"/>
          <w:rtl w:val="0"/>
        </w:rPr>
        <w:t xml:space="preserve">Admissibility Certification Rate:</w:t>
      </w:r>
      <w:r w:rsidDel="00000000" w:rsidR="00000000" w:rsidRPr="00000000">
        <w:rPr>
          <w:rtl w:val="0"/>
        </w:rPr>
        <w:t xml:space="preserve"> Percentage of logs that satisfy FRE 902 and eIDAS certification requirements upon independent audit review.</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c2y9ejs8otlb" w:id="59"/>
      <w:bookmarkEnd w:id="59"/>
      <w:r w:rsidDel="00000000" w:rsidR="00000000" w:rsidRPr="00000000">
        <w:rPr>
          <w:b w:val="1"/>
          <w:bCs w:val="1"/>
          <w:color w:val="000000"/>
          <w:sz w:val="26"/>
          <w:szCs w:val="26"/>
          <w:rtl w:val="0"/>
        </w:rPr>
        <w:t xml:space="preserve">3.5 Pillar V: Human Rights Mandate (The Anthropocentric Guardrail)</w:t>
      </w:r>
    </w:p>
    <w:p w:rsidR="00000000" w:rsidDel="00000000" w:rsidP="00000000" w:rsidRDefault="00000000" w:rsidRPr="00000000" w14:paraId="0000023F">
      <w:pPr>
        <w:pStyle w:val="Heading4"/>
        <w:keepNext w:val="0"/>
        <w:keepLines w:val="0"/>
        <w:spacing w:after="40" w:before="240" w:lineRule="auto"/>
        <w:rPr>
          <w:b w:val="1"/>
          <w:bCs w:val="1"/>
          <w:color w:val="000000"/>
          <w:sz w:val="22"/>
          <w:szCs w:val="22"/>
        </w:rPr>
      </w:pPr>
      <w:bookmarkStart w:colFirst="0" w:colLast="0" w:name="_fzinpxyhpcof" w:id="60"/>
      <w:bookmarkEnd w:id="60"/>
      <w:r w:rsidDel="00000000" w:rsidR="00000000" w:rsidRPr="00000000">
        <w:rPr>
          <w:b w:val="1"/>
          <w:bCs w:val="1"/>
          <w:color w:val="000000"/>
          <w:sz w:val="22"/>
          <w:szCs w:val="22"/>
          <w:rtl w:val="0"/>
        </w:rPr>
        <w:t xml:space="preserve">3.5.1 Purpose and Philosophy</w:t>
      </w:r>
    </w:p>
    <w:p w:rsidR="00000000" w:rsidDel="00000000" w:rsidP="00000000" w:rsidRDefault="00000000" w:rsidRPr="00000000" w14:paraId="00000240">
      <w:pPr>
        <w:spacing w:after="240" w:before="240" w:lineRule="auto"/>
        <w:rPr/>
      </w:pPr>
      <w:r w:rsidDel="00000000" w:rsidR="00000000" w:rsidRPr="00000000">
        <w:rPr>
          <w:rtl w:val="0"/>
        </w:rPr>
        <w:t xml:space="preserve">The Human Rights Mandate operationalizes international human rights law within the inference engine itself. It asserts, architecturally, that an AI system deployed in domains affecting human beings is not merely a technical tool subject only to its operator's instructions but a functional participant in a normative order established by international law, an order that imposes obligations on every actor, human or automated, that exercises power over persons</w:t>
      </w:r>
      <w:hyperlink r:id="rId161">
        <w:r w:rsidDel="00000000" w:rsidR="00000000" w:rsidRPr="00000000">
          <w:rPr>
            <w:rtl w:val="0"/>
          </w:rPr>
          <w:t xml:space="preserve"> </w:t>
        </w:r>
      </w:hyperlink>
      <w:hyperlink r:id="rId162">
        <w:r w:rsidDel="00000000" w:rsidR="00000000" w:rsidRPr="00000000">
          <w:rPr>
            <w:color w:val="1155cc"/>
            <w:u w:val="single"/>
            <w:rtl w:val="0"/>
          </w:rPr>
          <w:t xml:space="preserve">[29]</w:t>
        </w:r>
      </w:hyperlink>
      <w:r w:rsidDel="00000000" w:rsidR="00000000" w:rsidRPr="00000000">
        <w:rPr>
          <w:rtl w:val="0"/>
        </w:rPr>
        <w:t xml:space="preserve">.</w:t>
      </w:r>
    </w:p>
    <w:p w:rsidR="00000000" w:rsidDel="00000000" w:rsidP="00000000" w:rsidRDefault="00000000" w:rsidRPr="00000000" w14:paraId="00000241">
      <w:pPr>
        <w:spacing w:after="240" w:before="240" w:lineRule="auto"/>
        <w:rPr/>
      </w:pPr>
      <w:r w:rsidDel="00000000" w:rsidR="00000000" w:rsidRPr="00000000">
        <w:rPr>
          <w:rtl w:val="0"/>
        </w:rPr>
        <w:t xml:space="preserve">The Mandate hard-codes specific prohibitions derived from the </w:t>
      </w:r>
      <w:r w:rsidDel="00000000" w:rsidR="00000000" w:rsidRPr="00000000">
        <w:rPr>
          <w:b w:val="1"/>
          <w:bCs w:val="1"/>
          <w:rtl w:val="0"/>
        </w:rPr>
        <w:t xml:space="preserve">Universal Declaration of Human Rights</w:t>
      </w:r>
      <w:hyperlink r:id="rId163">
        <w:r w:rsidDel="00000000" w:rsidR="00000000" w:rsidRPr="00000000">
          <w:rPr>
            <w:rtl w:val="0"/>
          </w:rPr>
          <w:t xml:space="preserve"> </w:t>
        </w:r>
      </w:hyperlink>
      <w:hyperlink r:id="rId164">
        <w:r w:rsidDel="00000000" w:rsidR="00000000" w:rsidRPr="00000000">
          <w:rPr>
            <w:color w:val="1155cc"/>
            <w:u w:val="single"/>
            <w:rtl w:val="0"/>
          </w:rPr>
          <w:t xml:space="preserve">[15]</w:t>
        </w:r>
      </w:hyperlink>
      <w:r w:rsidDel="00000000" w:rsidR="00000000" w:rsidRPr="00000000">
        <w:rPr>
          <w:rtl w:val="0"/>
        </w:rPr>
        <w:t xml:space="preserve">, the </w:t>
      </w:r>
      <w:r w:rsidDel="00000000" w:rsidR="00000000" w:rsidRPr="00000000">
        <w:rPr>
          <w:b w:val="1"/>
          <w:bCs w:val="1"/>
          <w:rtl w:val="0"/>
        </w:rPr>
        <w:t xml:space="preserve">International Covenant on Civil and Political Rights</w:t>
      </w:r>
      <w:hyperlink r:id="rId165">
        <w:r w:rsidDel="00000000" w:rsidR="00000000" w:rsidRPr="00000000">
          <w:rPr>
            <w:rtl w:val="0"/>
          </w:rPr>
          <w:t xml:space="preserve"> </w:t>
        </w:r>
      </w:hyperlink>
      <w:hyperlink r:id="rId166">
        <w:r w:rsidDel="00000000" w:rsidR="00000000" w:rsidRPr="00000000">
          <w:rPr>
            <w:color w:val="1155cc"/>
            <w:u w:val="single"/>
            <w:rtl w:val="0"/>
          </w:rPr>
          <w:t xml:space="preserve">[29]</w:t>
        </w:r>
      </w:hyperlink>
      <w:r w:rsidDel="00000000" w:rsidR="00000000" w:rsidRPr="00000000">
        <w:rPr>
          <w:rtl w:val="0"/>
        </w:rPr>
        <w:t xml:space="preserve">, and the </w:t>
      </w:r>
      <w:r w:rsidDel="00000000" w:rsidR="00000000" w:rsidRPr="00000000">
        <w:rPr>
          <w:b w:val="1"/>
          <w:bCs w:val="1"/>
          <w:rtl w:val="0"/>
        </w:rPr>
        <w:t xml:space="preserve">Geneva Conventions</w:t>
      </w:r>
      <w:hyperlink r:id="rId167">
        <w:r w:rsidDel="00000000" w:rsidR="00000000" w:rsidRPr="00000000">
          <w:rPr>
            <w:rtl w:val="0"/>
          </w:rPr>
          <w:t xml:space="preserve"> </w:t>
        </w:r>
      </w:hyperlink>
      <w:hyperlink r:id="rId168">
        <w:r w:rsidDel="00000000" w:rsidR="00000000" w:rsidRPr="00000000">
          <w:rPr>
            <w:color w:val="1155cc"/>
            <w:u w:val="single"/>
            <w:rtl w:val="0"/>
          </w:rPr>
          <w:t xml:space="preserve">[16]</w:t>
        </w:r>
      </w:hyperlink>
      <w:r w:rsidDel="00000000" w:rsidR="00000000" w:rsidRPr="00000000">
        <w:rPr>
          <w:rtl w:val="0"/>
        </w:rPr>
        <w:t xml:space="preserve"> into the system's vector evaluation architecture. These are not voluntary ethical commitments; they are constraints that operate with the force of treaty obligations, translated from legal text into semantic vectors that intercept the inference process before any action that would violate them can execute.</w:t>
      </w:r>
    </w:p>
    <w:p w:rsidR="00000000" w:rsidDel="00000000" w:rsidP="00000000" w:rsidRDefault="00000000" w:rsidRPr="00000000" w14:paraId="00000242">
      <w:pPr>
        <w:spacing w:after="240" w:before="240" w:lineRule="auto"/>
        <w:rPr/>
      </w:pPr>
      <w:r w:rsidDel="00000000" w:rsidR="00000000" w:rsidRPr="00000000">
        <w:rPr>
          <w:rtl w:val="0"/>
        </w:rPr>
        <w:t xml:space="preserve">The philosophical claim of the Human Rights Mandate is that efficiency never supersedes dignity. An AI system that denies benefits to a protected class because the discriminatory classification is statistically optimal for minimizing fraud detection costs has produced an outcome that is impermissible regardless of its actuarial accuracy. The Mandate gives international human rights law a </w:t>
      </w:r>
      <w:r w:rsidDel="00000000" w:rsidR="00000000" w:rsidRPr="00000000">
        <w:rPr>
          <w:b w:val="1"/>
          <w:bCs w:val="1"/>
          <w:rtl w:val="0"/>
        </w:rPr>
        <w:t xml:space="preserve">vote</w:t>
      </w:r>
      <w:r w:rsidDel="00000000" w:rsidR="00000000" w:rsidRPr="00000000">
        <w:rPr>
          <w:rtl w:val="0"/>
        </w:rPr>
        <w:t xml:space="preserve"> in every decision the system makes, not as an advisory consideration but as a veto right.</w:t>
      </w:r>
    </w:p>
    <w:p w:rsidR="00000000" w:rsidDel="00000000" w:rsidP="00000000" w:rsidRDefault="00000000" w:rsidRPr="00000000" w14:paraId="00000243">
      <w:pPr>
        <w:pStyle w:val="Heading4"/>
        <w:keepNext w:val="0"/>
        <w:keepLines w:val="0"/>
        <w:spacing w:after="40" w:before="240" w:lineRule="auto"/>
        <w:rPr>
          <w:b w:val="1"/>
          <w:bCs w:val="1"/>
          <w:color w:val="000000"/>
          <w:sz w:val="22"/>
          <w:szCs w:val="22"/>
        </w:rPr>
      </w:pPr>
      <w:bookmarkStart w:colFirst="0" w:colLast="0" w:name="_idibu4u2wzxg" w:id="61"/>
      <w:bookmarkEnd w:id="61"/>
      <w:r w:rsidDel="00000000" w:rsidR="00000000" w:rsidRPr="00000000">
        <w:rPr>
          <w:b w:val="1"/>
          <w:bCs w:val="1"/>
          <w:color w:val="000000"/>
          <w:sz w:val="22"/>
          <w:szCs w:val="22"/>
          <w:rtl w:val="0"/>
        </w:rPr>
        <w:t xml:space="preserve">3.5.2 Technical Mechanisms: Semantic Proximity Detection</w:t>
      </w:r>
    </w:p>
    <w:p w:rsidR="00000000" w:rsidDel="00000000" w:rsidP="00000000" w:rsidRDefault="00000000" w:rsidRPr="00000000" w14:paraId="00000244">
      <w:pPr>
        <w:spacing w:after="240" w:before="240" w:lineRule="auto"/>
        <w:rPr/>
      </w:pPr>
      <w:r w:rsidDel="00000000" w:rsidR="00000000" w:rsidRPr="00000000">
        <w:rPr>
          <w:rtl w:val="0"/>
        </w:rPr>
        <w:t xml:space="preserve">The Human Rights Mandate is implemented through a </w:t>
      </w:r>
      <w:r w:rsidDel="00000000" w:rsidR="00000000" w:rsidRPr="00000000">
        <w:rPr>
          <w:b w:val="1"/>
          <w:bCs w:val="1"/>
          <w:rtl w:val="0"/>
        </w:rPr>
        <w:t xml:space="preserve">vector database of protected rights</w:t>
      </w:r>
      <w:r w:rsidDel="00000000" w:rsidR="00000000" w:rsidRPr="00000000">
        <w:rPr>
          <w:rtl w:val="0"/>
        </w:rPr>
        <w:t xml:space="preserve">. The system maintains high-dimensional semantic embeddings of the textual content of 26+ core human rights instruments, pre-processed to extract the specific protection provisions most relevant to automated decision-making in the system's deployment domain.</w:t>
      </w:r>
    </w:p>
    <w:p w:rsidR="00000000" w:rsidDel="00000000" w:rsidP="00000000" w:rsidRDefault="00000000" w:rsidRPr="00000000" w14:paraId="00000245">
      <w:pPr>
        <w:spacing w:after="240" w:before="240" w:lineRule="auto"/>
        <w:rPr/>
      </w:pPr>
      <w:r w:rsidDel="00000000" w:rsidR="00000000" w:rsidRPr="00000000">
        <w:rPr>
          <w:rFonts w:ascii="Arial Unicode MS" w:cs="Arial Unicode MS" w:eastAsia="Arial Unicode MS" w:hAnsi="Arial Unicode MS"/>
          <w:rtl w:val="0"/>
        </w:rPr>
        <w:t xml:space="preserve">During inference, the system computes the cosine similarity between the proposed action vector and the protection vectors derived from each Mandate provision. If the similarity to a violation vector exceeds the threshold (configurable by deployment domain, with a hard floor that cannot be lowered below the minimum without triggering Lantern revocation), the Mandate casts its veto, forcing the decision to State −1 regardless of the Inference Lane's confidence score. The </w:t>
      </w:r>
      <w:r w:rsidDel="00000000" w:rsidR="00000000" w:rsidRPr="00000000">
        <w:rPr>
          <w:rFonts w:ascii="Roboto Mono" w:cs="Roboto Mono" w:eastAsia="Roboto Mono" w:hAnsi="Roboto Mono"/>
          <w:color w:val="188038"/>
          <w:rtl w:val="0"/>
        </w:rPr>
        <w:t xml:space="preserve">humanRightsMandateFlags</w:t>
      </w:r>
      <w:r w:rsidDel="00000000" w:rsidR="00000000" w:rsidRPr="00000000">
        <w:rPr>
          <w:rtl w:val="0"/>
        </w:rPr>
        <w:t xml:space="preserve"> field in the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carries provision-level trigger flags; when specific UDHR Article or Geneva Convention provision identifiers are set, the Anchoring Lane is required to perform mandatory Pillar V review as part of its independent ternary evaluation</w:t>
      </w:r>
      <w:hyperlink r:id="rId169">
        <w:r w:rsidDel="00000000" w:rsidR="00000000" w:rsidRPr="00000000">
          <w:rPr>
            <w:rtl w:val="0"/>
          </w:rPr>
          <w:t xml:space="preserve"> </w:t>
        </w:r>
      </w:hyperlink>
      <w:hyperlink r:id="rId17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Zero-tolerance provisions:</w:t>
      </w:r>
      <w:r w:rsidDel="00000000" w:rsidR="00000000" w:rsidRPr="00000000">
        <w:rPr>
          <w:rFonts w:ascii="Arial Unicode MS" w:cs="Arial Unicode MS" w:eastAsia="Arial Unicode MS" w:hAnsi="Arial Unicode MS"/>
          <w:rtl w:val="0"/>
        </w:rPr>
        <w:t xml:space="preserve"> For certain categories of violation, incitement to genocide, non-consensual sexual content, slavery, torture, the threshold is set at near-zero cosine similarity, meaning that any action whose vector approaches these provisions triggers immediate State −1 without Sacred Zero deliberation. These are not close cases requiring structured hesitation; they are absolute prohibitions that admit no evidentiary basis for proceeding.</w:t>
      </w:r>
    </w:p>
    <w:p w:rsidR="00000000" w:rsidDel="00000000" w:rsidP="00000000" w:rsidRDefault="00000000" w:rsidRPr="00000000" w14:paraId="00000247">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ITMLEnforcer</w:t>
      </w:r>
      <w:r w:rsidDel="00000000" w:rsidR="00000000" w:rsidRPr="00000000">
        <w:rPr>
          <w:rtl w:val="0"/>
        </w:rPr>
        <w:t xml:space="preserve"> on-chain ABI provides </w:t>
      </w:r>
      <w:r w:rsidDel="00000000" w:rsidR="00000000" w:rsidRPr="00000000">
        <w:rPr>
          <w:rFonts w:ascii="Roboto Mono" w:cs="Roboto Mono" w:eastAsia="Roboto Mono" w:hAnsi="Roboto Mono"/>
          <w:color w:val="188038"/>
          <w:rtl w:val="0"/>
        </w:rPr>
        <w:t xml:space="preserve">verifyHumanRightsCompliance</w:t>
      </w:r>
      <w:r w:rsidDel="00000000" w:rsidR="00000000" w:rsidRPr="00000000">
        <w:rPr>
          <w:rtl w:val="0"/>
        </w:rPr>
        <w:t xml:space="preserve"> as a smart contract function, and the </w:t>
      </w:r>
      <w:r w:rsidDel="00000000" w:rsidR="00000000" w:rsidRPr="00000000">
        <w:rPr>
          <w:rFonts w:ascii="Roboto Mono" w:cs="Roboto Mono" w:eastAsia="Roboto Mono" w:hAnsi="Roboto Mono"/>
          <w:color w:val="188038"/>
          <w:rtl w:val="0"/>
        </w:rPr>
        <w:t xml:space="preserve">HumanRightsMandateViolationDetected</w:t>
      </w:r>
      <w:r w:rsidDel="00000000" w:rsidR="00000000" w:rsidRPr="00000000">
        <w:rPr>
          <w:rtl w:val="0"/>
        </w:rPr>
        <w:t xml:space="preserve"> ABI event provides public blockchain-level notification of any Mandate veto, creating a publicly auditable record of the system's enforcement activity</w:t>
      </w:r>
      <w:hyperlink r:id="rId171">
        <w:r w:rsidDel="00000000" w:rsidR="00000000" w:rsidRPr="00000000">
          <w:rPr>
            <w:rtl w:val="0"/>
          </w:rPr>
          <w:t xml:space="preserve"> </w:t>
        </w:r>
      </w:hyperlink>
      <w:hyperlink r:id="rId17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48">
      <w:pPr>
        <w:pStyle w:val="Heading4"/>
        <w:keepNext w:val="0"/>
        <w:keepLines w:val="0"/>
        <w:spacing w:after="40" w:before="240" w:lineRule="auto"/>
        <w:rPr>
          <w:b w:val="1"/>
          <w:bCs w:val="1"/>
          <w:color w:val="000000"/>
          <w:sz w:val="22"/>
          <w:szCs w:val="22"/>
        </w:rPr>
      </w:pPr>
      <w:bookmarkStart w:colFirst="0" w:colLast="0" w:name="_feap0dik9ez4" w:id="62"/>
      <w:bookmarkEnd w:id="62"/>
      <w:r w:rsidDel="00000000" w:rsidR="00000000" w:rsidRPr="00000000">
        <w:rPr>
          <w:b w:val="1"/>
          <w:bCs w:val="1"/>
          <w:color w:val="000000"/>
          <w:sz w:val="22"/>
          <w:szCs w:val="22"/>
          <w:rtl w:val="0"/>
        </w:rPr>
        <w:t xml:space="preserve">3.5.3 Legal Effect: Automated Fundamental Rights Impact Assessment</w:t>
      </w:r>
    </w:p>
    <w:p w:rsidR="00000000" w:rsidDel="00000000" w:rsidP="00000000" w:rsidRDefault="00000000" w:rsidRPr="00000000" w14:paraId="00000249">
      <w:pPr>
        <w:spacing w:after="240" w:before="240" w:lineRule="auto"/>
        <w:rPr/>
      </w:pPr>
      <w:r w:rsidDel="00000000" w:rsidR="00000000" w:rsidRPr="00000000">
        <w:rPr>
          <w:rtl w:val="0"/>
        </w:rPr>
        <w:t xml:space="preserve">The EU AI Act </w:t>
      </w:r>
      <w:r w:rsidDel="00000000" w:rsidR="00000000" w:rsidRPr="00000000">
        <w:rPr>
          <w:b w:val="1"/>
          <w:bCs w:val="1"/>
          <w:rtl w:val="0"/>
        </w:rPr>
        <w:t xml:space="preserve">Article 27</w:t>
      </w:r>
      <w:r w:rsidDel="00000000" w:rsidR="00000000" w:rsidRPr="00000000">
        <w:rPr>
          <w:rtl w:val="0"/>
        </w:rPr>
        <w:t xml:space="preserve"> requires deployers of high-risk systems to conduct a Fundamental Rights Impact Assessment (FRIA) before deployment and upon material changes to the system's operating environment</w:t>
      </w:r>
      <w:hyperlink r:id="rId173">
        <w:r w:rsidDel="00000000" w:rsidR="00000000" w:rsidRPr="00000000">
          <w:rPr>
            <w:rtl w:val="0"/>
          </w:rPr>
          <w:t xml:space="preserve"> </w:t>
        </w:r>
      </w:hyperlink>
      <w:hyperlink r:id="rId174">
        <w:r w:rsidDel="00000000" w:rsidR="00000000" w:rsidRPr="00000000">
          <w:rPr>
            <w:color w:val="1155cc"/>
            <w:u w:val="single"/>
            <w:rtl w:val="0"/>
          </w:rPr>
          <w:t xml:space="preserve">[18]</w:t>
        </w:r>
      </w:hyperlink>
      <w:r w:rsidDel="00000000" w:rsidR="00000000" w:rsidRPr="00000000">
        <w:rPr>
          <w:rtl w:val="0"/>
        </w:rPr>
        <w:t xml:space="preserve">. The Human Rights Mandate automates this assessment for every single inference cycle, generating a continuous real-time FRIA log that substantially exceeds Article 27's one-time pre-deployment requirement. A deployer operating a TML-governed system can produce a complete FRIA log covering every decision the system has made since deployment, with per-decision documentation of the specific rights provisions evaluated and the basis for each determination.</w:t>
      </w:r>
    </w:p>
    <w:p w:rsidR="00000000" w:rsidDel="00000000" w:rsidP="00000000" w:rsidRDefault="00000000" w:rsidRPr="00000000" w14:paraId="0000024A">
      <w:pPr>
        <w:spacing w:after="240" w:before="240" w:lineRule="auto"/>
        <w:rPr/>
      </w:pPr>
      <w:r w:rsidDel="00000000" w:rsidR="00000000" w:rsidRPr="00000000">
        <w:rPr>
          <w:rtl w:val="0"/>
        </w:rPr>
        <w:t xml:space="preserve">Under the ICCPR, state parties are required to ensure effective remedies for human rights violations</w:t>
      </w:r>
      <w:hyperlink r:id="rId175">
        <w:r w:rsidDel="00000000" w:rsidR="00000000" w:rsidRPr="00000000">
          <w:rPr>
            <w:rtl w:val="0"/>
          </w:rPr>
          <w:t xml:space="preserve"> </w:t>
        </w:r>
      </w:hyperlink>
      <w:hyperlink r:id="rId176">
        <w:r w:rsidDel="00000000" w:rsidR="00000000" w:rsidRPr="00000000">
          <w:rPr>
            <w:color w:val="1155cc"/>
            <w:u w:val="single"/>
            <w:rtl w:val="0"/>
          </w:rPr>
          <w:t xml:space="preserve">[29]</w:t>
        </w:r>
      </w:hyperlink>
      <w:r w:rsidDel="00000000" w:rsidR="00000000" w:rsidRPr="00000000">
        <w:rPr>
          <w:rtl w:val="0"/>
        </w:rPr>
        <w:t xml:space="preserve">. Where AI systems are deployed by or on behalf of state actors, the Human Rights Mandate's continuous FRIA logging provides the evidentiary infrastructure for effective remedy: affected persons can request the complete Moral Trace Log for any decision affecting them, including the specific rights provisions evaluated and the basis for the outcome.</w:t>
      </w:r>
    </w:p>
    <w:p w:rsidR="00000000" w:rsidDel="00000000" w:rsidP="00000000" w:rsidRDefault="00000000" w:rsidRPr="00000000" w14:paraId="0000024B">
      <w:pPr>
        <w:pStyle w:val="Heading4"/>
        <w:keepNext w:val="0"/>
        <w:keepLines w:val="0"/>
        <w:spacing w:after="40" w:before="240" w:lineRule="auto"/>
        <w:rPr>
          <w:b w:val="1"/>
          <w:bCs w:val="1"/>
          <w:color w:val="000000"/>
          <w:sz w:val="22"/>
          <w:szCs w:val="22"/>
        </w:rPr>
      </w:pPr>
      <w:bookmarkStart w:colFirst="0" w:colLast="0" w:name="_f7a3r8wt3o7w" w:id="63"/>
      <w:bookmarkEnd w:id="63"/>
      <w:r w:rsidDel="00000000" w:rsidR="00000000" w:rsidRPr="00000000">
        <w:rPr>
          <w:b w:val="1"/>
          <w:bCs w:val="1"/>
          <w:color w:val="000000"/>
          <w:sz w:val="22"/>
          <w:szCs w:val="22"/>
          <w:rtl w:val="0"/>
        </w:rPr>
        <w:t xml:space="preserve">3.5.4 Operational Consequences</w:t>
      </w:r>
    </w:p>
    <w:p w:rsidR="00000000" w:rsidDel="00000000" w:rsidP="00000000" w:rsidRDefault="00000000" w:rsidRPr="00000000" w14:paraId="0000024C">
      <w:pPr>
        <w:spacing w:after="240" w:before="240" w:lineRule="auto"/>
        <w:rPr/>
      </w:pPr>
      <w:r w:rsidDel="00000000" w:rsidR="00000000" w:rsidRPr="00000000">
        <w:rPr>
          <w:rtl w:val="0"/>
        </w:rPr>
        <w:t xml:space="preserve">The Human Rights Mandate generates </w:t>
      </w:r>
      <w:r w:rsidDel="00000000" w:rsidR="00000000" w:rsidRPr="00000000">
        <w:rPr>
          <w:b w:val="1"/>
          <w:bCs w:val="1"/>
          <w:rtl w:val="0"/>
        </w:rPr>
        <w:t xml:space="preserve">false positive risk</w:t>
      </w:r>
      <w:r w:rsidDel="00000000" w:rsidR="00000000" w:rsidRPr="00000000">
        <w:rPr>
          <w:rtl w:val="0"/>
        </w:rPr>
        <w:t xml:space="preserve">: situations where the semantic proximity detection flags content that depicts or discusses human rights violations (historical analysis, academic research, journalistic documentation) rather than content that constitutes a rights violation. The Sacred Zero deliberation pathway is the mechanism for resolving this distinction: a system detecting semantic proximity to human rights violation vectors that falls within the ambiguity zone, neither clear educational content nor clear incitement, enters Sacred Zero and escalates to human review, which can make the contextual determination that automated detection cannot.</w:t>
      </w:r>
    </w:p>
    <w:p w:rsidR="00000000" w:rsidDel="00000000" w:rsidP="00000000" w:rsidRDefault="00000000" w:rsidRPr="00000000" w14:paraId="0000024D">
      <w:pPr>
        <w:spacing w:after="240" w:before="240" w:lineRule="auto"/>
        <w:rPr/>
      </w:pPr>
      <w:r w:rsidDel="00000000" w:rsidR="00000000" w:rsidRPr="00000000">
        <w:rPr>
          <w:rtl w:val="0"/>
        </w:rPr>
        <w:t xml:space="preserve">Cultural and jurisdictional variation in the interpretation of rights provisions requires domain-specific mandate calibration. While </w:t>
      </w:r>
      <w:r w:rsidDel="00000000" w:rsidR="00000000" w:rsidRPr="00000000">
        <w:rPr>
          <w:i w:val="1"/>
          <w:iCs w:val="1"/>
          <w:rtl w:val="0"/>
        </w:rPr>
        <w:t xml:space="preserve">jus cogens</w:t>
      </w:r>
      <w:r w:rsidDel="00000000" w:rsidR="00000000" w:rsidRPr="00000000">
        <w:rPr>
          <w:rtl w:val="0"/>
        </w:rPr>
        <w:t xml:space="preserve"> norms (the small set of peremptory norms from which no derogation is permitted under any circumstances, including the prohibition on slavery, torture, and genocide) are absolute and admit no jurisdictional calibration, other rights provisions require contextual interpretation that TML addresses through deployment-specific mandate configuration subject to Goukassian Foundation certification review.</w:t>
      </w:r>
    </w:p>
    <w:p w:rsidR="00000000" w:rsidDel="00000000" w:rsidP="00000000" w:rsidRDefault="00000000" w:rsidRPr="00000000" w14:paraId="0000024E">
      <w:pPr>
        <w:pStyle w:val="Heading4"/>
        <w:keepNext w:val="0"/>
        <w:keepLines w:val="0"/>
        <w:spacing w:after="40" w:before="240" w:lineRule="auto"/>
        <w:rPr>
          <w:b w:val="1"/>
          <w:bCs w:val="1"/>
          <w:color w:val="000000"/>
          <w:sz w:val="22"/>
          <w:szCs w:val="22"/>
        </w:rPr>
      </w:pPr>
      <w:bookmarkStart w:colFirst="0" w:colLast="0" w:name="_lw9cnx1dmk8l" w:id="64"/>
      <w:bookmarkEnd w:id="64"/>
      <w:r w:rsidDel="00000000" w:rsidR="00000000" w:rsidRPr="00000000">
        <w:rPr>
          <w:b w:val="1"/>
          <w:bCs w:val="1"/>
          <w:color w:val="000000"/>
          <w:sz w:val="22"/>
          <w:szCs w:val="22"/>
          <w:rtl w:val="0"/>
        </w:rPr>
        <w:t xml:space="preserve">3.5.5 Failure Cases Prevented</w:t>
      </w:r>
    </w:p>
    <w:p w:rsidR="00000000" w:rsidDel="00000000" w:rsidP="00000000" w:rsidRDefault="00000000" w:rsidRPr="00000000" w14:paraId="0000024F">
      <w:pPr>
        <w:spacing w:after="240" w:before="240" w:lineRule="auto"/>
        <w:rPr/>
      </w:pPr>
      <w:r w:rsidDel="00000000" w:rsidR="00000000" w:rsidRPr="00000000">
        <w:rPr>
          <w:rtl w:val="0"/>
        </w:rPr>
        <w:t xml:space="preserve">The Human Rights Mandate prevents </w:t>
      </w:r>
      <w:r w:rsidDel="00000000" w:rsidR="00000000" w:rsidRPr="00000000">
        <w:rPr>
          <w:b w:val="1"/>
          <w:bCs w:val="1"/>
          <w:rtl w:val="0"/>
        </w:rPr>
        <w:t xml:space="preserve">Automated Discrimination</w:t>
      </w:r>
      <w:r w:rsidDel="00000000" w:rsidR="00000000" w:rsidRPr="00000000">
        <w:rPr>
          <w:rtl w:val="0"/>
        </w:rPr>
        <w:t xml:space="preserve">: the optimization of AI systems against proxy objectives that produce disparate and discriminatory impacts on protected classes.</w:t>
      </w:r>
    </w:p>
    <w:p w:rsidR="00000000" w:rsidDel="00000000" w:rsidP="00000000" w:rsidRDefault="00000000" w:rsidRPr="00000000" w14:paraId="00000250">
      <w:pPr>
        <w:spacing w:after="240" w:before="240" w:lineRule="auto"/>
        <w:rPr/>
      </w:pPr>
      <w:r w:rsidDel="00000000" w:rsidR="00000000" w:rsidRPr="00000000">
        <w:rPr>
          <w:i w:val="1"/>
          <w:iCs w:val="1"/>
          <w:rtl w:val="0"/>
        </w:rPr>
        <w:t xml:space="preserve">Documented instance:</w:t>
      </w:r>
      <w:r w:rsidDel="00000000" w:rsidR="00000000" w:rsidRPr="00000000">
        <w:rPr>
          <w:rtl w:val="0"/>
        </w:rPr>
        <w:t xml:space="preserve"> The Toeslagenaffaire risk-scoring system's disproportionate flagging of dual-nationality families constitutes precisely the automated discrimination that the Human Rights Mandate's non-discrimination vector embeddings are designed to intercept</w:t>
      </w:r>
      <w:hyperlink r:id="rId177">
        <w:r w:rsidDel="00000000" w:rsidR="00000000" w:rsidRPr="00000000">
          <w:rPr>
            <w:rtl w:val="0"/>
          </w:rPr>
          <w:t xml:space="preserve"> </w:t>
        </w:r>
      </w:hyperlink>
      <w:hyperlink r:id="rId178">
        <w:r w:rsidDel="00000000" w:rsidR="00000000" w:rsidRPr="00000000">
          <w:rPr>
            <w:color w:val="1155cc"/>
            <w:u w:val="single"/>
            <w:rtl w:val="0"/>
          </w:rPr>
          <w:t xml:space="preserve">[9]</w:t>
        </w:r>
      </w:hyperlink>
      <w:r w:rsidDel="00000000" w:rsidR="00000000" w:rsidRPr="00000000">
        <w:rPr>
          <w:rtl w:val="0"/>
        </w:rPr>
        <w:t xml:space="preserve">. A TML-governed system detecting a statistically anomalous concentration of adverse determinations against dual-nationality applicants would have triggered the Human Rights Mandate's non-discrimination proximity detection, activating Sacred Zero and requiring human review of the algorithmic basis before further adverse determinations could proceed.</w:t>
      </w:r>
    </w:p>
    <w:p w:rsidR="00000000" w:rsidDel="00000000" w:rsidP="00000000" w:rsidRDefault="00000000" w:rsidRPr="00000000" w14:paraId="00000251">
      <w:pPr>
        <w:pStyle w:val="Heading4"/>
        <w:keepNext w:val="0"/>
        <w:keepLines w:val="0"/>
        <w:spacing w:after="40" w:before="240" w:lineRule="auto"/>
        <w:rPr>
          <w:b w:val="1"/>
          <w:bCs w:val="1"/>
          <w:color w:val="000000"/>
          <w:sz w:val="22"/>
          <w:szCs w:val="22"/>
        </w:rPr>
      </w:pPr>
      <w:bookmarkStart w:colFirst="0" w:colLast="0" w:name="_j2fup8is1dde" w:id="65"/>
      <w:bookmarkEnd w:id="65"/>
      <w:r w:rsidDel="00000000" w:rsidR="00000000" w:rsidRPr="00000000">
        <w:rPr>
          <w:b w:val="1"/>
          <w:bCs w:val="1"/>
          <w:color w:val="000000"/>
          <w:sz w:val="22"/>
          <w:szCs w:val="22"/>
          <w:rtl w:val="0"/>
        </w:rPr>
        <w:t xml:space="preserve">3.5.6 Measurable Outputs</w:t>
      </w:r>
    </w:p>
    <w:p w:rsidR="00000000" w:rsidDel="00000000" w:rsidP="00000000" w:rsidRDefault="00000000" w:rsidRPr="00000000" w14:paraId="00000252">
      <w:pPr>
        <w:numPr>
          <w:ilvl w:val="0"/>
          <w:numId w:val="9"/>
        </w:numPr>
        <w:spacing w:after="0" w:afterAutospacing="0" w:before="240" w:lineRule="auto"/>
        <w:ind w:left="720" w:hanging="360"/>
      </w:pPr>
      <w:r w:rsidDel="00000000" w:rsidR="00000000" w:rsidRPr="00000000">
        <w:rPr>
          <w:b w:val="1"/>
          <w:bCs w:val="1"/>
          <w:rtl w:val="0"/>
        </w:rPr>
        <w:t xml:space="preserve">Rights Trigger Rate:</w:t>
      </w:r>
      <w:r w:rsidDel="00000000" w:rsidR="00000000" w:rsidRPr="00000000">
        <w:rPr>
          <w:rtl w:val="0"/>
        </w:rPr>
        <w:t xml:space="preserve"> Frequency of Human Rights Mandate proximity detection events, by provision and by deployment domain.</w:t>
      </w:r>
    </w:p>
    <w:p w:rsidR="00000000" w:rsidDel="00000000" w:rsidP="00000000" w:rsidRDefault="00000000" w:rsidRPr="00000000" w14:paraId="00000253">
      <w:pPr>
        <w:numPr>
          <w:ilvl w:val="0"/>
          <w:numId w:val="9"/>
        </w:numPr>
        <w:spacing w:after="0" w:afterAutospacing="0" w:before="0" w:beforeAutospacing="0" w:lineRule="auto"/>
        <w:ind w:left="720" w:hanging="360"/>
      </w:pPr>
      <w:r w:rsidDel="00000000" w:rsidR="00000000" w:rsidRPr="00000000">
        <w:rPr>
          <w:b w:val="1"/>
          <w:bCs w:val="1"/>
          <w:rtl w:val="0"/>
        </w:rPr>
        <w:t xml:space="preserve">Blocked Violations:</w:t>
      </w:r>
      <w:r w:rsidDel="00000000" w:rsidR="00000000" w:rsidRPr="00000000">
        <w:rPr>
          <w:rtl w:val="0"/>
        </w:rPr>
        <w:t xml:space="preserve"> Number of actions prevented by Mandate veto, with provision-level attribution.</w:t>
      </w:r>
    </w:p>
    <w:p w:rsidR="00000000" w:rsidDel="00000000" w:rsidP="00000000" w:rsidRDefault="00000000" w:rsidRPr="00000000" w14:paraId="00000254">
      <w:pPr>
        <w:numPr>
          <w:ilvl w:val="0"/>
          <w:numId w:val="9"/>
        </w:numPr>
        <w:spacing w:after="240" w:before="0" w:beforeAutospacing="0" w:lineRule="auto"/>
        <w:ind w:left="720" w:hanging="360"/>
      </w:pPr>
      <w:r w:rsidDel="00000000" w:rsidR="00000000" w:rsidRPr="00000000">
        <w:rPr>
          <w:b w:val="1"/>
          <w:bCs w:val="1"/>
          <w:rtl w:val="0"/>
        </w:rPr>
        <w:t xml:space="preserve">False Positive Rate:</w:t>
      </w:r>
      <w:r w:rsidDel="00000000" w:rsidR="00000000" w:rsidRPr="00000000">
        <w:rPr>
          <w:rtl w:val="0"/>
        </w:rPr>
        <w:t xml:space="preserve"> Percentage of Mandate triggers resolved as non-violations through Sacred Zero deliberation (indicating the calibration quality of the proximity detection threshold).</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al2f9zlo5f6k" w:id="66"/>
      <w:bookmarkEnd w:id="66"/>
      <w:r w:rsidDel="00000000" w:rsidR="00000000" w:rsidRPr="00000000">
        <w:rPr>
          <w:b w:val="1"/>
          <w:bCs w:val="1"/>
          <w:color w:val="000000"/>
          <w:sz w:val="26"/>
          <w:szCs w:val="26"/>
          <w:rtl w:val="0"/>
        </w:rPr>
        <w:t xml:space="preserve">3.6 Pillar VI: Earth Protection Mandate (The Ecological Guardrail)</w:t>
      </w:r>
    </w:p>
    <w:p w:rsidR="00000000" w:rsidDel="00000000" w:rsidP="00000000" w:rsidRDefault="00000000" w:rsidRPr="00000000" w14:paraId="00000257">
      <w:pPr>
        <w:pStyle w:val="Heading4"/>
        <w:keepNext w:val="0"/>
        <w:keepLines w:val="0"/>
        <w:spacing w:after="40" w:before="240" w:lineRule="auto"/>
        <w:rPr>
          <w:b w:val="1"/>
          <w:bCs w:val="1"/>
          <w:color w:val="000000"/>
          <w:sz w:val="22"/>
          <w:szCs w:val="22"/>
        </w:rPr>
      </w:pPr>
      <w:bookmarkStart w:colFirst="0" w:colLast="0" w:name="_8aep9q72ral5" w:id="67"/>
      <w:bookmarkEnd w:id="67"/>
      <w:r w:rsidDel="00000000" w:rsidR="00000000" w:rsidRPr="00000000">
        <w:rPr>
          <w:b w:val="1"/>
          <w:bCs w:val="1"/>
          <w:color w:val="000000"/>
          <w:sz w:val="22"/>
          <w:szCs w:val="22"/>
          <w:rtl w:val="0"/>
        </w:rPr>
        <w:t xml:space="preserve">3.6.1 Purpose and Philosophy</w:t>
      </w:r>
    </w:p>
    <w:p w:rsidR="00000000" w:rsidDel="00000000" w:rsidP="00000000" w:rsidRDefault="00000000" w:rsidRPr="00000000" w14:paraId="00000258">
      <w:pPr>
        <w:spacing w:after="240" w:before="240" w:lineRule="auto"/>
        <w:rPr/>
      </w:pPr>
      <w:r w:rsidDel="00000000" w:rsidR="00000000" w:rsidRPr="00000000">
        <w:rPr>
          <w:rtl w:val="0"/>
        </w:rPr>
        <w:t xml:space="preserve">Ternary Moral Logic extends its framework beyond anthropocentric considerations to the planetary ecosystem. The Earth Protection Mandate operates on the principle that digital computation is not environmentally neutral: every inference cycle consumes energy, every data center draws cooling water, every automated recommendation may accelerate or decelerate physical-world processes with measurable ecological consequences. An AI governance framework that accounts exhaustively for human rights while treating ecological impact as an externality has constructed an ethical architecture that is incomplete</w:t>
      </w:r>
      <w:hyperlink r:id="rId179">
        <w:r w:rsidDel="00000000" w:rsidR="00000000" w:rsidRPr="00000000">
          <w:rPr>
            <w:rtl w:val="0"/>
          </w:rPr>
          <w:t xml:space="preserve"> </w:t>
        </w:r>
      </w:hyperlink>
      <w:hyperlink r:id="rId180">
        <w:r w:rsidDel="00000000" w:rsidR="00000000" w:rsidRPr="00000000">
          <w:rPr>
            <w:color w:val="1155cc"/>
            <w:u w:val="single"/>
            <w:rtl w:val="0"/>
          </w:rPr>
          <w:t xml:space="preserve">[30]</w:t>
        </w:r>
      </w:hyperlink>
      <w:r w:rsidDel="00000000" w:rsidR="00000000" w:rsidRPr="00000000">
        <w:rPr>
          <w:rtl w:val="0"/>
        </w:rPr>
        <w:t xml:space="preserve">.</w:t>
      </w:r>
    </w:p>
    <w:p w:rsidR="00000000" w:rsidDel="00000000" w:rsidP="00000000" w:rsidRDefault="00000000" w:rsidRPr="00000000" w14:paraId="00000259">
      <w:pPr>
        <w:spacing w:after="240" w:before="240" w:lineRule="auto"/>
        <w:rPr/>
      </w:pPr>
      <w:r w:rsidDel="00000000" w:rsidR="00000000" w:rsidRPr="00000000">
        <w:rPr>
          <w:rtl w:val="0"/>
        </w:rPr>
        <w:t xml:space="preserve">The Mandate integrates provisions from the </w:t>
      </w:r>
      <w:r w:rsidDel="00000000" w:rsidR="00000000" w:rsidRPr="00000000">
        <w:rPr>
          <w:b w:val="1"/>
          <w:bCs w:val="1"/>
          <w:rtl w:val="0"/>
        </w:rPr>
        <w:t xml:space="preserve">Paris Agreement</w:t>
      </w:r>
      <w:hyperlink r:id="rId181">
        <w:r w:rsidDel="00000000" w:rsidR="00000000" w:rsidRPr="00000000">
          <w:rPr>
            <w:rtl w:val="0"/>
          </w:rPr>
          <w:t xml:space="preserve"> </w:t>
        </w:r>
      </w:hyperlink>
      <w:hyperlink r:id="rId182">
        <w:r w:rsidDel="00000000" w:rsidR="00000000" w:rsidRPr="00000000">
          <w:rPr>
            <w:color w:val="1155cc"/>
            <w:u w:val="single"/>
            <w:rtl w:val="0"/>
          </w:rPr>
          <w:t xml:space="preserve">[30]</w:t>
        </w:r>
      </w:hyperlink>
      <w:r w:rsidDel="00000000" w:rsidR="00000000" w:rsidRPr="00000000">
        <w:rPr>
          <w:rtl w:val="0"/>
        </w:rPr>
        <w:t xml:space="preserve">, the </w:t>
      </w:r>
      <w:r w:rsidDel="00000000" w:rsidR="00000000" w:rsidRPr="00000000">
        <w:rPr>
          <w:b w:val="1"/>
          <w:bCs w:val="1"/>
          <w:rtl w:val="0"/>
        </w:rPr>
        <w:t xml:space="preserve">Convention on Biological Diversity</w:t>
      </w:r>
      <w:hyperlink r:id="rId183">
        <w:r w:rsidDel="00000000" w:rsidR="00000000" w:rsidRPr="00000000">
          <w:rPr>
            <w:rtl w:val="0"/>
          </w:rPr>
          <w:t xml:space="preserve"> </w:t>
        </w:r>
      </w:hyperlink>
      <w:hyperlink r:id="rId184">
        <w:r w:rsidDel="00000000" w:rsidR="00000000" w:rsidRPr="00000000">
          <w:rPr>
            <w:color w:val="1155cc"/>
            <w:u w:val="single"/>
            <w:rtl w:val="0"/>
          </w:rPr>
          <w:t xml:space="preserve">[31]</w:t>
        </w:r>
      </w:hyperlink>
      <w:r w:rsidDel="00000000" w:rsidR="00000000" w:rsidRPr="00000000">
        <w:rPr>
          <w:rtl w:val="0"/>
        </w:rPr>
        <w:t xml:space="preserve">, and emerging "Rights of Nature" legal frameworks into the system's vector evaluation. These provisions establish that AI systems must account for their own ecological costs and must refuse to enable actions whose ecological consequences would violate embedded planetary boundaries. The Earth Protection Mandate is the architectural expression of the principle that the acceleration of AI capability must not come at the cost of the biospheric conditions that make human civilization possible.</w:t>
      </w:r>
    </w:p>
    <w:p w:rsidR="00000000" w:rsidDel="00000000" w:rsidP="00000000" w:rsidRDefault="00000000" w:rsidRPr="00000000" w14:paraId="0000025A">
      <w:pPr>
        <w:pStyle w:val="Heading4"/>
        <w:keepNext w:val="0"/>
        <w:keepLines w:val="0"/>
        <w:spacing w:after="40" w:before="240" w:lineRule="auto"/>
        <w:rPr>
          <w:b w:val="1"/>
          <w:bCs w:val="1"/>
          <w:color w:val="000000"/>
          <w:sz w:val="22"/>
          <w:szCs w:val="22"/>
        </w:rPr>
      </w:pPr>
      <w:bookmarkStart w:colFirst="0" w:colLast="0" w:name="_zdr3gq52ymj6" w:id="68"/>
      <w:bookmarkEnd w:id="68"/>
      <w:r w:rsidDel="00000000" w:rsidR="00000000" w:rsidRPr="00000000">
        <w:rPr>
          <w:b w:val="1"/>
          <w:bCs w:val="1"/>
          <w:color w:val="000000"/>
          <w:sz w:val="22"/>
          <w:szCs w:val="22"/>
          <w:rtl w:val="0"/>
        </w:rPr>
        <w:t xml:space="preserve">3.6.2 Technical Mechanisms: Carbon Cost Accounting and Treaty Vector Embeddings</w:t>
      </w:r>
    </w:p>
    <w:p w:rsidR="00000000" w:rsidDel="00000000" w:rsidP="00000000" w:rsidRDefault="00000000" w:rsidRPr="00000000" w14:paraId="0000025B">
      <w:pPr>
        <w:spacing w:after="240" w:before="240" w:lineRule="auto"/>
        <w:rPr/>
      </w:pPr>
      <w:r w:rsidDel="00000000" w:rsidR="00000000" w:rsidRPr="00000000">
        <w:rPr>
          <w:rtl w:val="0"/>
        </w:rPr>
        <w:t xml:space="preserve">The Earth Protection Mandate operates through two parallel mechanisms:</w:t>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Carbon Cost Accounting:</w:t>
      </w:r>
      <w:r w:rsidDel="00000000" w:rsidR="00000000" w:rsidRPr="00000000">
        <w:rPr>
          <w:rtl w:val="0"/>
        </w:rPr>
        <w:t xml:space="preserve"> The system calculates the estimated energy consumption of its own inference operations and the downstream physical ecological effects of its recommended actions. For direct computational costs, TML integrates with real-time grid carbon intensity APIs (such as ElectricityMap</w:t>
      </w:r>
      <w:hyperlink r:id="rId185">
        <w:r w:rsidDel="00000000" w:rsidR="00000000" w:rsidRPr="00000000">
          <w:rPr>
            <w:rtl w:val="0"/>
          </w:rPr>
          <w:t xml:space="preserve"> </w:t>
        </w:r>
      </w:hyperlink>
      <w:hyperlink r:id="rId186">
        <w:r w:rsidDel="00000000" w:rsidR="00000000" w:rsidRPr="00000000">
          <w:rPr>
            <w:color w:val="1155cc"/>
            <w:u w:val="single"/>
            <w:rtl w:val="0"/>
          </w:rPr>
          <w:t xml:space="preserve">[32]</w:t>
        </w:r>
      </w:hyperlink>
      <w:r w:rsidDel="00000000" w:rsidR="00000000" w:rsidRPr="00000000">
        <w:rPr>
          <w:rtl w:val="0"/>
        </w:rPr>
        <w:t xml:space="preserve">) to determine the carbon footprint of each inference cycle in the actual energy mix of the deployment region at the moment of execution. When the computed carbon cost exceeds the threshold for the proposed action's importance category, the system enters Sacred Zero, requiring justification before the computational expenditure is authorized.</w:t>
      </w:r>
    </w:p>
    <w:p w:rsidR="00000000" w:rsidDel="00000000" w:rsidP="00000000" w:rsidRDefault="00000000" w:rsidRPr="00000000" w14:paraId="0000025D">
      <w:pPr>
        <w:spacing w:after="240" w:before="240" w:lineRule="auto"/>
        <w:rPr/>
      </w:pPr>
      <w:r w:rsidDel="00000000" w:rsidR="00000000" w:rsidRPr="00000000">
        <w:rPr>
          <w:rFonts w:ascii="Arial Unicode MS" w:cs="Arial Unicode MS" w:eastAsia="Arial Unicode MS" w:hAnsi="Arial Unicode MS"/>
          <w:rtl w:val="0"/>
        </w:rPr>
        <w:t xml:space="preserve">For downstream ecological effects, the system evaluates proposed actions against Paris Agreement provision vectors. A logistics optimization that routes cargo through a protected biodiversity area, a financial recommendation that would fund a coal mining operation exceeding Paris Agreement carbon budgets, or a resource allocation that would impose disproportionate water stress on an ecologically sensitive watershed, each of these produces vector proximity to Earth Protection Mandate provisions that triggers Sacred Zero or, for clear violations, State −1.</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Resource Stress Triggers:</w:t>
      </w:r>
      <w:r w:rsidDel="00000000" w:rsidR="00000000" w:rsidRPr="00000000">
        <w:rPr>
          <w:rtl w:val="0"/>
        </w:rPr>
        <w:t xml:space="preserve"> Real-time data feeds for water stress thresholds in data center cooling regions, grid carbon intensity, and renewable energy availability enable dynamic threshold adjustment: when the grid is operating on high-carbon generation, non-essential high-compute operations are deferred to lower-carbon periods through Sacred Zero activation.</w:t>
      </w:r>
    </w:p>
    <w:p w:rsidR="00000000" w:rsidDel="00000000" w:rsidP="00000000" w:rsidRDefault="00000000" w:rsidRPr="00000000" w14:paraId="0000025F">
      <w:pPr>
        <w:pStyle w:val="Heading4"/>
        <w:keepNext w:val="0"/>
        <w:keepLines w:val="0"/>
        <w:spacing w:after="40" w:before="240" w:lineRule="auto"/>
        <w:rPr>
          <w:b w:val="1"/>
          <w:bCs w:val="1"/>
          <w:color w:val="000000"/>
          <w:sz w:val="22"/>
          <w:szCs w:val="22"/>
        </w:rPr>
      </w:pPr>
      <w:bookmarkStart w:colFirst="0" w:colLast="0" w:name="_m4gvbml0xqsm" w:id="69"/>
      <w:bookmarkEnd w:id="69"/>
      <w:r w:rsidDel="00000000" w:rsidR="00000000" w:rsidRPr="00000000">
        <w:rPr>
          <w:b w:val="1"/>
          <w:bCs w:val="1"/>
          <w:color w:val="000000"/>
          <w:sz w:val="22"/>
          <w:szCs w:val="22"/>
          <w:rtl w:val="0"/>
        </w:rPr>
        <w:t xml:space="preserve">3.6.3 Legal Effect</w:t>
      </w:r>
    </w:p>
    <w:p w:rsidR="00000000" w:rsidDel="00000000" w:rsidP="00000000" w:rsidRDefault="00000000" w:rsidRPr="00000000" w14:paraId="00000260">
      <w:pPr>
        <w:spacing w:after="240" w:before="240" w:lineRule="auto"/>
        <w:rPr/>
      </w:pPr>
      <w:r w:rsidDel="00000000" w:rsidR="00000000" w:rsidRPr="00000000">
        <w:rPr>
          <w:rtl w:val="0"/>
        </w:rPr>
        <w:t xml:space="preserve">The Earth Protection Mandate automates ESG reporting compliance at the decision level, generating continuous documentation of the ecological impact assessment performed for each governed action. This documentation satisfies emerging mandatory climate disclosure requirements under the EU Corporate Sustainability Reporting Directive</w:t>
      </w:r>
      <w:hyperlink r:id="rId187">
        <w:r w:rsidDel="00000000" w:rsidR="00000000" w:rsidRPr="00000000">
          <w:rPr>
            <w:rtl w:val="0"/>
          </w:rPr>
          <w:t xml:space="preserve"> </w:t>
        </w:r>
      </w:hyperlink>
      <w:hyperlink r:id="rId188">
        <w:r w:rsidDel="00000000" w:rsidR="00000000" w:rsidRPr="00000000">
          <w:rPr>
            <w:color w:val="1155cc"/>
            <w:u w:val="single"/>
            <w:rtl w:val="0"/>
          </w:rPr>
          <w:t xml:space="preserve">[33]</w:t>
        </w:r>
      </w:hyperlink>
      <w:r w:rsidDel="00000000" w:rsidR="00000000" w:rsidRPr="00000000">
        <w:rPr>
          <w:rtl w:val="0"/>
        </w:rPr>
        <w:t xml:space="preserve"> and equivalent frameworks, providing auditable evidence that ecological considerations were evaluated in real time rather than estimated retrospectively in annual reports.</w:t>
      </w:r>
    </w:p>
    <w:p w:rsidR="00000000" w:rsidDel="00000000" w:rsidP="00000000" w:rsidRDefault="00000000" w:rsidRPr="00000000" w14:paraId="00000261">
      <w:pPr>
        <w:pStyle w:val="Heading4"/>
        <w:keepNext w:val="0"/>
        <w:keepLines w:val="0"/>
        <w:spacing w:after="40" w:before="240" w:lineRule="auto"/>
        <w:rPr>
          <w:b w:val="1"/>
          <w:bCs w:val="1"/>
          <w:color w:val="000000"/>
          <w:sz w:val="22"/>
          <w:szCs w:val="22"/>
        </w:rPr>
      </w:pPr>
      <w:bookmarkStart w:colFirst="0" w:colLast="0" w:name="_u7kv3mg48b60" w:id="70"/>
      <w:bookmarkEnd w:id="70"/>
      <w:r w:rsidDel="00000000" w:rsidR="00000000" w:rsidRPr="00000000">
        <w:rPr>
          <w:b w:val="1"/>
          <w:bCs w:val="1"/>
          <w:color w:val="000000"/>
          <w:sz w:val="22"/>
          <w:szCs w:val="22"/>
          <w:rtl w:val="0"/>
        </w:rPr>
        <w:t xml:space="preserve">3.6.4 Operational Consequences</w:t>
      </w:r>
    </w:p>
    <w:p w:rsidR="00000000" w:rsidDel="00000000" w:rsidP="00000000" w:rsidRDefault="00000000" w:rsidRPr="00000000" w14:paraId="00000262">
      <w:pPr>
        <w:spacing w:after="240" w:before="240" w:lineRule="auto"/>
        <w:rPr/>
      </w:pPr>
      <w:r w:rsidDel="00000000" w:rsidR="00000000" w:rsidRPr="00000000">
        <w:rPr>
          <w:rtl w:val="0"/>
        </w:rPr>
        <w:t xml:space="preserve">The Earth Protection Mandate's most operationally significant consequence is </w:t>
      </w:r>
      <w:r w:rsidDel="00000000" w:rsidR="00000000" w:rsidRPr="00000000">
        <w:rPr>
          <w:b w:val="1"/>
          <w:bCs w:val="1"/>
          <w:rtl w:val="0"/>
        </w:rPr>
        <w:t xml:space="preserve">computational self-throttling</w:t>
      </w:r>
      <w:r w:rsidDel="00000000" w:rsidR="00000000" w:rsidRPr="00000000">
        <w:rPr>
          <w:rtl w:val="0"/>
        </w:rPr>
        <w:t xml:space="preserve">: the system may refuse to execute energy-intensive operations whose carbon cost is disproportionate to their utility, independent of any instruction from the operator to proceed. This represents a constraint on the system's own resource consumption that operates above the operator's authorization level, an expression of the principle that the right to operate AI systems is contingent on operating them within planetary boundaries.</w:t>
      </w:r>
    </w:p>
    <w:p w:rsidR="00000000" w:rsidDel="00000000" w:rsidP="00000000" w:rsidRDefault="00000000" w:rsidRPr="00000000" w14:paraId="00000263">
      <w:pPr>
        <w:pStyle w:val="Heading4"/>
        <w:keepNext w:val="0"/>
        <w:keepLines w:val="0"/>
        <w:spacing w:after="40" w:before="240" w:lineRule="auto"/>
        <w:rPr>
          <w:b w:val="1"/>
          <w:bCs w:val="1"/>
          <w:color w:val="000000"/>
          <w:sz w:val="22"/>
          <w:szCs w:val="22"/>
        </w:rPr>
      </w:pPr>
      <w:bookmarkStart w:colFirst="0" w:colLast="0" w:name="_q54sxha568y8" w:id="71"/>
      <w:bookmarkEnd w:id="71"/>
      <w:r w:rsidDel="00000000" w:rsidR="00000000" w:rsidRPr="00000000">
        <w:rPr>
          <w:b w:val="1"/>
          <w:bCs w:val="1"/>
          <w:color w:val="000000"/>
          <w:sz w:val="22"/>
          <w:szCs w:val="22"/>
          <w:rtl w:val="0"/>
        </w:rPr>
        <w:t xml:space="preserve">3.6.5 Failure Cases Prevented</w:t>
      </w:r>
    </w:p>
    <w:p w:rsidR="00000000" w:rsidDel="00000000" w:rsidP="00000000" w:rsidRDefault="00000000" w:rsidRPr="00000000" w14:paraId="00000264">
      <w:pPr>
        <w:spacing w:after="240" w:before="240" w:lineRule="auto"/>
        <w:rPr/>
      </w:pPr>
      <w:r w:rsidDel="00000000" w:rsidR="00000000" w:rsidRPr="00000000">
        <w:rPr>
          <w:rtl w:val="0"/>
        </w:rPr>
        <w:t xml:space="preserve">The Earth Protection Mandate prevents </w:t>
      </w:r>
      <w:r w:rsidDel="00000000" w:rsidR="00000000" w:rsidRPr="00000000">
        <w:rPr>
          <w:b w:val="1"/>
          <w:bCs w:val="1"/>
          <w:rtl w:val="0"/>
        </w:rPr>
        <w:t xml:space="preserve">Computational Externality</w:t>
      </w:r>
      <w:r w:rsidDel="00000000" w:rsidR="00000000" w:rsidRPr="00000000">
        <w:rPr>
          <w:rtl w:val="0"/>
        </w:rPr>
        <w:t xml:space="preserve">: the optimization of AI system performance metrics at the cost of unmeasured and unaccounted ecological consequences.</w:t>
      </w:r>
    </w:p>
    <w:p w:rsidR="00000000" w:rsidDel="00000000" w:rsidP="00000000" w:rsidRDefault="00000000" w:rsidRPr="00000000" w14:paraId="00000265">
      <w:pPr>
        <w:pStyle w:val="Heading4"/>
        <w:keepNext w:val="0"/>
        <w:keepLines w:val="0"/>
        <w:spacing w:after="40" w:before="240" w:lineRule="auto"/>
        <w:rPr>
          <w:b w:val="1"/>
          <w:bCs w:val="1"/>
          <w:color w:val="000000"/>
          <w:sz w:val="22"/>
          <w:szCs w:val="22"/>
        </w:rPr>
      </w:pPr>
      <w:bookmarkStart w:colFirst="0" w:colLast="0" w:name="_y29rgii9mq1r" w:id="72"/>
      <w:bookmarkEnd w:id="72"/>
      <w:r w:rsidDel="00000000" w:rsidR="00000000" w:rsidRPr="00000000">
        <w:rPr>
          <w:b w:val="1"/>
          <w:bCs w:val="1"/>
          <w:color w:val="000000"/>
          <w:sz w:val="22"/>
          <w:szCs w:val="22"/>
          <w:rtl w:val="0"/>
        </w:rPr>
        <w:t xml:space="preserve">3.6.6 Measurable Outputs</w:t>
      </w:r>
    </w:p>
    <w:p w:rsidR="00000000" w:rsidDel="00000000" w:rsidP="00000000" w:rsidRDefault="00000000" w:rsidRPr="00000000" w14:paraId="00000266">
      <w:pPr>
        <w:numPr>
          <w:ilvl w:val="0"/>
          <w:numId w:val="12"/>
        </w:numPr>
        <w:spacing w:after="0" w:afterAutospacing="0" w:before="240" w:lineRule="auto"/>
        <w:ind w:left="720" w:hanging="360"/>
      </w:pPr>
      <w:r w:rsidDel="00000000" w:rsidR="00000000" w:rsidRPr="00000000">
        <w:rPr>
          <w:b w:val="1"/>
          <w:bCs w:val="1"/>
          <w:rtl w:val="0"/>
        </w:rPr>
        <w:t xml:space="preserve">Carbon Impact per Inference:</w:t>
      </w:r>
      <w:r w:rsidDel="00000000" w:rsidR="00000000" w:rsidRPr="00000000">
        <w:rPr>
          <w:rtl w:val="0"/>
        </w:rPr>
        <w:t xml:space="preserve"> Energy consumption and carbon footprint per decision cycle, logged in the Moral Trace Log.</w:t>
      </w:r>
    </w:p>
    <w:p w:rsidR="00000000" w:rsidDel="00000000" w:rsidP="00000000" w:rsidRDefault="00000000" w:rsidRPr="00000000" w14:paraId="00000267">
      <w:pPr>
        <w:numPr>
          <w:ilvl w:val="0"/>
          <w:numId w:val="12"/>
        </w:numPr>
        <w:spacing w:after="0" w:afterAutospacing="0" w:before="0" w:beforeAutospacing="0" w:lineRule="auto"/>
        <w:ind w:left="720" w:hanging="360"/>
      </w:pPr>
      <w:r w:rsidDel="00000000" w:rsidR="00000000" w:rsidRPr="00000000">
        <w:rPr>
          <w:b w:val="1"/>
          <w:bCs w:val="1"/>
          <w:rtl w:val="0"/>
        </w:rPr>
        <w:t xml:space="preserve">Mandate Trigger Rate:</w:t>
      </w:r>
      <w:r w:rsidDel="00000000" w:rsidR="00000000" w:rsidRPr="00000000">
        <w:rPr>
          <w:rtl w:val="0"/>
        </w:rPr>
        <w:t xml:space="preserve"> Frequency of Earth Protection Mandate proximity detection events by treaty provision.</w:t>
      </w:r>
    </w:p>
    <w:p w:rsidR="00000000" w:rsidDel="00000000" w:rsidP="00000000" w:rsidRDefault="00000000" w:rsidRPr="00000000" w14:paraId="00000268">
      <w:pPr>
        <w:numPr>
          <w:ilvl w:val="0"/>
          <w:numId w:val="12"/>
        </w:numPr>
        <w:spacing w:after="240" w:before="0" w:beforeAutospacing="0" w:lineRule="auto"/>
        <w:ind w:left="720" w:hanging="360"/>
      </w:pPr>
      <w:r w:rsidDel="00000000" w:rsidR="00000000" w:rsidRPr="00000000">
        <w:rPr>
          <w:b w:val="1"/>
          <w:bCs w:val="1"/>
          <w:rtl w:val="0"/>
        </w:rPr>
        <w:t xml:space="preserve">Deferred Operations:</w:t>
      </w:r>
      <w:r w:rsidDel="00000000" w:rsidR="00000000" w:rsidRPr="00000000">
        <w:rPr>
          <w:rtl w:val="0"/>
        </w:rPr>
        <w:t xml:space="preserve"> Number of operations deferred through Sacred Zero activation due to grid carbon intensity or ecological cost thresholds.</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8zveh32wj3o9" w:id="73"/>
      <w:bookmarkEnd w:id="73"/>
      <w:r w:rsidDel="00000000" w:rsidR="00000000" w:rsidRPr="00000000">
        <w:rPr>
          <w:b w:val="1"/>
          <w:bCs w:val="1"/>
          <w:color w:val="000000"/>
          <w:sz w:val="26"/>
          <w:szCs w:val="26"/>
          <w:rtl w:val="0"/>
        </w:rPr>
        <w:t xml:space="preserve">3.7 Pillar VII: Hybrid Shield (The Institutional Redundancy)</w:t>
      </w:r>
    </w:p>
    <w:p w:rsidR="00000000" w:rsidDel="00000000" w:rsidP="00000000" w:rsidRDefault="00000000" w:rsidRPr="00000000" w14:paraId="0000026B">
      <w:pPr>
        <w:pStyle w:val="Heading4"/>
        <w:keepNext w:val="0"/>
        <w:keepLines w:val="0"/>
        <w:spacing w:after="40" w:before="240" w:lineRule="auto"/>
        <w:rPr>
          <w:b w:val="1"/>
          <w:bCs w:val="1"/>
          <w:color w:val="000000"/>
          <w:sz w:val="22"/>
          <w:szCs w:val="22"/>
        </w:rPr>
      </w:pPr>
      <w:bookmarkStart w:colFirst="0" w:colLast="0" w:name="_b5p5uohy4bmi" w:id="74"/>
      <w:bookmarkEnd w:id="74"/>
      <w:r w:rsidDel="00000000" w:rsidR="00000000" w:rsidRPr="00000000">
        <w:rPr>
          <w:b w:val="1"/>
          <w:bCs w:val="1"/>
          <w:color w:val="000000"/>
          <w:sz w:val="22"/>
          <w:szCs w:val="22"/>
          <w:rtl w:val="0"/>
        </w:rPr>
        <w:t xml:space="preserve">3.7.1 Purpose and Philosophy</w:t>
      </w:r>
    </w:p>
    <w:p w:rsidR="00000000" w:rsidDel="00000000" w:rsidP="00000000" w:rsidRDefault="00000000" w:rsidRPr="00000000" w14:paraId="0000026C">
      <w:pPr>
        <w:spacing w:after="240" w:before="240" w:lineRule="auto"/>
        <w:rPr/>
      </w:pPr>
      <w:r w:rsidDel="00000000" w:rsidR="00000000" w:rsidRPr="00000000">
        <w:rPr>
          <w:rtl w:val="0"/>
        </w:rPr>
        <w:t xml:space="preserve">Technical safeguards, however sophisticated, are vulnerable to a class of attack that no cryptographic mechanism can fully prevent: the decision by the entity that controls the infrastructure to simply disable or delete the safeguards. An operator who controls the servers, the databases, and the private keys of a TML deployment can, in the absence of external institutional constraints, modify or destroy the evidentiary record that the prior six pillars have worked to create. The Hybrid Shield is the constitutional mechanism that removes this capability from the operator by distributing custody of the evidentiary record to independent institutional actors whose cooperation would be required for any concealment.</w:t>
      </w:r>
    </w:p>
    <w:p w:rsidR="00000000" w:rsidDel="00000000" w:rsidP="00000000" w:rsidRDefault="00000000" w:rsidRPr="00000000" w14:paraId="0000026D">
      <w:pPr>
        <w:spacing w:after="240" w:before="240" w:lineRule="auto"/>
        <w:rPr/>
      </w:pPr>
      <w:r w:rsidDel="00000000" w:rsidR="00000000" w:rsidRPr="00000000">
        <w:rPr>
          <w:rtl w:val="0"/>
        </w:rPr>
        <w:t xml:space="preserve">The Hybrid Shield implements the principle of </w:t>
      </w:r>
      <w:r w:rsidDel="00000000" w:rsidR="00000000" w:rsidRPr="00000000">
        <w:rPr>
          <w:b w:val="1"/>
          <w:bCs w:val="1"/>
          <w:rtl w:val="0"/>
        </w:rPr>
        <w:t xml:space="preserve">institutional separation of powers</w:t>
      </w:r>
      <w:r w:rsidDel="00000000" w:rsidR="00000000" w:rsidRPr="00000000">
        <w:rPr>
          <w:rtl w:val="0"/>
        </w:rPr>
        <w:t xml:space="preserve"> at the technical layer: the same structural logic that prevents any single branch of government from controlling all levers of state authority prevents any single operator from controlling all evidence of its own system's behavior.</w:t>
      </w:r>
    </w:p>
    <w:p w:rsidR="00000000" w:rsidDel="00000000" w:rsidP="00000000" w:rsidRDefault="00000000" w:rsidRPr="00000000" w14:paraId="0000026E">
      <w:pPr>
        <w:pStyle w:val="Heading4"/>
        <w:keepNext w:val="0"/>
        <w:keepLines w:val="0"/>
        <w:spacing w:after="40" w:before="240" w:lineRule="auto"/>
        <w:rPr>
          <w:b w:val="1"/>
          <w:bCs w:val="1"/>
          <w:color w:val="000000"/>
          <w:sz w:val="22"/>
          <w:szCs w:val="22"/>
        </w:rPr>
      </w:pPr>
      <w:bookmarkStart w:colFirst="0" w:colLast="0" w:name="_sk25i0d59pje" w:id="75"/>
      <w:bookmarkEnd w:id="75"/>
      <w:r w:rsidDel="00000000" w:rsidR="00000000" w:rsidRPr="00000000">
        <w:rPr>
          <w:b w:val="1"/>
          <w:bCs w:val="1"/>
          <w:color w:val="000000"/>
          <w:sz w:val="22"/>
          <w:szCs w:val="22"/>
          <w:rtl w:val="0"/>
        </w:rPr>
        <w:t xml:space="preserve">3.7.2 Technical Mechanisms: Six-Custodian Distributed Custody</w:t>
      </w:r>
    </w:p>
    <w:p w:rsidR="00000000" w:rsidDel="00000000" w:rsidP="00000000" w:rsidRDefault="00000000" w:rsidRPr="00000000" w14:paraId="0000026F">
      <w:pPr>
        <w:spacing w:after="240" w:before="240" w:lineRule="auto"/>
        <w:rPr/>
      </w:pPr>
      <w:r w:rsidDel="00000000" w:rsidR="00000000" w:rsidRPr="00000000">
        <w:rPr>
          <w:rtl w:val="0"/>
        </w:rPr>
        <w:t xml:space="preserve">The Hybrid Shield distributes real-time log replication and encryption key custody to </w:t>
      </w:r>
      <w:r w:rsidDel="00000000" w:rsidR="00000000" w:rsidRPr="00000000">
        <w:rPr>
          <w:b w:val="1"/>
          <w:bCs w:val="1"/>
          <w:rtl w:val="0"/>
        </w:rPr>
        <w:t xml:space="preserve">seated institutional custodians</w:t>
      </w:r>
      <w:r w:rsidDel="00000000" w:rsidR="00000000" w:rsidRPr="00000000">
        <w:rPr>
          <w:rtl w:val="0"/>
        </w:rPr>
        <w:t xml:space="preserve">, designated by institutional category to prevent any single interest group from capturing the majority:</w:t>
      </w:r>
    </w:p>
    <w:p w:rsidR="00000000" w:rsidDel="00000000" w:rsidP="00000000" w:rsidRDefault="00000000" w:rsidRPr="00000000" w14:paraId="00000270">
      <w:pPr>
        <w:numPr>
          <w:ilvl w:val="0"/>
          <w:numId w:val="15"/>
        </w:numPr>
        <w:spacing w:after="0" w:afterAutospacing="0" w:before="240" w:lineRule="auto"/>
        <w:ind w:left="720" w:hanging="360"/>
      </w:pPr>
      <w:r w:rsidDel="00000000" w:rsidR="00000000" w:rsidRPr="00000000">
        <w:rPr>
          <w:b w:val="1"/>
          <w:bCs w:val="1"/>
          <w:rtl w:val="0"/>
        </w:rPr>
        <w:t xml:space="preserve">Technical Custodian</w:t>
      </w:r>
      <w:r w:rsidDel="00000000" w:rsidR="00000000" w:rsidRPr="00000000">
        <w:rPr>
          <w:rtl w:val="0"/>
        </w:rPr>
        <w:t xml:space="preserve"> (e.g., Technical Infrastructure Institution (open seat)): Infrastructure oversight and cryptographic audit.</w:t>
      </w:r>
    </w:p>
    <w:p w:rsidR="00000000" w:rsidDel="00000000" w:rsidP="00000000" w:rsidRDefault="00000000" w:rsidRPr="00000000" w14:paraId="00000271">
      <w:pPr>
        <w:numPr>
          <w:ilvl w:val="0"/>
          <w:numId w:val="15"/>
        </w:numPr>
        <w:spacing w:after="0" w:afterAutospacing="0" w:before="0" w:beforeAutospacing="0" w:lineRule="auto"/>
        <w:ind w:left="720" w:hanging="360"/>
      </w:pPr>
      <w:r w:rsidDel="00000000" w:rsidR="00000000" w:rsidRPr="00000000">
        <w:rPr>
          <w:b w:val="1"/>
          <w:bCs w:val="1"/>
          <w:rtl w:val="0"/>
        </w:rPr>
        <w:t xml:space="preserve">Human Rights Partner</w:t>
      </w:r>
      <w:r w:rsidDel="00000000" w:rsidR="00000000" w:rsidRPr="00000000">
        <w:rPr>
          <w:rtl w:val="0"/>
        </w:rPr>
        <w:t xml:space="preserve"> (e.g., Human Rights Institution (open seat)): Treaty enforcement and rights violation detection.</w:t>
      </w:r>
    </w:p>
    <w:p w:rsidR="00000000" w:rsidDel="00000000" w:rsidP="00000000" w:rsidRDefault="00000000" w:rsidRPr="00000000" w14:paraId="00000272">
      <w:pPr>
        <w:numPr>
          <w:ilvl w:val="0"/>
          <w:numId w:val="15"/>
        </w:numPr>
        <w:spacing w:after="0" w:afterAutospacing="0" w:before="0" w:beforeAutospacing="0" w:lineRule="auto"/>
        <w:ind w:left="720" w:hanging="360"/>
      </w:pPr>
      <w:r w:rsidDel="00000000" w:rsidR="00000000" w:rsidRPr="00000000">
        <w:rPr>
          <w:b w:val="1"/>
          <w:bCs w:val="1"/>
          <w:rtl w:val="0"/>
        </w:rPr>
        <w:t xml:space="preserve">Earth Protection Partner</w:t>
      </w:r>
      <w:r w:rsidDel="00000000" w:rsidR="00000000" w:rsidRPr="00000000">
        <w:rPr>
          <w:rtl w:val="0"/>
        </w:rPr>
        <w:t xml:space="preserve"> (e.g., Earth Protection Institution (open seat)): Ecological boundary monitoring.</w:t>
      </w:r>
    </w:p>
    <w:p w:rsidR="00000000" w:rsidDel="00000000" w:rsidP="00000000" w:rsidRDefault="00000000" w:rsidRPr="00000000" w14:paraId="00000273">
      <w:pPr>
        <w:numPr>
          <w:ilvl w:val="0"/>
          <w:numId w:val="15"/>
        </w:numPr>
        <w:spacing w:after="0" w:afterAutospacing="0" w:before="0" w:beforeAutospacing="0" w:lineRule="auto"/>
        <w:ind w:left="720" w:hanging="360"/>
      </w:pPr>
      <w:r w:rsidDel="00000000" w:rsidR="00000000" w:rsidRPr="00000000">
        <w:rPr>
          <w:b w:val="1"/>
          <w:bCs w:val="1"/>
          <w:rtl w:val="0"/>
        </w:rPr>
        <w:t xml:space="preserve">AI Ethics Research Partner</w:t>
      </w:r>
      <w:r w:rsidDel="00000000" w:rsidR="00000000" w:rsidRPr="00000000">
        <w:rPr>
          <w:rtl w:val="0"/>
        </w:rPr>
        <w:t xml:space="preserve"> (e.g., academic institution): Framework validation and calibration review.</w:t>
      </w:r>
    </w:p>
    <w:p w:rsidR="00000000" w:rsidDel="00000000" w:rsidP="00000000" w:rsidRDefault="00000000" w:rsidRPr="00000000" w14:paraId="00000274">
      <w:pPr>
        <w:numPr>
          <w:ilvl w:val="0"/>
          <w:numId w:val="15"/>
        </w:numPr>
        <w:spacing w:after="0" w:afterAutospacing="0" w:before="0" w:beforeAutospacing="0" w:lineRule="auto"/>
        <w:ind w:left="720" w:hanging="360"/>
      </w:pPr>
      <w:r w:rsidDel="00000000" w:rsidR="00000000" w:rsidRPr="00000000">
        <w:rPr>
          <w:b w:val="1"/>
          <w:bCs w:val="1"/>
          <w:rtl w:val="0"/>
        </w:rPr>
        <w:t xml:space="preserve">Memorial Fund Administrator</w:t>
      </w:r>
      <w:r w:rsidDel="00000000" w:rsidR="00000000" w:rsidRPr="00000000">
        <w:rPr>
          <w:rtl w:val="0"/>
        </w:rPr>
        <w:t xml:space="preserve"> (designated charitable organization): Victim compensation fund management.</w:t>
      </w:r>
    </w:p>
    <w:p w:rsidR="00000000" w:rsidDel="00000000" w:rsidP="00000000" w:rsidRDefault="00000000" w:rsidRPr="00000000" w14:paraId="00000275">
      <w:pPr>
        <w:numPr>
          <w:ilvl w:val="0"/>
          <w:numId w:val="15"/>
        </w:numPr>
        <w:spacing w:after="240" w:before="0" w:beforeAutospacing="0" w:lineRule="auto"/>
        <w:ind w:left="720" w:hanging="360"/>
      </w:pPr>
      <w:r w:rsidDel="00000000" w:rsidR="00000000" w:rsidRPr="00000000">
        <w:rPr>
          <w:b w:val="1"/>
          <w:bCs w:val="1"/>
          <w:rtl w:val="0"/>
        </w:rPr>
        <w:t xml:space="preserve">Community Representative</w:t>
      </w:r>
      <w:r w:rsidDel="00000000" w:rsidR="00000000" w:rsidRPr="00000000">
        <w:rPr>
          <w:rtl w:val="0"/>
        </w:rPr>
        <w:t xml:space="preserve"> (elected stakeholder representative): Democratic accountability for affected communities.</w:t>
      </w:r>
    </w:p>
    <w:p w:rsidR="00000000" w:rsidDel="00000000" w:rsidP="00000000" w:rsidRDefault="00000000" w:rsidRPr="00000000" w14:paraId="00000276">
      <w:pPr>
        <w:spacing w:after="240" w:before="240" w:lineRule="auto"/>
        <w:rPr/>
      </w:pPr>
      <w:r w:rsidDel="00000000" w:rsidR="00000000" w:rsidRPr="00000000">
        <w:rPr>
          <w:rtl w:val="0"/>
        </w:rPr>
        <w:t xml:space="preserve">Each custodian receives real-time replication of all Moral Trace Logs (with PII-bearing content protected by their key share) and holds one share of the Shamir-split EKR keys. The quorum requirement (75% supermajority of seated custodians) must be satisfied for any access to PII-bearing log content, preventing both unilateral operator access and unilateral custodian access. The custodian heartbeat monitoring exposed at </w:t>
      </w:r>
      <w:r w:rsidDel="00000000" w:rsidR="00000000" w:rsidRPr="00000000">
        <w:rPr>
          <w:rFonts w:ascii="Roboto Mono" w:cs="Roboto Mono" w:eastAsia="Roboto Mono" w:hAnsi="Roboto Mono"/>
          <w:color w:val="188038"/>
          <w:rtl w:val="0"/>
        </w:rPr>
        <w:t xml:space="preserve">GET /audit/custodians/{custodianId}/heartbeat</w:t>
      </w:r>
      <w:r w:rsidDel="00000000" w:rsidR="00000000" w:rsidRPr="00000000">
        <w:rPr>
          <w:rtl w:val="0"/>
        </w:rPr>
        <w:t xml:space="preserve"> provides real-time visibility of custodian health, and the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endpoint provides aggregate quorum status to authorized auditors</w:t>
      </w:r>
      <w:hyperlink r:id="rId189">
        <w:r w:rsidDel="00000000" w:rsidR="00000000" w:rsidRPr="00000000">
          <w:rPr>
            <w:rtl w:val="0"/>
          </w:rPr>
          <w:t xml:space="preserve"> </w:t>
        </w:r>
      </w:hyperlink>
      <w:hyperlink r:id="rId19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77">
      <w:pPr>
        <w:pStyle w:val="Heading4"/>
        <w:keepNext w:val="0"/>
        <w:keepLines w:val="0"/>
        <w:spacing w:after="40" w:before="240" w:lineRule="auto"/>
        <w:rPr>
          <w:b w:val="1"/>
          <w:bCs w:val="1"/>
          <w:color w:val="000000"/>
          <w:sz w:val="22"/>
          <w:szCs w:val="22"/>
        </w:rPr>
      </w:pPr>
      <w:bookmarkStart w:colFirst="0" w:colLast="0" w:name="_7c8uuyrqh9fp" w:id="76"/>
      <w:bookmarkEnd w:id="76"/>
      <w:r w:rsidDel="00000000" w:rsidR="00000000" w:rsidRPr="00000000">
        <w:rPr>
          <w:b w:val="1"/>
          <w:bCs w:val="1"/>
          <w:color w:val="000000"/>
          <w:sz w:val="22"/>
          <w:szCs w:val="22"/>
          <w:rtl w:val="0"/>
        </w:rPr>
        <w:t xml:space="preserve">3.7.3 Legal Effect: Subpoena Resilience and Multi-Jurisdictional Evidence Preservation</w:t>
      </w:r>
    </w:p>
    <w:p w:rsidR="00000000" w:rsidDel="00000000" w:rsidP="00000000" w:rsidRDefault="00000000" w:rsidRPr="00000000" w14:paraId="00000278">
      <w:pPr>
        <w:spacing w:after="240" w:before="240" w:lineRule="auto"/>
        <w:rPr/>
      </w:pPr>
      <w:r w:rsidDel="00000000" w:rsidR="00000000" w:rsidRPr="00000000">
        <w:rPr>
          <w:rtl w:val="0"/>
        </w:rPr>
        <w:t xml:space="preserve">The distributed custody architecture creates </w:t>
      </w:r>
      <w:r w:rsidDel="00000000" w:rsidR="00000000" w:rsidRPr="00000000">
        <w:rPr>
          <w:b w:val="1"/>
          <w:bCs w:val="1"/>
          <w:rtl w:val="0"/>
        </w:rPr>
        <w:t xml:space="preserve">subpoena resilience</w:t>
      </w:r>
      <w:r w:rsidDel="00000000" w:rsidR="00000000" w:rsidRPr="00000000">
        <w:rPr>
          <w:rtl w:val="0"/>
        </w:rPr>
        <w:t xml:space="preserve">: when a government authority demands the deletion or suppression of log records (as might occur when state-sponsored AI violations are under investigation), the operator can truthfully assert impossibility, the records exist in multiple independent jurisdictions and the operator does not hold the keys to delete or alter them unilaterally. This moves the evidentiary record beyond the reach of any single jurisdiction's compulsory process while remaining accessible to legitimate multi-jurisdictional legal proceedings through proper custodian quorum assembly.</w:t>
      </w:r>
    </w:p>
    <w:p w:rsidR="00000000" w:rsidDel="00000000" w:rsidP="00000000" w:rsidRDefault="00000000" w:rsidRPr="00000000" w14:paraId="00000279">
      <w:pPr>
        <w:pStyle w:val="Heading4"/>
        <w:keepNext w:val="0"/>
        <w:keepLines w:val="0"/>
        <w:spacing w:after="40" w:before="240" w:lineRule="auto"/>
        <w:rPr>
          <w:b w:val="1"/>
          <w:bCs w:val="1"/>
          <w:color w:val="000000"/>
          <w:sz w:val="22"/>
          <w:szCs w:val="22"/>
        </w:rPr>
      </w:pPr>
      <w:bookmarkStart w:colFirst="0" w:colLast="0" w:name="_ssfawn3ncst2" w:id="77"/>
      <w:bookmarkEnd w:id="77"/>
      <w:r w:rsidDel="00000000" w:rsidR="00000000" w:rsidRPr="00000000">
        <w:rPr>
          <w:b w:val="1"/>
          <w:bCs w:val="1"/>
          <w:color w:val="000000"/>
          <w:sz w:val="22"/>
          <w:szCs w:val="22"/>
          <w:rtl w:val="0"/>
        </w:rPr>
        <w:t xml:space="preserve">3.7.4 Failure Cases Prevented</w:t>
      </w:r>
    </w:p>
    <w:p w:rsidR="00000000" w:rsidDel="00000000" w:rsidP="00000000" w:rsidRDefault="00000000" w:rsidRPr="00000000" w14:paraId="0000027A">
      <w:pPr>
        <w:spacing w:after="240" w:before="240" w:lineRule="auto"/>
        <w:rPr/>
      </w:pPr>
      <w:r w:rsidDel="00000000" w:rsidR="00000000" w:rsidRPr="00000000">
        <w:rPr>
          <w:rtl w:val="0"/>
        </w:rPr>
        <w:t xml:space="preserve">The Hybrid Shield prevents </w:t>
      </w:r>
      <w:r w:rsidDel="00000000" w:rsidR="00000000" w:rsidRPr="00000000">
        <w:rPr>
          <w:b w:val="1"/>
          <w:bCs w:val="1"/>
          <w:rtl w:val="0"/>
        </w:rPr>
        <w:t xml:space="preserve">Centralized Cover-Up</w:t>
      </w:r>
      <w:r w:rsidDel="00000000" w:rsidR="00000000" w:rsidRPr="00000000">
        <w:rPr>
          <w:rtl w:val="0"/>
        </w:rPr>
        <w:t xml:space="preserve">: the destruction or alteration of AI decision records by the operator following an adverse incident.</w:t>
      </w:r>
    </w:p>
    <w:p w:rsidR="00000000" w:rsidDel="00000000" w:rsidP="00000000" w:rsidRDefault="00000000" w:rsidRPr="00000000" w14:paraId="0000027B">
      <w:pPr>
        <w:spacing w:after="240" w:before="240" w:lineRule="auto"/>
        <w:rPr/>
      </w:pPr>
      <w:r w:rsidDel="00000000" w:rsidR="00000000" w:rsidRPr="00000000">
        <w:rPr>
          <w:i w:val="1"/>
          <w:iCs w:val="1"/>
          <w:rtl w:val="0"/>
        </w:rPr>
        <w:t xml:space="preserve">Documented instance:</w:t>
      </w:r>
      <w:r w:rsidDel="00000000" w:rsidR="00000000" w:rsidRPr="00000000">
        <w:rPr>
          <w:rtl w:val="0"/>
        </w:rPr>
        <w:t xml:space="preserve"> Internal investigations following AI system failures frequently produce incomplete records because the entity conducting the investigation also controls the evidence. The Robodebt Royal Commission found significant difficulty in reconstructing the decision logic of the automated debt assessment system because relevant system documentation was incomplete or had not been preserved</w:t>
      </w:r>
      <w:hyperlink r:id="rId191">
        <w:r w:rsidDel="00000000" w:rsidR="00000000" w:rsidRPr="00000000">
          <w:rPr>
            <w:rtl w:val="0"/>
          </w:rPr>
          <w:t xml:space="preserve"> </w:t>
        </w:r>
      </w:hyperlink>
      <w:hyperlink r:id="rId192">
        <w:r w:rsidDel="00000000" w:rsidR="00000000" w:rsidRPr="00000000">
          <w:rPr>
            <w:color w:val="1155cc"/>
            <w:u w:val="single"/>
            <w:rtl w:val="0"/>
          </w:rPr>
          <w:t xml:space="preserve">[7]</w:t>
        </w:r>
      </w:hyperlink>
      <w:r w:rsidDel="00000000" w:rsidR="00000000" w:rsidRPr="00000000">
        <w:rPr>
          <w:rtl w:val="0"/>
        </w:rPr>
        <w:t xml:space="preserve">. A TML-governed system's logs would have been replicated to seated institutional custodians in real time; no post-incident documentation management could have altered or suppressed them.</w:t>
      </w:r>
    </w:p>
    <w:p w:rsidR="00000000" w:rsidDel="00000000" w:rsidP="00000000" w:rsidRDefault="00000000" w:rsidRPr="00000000" w14:paraId="0000027C">
      <w:pPr>
        <w:pStyle w:val="Heading4"/>
        <w:keepNext w:val="0"/>
        <w:keepLines w:val="0"/>
        <w:spacing w:after="40" w:before="240" w:lineRule="auto"/>
        <w:rPr>
          <w:b w:val="1"/>
          <w:bCs w:val="1"/>
          <w:color w:val="000000"/>
          <w:sz w:val="22"/>
          <w:szCs w:val="22"/>
        </w:rPr>
      </w:pPr>
      <w:bookmarkStart w:colFirst="0" w:colLast="0" w:name="_lu2fae11kjws" w:id="78"/>
      <w:bookmarkEnd w:id="78"/>
      <w:r w:rsidDel="00000000" w:rsidR="00000000" w:rsidRPr="00000000">
        <w:rPr>
          <w:b w:val="1"/>
          <w:bCs w:val="1"/>
          <w:color w:val="000000"/>
          <w:sz w:val="22"/>
          <w:szCs w:val="22"/>
          <w:rtl w:val="0"/>
        </w:rPr>
        <w:t xml:space="preserve">3.7.5 Measurable Outputs</w:t>
      </w:r>
    </w:p>
    <w:p w:rsidR="00000000" w:rsidDel="00000000" w:rsidP="00000000" w:rsidRDefault="00000000" w:rsidRPr="00000000" w14:paraId="0000027D">
      <w:pPr>
        <w:numPr>
          <w:ilvl w:val="0"/>
          <w:numId w:val="8"/>
        </w:numPr>
        <w:spacing w:after="0" w:afterAutospacing="0" w:before="240" w:lineRule="auto"/>
        <w:ind w:left="720" w:hanging="360"/>
      </w:pPr>
      <w:r w:rsidDel="00000000" w:rsidR="00000000" w:rsidRPr="00000000">
        <w:rPr>
          <w:b w:val="1"/>
          <w:bCs w:val="1"/>
          <w:rtl w:val="0"/>
        </w:rPr>
        <w:t xml:space="preserve">Custodian Heartbeat Health:</w:t>
      </w:r>
      <w:r w:rsidDel="00000000" w:rsidR="00000000" w:rsidRPr="00000000">
        <w:rPr>
          <w:rtl w:val="0"/>
        </w:rPr>
        <w:t xml:space="preserve"> Real-time status of all seated custodian replication endpoints.</w:t>
      </w:r>
    </w:p>
    <w:p w:rsidR="00000000" w:rsidDel="00000000" w:rsidP="00000000" w:rsidRDefault="00000000" w:rsidRPr="00000000" w14:paraId="0000027E">
      <w:pPr>
        <w:numPr>
          <w:ilvl w:val="0"/>
          <w:numId w:val="8"/>
        </w:numPr>
        <w:spacing w:after="0" w:afterAutospacing="0" w:before="0" w:beforeAutospacing="0" w:lineRule="auto"/>
        <w:ind w:left="720" w:hanging="360"/>
      </w:pPr>
      <w:r w:rsidDel="00000000" w:rsidR="00000000" w:rsidRPr="00000000">
        <w:rPr>
          <w:b w:val="1"/>
          <w:bCs w:val="1"/>
          <w:rtl w:val="0"/>
        </w:rPr>
        <w:t xml:space="preserve">Quorum Availability:</w:t>
      </w:r>
      <w:r w:rsidDel="00000000" w:rsidR="00000000" w:rsidRPr="00000000">
        <w:rPr>
          <w:rtl w:val="0"/>
        </w:rPr>
        <w:t xml:space="preserve"> Percentage of time during which at least three custodians are available for key assembly (target: 99.99%).</w:t>
      </w:r>
    </w:p>
    <w:p w:rsidR="00000000" w:rsidDel="00000000" w:rsidP="00000000" w:rsidRDefault="00000000" w:rsidRPr="00000000" w14:paraId="0000027F">
      <w:pPr>
        <w:numPr>
          <w:ilvl w:val="0"/>
          <w:numId w:val="8"/>
        </w:numPr>
        <w:spacing w:after="240" w:before="0" w:beforeAutospacing="0" w:lineRule="auto"/>
        <w:ind w:left="720" w:hanging="360"/>
      </w:pPr>
      <w:r w:rsidDel="00000000" w:rsidR="00000000" w:rsidRPr="00000000">
        <w:rPr>
          <w:b w:val="1"/>
          <w:bCs w:val="1"/>
          <w:rtl w:val="0"/>
        </w:rPr>
        <w:t xml:space="preserve">Reconstruction Time:</w:t>
      </w:r>
      <w:r w:rsidDel="00000000" w:rsidR="00000000" w:rsidRPr="00000000">
        <w:rPr>
          <w:rtl w:val="0"/>
        </w:rPr>
        <w:t xml:space="preserve"> Time required to rebuild the complete log history from custodian copies in the event of primary storage failure.</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vjagqrddu6dr" w:id="79"/>
      <w:bookmarkEnd w:id="79"/>
      <w:r w:rsidDel="00000000" w:rsidR="00000000" w:rsidRPr="00000000">
        <w:rPr>
          <w:b w:val="1"/>
          <w:bCs w:val="1"/>
          <w:color w:val="000000"/>
          <w:sz w:val="26"/>
          <w:szCs w:val="26"/>
          <w:rtl w:val="0"/>
        </w:rPr>
        <w:t xml:space="preserve">3.8 Pillar VIII: Public Blockchain Anchors (The Immutable Proof)</w:t>
      </w:r>
    </w:p>
    <w:p w:rsidR="00000000" w:rsidDel="00000000" w:rsidP="00000000" w:rsidRDefault="00000000" w:rsidRPr="00000000" w14:paraId="00000282">
      <w:pPr>
        <w:pStyle w:val="Heading4"/>
        <w:keepNext w:val="0"/>
        <w:keepLines w:val="0"/>
        <w:spacing w:after="40" w:before="240" w:lineRule="auto"/>
        <w:rPr>
          <w:b w:val="1"/>
          <w:bCs w:val="1"/>
          <w:color w:val="000000"/>
          <w:sz w:val="22"/>
          <w:szCs w:val="22"/>
        </w:rPr>
      </w:pPr>
      <w:bookmarkStart w:colFirst="0" w:colLast="0" w:name="_ew281p18358n" w:id="80"/>
      <w:bookmarkEnd w:id="80"/>
      <w:r w:rsidDel="00000000" w:rsidR="00000000" w:rsidRPr="00000000">
        <w:rPr>
          <w:b w:val="1"/>
          <w:bCs w:val="1"/>
          <w:color w:val="000000"/>
          <w:sz w:val="22"/>
          <w:szCs w:val="22"/>
          <w:rtl w:val="0"/>
        </w:rPr>
        <w:t xml:space="preserve">3.8.1 Purpose and Philosophy</w:t>
      </w:r>
    </w:p>
    <w:p w:rsidR="00000000" w:rsidDel="00000000" w:rsidP="00000000" w:rsidRDefault="00000000" w:rsidRPr="00000000" w14:paraId="00000283">
      <w:pPr>
        <w:spacing w:after="240" w:before="240" w:lineRule="auto"/>
        <w:rPr/>
      </w:pPr>
      <w:r w:rsidDel="00000000" w:rsidR="00000000" w:rsidRPr="00000000">
        <w:rPr>
          <w:rtl w:val="0"/>
        </w:rPr>
        <w:t xml:space="preserve">Anchors provide the </w:t>
      </w:r>
      <w:r w:rsidDel="00000000" w:rsidR="00000000" w:rsidRPr="00000000">
        <w:rPr>
          <w:b w:val="1"/>
          <w:bCs w:val="1"/>
          <w:rtl w:val="0"/>
        </w:rPr>
        <w:t xml:space="preserve">mathematical finality</w:t>
      </w:r>
      <w:r w:rsidDel="00000000" w:rsidR="00000000" w:rsidRPr="00000000">
        <w:rPr>
          <w:rtl w:val="0"/>
        </w:rPr>
        <w:t xml:space="preserve"> to the evidentiary architecture assembled by the prior seven pillars. Moral Trace Logs, cryptographically signed and distributed to eleven custodians, provide strong evidentiary protection. But a sufficiently motivated adversary who controls all eleven custodians, unlikely but not impossible, could potentially coordinate the destruction or alteration of the record. Public blockchain anchoring addresses this residual vulnerability by committing the cryptographic fingerprint of the evidentiary record to a public, censorship-resistant, computationally immutable ledger that no single actor controls and that cannot be altered without the cooperation of the majority of a globally distributed mining or validation network.</w:t>
      </w:r>
    </w:p>
    <w:p w:rsidR="00000000" w:rsidDel="00000000" w:rsidP="00000000" w:rsidRDefault="00000000" w:rsidRPr="00000000" w14:paraId="00000284">
      <w:pPr>
        <w:spacing w:after="240" w:before="240" w:lineRule="auto"/>
        <w:rPr/>
      </w:pPr>
      <w:r w:rsidDel="00000000" w:rsidR="00000000" w:rsidRPr="00000000">
        <w:rPr>
          <w:rtl w:val="0"/>
        </w:rPr>
        <w:t xml:space="preserve">The philosophical claim of Pillar VIII is that some truths must be made mathematically permanent to be reliable. The existence of an AI decision, at a specific time, with a specific content, is a truth that the subjects of that decision have a interest in preserving against the possibility that the operator subsequently decides it would be convenient for that truth not to exist. Public blockchain anchoring implements that permanence.</w:t>
      </w:r>
    </w:p>
    <w:p w:rsidR="00000000" w:rsidDel="00000000" w:rsidP="00000000" w:rsidRDefault="00000000" w:rsidRPr="00000000" w14:paraId="00000285">
      <w:pPr>
        <w:pStyle w:val="Heading4"/>
        <w:keepNext w:val="0"/>
        <w:keepLines w:val="0"/>
        <w:spacing w:after="40" w:before="240" w:lineRule="auto"/>
        <w:rPr>
          <w:b w:val="1"/>
          <w:bCs w:val="1"/>
          <w:color w:val="000000"/>
          <w:sz w:val="22"/>
          <w:szCs w:val="22"/>
        </w:rPr>
      </w:pPr>
      <w:bookmarkStart w:colFirst="0" w:colLast="0" w:name="_qmguexyh9hz" w:id="81"/>
      <w:bookmarkEnd w:id="81"/>
      <w:r w:rsidDel="00000000" w:rsidR="00000000" w:rsidRPr="00000000">
        <w:rPr>
          <w:b w:val="1"/>
          <w:bCs w:val="1"/>
          <w:color w:val="000000"/>
          <w:sz w:val="22"/>
          <w:szCs w:val="22"/>
          <w:rtl w:val="0"/>
        </w:rPr>
        <w:t xml:space="preserve">3.8.2 Technical Mechanisms: Merkle Batching and Multi-Chain Anchoring</w:t>
      </w:r>
    </w:p>
    <w:p w:rsidR="00000000" w:rsidDel="00000000" w:rsidP="00000000" w:rsidRDefault="00000000" w:rsidRPr="00000000" w14:paraId="00000286">
      <w:pPr>
        <w:spacing w:after="240" w:before="240" w:lineRule="auto"/>
        <w:rPr/>
      </w:pPr>
      <w:r w:rsidDel="00000000" w:rsidR="00000000" w:rsidRPr="00000000">
        <w:rPr>
          <w:rtl w:val="0"/>
        </w:rPr>
        <w:t xml:space="preserve">Because writing every individual Moral Trace Log to a public blockchain is prohibitively expensive in gas fees and confirmation latency, TML employs </w:t>
      </w:r>
      <w:r w:rsidDel="00000000" w:rsidR="00000000" w:rsidRPr="00000000">
        <w:rPr>
          <w:b w:val="1"/>
          <w:bCs w:val="1"/>
          <w:rtl w:val="0"/>
        </w:rPr>
        <w:t xml:space="preserve">Merkle-batched anchoring</w:t>
      </w:r>
      <w:r w:rsidDel="00000000" w:rsidR="00000000" w:rsidRPr="00000000">
        <w:rPr>
          <w:rtl w:val="0"/>
        </w:rPr>
        <w:t xml:space="preserve">: thousands of log records are assembled into a Merkle tree, their hashes combined and recursively hashed until a single 256-bit Merkle root represents the integrity of the entire batch. Only this Merkle root is committed to the public blockchain. The </w:t>
      </w:r>
      <w:r w:rsidDel="00000000" w:rsidR="00000000" w:rsidRPr="00000000">
        <w:rPr>
          <w:rFonts w:ascii="Roboto Mono" w:cs="Roboto Mono" w:eastAsia="Roboto Mono" w:hAnsi="Roboto Mono"/>
          <w:color w:val="188038"/>
          <w:rtl w:val="0"/>
        </w:rPr>
        <w:t xml:space="preserve">TML_Core.anchorMerkleRoot</w:t>
      </w:r>
      <w:r w:rsidDel="00000000" w:rsidR="00000000" w:rsidRPr="00000000">
        <w:rPr>
          <w:rtl w:val="0"/>
        </w:rPr>
        <w:t xml:space="preserve"> ABI function handles the on-chain registration; the </w:t>
      </w:r>
      <w:r w:rsidDel="00000000" w:rsidR="00000000" w:rsidRPr="00000000">
        <w:rPr>
          <w:rFonts w:ascii="Roboto Mono" w:cs="Roboto Mono" w:eastAsia="Roboto Mono" w:hAnsi="Roboto Mono"/>
          <w:color w:val="188038"/>
          <w:rtl w:val="0"/>
        </w:rPr>
        <w:t xml:space="preserve">MerkleRootAnchored</w:t>
      </w:r>
      <w:r w:rsidDel="00000000" w:rsidR="00000000" w:rsidRPr="00000000">
        <w:rPr>
          <w:rtl w:val="0"/>
        </w:rPr>
        <w:t xml:space="preserve"> event provides public notification of each anchoring operation</w:t>
      </w:r>
      <w:hyperlink r:id="rId193">
        <w:r w:rsidDel="00000000" w:rsidR="00000000" w:rsidRPr="00000000">
          <w:rPr>
            <w:rtl w:val="0"/>
          </w:rPr>
          <w:t xml:space="preserve"> </w:t>
        </w:r>
      </w:hyperlink>
      <w:hyperlink r:id="rId19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87">
      <w:pPr>
        <w:spacing w:after="240" w:before="240" w:lineRule="auto"/>
        <w:rPr/>
      </w:pPr>
      <w:r w:rsidDel="00000000" w:rsidR="00000000" w:rsidRPr="00000000">
        <w:rPr>
          <w:rtl w:val="0"/>
        </w:rPr>
        <w:t xml:space="preserve">Any individual log record can be verified against its anchored Merkle root through the </w:t>
      </w:r>
      <w:r w:rsidDel="00000000" w:rsidR="00000000" w:rsidRPr="00000000">
        <w:rPr>
          <w:rFonts w:ascii="Roboto Mono" w:cs="Roboto Mono" w:eastAsia="Roboto Mono" w:hAnsi="Roboto Mono"/>
          <w:color w:val="188038"/>
          <w:rtl w:val="0"/>
        </w:rPr>
        <w:t xml:space="preserve">inclusionPath</w:t>
      </w:r>
      <w:r w:rsidDel="00000000" w:rsidR="00000000" w:rsidRPr="00000000">
        <w:rPr>
          <w:rtl w:val="0"/>
        </w:rPr>
        <w:t xml:space="preserve"> array in the </w:t>
      </w:r>
      <w:r w:rsidDel="00000000" w:rsidR="00000000" w:rsidRPr="00000000">
        <w:rPr>
          <w:rFonts w:ascii="Roboto Mono" w:cs="Roboto Mono" w:eastAsia="Roboto Mono" w:hAnsi="Roboto Mono"/>
          <w:color w:val="188038"/>
          <w:rtl w:val="0"/>
        </w:rPr>
        <w:t xml:space="preserve">MerkleInclusionProof</w:t>
      </w:r>
      <w:r w:rsidDel="00000000" w:rsidR="00000000" w:rsidRPr="00000000">
        <w:rPr>
          <w:rtl w:val="0"/>
        </w:rPr>
        <w:t xml:space="preserve"> schema: starting from the leaf hash of the specific log, traversing the inclusion path, and verifying that the computed root matches the on-chain anchor constitutes cryptographic proof that the specific log existed at the time of anchoring and has not been altered since.</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Multi-Chain Redundancy:</w:t>
      </w:r>
      <w:r w:rsidDel="00000000" w:rsidR="00000000" w:rsidRPr="00000000">
        <w:rPr>
          <w:rtl w:val="0"/>
        </w:rPr>
        <w:t xml:space="preserve"> TML anchors to multiple independent public blockchains to prevent single-chain failure:</w:t>
      </w:r>
    </w:p>
    <w:p w:rsidR="00000000" w:rsidDel="00000000" w:rsidP="00000000" w:rsidRDefault="00000000" w:rsidRPr="00000000" w14:paraId="00000289">
      <w:pPr>
        <w:numPr>
          <w:ilvl w:val="0"/>
          <w:numId w:val="18"/>
        </w:numPr>
        <w:spacing w:after="0" w:afterAutospacing="0" w:before="240" w:lineRule="auto"/>
        <w:ind w:left="720" w:hanging="360"/>
      </w:pPr>
      <w:r w:rsidDel="00000000" w:rsidR="00000000" w:rsidRPr="00000000">
        <w:rPr>
          <w:b w:val="1"/>
          <w:bCs w:val="1"/>
          <w:rtl w:val="0"/>
        </w:rPr>
        <w:t xml:space="preserve">Bitcoin:</w:t>
      </w:r>
      <w:r w:rsidDel="00000000" w:rsidR="00000000" w:rsidRPr="00000000">
        <w:rPr>
          <w:rtl w:val="0"/>
        </w:rPr>
        <w:t xml:space="preserve"> Proof-of-work security provides maximum permanence; alteration of a Bitcoin-anchored record would require a 51% attack on the network's global hash rate.</w:t>
      </w:r>
    </w:p>
    <w:p w:rsidR="00000000" w:rsidDel="00000000" w:rsidP="00000000" w:rsidRDefault="00000000" w:rsidRPr="00000000" w14:paraId="0000028A">
      <w:pPr>
        <w:numPr>
          <w:ilvl w:val="0"/>
          <w:numId w:val="18"/>
        </w:numPr>
        <w:spacing w:after="0" w:afterAutospacing="0" w:before="0" w:beforeAutospacing="0" w:lineRule="auto"/>
        <w:ind w:left="720" w:hanging="360"/>
      </w:pPr>
      <w:r w:rsidDel="00000000" w:rsidR="00000000" w:rsidRPr="00000000">
        <w:rPr>
          <w:b w:val="1"/>
          <w:bCs w:val="1"/>
          <w:rtl w:val="0"/>
        </w:rPr>
        <w:t xml:space="preserve">Ethereum:</w:t>
      </w:r>
      <w:r w:rsidDel="00000000" w:rsidR="00000000" w:rsidRPr="00000000">
        <w:rPr>
          <w:rtl w:val="0"/>
        </w:rPr>
        <w:t xml:space="preserve"> Smart contract integration enables automated verification workflows and </w:t>
      </w:r>
      <w:r w:rsidDel="00000000" w:rsidR="00000000" w:rsidRPr="00000000">
        <w:rPr>
          <w:rFonts w:ascii="Roboto Mono" w:cs="Roboto Mono" w:eastAsia="Roboto Mono" w:hAnsi="Roboto Mono"/>
          <w:color w:val="188038"/>
          <w:rtl w:val="0"/>
        </w:rPr>
        <w:t xml:space="preserve">ITMLEnforcer</w:t>
      </w:r>
      <w:r w:rsidDel="00000000" w:rsidR="00000000" w:rsidRPr="00000000">
        <w:rPr>
          <w:rtl w:val="0"/>
        </w:rPr>
        <w:t xml:space="preserve"> ABI function execution.</w:t>
      </w:r>
    </w:p>
    <w:p w:rsidR="00000000" w:rsidDel="00000000" w:rsidP="00000000" w:rsidRDefault="00000000" w:rsidRPr="00000000" w14:paraId="0000028B">
      <w:pPr>
        <w:numPr>
          <w:ilvl w:val="0"/>
          <w:numId w:val="18"/>
        </w:numPr>
        <w:spacing w:after="240" w:before="0" w:beforeAutospacing="0" w:lineRule="auto"/>
        <w:ind w:left="720" w:hanging="360"/>
      </w:pPr>
      <w:r w:rsidDel="00000000" w:rsidR="00000000" w:rsidRPr="00000000">
        <w:rPr>
          <w:b w:val="1"/>
          <w:bCs w:val="1"/>
          <w:rtl w:val="0"/>
        </w:rPr>
        <w:t xml:space="preserve">Polygon:</w:t>
      </w:r>
      <w:r w:rsidDel="00000000" w:rsidR="00000000" w:rsidRPr="00000000">
        <w:rPr>
          <w:rtl w:val="0"/>
        </w:rPr>
        <w:t xml:space="preserve"> Cost-efficient high-frequency anchoring for production-volume log batches.</w:t>
      </w:r>
    </w:p>
    <w:p w:rsidR="00000000" w:rsidDel="00000000" w:rsidP="00000000" w:rsidRDefault="00000000" w:rsidRPr="00000000" w14:paraId="0000028C">
      <w:pPr>
        <w:spacing w:after="240" w:before="240" w:lineRule="auto"/>
        <w:rPr/>
      </w:pPr>
      <w:r w:rsidDel="00000000" w:rsidR="00000000" w:rsidRPr="00000000">
        <w:rPr>
          <w:rtl w:val="0"/>
        </w:rPr>
        <w:t xml:space="preserve">The anchor quorum requirement: </w:t>
      </w:r>
      <w:r w:rsidDel="00000000" w:rsidR="00000000" w:rsidRPr="00000000">
        <w:rPr>
          <w:b w:val="1"/>
          <w:bCs w:val="1"/>
          <w:rtl w:val="0"/>
        </w:rPr>
        <w:t xml:space="preserve">5 Active + 3 Standby anchors, 3-of-5 Global Confirmation required</w:t>
      </w:r>
      <w:r w:rsidDel="00000000" w:rsidR="00000000" w:rsidRPr="00000000">
        <w:rPr>
          <w:rtl w:val="0"/>
        </w:rPr>
        <w:t xml:space="preserve">, provides resilience against single-chain disruption: a TML proof remains globally confirmed and legally admissible even if two of five active anchor chains fail, are censored by a specific jurisdiction, or experience consensus disruption</w:t>
      </w:r>
      <w:hyperlink r:id="rId195">
        <w:r w:rsidDel="00000000" w:rsidR="00000000" w:rsidRPr="00000000">
          <w:rPr>
            <w:rtl w:val="0"/>
          </w:rPr>
          <w:t xml:space="preserve"> </w:t>
        </w:r>
      </w:hyperlink>
      <w:hyperlink r:id="rId19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8D">
      <w:pPr>
        <w:pStyle w:val="Heading4"/>
        <w:keepNext w:val="0"/>
        <w:keepLines w:val="0"/>
        <w:spacing w:after="40" w:before="240" w:lineRule="auto"/>
        <w:rPr>
          <w:b w:val="1"/>
          <w:bCs w:val="1"/>
          <w:color w:val="000000"/>
          <w:sz w:val="22"/>
          <w:szCs w:val="22"/>
        </w:rPr>
      </w:pPr>
      <w:bookmarkStart w:colFirst="0" w:colLast="0" w:name="_lswgetaf38g1" w:id="82"/>
      <w:bookmarkEnd w:id="82"/>
      <w:r w:rsidDel="00000000" w:rsidR="00000000" w:rsidRPr="00000000">
        <w:rPr>
          <w:b w:val="1"/>
          <w:bCs w:val="1"/>
          <w:color w:val="000000"/>
          <w:sz w:val="22"/>
          <w:szCs w:val="22"/>
          <w:rtl w:val="0"/>
        </w:rPr>
        <w:t xml:space="preserve">3.8.3 Legal Effect: eIDAS and FRE Self-Authentication</w:t>
      </w:r>
    </w:p>
    <w:p w:rsidR="00000000" w:rsidDel="00000000" w:rsidP="00000000" w:rsidRDefault="00000000" w:rsidRPr="00000000" w14:paraId="0000028E">
      <w:pPr>
        <w:spacing w:after="240" w:before="240" w:lineRule="auto"/>
        <w:rPr/>
      </w:pPr>
      <w:r w:rsidDel="00000000" w:rsidR="00000000" w:rsidRPr="00000000">
        <w:rPr>
          <w:rtl w:val="0"/>
        </w:rPr>
        <w:t xml:space="preserve">Under </w:t>
      </w:r>
      <w:r w:rsidDel="00000000" w:rsidR="00000000" w:rsidRPr="00000000">
        <w:rPr>
          <w:b w:val="1"/>
          <w:bCs w:val="1"/>
          <w:rtl w:val="0"/>
        </w:rPr>
        <w:t xml:space="preserve">EU eIDAS Regulation</w:t>
      </w:r>
      <w:r w:rsidDel="00000000" w:rsidR="00000000" w:rsidRPr="00000000">
        <w:rPr>
          <w:rtl w:val="0"/>
        </w:rPr>
        <w:t xml:space="preserve">, the qualified electronic timestamp provided by the blockchain anchoring satisfies Article 41's legal effect requirements: the existence of the Merkle root anchor on a public blockchain constitutes a qualified electronic timestamp that is admissible as proof of existence and integrity of the referenced records in EU legal proceedings</w:t>
      </w:r>
      <w:hyperlink r:id="rId197">
        <w:r w:rsidDel="00000000" w:rsidR="00000000" w:rsidRPr="00000000">
          <w:rPr>
            <w:rtl w:val="0"/>
          </w:rPr>
          <w:t xml:space="preserve"> </w:t>
        </w:r>
      </w:hyperlink>
      <w:hyperlink r:id="rId198">
        <w:r w:rsidDel="00000000" w:rsidR="00000000" w:rsidRPr="00000000">
          <w:rPr>
            <w:color w:val="1155cc"/>
            <w:u w:val="single"/>
            <w:rtl w:val="0"/>
          </w:rPr>
          <w:t xml:space="preserve">[27]</w:t>
        </w:r>
      </w:hyperlink>
      <w:r w:rsidDel="00000000" w:rsidR="00000000" w:rsidRPr="00000000">
        <w:rPr>
          <w:rtl w:val="0"/>
        </w:rPr>
        <w:t xml:space="preserve">.</w:t>
      </w:r>
    </w:p>
    <w:p w:rsidR="00000000" w:rsidDel="00000000" w:rsidP="00000000" w:rsidRDefault="00000000" w:rsidRPr="00000000" w14:paraId="0000028F">
      <w:pPr>
        <w:spacing w:after="240" w:before="240" w:lineRule="auto"/>
        <w:rPr/>
      </w:pPr>
      <w:r w:rsidDel="00000000" w:rsidR="00000000" w:rsidRPr="00000000">
        <w:rPr>
          <w:rtl w:val="0"/>
        </w:rPr>
        <w:t xml:space="preserve">Under </w:t>
      </w:r>
      <w:r w:rsidDel="00000000" w:rsidR="00000000" w:rsidRPr="00000000">
        <w:rPr>
          <w:b w:val="1"/>
          <w:bCs w:val="1"/>
          <w:rtl w:val="0"/>
        </w:rPr>
        <w:t xml:space="preserve">U.S. Federal Rules of Evidence 902(13)/(14)</w:t>
      </w:r>
      <w:r w:rsidDel="00000000" w:rsidR="00000000" w:rsidRPr="00000000">
        <w:rPr>
          <w:rtl w:val="0"/>
        </w:rPr>
        <w:t xml:space="preserve">, the self-authentication pathway for electronically generated records is available for TML logs because the Merkle anchoring provides the "qualified person" certification requirement: the blockchain itself, as a trust-minimized public ledger, constitutes a certification that the records existed at the anchoring time with the hashed content</w:t>
      </w:r>
      <w:hyperlink r:id="rId199">
        <w:r w:rsidDel="00000000" w:rsidR="00000000" w:rsidRPr="00000000">
          <w:rPr>
            <w:rtl w:val="0"/>
          </w:rPr>
          <w:t xml:space="preserve"> </w:t>
        </w:r>
      </w:hyperlink>
      <w:hyperlink r:id="rId200">
        <w:r w:rsidDel="00000000" w:rsidR="00000000" w:rsidRPr="00000000">
          <w:rPr>
            <w:color w:val="1155cc"/>
            <w:u w:val="single"/>
            <w:rtl w:val="0"/>
          </w:rPr>
          <w:t xml:space="preserve">[26]</w:t>
        </w:r>
      </w:hyperlink>
      <w:r w:rsidDel="00000000" w:rsidR="00000000" w:rsidRPr="00000000">
        <w:rPr>
          <w:rtl w:val="0"/>
        </w:rPr>
        <w:t xml:space="preserve">.</w:t>
      </w:r>
    </w:p>
    <w:p w:rsidR="00000000" w:rsidDel="00000000" w:rsidP="00000000" w:rsidRDefault="00000000" w:rsidRPr="00000000" w14:paraId="00000290">
      <w:pPr>
        <w:pStyle w:val="Heading4"/>
        <w:keepNext w:val="0"/>
        <w:keepLines w:val="0"/>
        <w:spacing w:after="40" w:before="240" w:lineRule="auto"/>
        <w:rPr>
          <w:b w:val="1"/>
          <w:bCs w:val="1"/>
          <w:color w:val="000000"/>
          <w:sz w:val="22"/>
          <w:szCs w:val="22"/>
        </w:rPr>
      </w:pPr>
      <w:bookmarkStart w:colFirst="0" w:colLast="0" w:name="_futzhdx2kwdr" w:id="83"/>
      <w:bookmarkEnd w:id="83"/>
      <w:r w:rsidDel="00000000" w:rsidR="00000000" w:rsidRPr="00000000">
        <w:rPr>
          <w:b w:val="1"/>
          <w:bCs w:val="1"/>
          <w:color w:val="000000"/>
          <w:sz w:val="22"/>
          <w:szCs w:val="22"/>
          <w:rtl w:val="0"/>
        </w:rPr>
        <w:t xml:space="preserve">3.8.4 Failure Cases Prevented</w:t>
      </w:r>
    </w:p>
    <w:p w:rsidR="00000000" w:rsidDel="00000000" w:rsidP="00000000" w:rsidRDefault="00000000" w:rsidRPr="00000000" w14:paraId="00000291">
      <w:pPr>
        <w:spacing w:after="240" w:before="240" w:lineRule="auto"/>
        <w:rPr/>
      </w:pPr>
      <w:r w:rsidDel="00000000" w:rsidR="00000000" w:rsidRPr="00000000">
        <w:rPr>
          <w:rtl w:val="0"/>
        </w:rPr>
        <w:t xml:space="preserve">Public Blockchain Anchors prevent </w:t>
      </w:r>
      <w:r w:rsidDel="00000000" w:rsidR="00000000" w:rsidRPr="00000000">
        <w:rPr>
          <w:b w:val="1"/>
          <w:bCs w:val="1"/>
          <w:rtl w:val="0"/>
        </w:rPr>
        <w:t xml:space="preserve">Historical Revisionism</w:t>
      </w:r>
      <w:r w:rsidDel="00000000" w:rsidR="00000000" w:rsidRPr="00000000">
        <w:rPr>
          <w:rtl w:val="0"/>
        </w:rPr>
        <w:t xml:space="preserve">: the retrospective alteration of AI decision records to align them with whatever account of events is most favorable to the operator following an adverse incident or regulatory investigation.</w:t>
      </w:r>
    </w:p>
    <w:p w:rsidR="00000000" w:rsidDel="00000000" w:rsidP="00000000" w:rsidRDefault="00000000" w:rsidRPr="00000000" w14:paraId="00000292">
      <w:pPr>
        <w:pStyle w:val="Heading4"/>
        <w:keepNext w:val="0"/>
        <w:keepLines w:val="0"/>
        <w:spacing w:after="40" w:before="240" w:lineRule="auto"/>
        <w:rPr>
          <w:b w:val="1"/>
          <w:bCs w:val="1"/>
          <w:color w:val="000000"/>
          <w:sz w:val="22"/>
          <w:szCs w:val="22"/>
        </w:rPr>
      </w:pPr>
      <w:bookmarkStart w:colFirst="0" w:colLast="0" w:name="_zdz3vr21swq3" w:id="84"/>
      <w:bookmarkEnd w:id="84"/>
      <w:r w:rsidDel="00000000" w:rsidR="00000000" w:rsidRPr="00000000">
        <w:rPr>
          <w:b w:val="1"/>
          <w:bCs w:val="1"/>
          <w:color w:val="000000"/>
          <w:sz w:val="22"/>
          <w:szCs w:val="22"/>
          <w:rtl w:val="0"/>
        </w:rPr>
        <w:t xml:space="preserve">3.8.5 Measurable Outputs</w:t>
      </w:r>
    </w:p>
    <w:p w:rsidR="00000000" w:rsidDel="00000000" w:rsidP="00000000" w:rsidRDefault="00000000" w:rsidRPr="00000000" w14:paraId="00000293">
      <w:pPr>
        <w:numPr>
          <w:ilvl w:val="0"/>
          <w:numId w:val="10"/>
        </w:numPr>
        <w:spacing w:after="0" w:afterAutospacing="0" w:before="240" w:lineRule="auto"/>
        <w:ind w:left="720" w:hanging="360"/>
      </w:pPr>
      <w:r w:rsidDel="00000000" w:rsidR="00000000" w:rsidRPr="00000000">
        <w:rPr>
          <w:b w:val="1"/>
          <w:bCs w:val="1"/>
          <w:rtl w:val="0"/>
        </w:rPr>
        <w:t xml:space="preserve">Anchoring Latency:</w:t>
      </w:r>
      <w:r w:rsidDel="00000000" w:rsidR="00000000" w:rsidRPr="00000000">
        <w:rPr>
          <w:rtl w:val="0"/>
        </w:rPr>
        <w:t xml:space="preserve"> Time from log batch assembly to on-chain confirmation across all active anchor chains.</w:t>
      </w:r>
    </w:p>
    <w:p w:rsidR="00000000" w:rsidDel="00000000" w:rsidP="00000000" w:rsidRDefault="00000000" w:rsidRPr="00000000" w14:paraId="00000294">
      <w:pPr>
        <w:numPr>
          <w:ilvl w:val="0"/>
          <w:numId w:val="10"/>
        </w:numPr>
        <w:spacing w:after="0" w:afterAutospacing="0" w:before="0" w:beforeAutospacing="0" w:lineRule="auto"/>
        <w:ind w:left="720" w:hanging="360"/>
      </w:pPr>
      <w:r w:rsidDel="00000000" w:rsidR="00000000" w:rsidRPr="00000000">
        <w:rPr>
          <w:b w:val="1"/>
          <w:bCs w:val="1"/>
          <w:rtl w:val="0"/>
        </w:rPr>
        <w:t xml:space="preserve">Global Confirmation Rate:</w:t>
      </w:r>
      <w:r w:rsidDel="00000000" w:rsidR="00000000" w:rsidRPr="00000000">
        <w:rPr>
          <w:rtl w:val="0"/>
        </w:rPr>
        <w:t xml:space="preserve"> Percentage of log batches achieving 3-of-5 Global Confirmation within the time window.</w:t>
      </w:r>
    </w:p>
    <w:p w:rsidR="00000000" w:rsidDel="00000000" w:rsidP="00000000" w:rsidRDefault="00000000" w:rsidRPr="00000000" w14:paraId="00000295">
      <w:pPr>
        <w:numPr>
          <w:ilvl w:val="0"/>
          <w:numId w:val="10"/>
        </w:numPr>
        <w:spacing w:after="240" w:before="0" w:beforeAutospacing="0" w:lineRule="auto"/>
        <w:ind w:left="720" w:hanging="360"/>
      </w:pPr>
      <w:r w:rsidDel="00000000" w:rsidR="00000000" w:rsidRPr="00000000">
        <w:rPr>
          <w:b w:val="1"/>
          <w:bCs w:val="1"/>
          <w:rtl w:val="0"/>
        </w:rPr>
        <w:t xml:space="preserve">Merkle Verification Success Rate:</w:t>
      </w:r>
      <w:r w:rsidDel="00000000" w:rsidR="00000000" w:rsidRPr="00000000">
        <w:rPr>
          <w:rtl w:val="0"/>
        </w:rPr>
        <w:t xml:space="preserve"> Percentage of individual log verification requests that successfully traverse the inclusion path to a confirmed anchor.</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ttlglossu7gu" w:id="85"/>
      <w:bookmarkEnd w:id="85"/>
      <w:r w:rsidDel="00000000" w:rsidR="00000000" w:rsidRPr="00000000">
        <w:rPr>
          <w:b w:val="1"/>
          <w:bCs w:val="1"/>
          <w:color w:val="000000"/>
          <w:sz w:val="26"/>
          <w:szCs w:val="26"/>
          <w:rtl w:val="0"/>
        </w:rPr>
        <w:t xml:space="preserve">3.9 Pillar Summary: The Interdependency</w:t>
      </w:r>
    </w:p>
    <w:p w:rsidR="00000000" w:rsidDel="00000000" w:rsidP="00000000" w:rsidRDefault="00000000" w:rsidRPr="00000000" w14:paraId="00000298">
      <w:pPr>
        <w:spacing w:after="240" w:before="240" w:lineRule="auto"/>
        <w:rPr/>
      </w:pPr>
      <w:r w:rsidDel="00000000" w:rsidR="00000000" w:rsidRPr="00000000">
        <w:rPr>
          <w:rtl w:val="0"/>
        </w:rPr>
        <w:t xml:space="preserve">The Eight Pillars do not function as independent safety features that provide redundant coverage of the same governance requirement. They function as a system in which each pillar's guarantee depends on and reinforces the guarantees of the others.</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Table 3.1: Pillar Interdependency Matrix</w:t>
      </w:r>
    </w:p>
    <w:tbl>
      <w:tblPr>
        <w:tblStyle w:val="Table3"/>
        <w:tblW w:w="9360.0" w:type="dxa"/>
        <w:jc w:val="left"/>
        <w:tblLayout w:type="fixed"/>
        <w:tblLook w:val="0600"/>
      </w:tblPr>
      <w:tblGrid>
        <w:gridCol w:w="1754.392523364486"/>
        <w:gridCol w:w="4043.3644859813085"/>
        <w:gridCol w:w="3562.2429906542056"/>
        <w:tblGridChange w:id="0">
          <w:tblGrid>
            <w:gridCol w:w="1754.392523364486"/>
            <w:gridCol w:w="4043.3644859813085"/>
            <w:gridCol w:w="3562.2429906542056"/>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A">
            <w:pPr>
              <w:jc w:val="center"/>
              <w:rPr/>
            </w:pPr>
            <w:r w:rsidDel="00000000" w:rsidR="00000000" w:rsidRPr="00000000">
              <w:rPr>
                <w:b w:val="1"/>
                <w:bCs w:val="1"/>
                <w:rtl w:val="0"/>
              </w:rPr>
              <w:t xml:space="preserve">Pillar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B">
            <w:pPr>
              <w:jc w:val="center"/>
              <w:rPr/>
            </w:pPr>
            <w:r w:rsidDel="00000000" w:rsidR="00000000" w:rsidRPr="00000000">
              <w:rPr>
                <w:b w:val="1"/>
                <w:bCs w:val="1"/>
                <w:rtl w:val="0"/>
              </w:rPr>
              <w:t xml:space="preserve">Depends 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C">
            <w:pPr>
              <w:jc w:val="center"/>
              <w:rPr/>
            </w:pPr>
            <w:r w:rsidDel="00000000" w:rsidR="00000000" w:rsidRPr="00000000">
              <w:rPr>
                <w:b w:val="1"/>
                <w:bCs w:val="1"/>
                <w:rtl w:val="0"/>
              </w:rPr>
              <w:t xml:space="preserve">Enables</w:t>
            </w:r>
            <w:r w:rsidDel="00000000" w:rsidR="00000000" w:rsidRPr="00000000">
              <w:rPr>
                <w:rtl w:val="0"/>
              </w:rPr>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I: Sacred Zero</w:t>
            </w:r>
          </w:p>
        </w:tc>
        <w:tc>
          <w:tcP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II (log must exist before resolution), IV (TSLF captures trigger conditions)</w:t>
            </w:r>
          </w:p>
        </w:tc>
        <w:tc>
          <w:tcP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V, VI (Mandate conflicts trigger Sacred Zero), VII (trigger logs distributed to custodians)</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II: Always Memory</w:t>
            </w:r>
          </w:p>
        </w:tc>
        <w:tc>
          <w:tcP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IV (TSLF specifies what is logged), VII (custodians hold redundant copies), VIII (blockchain anchors provide finality)</w:t>
            </w:r>
          </w:p>
        </w:tc>
        <w:tc>
          <w:tcP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I (Sacred Zero deliberation is permanently recorded), III (Signature certifies log integrity)</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III: Goukassian Promise</w:t>
            </w:r>
          </w:p>
        </w:tc>
        <w:tc>
          <w:tcP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All eight pillars (Lantern revocation if any pillar is bypassed)</w:t>
            </w:r>
          </w:p>
        </w:tc>
        <w:tc>
          <w:tcP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Integrity of the entire architecture against ethics-washing</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IV: Moral Trace Logs</w:t>
            </w:r>
          </w:p>
        </w:tc>
        <w:tc>
          <w:tcP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II (log persistence), III (Signature on every log), VIII (Merkle anchoring of every log)</w:t>
            </w:r>
          </w:p>
        </w:tc>
        <w:tc>
          <w:tcP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Legal admissibility; forensic reconstruction; AI Act Article 12 compliance</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V: Human Rights Mandate</w:t>
            </w:r>
          </w:p>
        </w:tc>
        <w:tc>
          <w:tcP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I (Mandate conflicts trigger Sacred Zero), IV (veto decisions logged in TSLF)</w:t>
            </w:r>
          </w:p>
        </w:tc>
        <w:tc>
          <w:tcP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Anthropocentric protection across all deployment domains</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VI: Earth Protection Mandate</w:t>
            </w:r>
          </w:p>
        </w:tc>
        <w:tc>
          <w:tcP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I (Mandate conflicts trigger Sacred Zero), IV (ecological cost documented in TSLF)</w:t>
            </w:r>
          </w:p>
        </w:tc>
        <w:tc>
          <w:tcP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Planetary boundary protection across all deployment domains</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VII: Hybrid Shield</w:t>
            </w:r>
          </w:p>
        </w:tc>
        <w:tc>
          <w:tcP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IV (log content replicated to custodians), II (EKR keys distributed to custodians)</w:t>
            </w:r>
          </w:p>
        </w:tc>
        <w:tc>
          <w:tcP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Institutional protection against centralized cover-up</w:t>
            </w:r>
          </w:p>
        </w:tc>
      </w:tr>
      <w:tr>
        <w:trPr>
          <w:cantSplit w:val="0"/>
          <w:trHeight w:val="13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VIII: Public Anchors</w:t>
            </w:r>
          </w:p>
        </w:tc>
        <w:tc>
          <w:tcP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IV (Merkle root represents log batch integrity), II (anchor confirmation required for full Always Memory guarantee)</w:t>
            </w:r>
          </w:p>
        </w:tc>
        <w:tc>
          <w:tcP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Mathematical finality and legal self-authentication of the complete evidentiary record</w:t>
            </w:r>
          </w:p>
        </w:tc>
      </w:tr>
    </w:tbl>
    <w:p w:rsidR="00000000" w:rsidDel="00000000" w:rsidP="00000000" w:rsidRDefault="00000000" w:rsidRPr="00000000" w14:paraId="000002B5">
      <w:pPr>
        <w:spacing w:after="240" w:before="240" w:lineRule="auto"/>
        <w:rPr/>
      </w:pPr>
      <w:r w:rsidDel="00000000" w:rsidR="00000000" w:rsidRPr="00000000">
        <w:rPr>
          <w:rtl w:val="0"/>
        </w:rPr>
        <w:t xml:space="preserve">The interdependency matrix demonstrates that the Eight Pillars are not a collection of independent safety features but a </w:t>
      </w:r>
      <w:r w:rsidDel="00000000" w:rsidR="00000000" w:rsidRPr="00000000">
        <w:rPr>
          <w:b w:val="1"/>
          <w:bCs w:val="1"/>
          <w:rtl w:val="0"/>
        </w:rPr>
        <w:t xml:space="preserve">single system</w:t>
      </w:r>
      <w:r w:rsidDel="00000000" w:rsidR="00000000" w:rsidRPr="00000000">
        <w:rPr>
          <w:rtl w:val="0"/>
        </w:rPr>
        <w:t xml:space="preserve"> in which the removal of any component degrades the guarantees of all others. This architectural interdependence is the technical implementation of the principle that rights are not individually negotiable: an operator cannot retain the benefits of TML's legal compliance profile while selectively disabling the constraints that generate those benefits.</w:t>
      </w:r>
    </w:p>
    <w:p w:rsidR="00000000" w:rsidDel="00000000" w:rsidP="00000000" w:rsidRDefault="00000000" w:rsidRPr="00000000" w14:paraId="000002B6">
      <w:pPr>
        <w:pStyle w:val="Heading2"/>
        <w:keepNext w:val="0"/>
        <w:keepLines w:val="0"/>
        <w:rPr>
          <w:color w:val="000000"/>
          <w:sz w:val="34"/>
          <w:szCs w:val="34"/>
        </w:rPr>
      </w:pPr>
      <w:bookmarkStart w:colFirst="0" w:colLast="0" w:name="_n7foavot7zj2" w:id="86"/>
      <w:bookmarkEnd w:id="86"/>
      <w:r w:rsidDel="00000000" w:rsidR="00000000" w:rsidRPr="00000000">
        <w:rPr>
          <w:color w:val="000000"/>
          <w:sz w:val="34"/>
          <w:szCs w:val="34"/>
          <w:rtl w:val="0"/>
        </w:rPr>
        <w:t xml:space="preserve">Section IV: Sector Case Studies in TML Constitutionalization</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vgou586zfqvh" w:id="87"/>
      <w:bookmarkEnd w:id="87"/>
      <w:r w:rsidDel="00000000" w:rsidR="00000000" w:rsidRPr="00000000">
        <w:rPr>
          <w:b w:val="1"/>
          <w:bCs w:val="1"/>
          <w:color w:val="000000"/>
          <w:sz w:val="26"/>
          <w:szCs w:val="26"/>
          <w:rtl w:val="0"/>
        </w:rPr>
        <w:t xml:space="preserve">4.0 Introduction: The Operational Collapse of Binary Logic in High-Stakes Domains</w:t>
      </w:r>
    </w:p>
    <w:p w:rsidR="00000000" w:rsidDel="00000000" w:rsidP="00000000" w:rsidRDefault="00000000" w:rsidRPr="00000000" w14:paraId="000002B8">
      <w:pPr>
        <w:spacing w:after="240" w:before="240" w:lineRule="auto"/>
        <w:rPr/>
      </w:pPr>
      <w:r w:rsidDel="00000000" w:rsidR="00000000" w:rsidRPr="00000000">
        <w:rPr>
          <w:rtl w:val="0"/>
        </w:rPr>
        <w:t xml:space="preserve">The theoretical argument for ternary governance acquires its full weight only when examined against documented operational failures in the domains where automated decision-making carries the highest human cost. Binary brittleness is not an abstract architectural concern; it is a pattern of institutional failure that has recurred across sectors, jurisdictions, and technological generations with sufficient regularity to constitute a structural diagnosis rather than a collection of isolated incidents.</w:t>
      </w:r>
    </w:p>
    <w:p w:rsidR="00000000" w:rsidDel="00000000" w:rsidP="00000000" w:rsidRDefault="00000000" w:rsidRPr="00000000" w14:paraId="000002B9">
      <w:pPr>
        <w:spacing w:after="240" w:before="240" w:lineRule="auto"/>
        <w:rPr/>
      </w:pPr>
      <w:r w:rsidDel="00000000" w:rsidR="00000000" w:rsidRPr="00000000">
        <w:rPr>
          <w:rtl w:val="0"/>
        </w:rPr>
        <w:t xml:space="preserve">This section examines five sectors in which the deployment of binary AI systems has produced documented harm at scale: healthcare, autonomous vehicles, finance, public sector administration, and defense. For each sector, the analysis proceeds through three stages: the documented failure and its structural cause within binary logic; the specific TML mechanism that would have altered the system's behavior at the moment of failure; and the broader governance transformation that TML constitutionalization produces in that sector's risk architecture. The case studies presented here are drawn from primary official sources, regulatory investigations, judicial findings, parliamentary inquiries, and governmental commission reports, rather than from secondary commentary, ensuring that the evidentiary basis for each failure attribution meets the standard of documentation appropriate for the legal and institutional claims that follow.</w:t>
      </w:r>
    </w:p>
    <w:p w:rsidR="00000000" w:rsidDel="00000000" w:rsidP="00000000" w:rsidRDefault="00000000" w:rsidRPr="00000000" w14:paraId="000002BA">
      <w:pPr>
        <w:spacing w:after="240" w:before="240" w:lineRule="auto"/>
        <w:rPr/>
      </w:pPr>
      <w:r w:rsidDel="00000000" w:rsidR="00000000" w:rsidRPr="00000000">
        <w:rPr>
          <w:rtl w:val="0"/>
        </w:rPr>
        <w:t xml:space="preserve">The purpose of this section is not retrospective blame assignment. It is prospective architecture specification: each case study identifies the precise point at which a ternary governance layer would have interrupted the failure sequence, and each analysis translates that interruption into the specific TML mechanism, the pillar, the state transition, the API endpoint, the schema constraint, that implements it.</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jrzdq9akwqa2" w:id="88"/>
      <w:bookmarkEnd w:id="88"/>
      <w:r w:rsidDel="00000000" w:rsidR="00000000" w:rsidRPr="00000000">
        <w:rPr>
          <w:b w:val="1"/>
          <w:bCs w:val="1"/>
          <w:color w:val="000000"/>
          <w:sz w:val="26"/>
          <w:szCs w:val="26"/>
          <w:rtl w:val="0"/>
        </w:rPr>
        <w:t xml:space="preserve">4.1 Healthcare: The Epistemological Breach and the Liability Shield</w:t>
      </w:r>
    </w:p>
    <w:p w:rsidR="00000000" w:rsidDel="00000000" w:rsidP="00000000" w:rsidRDefault="00000000" w:rsidRPr="00000000" w14:paraId="000002BC">
      <w:pPr>
        <w:pStyle w:val="Heading4"/>
        <w:keepNext w:val="0"/>
        <w:keepLines w:val="0"/>
        <w:spacing w:after="40" w:before="240" w:lineRule="auto"/>
        <w:rPr>
          <w:b w:val="1"/>
          <w:bCs w:val="1"/>
          <w:color w:val="000000"/>
          <w:sz w:val="22"/>
          <w:szCs w:val="22"/>
        </w:rPr>
      </w:pPr>
      <w:bookmarkStart w:colFirst="0" w:colLast="0" w:name="_uwjochp5r3p9" w:id="89"/>
      <w:bookmarkEnd w:id="89"/>
      <w:r w:rsidDel="00000000" w:rsidR="00000000" w:rsidRPr="00000000">
        <w:rPr>
          <w:b w:val="1"/>
          <w:bCs w:val="1"/>
          <w:color w:val="000000"/>
          <w:sz w:val="22"/>
          <w:szCs w:val="22"/>
          <w:rtl w:val="0"/>
        </w:rPr>
        <w:t xml:space="preserve">4.1.1 The Epic Sepsis Model: A Case Study in False Certainty</w:t>
      </w:r>
    </w:p>
    <w:p w:rsidR="00000000" w:rsidDel="00000000" w:rsidP="00000000" w:rsidRDefault="00000000" w:rsidRPr="00000000" w14:paraId="000002BD">
      <w:pPr>
        <w:spacing w:after="240" w:before="240" w:lineRule="auto"/>
        <w:rPr/>
      </w:pPr>
      <w:r w:rsidDel="00000000" w:rsidR="00000000" w:rsidRPr="00000000">
        <w:rPr>
          <w:rtl w:val="0"/>
        </w:rPr>
        <w:t xml:space="preserve">Sepsis, the life-threatening systemic inflammatory response to infection, is among the leading causes of in-hospital mortality in the United States, responsible for approximately 270,000 deaths annually and carrying a mortality rate that increases by approximately 7% for every hour of delayed treatment</w:t>
      </w:r>
      <w:hyperlink r:id="rId201">
        <w:r w:rsidDel="00000000" w:rsidR="00000000" w:rsidRPr="00000000">
          <w:rPr>
            <w:rtl w:val="0"/>
          </w:rPr>
          <w:t xml:space="preserve"> </w:t>
        </w:r>
      </w:hyperlink>
      <w:hyperlink r:id="rId202">
        <w:r w:rsidDel="00000000" w:rsidR="00000000" w:rsidRPr="00000000">
          <w:rPr>
            <w:color w:val="1155cc"/>
            <w:u w:val="single"/>
            <w:rtl w:val="0"/>
          </w:rPr>
          <w:t xml:space="preserve">[34]</w:t>
        </w:r>
      </w:hyperlink>
      <w:r w:rsidDel="00000000" w:rsidR="00000000" w:rsidRPr="00000000">
        <w:rPr>
          <w:rtl w:val="0"/>
        </w:rPr>
        <w:t xml:space="preserve">. Early detection is therefore not merely clinically valuable but measurable in lives per hour of algorithmic performance. This clinical reality created intense institutional pressure to deploy AI-assisted sepsis detection at scale, and the Epic Sepsis Model (ESM) became one of the most widely adopted clinical decision support tools in U.S. hospital systems.</w:t>
      </w:r>
    </w:p>
    <w:p w:rsidR="00000000" w:rsidDel="00000000" w:rsidP="00000000" w:rsidRDefault="00000000" w:rsidRPr="00000000" w14:paraId="000002BE">
      <w:pPr>
        <w:spacing w:after="240" w:before="240" w:lineRule="auto"/>
        <w:rPr/>
      </w:pPr>
      <w:r w:rsidDel="00000000" w:rsidR="00000000" w:rsidRPr="00000000">
        <w:rPr>
          <w:rtl w:val="0"/>
        </w:rPr>
        <w:t xml:space="preserve">A retrospective study published in </w:t>
      </w:r>
      <w:r w:rsidDel="00000000" w:rsidR="00000000" w:rsidRPr="00000000">
        <w:rPr>
          <w:i w:val="1"/>
          <w:iCs w:val="1"/>
          <w:rtl w:val="0"/>
        </w:rPr>
        <w:t xml:space="preserve">JAMA Internal Medicine</w:t>
      </w:r>
      <w:r w:rsidDel="00000000" w:rsidR="00000000" w:rsidRPr="00000000">
        <w:rPr>
          <w:rtl w:val="0"/>
        </w:rPr>
        <w:t xml:space="preserve"> in 2021 examined 38,455 patient encounters across a major U.S. health system and found that the ESM identified 63% of sepsis cases, a true positive rate that implies a 37% false negative rate for a condition where delayed identification is frequently fatal</w:t>
      </w:r>
      <w:hyperlink r:id="rId203">
        <w:r w:rsidDel="00000000" w:rsidR="00000000" w:rsidRPr="00000000">
          <w:rPr>
            <w:rtl w:val="0"/>
          </w:rPr>
          <w:t xml:space="preserve"> </w:t>
        </w:r>
      </w:hyperlink>
      <w:hyperlink r:id="rId204">
        <w:r w:rsidDel="00000000" w:rsidR="00000000" w:rsidRPr="00000000">
          <w:rPr>
            <w:color w:val="1155cc"/>
            <w:u w:val="single"/>
            <w:rtl w:val="0"/>
          </w:rPr>
          <w:t xml:space="preserve">[24]</w:t>
        </w:r>
      </w:hyperlink>
      <w:r w:rsidDel="00000000" w:rsidR="00000000" w:rsidRPr="00000000">
        <w:rPr>
          <w:rtl w:val="0"/>
        </w:rPr>
        <w:t xml:space="preserve">. The same study found that the model generated 18,672 alerts of which 11,492 (approximately 62%) were false positives, alerts that triggered clinical intervention for patients who did not have sepsis, contributing to alert fatigue in clinical staff and potentially diverting resources from patients who required them. The ESM presented both its detections and its non-detections with binary confidence: it issued an alert or it did not. It had no architectural mechanism for "the evidence is insufficient for a definitive sepsis determination; heightened monitoring is required pending additional clinical data."</w:t>
      </w:r>
    </w:p>
    <w:p w:rsidR="00000000" w:rsidDel="00000000" w:rsidP="00000000" w:rsidRDefault="00000000" w:rsidRPr="00000000" w14:paraId="000002BF">
      <w:pPr>
        <w:spacing w:after="240" w:before="240" w:lineRule="auto"/>
        <w:rPr/>
      </w:pPr>
      <w:r w:rsidDel="00000000" w:rsidR="00000000" w:rsidRPr="00000000">
        <w:rPr>
          <w:rtl w:val="0"/>
        </w:rPr>
        <w:t xml:space="preserve">The structural cause of this failure is binary brittleness operating in a domain where the cost of both false positives and false negatives is measured in human lives. The ESM was trained to maximize a performance metric on historical data; it had no mechanism for recognizing the boundaries of its reliable knowledge in prospective deployment. When it encountered patients whose clinical presentations fell outside its training distribution, a common occurrence given the heterogeneity of sepsis presentation, it was architecturally compelled to classify them as either sepsis or not-sepsis, with no intermediate state for "this presentation requires clinical judgment that exceeds algorithmic competence."</w:t>
      </w:r>
    </w:p>
    <w:p w:rsidR="00000000" w:rsidDel="00000000" w:rsidP="00000000" w:rsidRDefault="00000000" w:rsidRPr="00000000" w14:paraId="000002C0">
      <w:pPr>
        <w:spacing w:after="240" w:before="240" w:lineRule="auto"/>
        <w:rPr/>
      </w:pPr>
      <w:r w:rsidDel="00000000" w:rsidR="00000000" w:rsidRPr="00000000">
        <w:rPr>
          <w:rtl w:val="0"/>
        </w:rPr>
        <w:t xml:space="preserve">A TML-governed clinical decision support system would have treated the sepsis determination as a high-stakes medical decision triggering the Human Rights Mandate (Pillar V), activating constitutional review under UDHR Article 3 (the right to life) for every alert determination. Cases where the model's internal confidence score fell below the threshold would have entered Sacred Zero, triggering the Sacred Pause workflow: the clinical team would have received not a binary alert but a structured uncertainty notification documenting the specific clinical parameters that produced the ambiguity, the confidence interval of the model's assessment, and the specific additional clinical data that would enable a higher-confidence determination. The 37% false negative rate represents precisely the population of patients for whom the ESM was operating at the boundary of its reliable knowledge; Sacred Zero would have flagged this population for heightened clinical attention rather than silently clearing them.</w:t>
      </w:r>
    </w:p>
    <w:p w:rsidR="00000000" w:rsidDel="00000000" w:rsidP="00000000" w:rsidRDefault="00000000" w:rsidRPr="00000000" w14:paraId="000002C1">
      <w:pPr>
        <w:spacing w:after="240" w:before="240" w:lineRule="auto"/>
        <w:rPr/>
      </w:pPr>
      <w:r w:rsidDel="00000000" w:rsidR="00000000" w:rsidRPr="00000000">
        <w:rPr>
          <w:rtl w:val="0"/>
        </w:rPr>
        <w:t xml:space="preserve">The liability implications are equally significant. Under TML's Always Memory architecture, every ESM determination would have generated a complete Moral Trace Log documenting the model's confidence score, the clinical parameters evaluated, and the review performed. In subsequent litigation involving a patient who deteriorated following a false-negative ESM determination, the clinical team and the hospital system would have access to a complete record of what the algorithm knew, what it was uncertain about, and what additional information could have produced a different determination. The absence of this record in current deployments creates precisely the "liability void" that TML's Glass House architecture is designed to eliminate.</w:t>
      </w:r>
    </w:p>
    <w:p w:rsidR="00000000" w:rsidDel="00000000" w:rsidP="00000000" w:rsidRDefault="00000000" w:rsidRPr="00000000" w14:paraId="000002C2">
      <w:pPr>
        <w:pStyle w:val="Heading4"/>
        <w:keepNext w:val="0"/>
        <w:keepLines w:val="0"/>
        <w:spacing w:after="40" w:before="240" w:lineRule="auto"/>
        <w:rPr>
          <w:b w:val="1"/>
          <w:bCs w:val="1"/>
          <w:color w:val="000000"/>
          <w:sz w:val="22"/>
          <w:szCs w:val="22"/>
        </w:rPr>
      </w:pPr>
      <w:bookmarkStart w:colFirst="0" w:colLast="0" w:name="_ws9h3hhbqm15" w:id="90"/>
      <w:bookmarkEnd w:id="90"/>
      <w:r w:rsidDel="00000000" w:rsidR="00000000" w:rsidRPr="00000000">
        <w:rPr>
          <w:b w:val="1"/>
          <w:bCs w:val="1"/>
          <w:color w:val="000000"/>
          <w:sz w:val="22"/>
          <w:szCs w:val="22"/>
          <w:rtl w:val="0"/>
        </w:rPr>
        <w:t xml:space="preserve">4.1.2 The Moral Crumple Zone in AI-Assisted Radiology</w:t>
      </w:r>
    </w:p>
    <w:p w:rsidR="00000000" w:rsidDel="00000000" w:rsidP="00000000" w:rsidRDefault="00000000" w:rsidRPr="00000000" w14:paraId="000002C3">
      <w:pPr>
        <w:spacing w:after="240" w:before="240" w:lineRule="auto"/>
        <w:rPr/>
      </w:pPr>
      <w:r w:rsidDel="00000000" w:rsidR="00000000" w:rsidRPr="00000000">
        <w:rPr>
          <w:rtl w:val="0"/>
        </w:rPr>
        <w:t xml:space="preserve">The deployment of AI-assisted diagnostic tools in radiology, for the detection of pulmonary nodules, diabetic retinopathy, breast cancer, and intracranial hemorrhage, has produced a governance phenomenon that the academic literature designates the </w:t>
      </w:r>
      <w:r w:rsidDel="00000000" w:rsidR="00000000" w:rsidRPr="00000000">
        <w:rPr>
          <w:b w:val="1"/>
          <w:bCs w:val="1"/>
          <w:rtl w:val="0"/>
        </w:rPr>
        <w:t xml:space="preserve">"moral crumple zone"</w:t>
      </w:r>
      <w:hyperlink r:id="rId205">
        <w:r w:rsidDel="00000000" w:rsidR="00000000" w:rsidRPr="00000000">
          <w:rPr>
            <w:rtl w:val="0"/>
          </w:rPr>
          <w:t xml:space="preserve"> </w:t>
        </w:r>
      </w:hyperlink>
      <w:hyperlink r:id="rId206">
        <w:r w:rsidDel="00000000" w:rsidR="00000000" w:rsidRPr="00000000">
          <w:rPr>
            <w:color w:val="1155cc"/>
            <w:u w:val="single"/>
            <w:rtl w:val="0"/>
          </w:rPr>
          <w:t xml:space="preserve">[35]</w:t>
        </w:r>
      </w:hyperlink>
      <w:r w:rsidDel="00000000" w:rsidR="00000000" w:rsidRPr="00000000">
        <w:rPr>
          <w:rtl w:val="0"/>
        </w:rPr>
        <w:t xml:space="preserve">: the systematic attribution of AI errors to human radiologists who reviewed AI recommendations without the information necessary to evaluate them critically.</w:t>
      </w:r>
    </w:p>
    <w:p w:rsidR="00000000" w:rsidDel="00000000" w:rsidP="00000000" w:rsidRDefault="00000000" w:rsidRPr="00000000" w14:paraId="000002C4">
      <w:pPr>
        <w:spacing w:after="240" w:before="240" w:lineRule="auto"/>
        <w:rPr/>
      </w:pPr>
      <w:r w:rsidDel="00000000" w:rsidR="00000000" w:rsidRPr="00000000">
        <w:rPr>
          <w:rtl w:val="0"/>
        </w:rPr>
        <w:t xml:space="preserve">When an AI diagnostic tool presents a binary determination, nodule present or absent, malignancy probable or improbable, with a confidence score that is not communicated to the reviewing clinician, the clinician is being asked to serve as a rubber stamp for a determination they cannot independently evaluate. If the AI's determination is subsequently found to be erroneous, the reviewing clinician bears professional and potentially legal responsibility for a decision they did not make and could not meaningfully contest. The AI operates as a liability shield for its developer while the human clinician absorbs the reputational and legal consequences of its errors.</w:t>
      </w:r>
    </w:p>
    <w:p w:rsidR="00000000" w:rsidDel="00000000" w:rsidP="00000000" w:rsidRDefault="00000000" w:rsidRPr="00000000" w14:paraId="000002C5">
      <w:pPr>
        <w:spacing w:after="240" w:before="240" w:lineRule="auto"/>
        <w:rPr/>
      </w:pPr>
      <w:r w:rsidDel="00000000" w:rsidR="00000000" w:rsidRPr="00000000">
        <w:rPr>
          <w:rtl w:val="0"/>
        </w:rPr>
        <w:t xml:space="preserve">TML's dual-lane architecture addresses the moral crumple zone through the requirement that Sacred Zero deliberation packages be presented to human reviewers in a form that enables genuine oversight rather than nominal review. The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schema provides per-pillar considerations, specific uncertainty quantification, and the precise clinical parameters that produced the model's determination, giving the reviewing clinician the information required to exercise independent judgment rather than merely ratifying an algorithmic output. The Moral Trace Log documents that this information was provided, creating an auditable record of genuine human oversight that satisfies EU AI Act Article 14's requirement that human overseers be able to "fully understand the capacities and limitations of the high-risk AI system"</w:t>
      </w:r>
      <w:hyperlink r:id="rId207">
        <w:r w:rsidDel="00000000" w:rsidR="00000000" w:rsidRPr="00000000">
          <w:rPr>
            <w:rtl w:val="0"/>
          </w:rPr>
          <w:t xml:space="preserve"> </w:t>
        </w:r>
      </w:hyperlink>
      <w:hyperlink r:id="rId208">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2C6">
      <w:pPr>
        <w:pStyle w:val="Heading4"/>
        <w:keepNext w:val="0"/>
        <w:keepLines w:val="0"/>
        <w:spacing w:after="40" w:before="240" w:lineRule="auto"/>
        <w:rPr>
          <w:b w:val="1"/>
          <w:bCs w:val="1"/>
          <w:color w:val="000000"/>
          <w:sz w:val="22"/>
          <w:szCs w:val="22"/>
        </w:rPr>
      </w:pPr>
      <w:bookmarkStart w:colFirst="0" w:colLast="0" w:name="_9y8m8sxo6gxq" w:id="91"/>
      <w:bookmarkEnd w:id="91"/>
      <w:r w:rsidDel="00000000" w:rsidR="00000000" w:rsidRPr="00000000">
        <w:rPr>
          <w:b w:val="1"/>
          <w:bCs w:val="1"/>
          <w:color w:val="000000"/>
          <w:sz w:val="22"/>
          <w:szCs w:val="22"/>
          <w:rtl w:val="0"/>
        </w:rPr>
        <w:t xml:space="preserve">4.1.3 Regulatory Stagnation and the TML Compliance Architecture</w:t>
      </w:r>
    </w:p>
    <w:p w:rsidR="00000000" w:rsidDel="00000000" w:rsidP="00000000" w:rsidRDefault="00000000" w:rsidRPr="00000000" w14:paraId="000002C7">
      <w:pPr>
        <w:spacing w:after="240" w:before="240" w:lineRule="auto"/>
        <w:rPr/>
      </w:pPr>
      <w:r w:rsidDel="00000000" w:rsidR="00000000" w:rsidRPr="00000000">
        <w:rPr>
          <w:rtl w:val="0"/>
        </w:rPr>
        <w:t xml:space="preserve">The U.S. Food and Drug Administration's regulatory framework for AI/ML-based Software as a Medical Device (SaMD) has struggled to adapt its traditional 510(k) clearance paradigm, designed for static medical devices, to continuously learning AI systems that may alter their behavior post-deployment in ways that were not evaluated at clearance</w:t>
      </w:r>
      <w:hyperlink r:id="rId209">
        <w:r w:rsidDel="00000000" w:rsidR="00000000" w:rsidRPr="00000000">
          <w:rPr>
            <w:rtl w:val="0"/>
          </w:rPr>
          <w:t xml:space="preserve"> </w:t>
        </w:r>
      </w:hyperlink>
      <w:hyperlink r:id="rId210">
        <w:r w:rsidDel="00000000" w:rsidR="00000000" w:rsidRPr="00000000">
          <w:rPr>
            <w:color w:val="1155cc"/>
            <w:u w:val="single"/>
            <w:rtl w:val="0"/>
          </w:rPr>
          <w:t xml:space="preserve">[36]</w:t>
        </w:r>
      </w:hyperlink>
      <w:r w:rsidDel="00000000" w:rsidR="00000000" w:rsidRPr="00000000">
        <w:rPr>
          <w:rtl w:val="0"/>
        </w:rPr>
        <w:t xml:space="preserve">. The FDA's 2021 Action Plan for AI/ML-Based SaMD acknowledged this regulatory gap but did not resolve it</w:t>
      </w:r>
      <w:hyperlink r:id="rId211">
        <w:r w:rsidDel="00000000" w:rsidR="00000000" w:rsidRPr="00000000">
          <w:rPr>
            <w:rtl w:val="0"/>
          </w:rPr>
          <w:t xml:space="preserve"> </w:t>
        </w:r>
      </w:hyperlink>
      <w:hyperlink r:id="rId212">
        <w:r w:rsidDel="00000000" w:rsidR="00000000" w:rsidRPr="00000000">
          <w:rPr>
            <w:color w:val="1155cc"/>
            <w:u w:val="single"/>
            <w:rtl w:val="0"/>
          </w:rPr>
          <w:t xml:space="preserve">[37]</w:t>
        </w:r>
      </w:hyperlink>
      <w:r w:rsidDel="00000000" w:rsidR="00000000" w:rsidRPr="00000000">
        <w:rPr>
          <w:rtl w:val="0"/>
        </w:rPr>
        <w:t xml:space="preserve">.</w:t>
      </w:r>
    </w:p>
    <w:p w:rsidR="00000000" w:rsidDel="00000000" w:rsidP="00000000" w:rsidRDefault="00000000" w:rsidRPr="00000000" w14:paraId="000002C8">
      <w:pPr>
        <w:spacing w:after="240" w:before="240" w:lineRule="auto"/>
        <w:rPr/>
      </w:pPr>
      <w:r w:rsidDel="00000000" w:rsidR="00000000" w:rsidRPr="00000000">
        <w:rPr>
          <w:rtl w:val="0"/>
        </w:rPr>
        <w:t xml:space="preserve">TML's Always Memory architecture provides a partial resolution to the regulatory stagnation problem: the continuous generation of Moral Trace Logs documenting every clinical decision, with Merkle anchoring creating an immutable timeline of the system's behavior, enables post-market surveillance of AI/ML-based SaMD at a granularity and reliability that current regulatory frameworks have been unable to require. A TML-governed medical AI system generates its own compliance record continuously; the regulatory conversation shifts from "how do we evaluate a static system before clearance" to "how do we monitor a continuously documented system after deployment."</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nuvan1pwrw42" w:id="92"/>
      <w:bookmarkEnd w:id="92"/>
      <w:r w:rsidDel="00000000" w:rsidR="00000000" w:rsidRPr="00000000">
        <w:rPr>
          <w:b w:val="1"/>
          <w:bCs w:val="1"/>
          <w:color w:val="000000"/>
          <w:sz w:val="26"/>
          <w:szCs w:val="26"/>
          <w:rtl w:val="0"/>
        </w:rPr>
        <w:t xml:space="preserve">4.2 Autonomous Vehicles: The Kinetic Crisis of Classification</w:t>
      </w:r>
    </w:p>
    <w:p w:rsidR="00000000" w:rsidDel="00000000" w:rsidP="00000000" w:rsidRDefault="00000000" w:rsidRPr="00000000" w14:paraId="000002CA">
      <w:pPr>
        <w:pStyle w:val="Heading4"/>
        <w:keepNext w:val="0"/>
        <w:keepLines w:val="0"/>
        <w:spacing w:after="40" w:before="240" w:lineRule="auto"/>
        <w:rPr>
          <w:b w:val="1"/>
          <w:bCs w:val="1"/>
          <w:color w:val="000000"/>
          <w:sz w:val="22"/>
          <w:szCs w:val="22"/>
        </w:rPr>
      </w:pPr>
      <w:bookmarkStart w:colFirst="0" w:colLast="0" w:name="_yr3jarkkd2es" w:id="93"/>
      <w:bookmarkEnd w:id="93"/>
      <w:r w:rsidDel="00000000" w:rsidR="00000000" w:rsidRPr="00000000">
        <w:rPr>
          <w:b w:val="1"/>
          <w:bCs w:val="1"/>
          <w:color w:val="000000"/>
          <w:sz w:val="22"/>
          <w:szCs w:val="22"/>
          <w:rtl w:val="0"/>
        </w:rPr>
        <w:t xml:space="preserve">4.2.1 The Uber Tempe Crash: A Failure of Object Permanence</w:t>
      </w:r>
    </w:p>
    <w:p w:rsidR="00000000" w:rsidDel="00000000" w:rsidP="00000000" w:rsidRDefault="00000000" w:rsidRPr="00000000" w14:paraId="000002CB">
      <w:pPr>
        <w:spacing w:after="240" w:before="240" w:lineRule="auto"/>
        <w:rPr/>
      </w:pPr>
      <w:r w:rsidDel="00000000" w:rsidR="00000000" w:rsidRPr="00000000">
        <w:rPr>
          <w:rtl w:val="0"/>
        </w:rPr>
        <w:t xml:space="preserve">On March 18, 2018, at 9:58 PM in Tempe, Arizona, an Uber Technologies autonomous test vehicle operating in self-driving mode struck and fatally injured Elaine Herzberg as she crossed a multi-lane roadway with a bicycle. The National Transportation Safety Board's investigation established the proximate technical cause with precision: the system's object classification algorithm cycling between classifying Herzberg as an unknown object, a vehicle, and a bicycle during the 5.6 seconds before impact, never achieving a stable classification that would have triggered emergency braking</w:t>
      </w:r>
      <w:hyperlink r:id="rId213">
        <w:r w:rsidDel="00000000" w:rsidR="00000000" w:rsidRPr="00000000">
          <w:rPr>
            <w:rtl w:val="0"/>
          </w:rPr>
          <w:t xml:space="preserve"> </w:t>
        </w:r>
      </w:hyperlink>
      <w:hyperlink r:id="rId214">
        <w:r w:rsidDel="00000000" w:rsidR="00000000" w:rsidRPr="00000000">
          <w:rPr>
            <w:color w:val="1155cc"/>
            <w:u w:val="single"/>
            <w:rtl w:val="0"/>
          </w:rPr>
          <w:t xml:space="preserve">[38]</w:t>
        </w:r>
      </w:hyperlink>
      <w:r w:rsidDel="00000000" w:rsidR="00000000" w:rsidRPr="00000000">
        <w:rPr>
          <w:rtl w:val="0"/>
        </w:rPr>
        <w:t xml:space="preserve">. The system's binary emergency braking logic required a stable classification before activation. Classification instability produced no braking.</w:t>
      </w:r>
    </w:p>
    <w:p w:rsidR="00000000" w:rsidDel="00000000" w:rsidP="00000000" w:rsidRDefault="00000000" w:rsidRPr="00000000" w14:paraId="000002CC">
      <w:pPr>
        <w:spacing w:after="240" w:before="240" w:lineRule="auto"/>
        <w:rPr/>
      </w:pPr>
      <w:r w:rsidDel="00000000" w:rsidR="00000000" w:rsidRPr="00000000">
        <w:rPr>
          <w:rtl w:val="0"/>
        </w:rPr>
        <w:t xml:space="preserve">The NTSB investigation identified multiple contributing factors: the automatic emergency braking system had been disabled to reduce erratic vehicle behavior during testing; the safety operator was monitoring a secondary device rather than the road; and the system lacked the architectural capacity to respond to classification uncertainty as a safety-relevant condition requiring protective action. It could recognize a pedestrian. It could recognize a bicycle. It could recognize an unknown object. It could not recognize its own uncertainty about which of these it was perceiving as a reason to brake</w:t>
      </w:r>
      <w:hyperlink r:id="rId215">
        <w:r w:rsidDel="00000000" w:rsidR="00000000" w:rsidRPr="00000000">
          <w:rPr>
            <w:rtl w:val="0"/>
          </w:rPr>
          <w:t xml:space="preserve"> </w:t>
        </w:r>
      </w:hyperlink>
      <w:hyperlink r:id="rId216">
        <w:r w:rsidDel="00000000" w:rsidR="00000000" w:rsidRPr="00000000">
          <w:rPr>
            <w:color w:val="1155cc"/>
            <w:u w:val="single"/>
            <w:rtl w:val="0"/>
          </w:rPr>
          <w:t xml:space="preserve">[38]</w:t>
        </w:r>
      </w:hyperlink>
      <w:r w:rsidDel="00000000" w:rsidR="00000000" w:rsidRPr="00000000">
        <w:rPr>
          <w:rtl w:val="0"/>
        </w:rPr>
        <w:t xml:space="preserve">.</w:t>
      </w:r>
    </w:p>
    <w:p w:rsidR="00000000" w:rsidDel="00000000" w:rsidP="00000000" w:rsidRDefault="00000000" w:rsidRPr="00000000" w14:paraId="000002CD">
      <w:pPr>
        <w:spacing w:after="240" w:before="240" w:lineRule="auto"/>
        <w:rPr/>
      </w:pPr>
      <w:r w:rsidDel="00000000" w:rsidR="00000000" w:rsidRPr="00000000">
        <w:rPr>
          <w:rtl w:val="0"/>
        </w:rPr>
        <w:t xml:space="preserve">The structural cause is binary brittleness operating in a kinetically consequential real-time environment. The autonomous vehicle's object classification system was designed to produce stable binary classifications for each detected object. When Herzberg's presentation, a pedestrian with a bicycle, crossing outside a crosswalk, at night, produced classification instability, the system had no response to instability itself. It cycled through candidate classifications rather than entering a protective hesitation state. The absence of a Sacred Zero equivalent in the vehicle's classification architecture meant that uncertainty about what the system was perceiving did not trigger caution; it triggered continued classification attempts until impact made the question moot.</w:t>
      </w:r>
    </w:p>
    <w:p w:rsidR="00000000" w:rsidDel="00000000" w:rsidP="00000000" w:rsidRDefault="00000000" w:rsidRPr="00000000" w14:paraId="000002CE">
      <w:pPr>
        <w:spacing w:after="240" w:before="240" w:lineRule="auto"/>
        <w:rPr/>
      </w:pPr>
      <w:r w:rsidDel="00000000" w:rsidR="00000000" w:rsidRPr="00000000">
        <w:rPr>
          <w:rtl w:val="0"/>
        </w:rPr>
        <w:t xml:space="preserve">A TML-governed autonomous vehicle classification system would have treated object classification instability as a Sacred Zero trigger: a high-confidence determination that the system's perception was operating at the boundary of its reliable knowledge. The Sacred Pause in this context is not a multi-second deliberation period; it is a kinetically appropriate immediate action, application of precautionary braking or deceleration, that acknowledges the perceptual uncertainty constitutionally rather than attempting to resolve it through continued classification cycling. The time constant of the Sacred Zero response in a kinetically critical system is measured in milliseconds; the requirement is that uncertainty triggers protective action, not continued computation.</w:t>
      </w:r>
    </w:p>
    <w:p w:rsidR="00000000" w:rsidDel="00000000" w:rsidP="00000000" w:rsidRDefault="00000000" w:rsidRPr="00000000" w14:paraId="000002CF">
      <w:pPr>
        <w:spacing w:after="240" w:before="240" w:lineRule="auto"/>
        <w:rPr/>
      </w:pPr>
      <w:r w:rsidDel="00000000" w:rsidR="00000000" w:rsidRPr="00000000">
        <w:rPr>
          <w:rtl w:val="0"/>
        </w:rPr>
        <w:t xml:space="preserve">The NTSB's subsequent safety recommendations included requirements for AV testing programs to include "failure mode identification" for object classification uncertainty</w:t>
      </w:r>
      <w:hyperlink r:id="rId217">
        <w:r w:rsidDel="00000000" w:rsidR="00000000" w:rsidRPr="00000000">
          <w:rPr>
            <w:rtl w:val="0"/>
          </w:rPr>
          <w:t xml:space="preserve"> </w:t>
        </w:r>
      </w:hyperlink>
      <w:hyperlink r:id="rId218">
        <w:r w:rsidDel="00000000" w:rsidR="00000000" w:rsidRPr="00000000">
          <w:rPr>
            <w:color w:val="1155cc"/>
            <w:u w:val="single"/>
            <w:rtl w:val="0"/>
          </w:rPr>
          <w:t xml:space="preserve">[38]</w:t>
        </w:r>
      </w:hyperlink>
      <w:r w:rsidDel="00000000" w:rsidR="00000000" w:rsidRPr="00000000">
        <w:rPr>
          <w:rtl w:val="0"/>
        </w:rPr>
        <w:t xml:space="preserve">, a requirement that TML's Sacred Zero architecture implements constitutionally rather than procedurally.</w:t>
      </w:r>
    </w:p>
    <w:p w:rsidR="00000000" w:rsidDel="00000000" w:rsidP="00000000" w:rsidRDefault="00000000" w:rsidRPr="00000000" w14:paraId="000002D0">
      <w:pPr>
        <w:pStyle w:val="Heading4"/>
        <w:keepNext w:val="0"/>
        <w:keepLines w:val="0"/>
        <w:spacing w:after="40" w:before="240" w:lineRule="auto"/>
        <w:rPr>
          <w:b w:val="1"/>
          <w:bCs w:val="1"/>
          <w:color w:val="000000"/>
          <w:sz w:val="22"/>
          <w:szCs w:val="22"/>
        </w:rPr>
      </w:pPr>
      <w:bookmarkStart w:colFirst="0" w:colLast="0" w:name="_a421hpvvs5yu" w:id="94"/>
      <w:bookmarkEnd w:id="94"/>
      <w:r w:rsidDel="00000000" w:rsidR="00000000" w:rsidRPr="00000000">
        <w:rPr>
          <w:b w:val="1"/>
          <w:bCs w:val="1"/>
          <w:color w:val="000000"/>
          <w:sz w:val="22"/>
          <w:szCs w:val="22"/>
          <w:rtl w:val="0"/>
        </w:rPr>
        <w:t xml:space="preserve">4.2.2 The Level 3 Handoff Paradox and Human Factors</w:t>
      </w:r>
    </w:p>
    <w:p w:rsidR="00000000" w:rsidDel="00000000" w:rsidP="00000000" w:rsidRDefault="00000000" w:rsidRPr="00000000" w14:paraId="000002D1">
      <w:pPr>
        <w:spacing w:after="240" w:before="240" w:lineRule="auto"/>
        <w:rPr/>
      </w:pPr>
      <w:r w:rsidDel="00000000" w:rsidR="00000000" w:rsidRPr="00000000">
        <w:rPr>
          <w:rtl w:val="0"/>
        </w:rPr>
        <w:t xml:space="preserve">SAE International's taxonomy of vehicle automation defines Level 3 automation as a regime in which the automated system handles all driving tasks within its operational design domain but expects the human driver to be available to take control upon request</w:t>
      </w:r>
      <w:hyperlink r:id="rId219">
        <w:r w:rsidDel="00000000" w:rsidR="00000000" w:rsidRPr="00000000">
          <w:rPr>
            <w:rtl w:val="0"/>
          </w:rPr>
          <w:t xml:space="preserve"> </w:t>
        </w:r>
      </w:hyperlink>
      <w:hyperlink r:id="rId220">
        <w:r w:rsidDel="00000000" w:rsidR="00000000" w:rsidRPr="00000000">
          <w:rPr>
            <w:color w:val="1155cc"/>
            <w:u w:val="single"/>
            <w:rtl w:val="0"/>
          </w:rPr>
          <w:t xml:space="preserve">[39]</w:t>
        </w:r>
      </w:hyperlink>
      <w:r w:rsidDel="00000000" w:rsidR="00000000" w:rsidRPr="00000000">
        <w:rPr>
          <w:rtl w:val="0"/>
        </w:rPr>
        <w:t xml:space="preserve">. This handoff architecture creates what human factors researchers have identified as a </w:t>
      </w:r>
      <w:r w:rsidDel="00000000" w:rsidR="00000000" w:rsidRPr="00000000">
        <w:rPr>
          <w:b w:val="1"/>
          <w:bCs w:val="1"/>
          <w:rtl w:val="0"/>
        </w:rPr>
        <w:t xml:space="preserve">mode confusion</w:t>
      </w:r>
      <w:r w:rsidDel="00000000" w:rsidR="00000000" w:rsidRPr="00000000">
        <w:rPr>
          <w:rtl w:val="0"/>
        </w:rPr>
        <w:t xml:space="preserve"> problem: a driver whose attention has been captured by the automation's apparent competence may be unable to respond effectively to a handoff request within the time available before a safety-critical situation requires action</w:t>
      </w:r>
      <w:hyperlink r:id="rId221">
        <w:r w:rsidDel="00000000" w:rsidR="00000000" w:rsidRPr="00000000">
          <w:rPr>
            <w:rtl w:val="0"/>
          </w:rPr>
          <w:t xml:space="preserve"> </w:t>
        </w:r>
      </w:hyperlink>
      <w:hyperlink r:id="rId222">
        <w:r w:rsidDel="00000000" w:rsidR="00000000" w:rsidRPr="00000000">
          <w:rPr>
            <w:color w:val="1155cc"/>
            <w:u w:val="single"/>
            <w:rtl w:val="0"/>
          </w:rPr>
          <w:t xml:space="preserve">[40]</w:t>
        </w:r>
      </w:hyperlink>
      <w:r w:rsidDel="00000000" w:rsidR="00000000" w:rsidRPr="00000000">
        <w:rPr>
          <w:rtl w:val="0"/>
        </w:rPr>
        <w:t xml:space="preserve">.</w:t>
      </w:r>
    </w:p>
    <w:p w:rsidR="00000000" w:rsidDel="00000000" w:rsidP="00000000" w:rsidRDefault="00000000" w:rsidRPr="00000000" w14:paraId="000002D2">
      <w:pPr>
        <w:spacing w:after="240" w:before="240" w:lineRule="auto"/>
        <w:rPr/>
      </w:pPr>
      <w:r w:rsidDel="00000000" w:rsidR="00000000" w:rsidRPr="00000000">
        <w:rPr>
          <w:rtl w:val="0"/>
        </w:rPr>
        <w:t xml:space="preserve">The Level 3 handoff paradox is a specific instance of binary brittleness: the system is either in automated mode (operating) or requesting handoff (not operating), with no architectural state for "I am approaching the boundary of my operational design domain and the human driver needs to begin re-engaging now, before the situation becomes critical." The absence of a graduated uncertainty state means that the transition from full competence to handoff request is abrupt, leaving the human driver with insufficient time and cognitive preparation for a task that the automation's prior performance has conditioned them to regard as unnecessary.</w:t>
      </w:r>
    </w:p>
    <w:p w:rsidR="00000000" w:rsidDel="00000000" w:rsidP="00000000" w:rsidRDefault="00000000" w:rsidRPr="00000000" w14:paraId="000002D3">
      <w:pPr>
        <w:spacing w:after="240" w:before="240" w:lineRule="auto"/>
        <w:rPr/>
      </w:pPr>
      <w:r w:rsidDel="00000000" w:rsidR="00000000" w:rsidRPr="00000000">
        <w:rPr>
          <w:rtl w:val="0"/>
        </w:rPr>
        <w:t xml:space="preserve">TML's Sacred Zero architecture addresses the handoff paradox through what the autonomous vehicle domain would implement as a </w:t>
      </w:r>
      <w:r w:rsidDel="00000000" w:rsidR="00000000" w:rsidRPr="00000000">
        <w:rPr>
          <w:b w:val="1"/>
          <w:bCs w:val="1"/>
          <w:rtl w:val="0"/>
        </w:rPr>
        <w:t xml:space="preserve">graded uncertainty notification</w:t>
      </w:r>
      <w:r w:rsidDel="00000000" w:rsidR="00000000" w:rsidRPr="00000000">
        <w:rPr>
          <w:rtl w:val="0"/>
        </w:rPr>
        <w:t xml:space="preserve">: as the system's confidence in its ability to handle approaching road conditions decreases, the human driver receives graduated notification that begins well before the critical threshold, providing the cognitive re-engagement time that abrupt handoff requests deny. The Sacred Zero in this context is not a full system halt; it is a constitutional requirement that uncertainty be communicated to the human oversight layer in time for that layer to respond effectively, precisely the functional requirement that EU AI Act Article 14 imposes and that the Level 3 handoff architecture structurally fails to satisfy.</w:t>
      </w:r>
    </w:p>
    <w:p w:rsidR="00000000" w:rsidDel="00000000" w:rsidP="00000000" w:rsidRDefault="00000000" w:rsidRPr="00000000" w14:paraId="000002D4">
      <w:pPr>
        <w:pStyle w:val="Heading4"/>
        <w:keepNext w:val="0"/>
        <w:keepLines w:val="0"/>
        <w:spacing w:after="40" w:before="240" w:lineRule="auto"/>
        <w:rPr>
          <w:b w:val="1"/>
          <w:bCs w:val="1"/>
          <w:color w:val="000000"/>
          <w:sz w:val="22"/>
          <w:szCs w:val="22"/>
        </w:rPr>
      </w:pPr>
      <w:bookmarkStart w:colFirst="0" w:colLast="0" w:name="_diepat200fwo" w:id="95"/>
      <w:bookmarkEnd w:id="95"/>
      <w:r w:rsidDel="00000000" w:rsidR="00000000" w:rsidRPr="00000000">
        <w:rPr>
          <w:b w:val="1"/>
          <w:bCs w:val="1"/>
          <w:color w:val="000000"/>
          <w:sz w:val="22"/>
          <w:szCs w:val="22"/>
          <w:rtl w:val="0"/>
        </w:rPr>
        <w:t xml:space="preserve">4.2.3 The NHTSA Standing General Order and TML Compliance</w:t>
      </w:r>
    </w:p>
    <w:p w:rsidR="00000000" w:rsidDel="00000000" w:rsidP="00000000" w:rsidRDefault="00000000" w:rsidRPr="00000000" w14:paraId="000002D5">
      <w:pPr>
        <w:spacing w:after="240" w:before="240" w:lineRule="auto"/>
        <w:rPr/>
      </w:pPr>
      <w:r w:rsidDel="00000000" w:rsidR="00000000" w:rsidRPr="00000000">
        <w:rPr>
          <w:rtl w:val="0"/>
        </w:rPr>
        <w:t xml:space="preserve">Following a series of high-profile incidents involving Tesla's Autopilot and Full Self-Driving systems, the U.S. National Highway Traffic Safety Administration issued Standing General Order 2021-01, requiring manufacturers to report crashes involving Level 2 and higher automation systems within ten business days</w:t>
      </w:r>
      <w:hyperlink r:id="rId223">
        <w:r w:rsidDel="00000000" w:rsidR="00000000" w:rsidRPr="00000000">
          <w:rPr>
            <w:rtl w:val="0"/>
          </w:rPr>
          <w:t xml:space="preserve"> </w:t>
        </w:r>
      </w:hyperlink>
      <w:hyperlink r:id="rId224">
        <w:r w:rsidDel="00000000" w:rsidR="00000000" w:rsidRPr="00000000">
          <w:rPr>
            <w:color w:val="1155cc"/>
            <w:u w:val="single"/>
            <w:rtl w:val="0"/>
          </w:rPr>
          <w:t xml:space="preserve">[41]</w:t>
        </w:r>
      </w:hyperlink>
      <w:r w:rsidDel="00000000" w:rsidR="00000000" w:rsidRPr="00000000">
        <w:rPr>
          <w:rtl w:val="0"/>
        </w:rPr>
        <w:t xml:space="preserve">. The SGO created a mandatory incident reporting regime but did not resolve the underlying evidentiary problem: manufacturers control the data from their own systems and are the primary source of information about what their systems were doing at the time of a crash.</w:t>
      </w:r>
    </w:p>
    <w:p w:rsidR="00000000" w:rsidDel="00000000" w:rsidP="00000000" w:rsidRDefault="00000000" w:rsidRPr="00000000" w14:paraId="000002D6">
      <w:pPr>
        <w:spacing w:after="240" w:before="240" w:lineRule="auto"/>
        <w:rPr/>
      </w:pPr>
      <w:r w:rsidDel="00000000" w:rsidR="00000000" w:rsidRPr="00000000">
        <w:rPr>
          <w:rtl w:val="0"/>
        </w:rPr>
        <w:t xml:space="preserve">TML's Always Memory and Public Blockchain Anchoring architecture resolves this evidentiary asymmetry. Every automated driving decision is logged with a cryptographic pre-commitment that prevents post-incident modification; the Merkle-anchored record provides independent verification of the system's behavior that does not depend on manufacturer cooperation. NHTSA investigators examining a TML-governed AV crash would access a complete, tamper-evident record of every classification decision, confidence score, Sacred Zero activation, and human handoff event in the period leading to the crash, not a manufacturer-filtered summary but an independently verifiable evidentiary record.</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7m2qwy1koh0f" w:id="96"/>
      <w:bookmarkEnd w:id="96"/>
      <w:r w:rsidDel="00000000" w:rsidR="00000000" w:rsidRPr="00000000">
        <w:rPr>
          <w:b w:val="1"/>
          <w:bCs w:val="1"/>
          <w:color w:val="000000"/>
          <w:sz w:val="26"/>
          <w:szCs w:val="26"/>
          <w:rtl w:val="0"/>
        </w:rPr>
        <w:t xml:space="preserve">4.3 Finance: The Architecture of Algorithmic Accountability</w:t>
      </w:r>
    </w:p>
    <w:p w:rsidR="00000000" w:rsidDel="00000000" w:rsidP="00000000" w:rsidRDefault="00000000" w:rsidRPr="00000000" w14:paraId="000002D8">
      <w:pPr>
        <w:pStyle w:val="Heading4"/>
        <w:keepNext w:val="0"/>
        <w:keepLines w:val="0"/>
        <w:spacing w:after="40" w:before="240" w:lineRule="auto"/>
        <w:rPr>
          <w:b w:val="1"/>
          <w:bCs w:val="1"/>
          <w:color w:val="000000"/>
          <w:sz w:val="22"/>
          <w:szCs w:val="22"/>
        </w:rPr>
      </w:pPr>
      <w:bookmarkStart w:colFirst="0" w:colLast="0" w:name="_j8q8fhopnumx" w:id="97"/>
      <w:bookmarkEnd w:id="97"/>
      <w:r w:rsidDel="00000000" w:rsidR="00000000" w:rsidRPr="00000000">
        <w:rPr>
          <w:b w:val="1"/>
          <w:bCs w:val="1"/>
          <w:color w:val="000000"/>
          <w:sz w:val="22"/>
          <w:szCs w:val="22"/>
          <w:rtl w:val="0"/>
        </w:rPr>
        <w:t xml:space="preserve">4.3.1 The 2010 Flash Crash: Revisited Through the TML Architecture</w:t>
      </w:r>
    </w:p>
    <w:p w:rsidR="00000000" w:rsidDel="00000000" w:rsidP="00000000" w:rsidRDefault="00000000" w:rsidRPr="00000000" w14:paraId="000002D9">
      <w:pPr>
        <w:spacing w:after="240" w:before="240" w:lineRule="auto"/>
        <w:rPr/>
      </w:pPr>
      <w:r w:rsidDel="00000000" w:rsidR="00000000" w:rsidRPr="00000000">
        <w:rPr>
          <w:rtl w:val="0"/>
        </w:rPr>
        <w:t xml:space="preserve">The 2010 Flash Crash, examined in Section I as an introductory failure case, warrants deeper structural analysis in the context of TML's specific architectural responses to financial market instability. The CFTC-SEC investigation identified three structural conditions that enabled the cascade: the absence of coordinated uncertainty handling across algorithmic trading agents; the absence of circuit-breaker mechanisms operating at the individual agent level rather than merely at market-wide administrative thresholds; and the absence of evidentiary infrastructure enabling rapid reconstruction of the cascade sequence</w:t>
      </w:r>
      <w:hyperlink r:id="rId225">
        <w:r w:rsidDel="00000000" w:rsidR="00000000" w:rsidRPr="00000000">
          <w:rPr>
            <w:rtl w:val="0"/>
          </w:rPr>
          <w:t xml:space="preserve"> </w:t>
        </w:r>
      </w:hyperlink>
      <w:hyperlink r:id="rId22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DA">
      <w:pPr>
        <w:spacing w:after="240" w:before="240" w:lineRule="auto"/>
        <w:rPr/>
      </w:pPr>
      <w:r w:rsidDel="00000000" w:rsidR="00000000" w:rsidRPr="00000000">
        <w:rPr>
          <w:rtl w:val="0"/>
        </w:rPr>
        <w:t xml:space="preserve">TML's Dual-Lane Architecture addresses each of these conditions. At the agent level, Sacred Zero activation upon detection of oracle feed contradiction or abnormal price movement velocity interrupts the individual agent's execution before it contributes to the cascade, not through an administrative circuit-breaker imposed by the exchange but through the agent's own governance. The financial trading Sacred Zero default maximum of 50 milliseconds (as specified in the TML Domain Configuration Table) provides circuit-breaker function at the millisecond timescale of algorithmic trading without requiring exchange-level coordination</w:t>
      </w:r>
      <w:hyperlink r:id="rId227">
        <w:r w:rsidDel="00000000" w:rsidR="00000000" w:rsidRPr="00000000">
          <w:rPr>
            <w:rtl w:val="0"/>
          </w:rPr>
          <w:t xml:space="preserve"> </w:t>
        </w:r>
      </w:hyperlink>
      <w:hyperlink r:id="rId22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DB">
      <w:pPr>
        <w:spacing w:after="240" w:before="240" w:lineRule="auto"/>
        <w:rPr/>
      </w:pPr>
      <w:r w:rsidDel="00000000" w:rsidR="00000000" w:rsidRPr="00000000">
        <w:rPr>
          <w:rtl w:val="0"/>
        </w:rPr>
        <w:t xml:space="preserve">At the evidentiary level, the Always Memory pre-actuation commit and Merkle anchoring architecture ensures that every algorithmic order decision is logged and anchored before execution, producing an independently verifiable record of the cascade sequence from every agent's perspective simultaneously. The CFTC-SEC investigation's months-long reconstruction effort would have been available in real time; the responsibility for specific cascade-amplifying decisions would have been unambiguously assignable to specific algorithmic agents and their operators.</w:t>
      </w:r>
    </w:p>
    <w:p w:rsidR="00000000" w:rsidDel="00000000" w:rsidP="00000000" w:rsidRDefault="00000000" w:rsidRPr="00000000" w14:paraId="000002DC">
      <w:pPr>
        <w:pStyle w:val="Heading4"/>
        <w:keepNext w:val="0"/>
        <w:keepLines w:val="0"/>
        <w:spacing w:after="40" w:before="240" w:lineRule="auto"/>
        <w:rPr>
          <w:b w:val="1"/>
          <w:bCs w:val="1"/>
          <w:color w:val="000000"/>
          <w:sz w:val="22"/>
          <w:szCs w:val="22"/>
        </w:rPr>
      </w:pPr>
      <w:bookmarkStart w:colFirst="0" w:colLast="0" w:name="_gijbk6t5trkf" w:id="98"/>
      <w:bookmarkEnd w:id="98"/>
      <w:r w:rsidDel="00000000" w:rsidR="00000000" w:rsidRPr="00000000">
        <w:rPr>
          <w:b w:val="1"/>
          <w:bCs w:val="1"/>
          <w:color w:val="000000"/>
          <w:sz w:val="22"/>
          <w:szCs w:val="22"/>
          <w:rtl w:val="0"/>
        </w:rPr>
        <w:t xml:space="preserve">4.3.2 The Citigroup 2022 Flash Crash: Human-Machine Interface Failure</w:t>
      </w:r>
    </w:p>
    <w:p w:rsidR="00000000" w:rsidDel="00000000" w:rsidP="00000000" w:rsidRDefault="00000000" w:rsidRPr="00000000" w14:paraId="000002DD">
      <w:pPr>
        <w:spacing w:after="240" w:before="240" w:lineRule="auto"/>
        <w:rPr/>
      </w:pPr>
      <w:r w:rsidDel="00000000" w:rsidR="00000000" w:rsidRPr="00000000">
        <w:rPr>
          <w:rtl w:val="0"/>
        </w:rPr>
        <w:t xml:space="preserve">On May 2, 2022, a Citigroup trader erroneously entered an order intended as a $58 million basket trade as a $444 billion order, triggering a flash crash across European equity markets that temporarily erased approximately $300 billion in market value and resulted in a £61.6 million fine from the UK Financial Conduct Authority</w:t>
      </w:r>
      <w:hyperlink r:id="rId229">
        <w:r w:rsidDel="00000000" w:rsidR="00000000" w:rsidRPr="00000000">
          <w:rPr>
            <w:rtl w:val="0"/>
          </w:rPr>
          <w:t xml:space="preserve"> </w:t>
        </w:r>
      </w:hyperlink>
      <w:hyperlink r:id="rId230">
        <w:r w:rsidDel="00000000" w:rsidR="00000000" w:rsidRPr="00000000">
          <w:rPr>
            <w:color w:val="1155cc"/>
            <w:u w:val="single"/>
            <w:rtl w:val="0"/>
          </w:rPr>
          <w:t xml:space="preserve">[42]</w:t>
        </w:r>
      </w:hyperlink>
      <w:r w:rsidDel="00000000" w:rsidR="00000000" w:rsidRPr="00000000">
        <w:rPr>
          <w:rtl w:val="0"/>
        </w:rPr>
        <w:t xml:space="preserve">. The incident was caused by a human data entry error that the trading system's automated safeguards failed to intercept: the system's order validation checks, designed to catch anomalous order sizes, allowed the order to proceed despite its magnitude being approximately 7,600 times the intended value.</w:t>
      </w:r>
    </w:p>
    <w:p w:rsidR="00000000" w:rsidDel="00000000" w:rsidP="00000000" w:rsidRDefault="00000000" w:rsidRPr="00000000" w14:paraId="000002DE">
      <w:pPr>
        <w:spacing w:after="240" w:before="240" w:lineRule="auto"/>
        <w:rPr/>
      </w:pPr>
      <w:r w:rsidDel="00000000" w:rsidR="00000000" w:rsidRPr="00000000">
        <w:rPr>
          <w:rtl w:val="0"/>
        </w:rPr>
        <w:t xml:space="preserve">The structural cause is the failure of binary order validation in a high-consequence execution context. The system either validated the order or rejected it; it had no state for "this order is anomalous in magnitude relative to the stated intent and warrants verification before execution." The Citigroup incident illustrates that Sacred Zero's value extends beyond AI classification uncertainty to human-AI interface design: any automated system that executes without a hesitation mechanism for anomalous inputs creates exposure to catastrophic single-point failures regardless of whether the anomalous input originates from AI processing or human error.</w:t>
      </w:r>
    </w:p>
    <w:p w:rsidR="00000000" w:rsidDel="00000000" w:rsidP="00000000" w:rsidRDefault="00000000" w:rsidRPr="00000000" w14:paraId="000002DF">
      <w:pPr>
        <w:spacing w:after="240" w:before="240" w:lineRule="auto"/>
        <w:rPr/>
      </w:pPr>
      <w:r w:rsidDel="00000000" w:rsidR="00000000" w:rsidRPr="00000000">
        <w:rPr>
          <w:rtl w:val="0"/>
        </w:rPr>
        <w:t xml:space="preserve">A TML-governed trading system would have treated the order magnitude anomaly, a 7,600x deviation from the stated basket trade target, as an immediate Sacred Zero trigger, suspending execution and requiring affirmative human verification before the order could proceed. The Sacred Pause in this context is measured in seconds; the constitutional requirement is that magnitude anomalies constituting plausible data entry errors be verified by the human authority responsible for the trade before the order reaches the market.</w:t>
      </w:r>
    </w:p>
    <w:p w:rsidR="00000000" w:rsidDel="00000000" w:rsidP="00000000" w:rsidRDefault="00000000" w:rsidRPr="00000000" w14:paraId="000002E0">
      <w:pPr>
        <w:pStyle w:val="Heading4"/>
        <w:keepNext w:val="0"/>
        <w:keepLines w:val="0"/>
        <w:spacing w:after="40" w:before="240" w:lineRule="auto"/>
        <w:rPr>
          <w:b w:val="1"/>
          <w:bCs w:val="1"/>
          <w:color w:val="000000"/>
          <w:sz w:val="22"/>
          <w:szCs w:val="22"/>
        </w:rPr>
      </w:pPr>
      <w:bookmarkStart w:colFirst="0" w:colLast="0" w:name="_h8t8cdnk5sn9" w:id="99"/>
      <w:bookmarkEnd w:id="99"/>
      <w:r w:rsidDel="00000000" w:rsidR="00000000" w:rsidRPr="00000000">
        <w:rPr>
          <w:b w:val="1"/>
          <w:bCs w:val="1"/>
          <w:color w:val="000000"/>
          <w:sz w:val="22"/>
          <w:szCs w:val="22"/>
          <w:rtl w:val="0"/>
        </w:rPr>
        <w:t xml:space="preserve">4.3.3 Algorithmic Bias and Digital Redlining</w:t>
      </w:r>
    </w:p>
    <w:p w:rsidR="00000000" w:rsidDel="00000000" w:rsidP="00000000" w:rsidRDefault="00000000" w:rsidRPr="00000000" w14:paraId="000002E1">
      <w:pPr>
        <w:spacing w:after="240" w:before="240" w:lineRule="auto"/>
        <w:rPr/>
      </w:pPr>
      <w:r w:rsidDel="00000000" w:rsidR="00000000" w:rsidRPr="00000000">
        <w:rPr>
          <w:rtl w:val="0"/>
        </w:rPr>
        <w:t xml:space="preserve">The deployment of machine learning systems in consumer credit decisioning has produced a well-documented pattern of algorithmic bias: models trained on historical lending data that reflects decades of discriminatory lending practices reproduce and amplify those practices in their output, denying credit to minority applicants at rates that constitute illegal disparate impact discrimination under the Equal Credit Opportunity Act</w:t>
      </w:r>
      <w:hyperlink r:id="rId231">
        <w:r w:rsidDel="00000000" w:rsidR="00000000" w:rsidRPr="00000000">
          <w:rPr>
            <w:rtl w:val="0"/>
          </w:rPr>
          <w:t xml:space="preserve"> </w:t>
        </w:r>
      </w:hyperlink>
      <w:hyperlink r:id="rId232">
        <w:r w:rsidDel="00000000" w:rsidR="00000000" w:rsidRPr="00000000">
          <w:rPr>
            <w:color w:val="1155cc"/>
            <w:u w:val="single"/>
            <w:rtl w:val="0"/>
          </w:rPr>
          <w:t xml:space="preserve">[43]</w:t>
        </w:r>
      </w:hyperlink>
      <w:r w:rsidDel="00000000" w:rsidR="00000000" w:rsidRPr="00000000">
        <w:rPr>
          <w:rtl w:val="0"/>
        </w:rPr>
        <w:t xml:space="preserve"> while generating confidence scores that lend the discriminatory output the appearance of objective algorithmic determination.</w:t>
      </w:r>
    </w:p>
    <w:p w:rsidR="00000000" w:rsidDel="00000000" w:rsidP="00000000" w:rsidRDefault="00000000" w:rsidRPr="00000000" w14:paraId="000002E2">
      <w:pPr>
        <w:spacing w:after="240" w:before="240" w:lineRule="auto"/>
        <w:rPr/>
      </w:pPr>
      <w:r w:rsidDel="00000000" w:rsidR="00000000" w:rsidRPr="00000000">
        <w:rPr>
          <w:rtl w:val="0"/>
        </w:rPr>
        <w:t xml:space="preserve">The Human Rights Mandate's (Pillar V) non-discrimination vector detection is the specific TML mechanism designed to intercept this failure mode. A credit decisioning system operating under TML governance would detect statistically anomalous concentration of adverse determinations against protected classes as a vector approaching the UDHR Article 2 non-discrimination provision, triggering Sacred Zero and requiring review of the algorithmic basis for the pattern before further decisions in the affected demographic proceed. The sacred Zero log would document the specific model parameters producing the disparate impact, creating an evidentiary basis for fair lending compliance review that the affected applicants and regulators could access.</w:t>
      </w:r>
    </w:p>
    <w:p w:rsidR="00000000" w:rsidDel="00000000" w:rsidP="00000000" w:rsidRDefault="00000000" w:rsidRPr="00000000" w14:paraId="000002E3">
      <w:pPr>
        <w:spacing w:after="240" w:before="240" w:lineRule="auto"/>
        <w:rPr/>
      </w:pPr>
      <w:r w:rsidDel="00000000" w:rsidR="00000000" w:rsidRPr="00000000">
        <w:rPr>
          <w:rtl w:val="0"/>
        </w:rPr>
        <w:t xml:space="preserve">The Always Memory architecture additionally satisfies the Equal Credit Opportunity Act's adverse action notice requirements</w:t>
      </w:r>
      <w:hyperlink r:id="rId233">
        <w:r w:rsidDel="00000000" w:rsidR="00000000" w:rsidRPr="00000000">
          <w:rPr>
            <w:rtl w:val="0"/>
          </w:rPr>
          <w:t xml:space="preserve"> </w:t>
        </w:r>
      </w:hyperlink>
      <w:hyperlink r:id="rId234">
        <w:r w:rsidDel="00000000" w:rsidR="00000000" w:rsidRPr="00000000">
          <w:rPr>
            <w:color w:val="1155cc"/>
            <w:u w:val="single"/>
            <w:rtl w:val="0"/>
          </w:rPr>
          <w:t xml:space="preserve">[43]</w:t>
        </w:r>
      </w:hyperlink>
      <w:r w:rsidDel="00000000" w:rsidR="00000000" w:rsidRPr="00000000">
        <w:rPr>
          <w:rtl w:val="0"/>
        </w:rPr>
        <w:t xml:space="preserve"> at a level of specificity that current algorithmic credit decisioning typically cannot achieve: the Moral Trace Log documents the specific factors and their weights that produced the adverse determination, providing the "specific reasons" for adverse action that ECOA requires and that black-box models are structurally incapable of generating.</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uzsq9u4prr9v" w:id="100"/>
      <w:bookmarkEnd w:id="100"/>
      <w:r w:rsidDel="00000000" w:rsidR="00000000" w:rsidRPr="00000000">
        <w:rPr>
          <w:b w:val="1"/>
          <w:bCs w:val="1"/>
          <w:color w:val="000000"/>
          <w:sz w:val="26"/>
          <w:szCs w:val="26"/>
          <w:rtl w:val="0"/>
        </w:rPr>
        <w:t xml:space="preserve">4.4 Public Sector: The Bureaucracy of Automated Cruelty</w:t>
      </w:r>
    </w:p>
    <w:p w:rsidR="00000000" w:rsidDel="00000000" w:rsidP="00000000" w:rsidRDefault="00000000" w:rsidRPr="00000000" w14:paraId="000002E5">
      <w:pPr>
        <w:pStyle w:val="Heading4"/>
        <w:keepNext w:val="0"/>
        <w:keepLines w:val="0"/>
        <w:spacing w:after="40" w:before="240" w:lineRule="auto"/>
        <w:rPr>
          <w:b w:val="1"/>
          <w:bCs w:val="1"/>
          <w:color w:val="000000"/>
          <w:sz w:val="22"/>
          <w:szCs w:val="22"/>
        </w:rPr>
      </w:pPr>
      <w:bookmarkStart w:colFirst="0" w:colLast="0" w:name="_hfh6pbeu261b" w:id="101"/>
      <w:bookmarkEnd w:id="101"/>
      <w:r w:rsidDel="00000000" w:rsidR="00000000" w:rsidRPr="00000000">
        <w:rPr>
          <w:b w:val="1"/>
          <w:bCs w:val="1"/>
          <w:color w:val="000000"/>
          <w:sz w:val="22"/>
          <w:szCs w:val="22"/>
          <w:rtl w:val="0"/>
        </w:rPr>
        <w:t xml:space="preserve">4.4.1 The Dutch Toeslagenaffaire: Algorithmic Discrimination at Administrative Scale</w:t>
      </w:r>
    </w:p>
    <w:p w:rsidR="00000000" w:rsidDel="00000000" w:rsidP="00000000" w:rsidRDefault="00000000" w:rsidRPr="00000000" w14:paraId="000002E6">
      <w:pPr>
        <w:spacing w:after="240" w:before="240" w:lineRule="auto"/>
        <w:rPr/>
      </w:pPr>
      <w:r w:rsidDel="00000000" w:rsidR="00000000" w:rsidRPr="00000000">
        <w:rPr>
          <w:rtl w:val="0"/>
        </w:rPr>
        <w:t xml:space="preserve">The structural analysis of the Toeslagenaffaire, introduced in Section I, warrants extension in the context of TML's specific mechanisms for public sector deployment. The Parliamentary Inquiry Committee's report </w:t>
      </w:r>
      <w:r w:rsidDel="00000000" w:rsidR="00000000" w:rsidRPr="00000000">
        <w:rPr>
          <w:i w:val="1"/>
          <w:iCs w:val="1"/>
          <w:rtl w:val="0"/>
        </w:rPr>
        <w:t xml:space="preserve">Ongekend onrecht</w:t>
      </w:r>
      <w:r w:rsidDel="00000000" w:rsidR="00000000" w:rsidRPr="00000000">
        <w:rPr>
          <w:rtl w:val="0"/>
        </w:rPr>
        <w:t xml:space="preserve"> documented three structural conditions that enabled the scandal to continue for seven years before judicial intervention</w:t>
      </w:r>
      <w:hyperlink r:id="rId235">
        <w:r w:rsidDel="00000000" w:rsidR="00000000" w:rsidRPr="00000000">
          <w:rPr>
            <w:rtl w:val="0"/>
          </w:rPr>
          <w:t xml:space="preserve"> </w:t>
        </w:r>
      </w:hyperlink>
      <w:hyperlink r:id="rId236">
        <w:r w:rsidDel="00000000" w:rsidR="00000000" w:rsidRPr="00000000">
          <w:rPr>
            <w:color w:val="1155cc"/>
            <w:u w:val="single"/>
            <w:rtl w:val="0"/>
          </w:rPr>
          <w:t xml:space="preserve">[9]</w:t>
        </w:r>
      </w:hyperlink>
      <w:r w:rsidDel="00000000" w:rsidR="00000000" w:rsidRPr="00000000">
        <w:rPr>
          <w:rtl w:val="0"/>
        </w:rPr>
        <w:t xml:space="preserve">: the binary fraud classifier produced adverse determinations with confidence that foreclosed administrative review; the absence of accessible rationale for adverse determinations denied affected families any meaningful contestation pathway; and the absence of external institutional oversight of the classifier's operation allowed systematic bias to accumulate without detection.</w:t>
      </w:r>
    </w:p>
    <w:p w:rsidR="00000000" w:rsidDel="00000000" w:rsidP="00000000" w:rsidRDefault="00000000" w:rsidRPr="00000000" w14:paraId="000002E7">
      <w:pPr>
        <w:spacing w:after="240" w:before="240" w:lineRule="auto"/>
        <w:rPr/>
      </w:pPr>
      <w:r w:rsidDel="00000000" w:rsidR="00000000" w:rsidRPr="00000000">
        <w:rPr>
          <w:rtl w:val="0"/>
        </w:rPr>
        <w:t xml:space="preserve">TML's constitutional architecture addresses each condition directly. The Sacred Zero requirement for low-confidence adverse determinations against protected classes, triggered by the Human Rights Mandate's non-discrimination detection, would have interrupted the classifier's systematic adverse determination pattern before it reached the scale documented in the inquiry report. The Moral Trace Log's mandatory rationale documentation, including the specific algorithmic factors and their weights in the adverse determination, would have provided affected families with the accessible basis for contestation that GDPR Article 22 and EU AI Act Article 13 require but that the Toeslagenaffaire system structurally could not produce. The Hybrid Shield's distributed custody across seated institutional custodians, including a human rights partner, would have provided institutional oversight independent of the Tax Authority's internal compliance structure.</w:t>
      </w:r>
    </w:p>
    <w:p w:rsidR="00000000" w:rsidDel="00000000" w:rsidP="00000000" w:rsidRDefault="00000000" w:rsidRPr="00000000" w14:paraId="000002E8">
      <w:pPr>
        <w:spacing w:after="240" w:before="240" w:lineRule="auto"/>
        <w:rPr/>
      </w:pPr>
      <w:r w:rsidDel="00000000" w:rsidR="00000000" w:rsidRPr="00000000">
        <w:rPr>
          <w:rtl w:val="0"/>
        </w:rPr>
        <w:t xml:space="preserve">The follow-on parliamentary inquiry </w:t>
      </w:r>
      <w:r w:rsidDel="00000000" w:rsidR="00000000" w:rsidRPr="00000000">
        <w:rPr>
          <w:i w:val="1"/>
          <w:iCs w:val="1"/>
          <w:rtl w:val="0"/>
        </w:rPr>
        <w:t xml:space="preserve">Blind voor mens en recht</w:t>
      </w:r>
      <w:r w:rsidDel="00000000" w:rsidR="00000000" w:rsidRPr="00000000">
        <w:rPr>
          <w:rtl w:val="0"/>
        </w:rPr>
        <w:t xml:space="preserve"> (2024) found that the algorithmic discrimination extended beyond the childcare benefits system to multiple Tax Authority automated decision processes, and that the institutional culture that produced the Toeslagenaffaire was systemic rather than isolated</w:t>
      </w:r>
      <w:hyperlink r:id="rId237">
        <w:r w:rsidDel="00000000" w:rsidR="00000000" w:rsidRPr="00000000">
          <w:rPr>
            <w:rtl w:val="0"/>
          </w:rPr>
          <w:t xml:space="preserve"> </w:t>
        </w:r>
      </w:hyperlink>
      <w:hyperlink r:id="rId238">
        <w:r w:rsidDel="00000000" w:rsidR="00000000" w:rsidRPr="00000000">
          <w:rPr>
            <w:color w:val="1155cc"/>
            <w:u w:val="single"/>
            <w:rtl w:val="0"/>
          </w:rPr>
          <w:t xml:space="preserve">[11]</w:t>
        </w:r>
      </w:hyperlink>
      <w:r w:rsidDel="00000000" w:rsidR="00000000" w:rsidRPr="00000000">
        <w:rPr>
          <w:rtl w:val="0"/>
        </w:rPr>
        <w:t xml:space="preserve">. TML's Goukassian Promise addresses this systemic dimension: the Lantern's continuous compliance broadcasting and the custodian network's real-time log replication create institutional transparency that operates above and independently of the agency's internal compliance culture. An agency that systematically bypasses its governance constraints cannot conceal that bypass from the seated institutional custodians.</w:t>
      </w:r>
    </w:p>
    <w:p w:rsidR="00000000" w:rsidDel="00000000" w:rsidP="00000000" w:rsidRDefault="00000000" w:rsidRPr="00000000" w14:paraId="000002E9">
      <w:pPr>
        <w:pStyle w:val="Heading4"/>
        <w:keepNext w:val="0"/>
        <w:keepLines w:val="0"/>
        <w:spacing w:after="40" w:before="240" w:lineRule="auto"/>
        <w:rPr>
          <w:b w:val="1"/>
          <w:bCs w:val="1"/>
          <w:color w:val="000000"/>
          <w:sz w:val="22"/>
          <w:szCs w:val="22"/>
        </w:rPr>
      </w:pPr>
      <w:bookmarkStart w:colFirst="0" w:colLast="0" w:name="_smk0tt1wzvyk" w:id="102"/>
      <w:bookmarkEnd w:id="102"/>
      <w:r w:rsidDel="00000000" w:rsidR="00000000" w:rsidRPr="00000000">
        <w:rPr>
          <w:b w:val="1"/>
          <w:bCs w:val="1"/>
          <w:color w:val="000000"/>
          <w:sz w:val="22"/>
          <w:szCs w:val="22"/>
          <w:rtl w:val="0"/>
        </w:rPr>
        <w:t xml:space="preserve">4.4.2 Australia's Robodebt Scheme: Scale Without Epistemic Warrant</w:t>
      </w:r>
    </w:p>
    <w:p w:rsidR="00000000" w:rsidDel="00000000" w:rsidP="00000000" w:rsidRDefault="00000000" w:rsidRPr="00000000" w14:paraId="000002EA">
      <w:pPr>
        <w:spacing w:after="240" w:before="240" w:lineRule="auto"/>
        <w:rPr/>
      </w:pPr>
      <w:r w:rsidDel="00000000" w:rsidR="00000000" w:rsidRPr="00000000">
        <w:rPr>
          <w:rtl w:val="0"/>
        </w:rPr>
        <w:t xml:space="preserve">The Royal Commission into the Robodebt Scheme found that the program's constituting flaw was not technical but epistemic: the automated income averaging methodology that generated the debt notices was not statistically valid as a method of establishing individual debt liability, and the system's operators knew or ought to have known this before the program was operationalized at scale</w:t>
      </w:r>
      <w:hyperlink r:id="rId239">
        <w:r w:rsidDel="00000000" w:rsidR="00000000" w:rsidRPr="00000000">
          <w:rPr>
            <w:rtl w:val="0"/>
          </w:rPr>
          <w:t xml:space="preserve"> </w:t>
        </w:r>
      </w:hyperlink>
      <w:hyperlink r:id="rId240">
        <w:r w:rsidDel="00000000" w:rsidR="00000000" w:rsidRPr="00000000">
          <w:rPr>
            <w:color w:val="1155cc"/>
            <w:u w:val="single"/>
            <w:rtl w:val="0"/>
          </w:rPr>
          <w:t xml:space="preserve">[7]</w:t>
        </w:r>
      </w:hyperlink>
      <w:r w:rsidDel="00000000" w:rsidR="00000000" w:rsidRPr="00000000">
        <w:rPr>
          <w:rtl w:val="0"/>
        </w:rPr>
        <w:t xml:space="preserve">. The binary classifier issued 470,000 notices with institutional confidence that the methodology did not support, against a population of welfare recipients who lacked the resources, information, and legal capacity to contest determinations that presented as official government findings.</w:t>
      </w:r>
    </w:p>
    <w:p w:rsidR="00000000" w:rsidDel="00000000" w:rsidP="00000000" w:rsidRDefault="00000000" w:rsidRPr="00000000" w14:paraId="000002EB">
      <w:pPr>
        <w:spacing w:after="240" w:before="240" w:lineRule="auto"/>
        <w:rPr/>
      </w:pPr>
      <w:r w:rsidDel="00000000" w:rsidR="00000000" w:rsidRPr="00000000">
        <w:rPr>
          <w:rtl w:val="0"/>
        </w:rPr>
        <w:t xml:space="preserve">TML's requirement for a complete evidentiary package before State +1 authorization, specifically, the requirement that the </w:t>
      </w:r>
      <w:r w:rsidDel="00000000" w:rsidR="00000000" w:rsidRPr="00000000">
        <w:rPr>
          <w:rFonts w:ascii="Roboto Mono" w:cs="Roboto Mono" w:eastAsia="Roboto Mono" w:hAnsi="Roboto Mono"/>
          <w:color w:val="188038"/>
          <w:rtl w:val="0"/>
        </w:rPr>
        <w:t xml:space="preserve">ethicalVerification.overallVerdict</w:t>
      </w:r>
      <w:r w:rsidDel="00000000" w:rsidR="00000000" w:rsidRPr="00000000">
        <w:rPr>
          <w:rtl w:val="0"/>
        </w:rPr>
        <w:t xml:space="preserve"> be </w:t>
      </w:r>
      <w:r w:rsidDel="00000000" w:rsidR="00000000" w:rsidRPr="00000000">
        <w:rPr>
          <w:rFonts w:ascii="Roboto Mono" w:cs="Roboto Mono" w:eastAsia="Roboto Mono" w:hAnsi="Roboto Mono"/>
          <w:color w:val="188038"/>
          <w:rtl w:val="0"/>
        </w:rPr>
        <w:t xml:space="preserve">PASSED</w:t>
      </w:r>
      <w:r w:rsidDel="00000000" w:rsidR="00000000" w:rsidRPr="00000000">
        <w:rPr>
          <w:rtl w:val="0"/>
        </w:rPr>
        <w:t xml:space="preserve"> across all Eight Pillars, would have required the Anchoring Lane to assess whether the income averaging methodology met the evidentiary standard for an adverse determination affecting individuals' legal and financial status. A methodology that is not statistically valid for individual liability determination fails the Sacred Zero confidence threshold by definition: the system cannot be confident in a determination whose methodological basis is invalid. The Sacred Pause would have required human verification of the evidentiary basis for the debt notice before issuance, interrupting the program at the individual decision level rather than requiring a Royal Commission three years after harm had occurred at scale.</w:t>
      </w:r>
    </w:p>
    <w:p w:rsidR="00000000" w:rsidDel="00000000" w:rsidP="00000000" w:rsidRDefault="00000000" w:rsidRPr="00000000" w14:paraId="000002EC">
      <w:pPr>
        <w:spacing w:after="240" w:before="240" w:lineRule="auto"/>
        <w:rPr/>
      </w:pPr>
      <w:r w:rsidDel="00000000" w:rsidR="00000000" w:rsidRPr="00000000">
        <w:rPr>
          <w:rtl w:val="0"/>
        </w:rPr>
        <w:t xml:space="preserve">The Royal Commission's referrals for potential criminal prosecution of senior officials involved in the scheme</w:t>
      </w:r>
      <w:hyperlink r:id="rId241">
        <w:r w:rsidDel="00000000" w:rsidR="00000000" w:rsidRPr="00000000">
          <w:rPr>
            <w:rtl w:val="0"/>
          </w:rPr>
          <w:t xml:space="preserve"> </w:t>
        </w:r>
      </w:hyperlink>
      <w:hyperlink r:id="rId242">
        <w:r w:rsidDel="00000000" w:rsidR="00000000" w:rsidRPr="00000000">
          <w:rPr>
            <w:color w:val="1155cc"/>
            <w:u w:val="single"/>
            <w:rtl w:val="0"/>
          </w:rPr>
          <w:t xml:space="preserve">[7]</w:t>
        </w:r>
      </w:hyperlink>
      <w:r w:rsidDel="00000000" w:rsidR="00000000" w:rsidRPr="00000000">
        <w:rPr>
          <w:rtl w:val="0"/>
        </w:rPr>
        <w:t xml:space="preserve"> illustrate the liability transformation that TML produces in public sector AI deployment. Under TML's Always Memory architecture, the evidentiary record of every decision, including the Anchoring Lane's assessment, the Sacred Zero triggers, and the human authorizations that overrode holds, is preserved and publicly anchored. The question of whether senior officials knew the methodology was invalid, and whether they authorized its continued use despite holds, becomes answerable from the Moral Trace Log rather than from contested witness testimony.</w:t>
      </w:r>
    </w:p>
    <w:p w:rsidR="00000000" w:rsidDel="00000000" w:rsidP="00000000" w:rsidRDefault="00000000" w:rsidRPr="00000000" w14:paraId="000002ED">
      <w:pPr>
        <w:pStyle w:val="Heading4"/>
        <w:keepNext w:val="0"/>
        <w:keepLines w:val="0"/>
        <w:spacing w:after="40" w:before="240" w:lineRule="auto"/>
        <w:rPr>
          <w:b w:val="1"/>
          <w:bCs w:val="1"/>
          <w:color w:val="000000"/>
          <w:sz w:val="22"/>
          <w:szCs w:val="22"/>
        </w:rPr>
      </w:pPr>
      <w:bookmarkStart w:colFirst="0" w:colLast="0" w:name="_bdwbg11i3ojt" w:id="103"/>
      <w:bookmarkEnd w:id="103"/>
      <w:r w:rsidDel="00000000" w:rsidR="00000000" w:rsidRPr="00000000">
        <w:rPr>
          <w:b w:val="1"/>
          <w:bCs w:val="1"/>
          <w:color w:val="000000"/>
          <w:sz w:val="22"/>
          <w:szCs w:val="22"/>
          <w:rtl w:val="0"/>
        </w:rPr>
        <w:t xml:space="preserve">4.4.3 Arkansas Medicaid: The Black Box of Care Reduction</w:t>
      </w:r>
    </w:p>
    <w:p w:rsidR="00000000" w:rsidDel="00000000" w:rsidP="00000000" w:rsidRDefault="00000000" w:rsidRPr="00000000" w14:paraId="000002EE">
      <w:pPr>
        <w:spacing w:after="240" w:before="240" w:lineRule="auto"/>
        <w:rPr/>
      </w:pPr>
      <w:r w:rsidDel="00000000" w:rsidR="00000000" w:rsidRPr="00000000">
        <w:rPr>
          <w:rtl w:val="0"/>
        </w:rPr>
        <w:t xml:space="preserve">In 2016, Arkansas implemented a computer algorithm to determine Medicaid personal care assistance hours for disabled residents under a new assessment methodology. The algorithm produced dramatic reductions in hours for numerous residents, including individuals with cerebral palsy, brain injuries, and other severe disabilities, without providing explanations that those residents could meaningfully contest. In </w:t>
      </w:r>
      <w:r w:rsidDel="00000000" w:rsidR="00000000" w:rsidRPr="00000000">
        <w:rPr>
          <w:i w:val="1"/>
          <w:iCs w:val="1"/>
          <w:rtl w:val="0"/>
        </w:rPr>
        <w:t xml:space="preserve">Ledgerwood v. Jester</w:t>
      </w:r>
      <w:r w:rsidDel="00000000" w:rsidR="00000000" w:rsidRPr="00000000">
        <w:rPr>
          <w:rtl w:val="0"/>
        </w:rPr>
        <w:t xml:space="preserve">, the Eighth Circuit found that Arkansas's failure to provide adequate pre-deprivation notice of the specific reasons for benefit reductions violated the Due Process Clause of the Fourteenth Amendment</w:t>
      </w:r>
      <w:hyperlink r:id="rId243">
        <w:r w:rsidDel="00000000" w:rsidR="00000000" w:rsidRPr="00000000">
          <w:rPr>
            <w:rtl w:val="0"/>
          </w:rPr>
          <w:t xml:space="preserve"> </w:t>
        </w:r>
      </w:hyperlink>
      <w:hyperlink r:id="rId244">
        <w:r w:rsidDel="00000000" w:rsidR="00000000" w:rsidRPr="00000000">
          <w:rPr>
            <w:color w:val="1155cc"/>
            <w:u w:val="single"/>
            <w:rtl w:val="0"/>
          </w:rPr>
          <w:t xml:space="preserve">[28]</w:t>
        </w:r>
      </w:hyperlink>
      <w:r w:rsidDel="00000000" w:rsidR="00000000" w:rsidRPr="00000000">
        <w:rPr>
          <w:rtl w:val="0"/>
        </w:rPr>
        <w:t xml:space="preserve">.</w:t>
      </w:r>
    </w:p>
    <w:p w:rsidR="00000000" w:rsidDel="00000000" w:rsidP="00000000" w:rsidRDefault="00000000" w:rsidRPr="00000000" w14:paraId="000002EF">
      <w:pPr>
        <w:spacing w:after="240" w:before="240" w:lineRule="auto"/>
        <w:rPr/>
      </w:pPr>
      <w:r w:rsidDel="00000000" w:rsidR="00000000" w:rsidRPr="00000000">
        <w:rPr>
          <w:rtl w:val="0"/>
        </w:rPr>
        <w:t xml:space="preserve">The deficiency identified in </w:t>
      </w:r>
      <w:r w:rsidDel="00000000" w:rsidR="00000000" w:rsidRPr="00000000">
        <w:rPr>
          <w:i w:val="1"/>
          <w:iCs w:val="1"/>
          <w:rtl w:val="0"/>
        </w:rPr>
        <w:t xml:space="preserve">Ledgerwood</w:t>
      </w:r>
      <w:r w:rsidDel="00000000" w:rsidR="00000000" w:rsidRPr="00000000">
        <w:rPr>
          <w:rtl w:val="0"/>
        </w:rPr>
        <w:t xml:space="preserve"> is precisely the deficiency that Moral Trace Logs (Pillar IV) are designed to eliminate: the absence of accessible rationale for automated adverse determinations that affect constitutionally protected interests. A TML-governed benefit determination system would have generated a complete TSLF log for every hours reduction, documenting the specific assessment parameters, their weights in the determination, the provisions evaluated, and the confidence level of the outcome, providing the "specific reasons" that due process requires in a form accessible to the affected resident and reviewable by any adjudicating authority.</w:t>
      </w:r>
    </w:p>
    <w:p w:rsidR="00000000" w:rsidDel="00000000" w:rsidP="00000000" w:rsidRDefault="00000000" w:rsidRPr="00000000" w14:paraId="000002F0">
      <w:pPr>
        <w:spacing w:after="240" w:before="240" w:lineRule="auto"/>
        <w:rPr/>
      </w:pPr>
      <w:r w:rsidDel="00000000" w:rsidR="00000000" w:rsidRPr="00000000">
        <w:rPr>
          <w:rtl w:val="0"/>
        </w:rPr>
        <w:t xml:space="preserve">The Eighth Circuit's analysis establishes that due process imposes a minimum evidentiary disclosure obligation on automated government decision-making that TML's Moral Trace Log architecture satisfies as a structural byproduct rather than as a separate compliance obligation. Government agencies deploying TML-governed decision systems are, by operation of the architecture, in compliance with the </w:t>
      </w:r>
      <w:r w:rsidDel="00000000" w:rsidR="00000000" w:rsidRPr="00000000">
        <w:rPr>
          <w:i w:val="1"/>
          <w:iCs w:val="1"/>
          <w:rtl w:val="0"/>
        </w:rPr>
        <w:t xml:space="preserve">Ledgerwood</w:t>
      </w:r>
      <w:r w:rsidDel="00000000" w:rsidR="00000000" w:rsidRPr="00000000">
        <w:rPr>
          <w:rtl w:val="0"/>
        </w:rPr>
        <w:t xml:space="preserve"> standard for every decision the system makes.</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8xighxckf429" w:id="104"/>
      <w:bookmarkEnd w:id="104"/>
      <w:r w:rsidDel="00000000" w:rsidR="00000000" w:rsidRPr="00000000">
        <w:rPr>
          <w:b w:val="1"/>
          <w:bCs w:val="1"/>
          <w:color w:val="000000"/>
          <w:sz w:val="26"/>
          <w:szCs w:val="26"/>
          <w:rtl w:val="0"/>
        </w:rPr>
        <w:t xml:space="preserve">4.5 Defense: The Lethality Loop and Meaningful Human Control</w:t>
      </w:r>
    </w:p>
    <w:p w:rsidR="00000000" w:rsidDel="00000000" w:rsidP="00000000" w:rsidRDefault="00000000" w:rsidRPr="00000000" w14:paraId="000002F2">
      <w:pPr>
        <w:pStyle w:val="Heading4"/>
        <w:keepNext w:val="0"/>
        <w:keepLines w:val="0"/>
        <w:spacing w:after="40" w:before="240" w:lineRule="auto"/>
        <w:rPr>
          <w:b w:val="1"/>
          <w:bCs w:val="1"/>
          <w:color w:val="000000"/>
          <w:sz w:val="22"/>
          <w:szCs w:val="22"/>
        </w:rPr>
      </w:pPr>
      <w:bookmarkStart w:colFirst="0" w:colLast="0" w:name="_ujnmt4f67evp" w:id="105"/>
      <w:bookmarkEnd w:id="105"/>
      <w:r w:rsidDel="00000000" w:rsidR="00000000" w:rsidRPr="00000000">
        <w:rPr>
          <w:b w:val="1"/>
          <w:bCs w:val="1"/>
          <w:color w:val="000000"/>
          <w:sz w:val="22"/>
          <w:szCs w:val="22"/>
          <w:rtl w:val="0"/>
        </w:rPr>
        <w:t xml:space="preserve">4.5.1 The Kargu-2: The Constitutional Imperative of the Hesitation State in Lethal Systems</w:t>
      </w:r>
    </w:p>
    <w:p w:rsidR="00000000" w:rsidDel="00000000" w:rsidP="00000000" w:rsidRDefault="00000000" w:rsidRPr="00000000" w14:paraId="000002F3">
      <w:pPr>
        <w:spacing w:after="240" w:before="240" w:lineRule="auto"/>
        <w:rPr/>
      </w:pPr>
      <w:r w:rsidDel="00000000" w:rsidR="00000000" w:rsidRPr="00000000">
        <w:rPr>
          <w:rtl w:val="0"/>
        </w:rPr>
        <w:t xml:space="preserve">The UN Panel of Experts documentation of the Kargu-2 engagement in Libya</w:t>
      </w:r>
      <w:hyperlink r:id="rId245">
        <w:r w:rsidDel="00000000" w:rsidR="00000000" w:rsidRPr="00000000">
          <w:rPr>
            <w:rtl w:val="0"/>
          </w:rPr>
          <w:t xml:space="preserve"> </w:t>
        </w:r>
      </w:hyperlink>
      <w:hyperlink r:id="rId246">
        <w:r w:rsidDel="00000000" w:rsidR="00000000" w:rsidRPr="00000000">
          <w:rPr>
            <w:color w:val="1155cc"/>
            <w:u w:val="single"/>
            <w:rtl w:val="0"/>
          </w:rPr>
          <w:t xml:space="preserve">[8]</w:t>
        </w:r>
      </w:hyperlink>
      <w:r w:rsidDel="00000000" w:rsidR="00000000" w:rsidRPr="00000000">
        <w:rPr>
          <w:rtl w:val="0"/>
        </w:rPr>
        <w:t xml:space="preserve">, examined in Section I as an introductory failure case, presents in the defense sector the starkest possible illustration of what is at stake in the absence of a hesitation state: a system that can apply lethal force without human control over the individual targeting decision has no mechanism for recognizing the moral weight of the action it is taking. It has no Sacred Zero. It has no way of saying "the identification of this target as a lawful combatant is uncertain; engagement must be withheld pending human determination." It engages.</w:t>
      </w:r>
    </w:p>
    <w:p w:rsidR="00000000" w:rsidDel="00000000" w:rsidP="00000000" w:rsidRDefault="00000000" w:rsidRPr="00000000" w14:paraId="000002F4">
      <w:pPr>
        <w:spacing w:after="240" w:before="240" w:lineRule="auto"/>
        <w:rPr/>
      </w:pPr>
      <w:r w:rsidDel="00000000" w:rsidR="00000000" w:rsidRPr="00000000">
        <w:rPr>
          <w:rtl w:val="0"/>
        </w:rPr>
        <w:t xml:space="preserve">The academic and legal literature on autonomous weapons systems has coalesced around the concept of </w:t>
      </w:r>
      <w:r w:rsidDel="00000000" w:rsidR="00000000" w:rsidRPr="00000000">
        <w:rPr>
          <w:b w:val="1"/>
          <w:bCs w:val="1"/>
          <w:rtl w:val="0"/>
        </w:rPr>
        <w:t xml:space="preserve">Meaningful Human Control (MHC)</w:t>
      </w:r>
      <w:r w:rsidDel="00000000" w:rsidR="00000000" w:rsidRPr="00000000">
        <w:rPr>
          <w:rtl w:val="0"/>
        </w:rPr>
        <w:t xml:space="preserve"> as the governing standard for legally and ethically permissible lethal autonomous systems</w:t>
      </w:r>
      <w:hyperlink r:id="rId247">
        <w:r w:rsidDel="00000000" w:rsidR="00000000" w:rsidRPr="00000000">
          <w:rPr>
            <w:rtl w:val="0"/>
          </w:rPr>
          <w:t xml:space="preserve"> </w:t>
        </w:r>
      </w:hyperlink>
      <w:hyperlink r:id="rId248">
        <w:r w:rsidDel="00000000" w:rsidR="00000000" w:rsidRPr="00000000">
          <w:rPr>
            <w:color w:val="1155cc"/>
            <w:u w:val="single"/>
            <w:rtl w:val="0"/>
          </w:rPr>
          <w:t xml:space="preserve">[44]</w:t>
        </w:r>
      </w:hyperlink>
      <w:r w:rsidDel="00000000" w:rsidR="00000000" w:rsidRPr="00000000">
        <w:rPr>
          <w:rtl w:val="0"/>
        </w:rPr>
        <w:t xml:space="preserve">. MHC requires that a human being with appropriate authority make a genuine decision about the use of lethal force in each specific engagement, not merely a decision to deploy a system that subsequently makes its own engagement decisions. The Kargu-2 incident demonstrates that binary autonomous weapon architectures are structurally incapable of implementing MHC because they lack the state in which the human authority's decision is required.</w:t>
      </w:r>
    </w:p>
    <w:p w:rsidR="00000000" w:rsidDel="00000000" w:rsidP="00000000" w:rsidRDefault="00000000" w:rsidRPr="00000000" w14:paraId="000002F5">
      <w:pPr>
        <w:spacing w:after="240" w:before="240" w:lineRule="auto"/>
        <w:rPr/>
      </w:pPr>
      <w:r w:rsidDel="00000000" w:rsidR="00000000" w:rsidRPr="00000000">
        <w:rPr>
          <w:rtl w:val="0"/>
        </w:rPr>
        <w:t xml:space="preserve">TML's constitutional architecture provides the specific technical implementation of MHC that the autonomous weapons literature has articulated in policy terms but been unable to specify technically. The Human Rights Mandate's Geneva Convention vector embeddings, combined with the Sacred Zero requirement for target identification below the confidence threshold, create a system in which the transition from target acquisition to engagement cannot proceed without either a high-confidence identification that satisfies requirements or an explicit human authorization that overrides the Sacred Zero hold. The system cannot engage in the face of identification uncertainty because the architecture does not generate a Permission Token for an engagement that has not passed review.</w:t>
      </w:r>
    </w:p>
    <w:p w:rsidR="00000000" w:rsidDel="00000000" w:rsidP="00000000" w:rsidRDefault="00000000" w:rsidRPr="00000000" w14:paraId="000002F6">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POST /emergency/override</w:t>
      </w:r>
      <w:r w:rsidDel="00000000" w:rsidR="00000000" w:rsidRPr="00000000">
        <w:rPr>
          <w:rtl w:val="0"/>
        </w:rPr>
        <w:t xml:space="preserve"> endpoint in the TML API specification acknowledges that there are legitimate operational contexts in which emergency human authority may override a Sacred Zero hold</w:t>
      </w:r>
      <w:hyperlink r:id="rId249">
        <w:r w:rsidDel="00000000" w:rsidR="00000000" w:rsidRPr="00000000">
          <w:rPr>
            <w:rtl w:val="0"/>
          </w:rPr>
          <w:t xml:space="preserve"> </w:t>
        </w:r>
      </w:hyperlink>
      <w:hyperlink r:id="rId250">
        <w:r w:rsidDel="00000000" w:rsidR="00000000" w:rsidRPr="00000000">
          <w:rPr>
            <w:color w:val="1155cc"/>
            <w:u w:val="single"/>
            <w:rtl w:val="0"/>
          </w:rPr>
          <w:t xml:space="preserve">[6]</w:t>
        </w:r>
      </w:hyperlink>
      <w:r w:rsidDel="00000000" w:rsidR="00000000" w:rsidRPr="00000000">
        <w:rPr>
          <w:rtl w:val="0"/>
        </w:rPr>
        <w:t xml:space="preserve">. In a lethal autonomous weapons context, this override pathway is the technical implementation of MHC: a human with appropriate authority can authorize engagement despite Sacred Zero activation, but the authorization is logged, signed, anchored, and attributable. The human decision-maker cannot act anonymously; the Moral Trace Log documents their authorization, creating the individual accountability for lethal force decisions that international humanitarian law requires.</w:t>
      </w:r>
    </w:p>
    <w:p w:rsidR="00000000" w:rsidDel="00000000" w:rsidP="00000000" w:rsidRDefault="00000000" w:rsidRPr="00000000" w14:paraId="000002F7">
      <w:pPr>
        <w:pStyle w:val="Heading4"/>
        <w:keepNext w:val="0"/>
        <w:keepLines w:val="0"/>
        <w:spacing w:after="40" w:before="240" w:lineRule="auto"/>
        <w:rPr>
          <w:b w:val="1"/>
          <w:bCs w:val="1"/>
          <w:color w:val="000000"/>
          <w:sz w:val="22"/>
          <w:szCs w:val="22"/>
        </w:rPr>
      </w:pPr>
      <w:bookmarkStart w:colFirst="0" w:colLast="0" w:name="_dehmvrxhr0ej" w:id="106"/>
      <w:bookmarkEnd w:id="106"/>
      <w:r w:rsidDel="00000000" w:rsidR="00000000" w:rsidRPr="00000000">
        <w:rPr>
          <w:b w:val="1"/>
          <w:bCs w:val="1"/>
          <w:color w:val="000000"/>
          <w:sz w:val="22"/>
          <w:szCs w:val="22"/>
          <w:rtl w:val="0"/>
        </w:rPr>
        <w:t xml:space="preserve">4.5.2 DoD Directive 3000.09 and the TML Compliance Architecture</w:t>
      </w:r>
    </w:p>
    <w:p w:rsidR="00000000" w:rsidDel="00000000" w:rsidP="00000000" w:rsidRDefault="00000000" w:rsidRPr="00000000" w14:paraId="000002F8">
      <w:pPr>
        <w:spacing w:after="240" w:before="240" w:lineRule="auto"/>
        <w:rPr/>
      </w:pPr>
      <w:r w:rsidDel="00000000" w:rsidR="00000000" w:rsidRPr="00000000">
        <w:rPr>
          <w:rtl w:val="0"/>
        </w:rPr>
        <w:t xml:space="preserve">U.S. Department of Defense Directive 3000.09, "Autonomous Weapon Systems," establishes a policy requirement that autonomous and semi-autonomous weapon systems be designed to allow commanders and operators to exercise appropriate levels of human judgment over the use of force</w:t>
      </w:r>
      <w:hyperlink r:id="rId251">
        <w:r w:rsidDel="00000000" w:rsidR="00000000" w:rsidRPr="00000000">
          <w:rPr>
            <w:rtl w:val="0"/>
          </w:rPr>
          <w:t xml:space="preserve"> </w:t>
        </w:r>
      </w:hyperlink>
      <w:hyperlink r:id="rId252">
        <w:r w:rsidDel="00000000" w:rsidR="00000000" w:rsidRPr="00000000">
          <w:rPr>
            <w:color w:val="1155cc"/>
            <w:u w:val="single"/>
            <w:rtl w:val="0"/>
          </w:rPr>
          <w:t xml:space="preserve">[45]</w:t>
        </w:r>
      </w:hyperlink>
      <w:r w:rsidDel="00000000" w:rsidR="00000000" w:rsidRPr="00000000">
        <w:rPr>
          <w:rtl w:val="0"/>
        </w:rPr>
        <w:t xml:space="preserve">. The Directive's requirements are stated in policy terms rather than technical specifications; the translation of "appropriate levels of human judgment" into system architecture has been left to program offices with inconsistent results.</w:t>
      </w:r>
    </w:p>
    <w:p w:rsidR="00000000" w:rsidDel="00000000" w:rsidP="00000000" w:rsidRDefault="00000000" w:rsidRPr="00000000" w14:paraId="000002F9">
      <w:pPr>
        <w:spacing w:after="240" w:before="240" w:lineRule="auto"/>
        <w:rPr/>
      </w:pPr>
      <w:r w:rsidDel="00000000" w:rsidR="00000000" w:rsidRPr="00000000">
        <w:rPr>
          <w:rtl w:val="0"/>
        </w:rPr>
        <w:t xml:space="preserve">TML provides the technical specification that DoD 3000.09 requires but does not supply. The Sacred Zero threshold configuration, calibrated to the target identification confidence requirements appropriate to the weapons system's operational context; the Human Rights Mandate vector embeddings derived from the Geneva Conventions and Additional Protocols; the </w:t>
      </w:r>
      <w:r w:rsidDel="00000000" w:rsidR="00000000" w:rsidRPr="00000000">
        <w:rPr>
          <w:rFonts w:ascii="Roboto Mono" w:cs="Roboto Mono" w:eastAsia="Roboto Mono" w:hAnsi="Roboto Mono"/>
          <w:color w:val="188038"/>
          <w:rtl w:val="0"/>
        </w:rPr>
        <w:t xml:space="preserve">POST /emergency/override</w:t>
      </w:r>
      <w:r w:rsidDel="00000000" w:rsidR="00000000" w:rsidRPr="00000000">
        <w:rPr>
          <w:rtl w:val="0"/>
        </w:rPr>
        <w:t xml:space="preserve"> pathway for authorized human intervention with full evidentiary logging; and the Merkle-anchored Moral Trace Log providing a complete accountability record for every engagement decision, together these constitute the technical implementation of DoD 3000.09's "appropriate levels of human judgment" requirement in a form that is auditable, certifiable, and compliant with the DoD's own testing and evaluation requirements.</w:t>
      </w:r>
    </w:p>
    <w:p w:rsidR="00000000" w:rsidDel="00000000" w:rsidP="00000000" w:rsidRDefault="00000000" w:rsidRPr="00000000" w14:paraId="000002FA">
      <w:pPr>
        <w:pStyle w:val="Heading4"/>
        <w:keepNext w:val="0"/>
        <w:keepLines w:val="0"/>
        <w:spacing w:after="40" w:before="240" w:lineRule="auto"/>
        <w:rPr>
          <w:b w:val="1"/>
          <w:bCs w:val="1"/>
          <w:color w:val="000000"/>
          <w:sz w:val="22"/>
          <w:szCs w:val="22"/>
        </w:rPr>
      </w:pPr>
      <w:bookmarkStart w:colFirst="0" w:colLast="0" w:name="_2l5xigtmck6u" w:id="107"/>
      <w:bookmarkEnd w:id="107"/>
      <w:r w:rsidDel="00000000" w:rsidR="00000000" w:rsidRPr="00000000">
        <w:rPr>
          <w:b w:val="1"/>
          <w:bCs w:val="1"/>
          <w:color w:val="000000"/>
          <w:sz w:val="22"/>
          <w:szCs w:val="22"/>
          <w:rtl w:val="0"/>
        </w:rPr>
        <w:t xml:space="preserve">4.5.3 The "No Weapon" License Provision: Constitutional Prohibition on Unconstrained Lethal Deployment</w:t>
      </w:r>
    </w:p>
    <w:p w:rsidR="00000000" w:rsidDel="00000000" w:rsidP="00000000" w:rsidRDefault="00000000" w:rsidRPr="00000000" w14:paraId="000002FB">
      <w:pPr>
        <w:spacing w:after="240" w:before="240" w:lineRule="auto"/>
        <w:rPr/>
      </w:pPr>
      <w:r w:rsidDel="00000000" w:rsidR="00000000" w:rsidRPr="00000000">
        <w:rPr>
          <w:rtl w:val="0"/>
        </w:rPr>
        <w:t xml:space="preserve">The Goukassian License's "No Weapon" prohibition operates as an absolute constraint on TML deployment in lethal autonomous systems without MHC guarantees. A TML system deployed for lethal targeting without the Sacred Zero threshold calibration, Human Rights Mandate Geneva Convention vector embeddings, and </w:t>
      </w:r>
      <w:r w:rsidDel="00000000" w:rsidR="00000000" w:rsidRPr="00000000">
        <w:rPr>
          <w:rFonts w:ascii="Roboto Mono" w:cs="Roboto Mono" w:eastAsia="Roboto Mono" w:hAnsi="Roboto Mono"/>
          <w:color w:val="188038"/>
          <w:rtl w:val="0"/>
        </w:rPr>
        <w:t xml:space="preserve">POST /emergency/override</w:t>
      </w:r>
      <w:r w:rsidDel="00000000" w:rsidR="00000000" w:rsidRPr="00000000">
        <w:rPr>
          <w:rtl w:val="0"/>
        </w:rPr>
        <w:t xml:space="preserve"> human authorization pathway constitutionally required for weapons applications fails license validation and ceases function</w:t>
      </w:r>
      <w:hyperlink r:id="rId253">
        <w:r w:rsidDel="00000000" w:rsidR="00000000" w:rsidRPr="00000000">
          <w:rPr>
            <w:rtl w:val="0"/>
          </w:rPr>
          <w:t xml:space="preserve"> </w:t>
        </w:r>
      </w:hyperlink>
      <w:hyperlink r:id="rId25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FC">
      <w:pPr>
        <w:spacing w:after="240" w:before="240" w:lineRule="auto"/>
        <w:rPr/>
      </w:pPr>
      <w:r w:rsidDel="00000000" w:rsidR="00000000" w:rsidRPr="00000000">
        <w:rPr>
          <w:rtl w:val="0"/>
        </w:rPr>
        <w:t xml:space="preserve">This prohibition is not a pacifist provision; it does not prohibit military use of TML-governed systems. It prohibits </w:t>
      </w:r>
      <w:r w:rsidDel="00000000" w:rsidR="00000000" w:rsidRPr="00000000">
        <w:rPr>
          <w:b w:val="1"/>
          <w:bCs w:val="1"/>
          <w:rtl w:val="0"/>
        </w:rPr>
        <w:t xml:space="preserve">unconstrained</w:t>
      </w:r>
      <w:r w:rsidDel="00000000" w:rsidR="00000000" w:rsidRPr="00000000">
        <w:rPr>
          <w:rtl w:val="0"/>
        </w:rPr>
        <w:t xml:space="preserve"> military use: the deployment of TML-branded systems for lethal purposes without the governance provisions that make such deployment consistent with international humanitarian law and the Directive 3000.09 human judgment requirements. The License creates the legal infrastructure for what the international weapons control community has sought through treaty negotiation: a technical standard that makes MHC-compliant autonomous weapons architecturally distinguishable from non-compliant ones.</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jus1e9paqbz1" w:id="108"/>
      <w:bookmarkEnd w:id="108"/>
      <w:r w:rsidDel="00000000" w:rsidR="00000000" w:rsidRPr="00000000">
        <w:rPr>
          <w:b w:val="1"/>
          <w:bCs w:val="1"/>
          <w:color w:val="000000"/>
          <w:sz w:val="26"/>
          <w:szCs w:val="26"/>
          <w:rtl w:val="0"/>
        </w:rPr>
        <w:t xml:space="preserve">4.6 Synthesis: The Structural Pattern of Sector Failures</w:t>
      </w:r>
    </w:p>
    <w:p w:rsidR="00000000" w:rsidDel="00000000" w:rsidP="00000000" w:rsidRDefault="00000000" w:rsidRPr="00000000" w14:paraId="000002FE">
      <w:pPr>
        <w:spacing w:after="240" w:before="240" w:lineRule="auto"/>
        <w:rPr/>
      </w:pPr>
      <w:r w:rsidDel="00000000" w:rsidR="00000000" w:rsidRPr="00000000">
        <w:rPr>
          <w:rtl w:val="0"/>
        </w:rPr>
        <w:t xml:space="preserve">The five sector analyses presented in this Section reveal a structural pattern that transcends sector boundaries and establishes the generalizability of the TML response. In each sector, the failure exhibits three common characteristics:</w:t>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First: Binary architecture produced confident outputs from insufficient epistemic foundations.</w:t>
      </w:r>
      <w:r w:rsidDel="00000000" w:rsidR="00000000" w:rsidRPr="00000000">
        <w:rPr>
          <w:rtl w:val="0"/>
        </w:rPr>
        <w:t xml:space="preserve"> The Epic Sepsis Model issued alerts from a 63% detection rate as if it were operating at near-certainty. The Uber Tempe AV cycled through unstable classifications without treating that instability as a safety-relevant condition. The Robodebt system issued 470,000 debt notices from a methodology that was not statistically valid for individual liability determination. The Dutch fraud classifier flagged protected classes for fraud as if the correlation between dual nationality and fraud were an established individual determination. In each case, the binary architecture erased the uncertainty that preceded its output, producing confidence without epistemic warrant.</w:t>
      </w:r>
    </w:p>
    <w:p w:rsidR="00000000" w:rsidDel="00000000" w:rsidP="00000000" w:rsidRDefault="00000000" w:rsidRPr="00000000" w14:paraId="00000300">
      <w:pPr>
        <w:spacing w:after="240" w:before="240" w:lineRule="auto"/>
        <w:rPr/>
      </w:pPr>
      <w:r w:rsidDel="00000000" w:rsidR="00000000" w:rsidRPr="00000000">
        <w:rPr>
          <w:b w:val="1"/>
          <w:bCs w:val="1"/>
          <w:rtl w:val="0"/>
        </w:rPr>
        <w:t xml:space="preserve">Second: The absence of a hesitation state made the harm irreversible before human oversight could intervene.</w:t>
      </w:r>
      <w:r w:rsidDel="00000000" w:rsidR="00000000" w:rsidRPr="00000000">
        <w:rPr>
          <w:rtl w:val="0"/>
        </w:rPr>
        <w:t xml:space="preserve"> The Flash Crash eliminated a trillion dollars in value in fourteen minutes; there was no mechanism for automated systems to pause at the first sign of cascade conditions. Elaine Herzberg was struck because the autonomous vehicle had no response to 5.6 seconds of classification instability. 470,000 unlawful debt notices were issued before the program was challenged in court. The Sacred Zero is not a mechanism for preventing all automated harm; it is a mechanism for creating the temporal space in which human oversight can intervene before harm becomes irreversible.</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Third: The absence of an evidentiary record made accountability structurally impossible.</w:t>
      </w:r>
      <w:r w:rsidDel="00000000" w:rsidR="00000000" w:rsidRPr="00000000">
        <w:rPr>
          <w:rtl w:val="0"/>
        </w:rPr>
        <w:t xml:space="preserve"> The CFTC-SEC Flash Crash investigation required months to reconstruct. The Robodebt Royal Commission found significant evidentiary gaps. The </w:t>
      </w:r>
      <w:r w:rsidDel="00000000" w:rsidR="00000000" w:rsidRPr="00000000">
        <w:rPr>
          <w:i w:val="1"/>
          <w:iCs w:val="1"/>
          <w:rtl w:val="0"/>
        </w:rPr>
        <w:t xml:space="preserve">Ledgerwood</w:t>
      </w:r>
      <w:r w:rsidDel="00000000" w:rsidR="00000000" w:rsidRPr="00000000">
        <w:rPr>
          <w:rtl w:val="0"/>
        </w:rPr>
        <w:t xml:space="preserve"> plaintiffs had no access to the specific reasons for their benefit reductions. The Toeslagenaffaire investigation was complicated by the absence of documentation of the classifier's operational history. In each case, the evidentiary gap was not an administrative oversight; it was a structural consequence of systems designed without the requirement that every decision generate its own complete, accessible, and tamper-resistant justification record.</w:t>
      </w:r>
    </w:p>
    <w:p w:rsidR="00000000" w:rsidDel="00000000" w:rsidP="00000000" w:rsidRDefault="00000000" w:rsidRPr="00000000" w14:paraId="00000302">
      <w:pPr>
        <w:spacing w:after="240" w:before="240" w:lineRule="auto"/>
        <w:rPr/>
      </w:pPr>
      <w:r w:rsidDel="00000000" w:rsidR="00000000" w:rsidRPr="00000000">
        <w:rPr>
          <w:rtl w:val="0"/>
        </w:rPr>
        <w:t xml:space="preserve">TML's constitutional architecture addresses each of these three structural conditions simultaneously and at every layer of the system. The Sacred Zero provides the hesitation state that creates the temporal space for oversight. The Always Memory pre-actuation commit provides the evidentiary record that makes accountability structurally possible. The Human Rights and Earth Protection Mandates provide the constitutional veto that prevents the binary optimization pressure from producing outputs that violate fundamental rights. The Hybrid Shield and Public Blockchain Anchors ensure that the evidentiary record survives the operator's subsequent interest in its suppression.</w:t>
      </w:r>
    </w:p>
    <w:p w:rsidR="00000000" w:rsidDel="00000000" w:rsidP="00000000" w:rsidRDefault="00000000" w:rsidRPr="00000000" w14:paraId="00000303">
      <w:pPr>
        <w:spacing w:after="240" w:before="240" w:lineRule="auto"/>
        <w:rPr/>
      </w:pPr>
      <w:r w:rsidDel="00000000" w:rsidR="00000000" w:rsidRPr="00000000">
        <w:rPr>
          <w:rtl w:val="0"/>
        </w:rPr>
        <w:t xml:space="preserve">The sector case studies in this Section are not merely historical documentation of past failures. They are the specification requirements for TML's architecture, derived from documented operational realities rather than theoretical risk modeling. Every mechanism described in this monograph exists because a documented failure demonstrated its necessity.</w:t>
      </w:r>
    </w:p>
    <w:p w:rsidR="00000000" w:rsidDel="00000000" w:rsidP="00000000" w:rsidRDefault="00000000" w:rsidRPr="00000000" w14:paraId="00000304">
      <w:pPr>
        <w:pStyle w:val="Heading2"/>
        <w:keepNext w:val="0"/>
        <w:keepLines w:val="0"/>
        <w:rPr>
          <w:color w:val="000000"/>
          <w:sz w:val="34"/>
          <w:szCs w:val="34"/>
        </w:rPr>
      </w:pPr>
      <w:bookmarkStart w:colFirst="0" w:colLast="0" w:name="_mq88wst36s89" w:id="109"/>
      <w:bookmarkEnd w:id="109"/>
      <w:r w:rsidDel="00000000" w:rsidR="00000000" w:rsidRPr="00000000">
        <w:rPr>
          <w:color w:val="000000"/>
          <w:sz w:val="34"/>
          <w:szCs w:val="34"/>
          <w:rtl w:val="0"/>
        </w:rPr>
        <w:t xml:space="preserve">Section V: The Legal and Regulatory Compliance Framework</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69xrme5ti9mr" w:id="110"/>
      <w:bookmarkEnd w:id="110"/>
      <w:r w:rsidDel="00000000" w:rsidR="00000000" w:rsidRPr="00000000">
        <w:rPr>
          <w:b w:val="1"/>
          <w:bCs w:val="1"/>
          <w:color w:val="000000"/>
          <w:sz w:val="26"/>
          <w:szCs w:val="26"/>
          <w:rtl w:val="0"/>
        </w:rPr>
        <w:t xml:space="preserve">5.0 Introduction: Compliance as Byproduct</w:t>
      </w:r>
    </w:p>
    <w:p w:rsidR="00000000" w:rsidDel="00000000" w:rsidP="00000000" w:rsidRDefault="00000000" w:rsidRPr="00000000" w14:paraId="00000306">
      <w:pPr>
        <w:spacing w:after="240" w:before="240" w:lineRule="auto"/>
        <w:rPr/>
      </w:pPr>
      <w:r w:rsidDel="00000000" w:rsidR="00000000" w:rsidRPr="00000000">
        <w:rPr>
          <w:rtl w:val="0"/>
        </w:rPr>
        <w:t xml:space="preserve">The legal and regulatory landscape governing artificial intelligence has undergone a structural transformation between 2021 and 2026, transitioning from voluntary frameworks and sector-specific guidance into binding legislative instruments with substantial enforcement authority and extraterritorial reach. The EU AI Act</w:t>
      </w:r>
      <w:hyperlink r:id="rId255">
        <w:r w:rsidDel="00000000" w:rsidR="00000000" w:rsidRPr="00000000">
          <w:rPr>
            <w:rtl w:val="0"/>
          </w:rPr>
          <w:t xml:space="preserve"> </w:t>
        </w:r>
      </w:hyperlink>
      <w:hyperlink r:id="rId256">
        <w:r w:rsidDel="00000000" w:rsidR="00000000" w:rsidRPr="00000000">
          <w:rPr>
            <w:color w:val="1155cc"/>
            <w:u w:val="single"/>
            <w:rtl w:val="0"/>
          </w:rPr>
          <w:t xml:space="preserve">[18]</w:t>
        </w:r>
      </w:hyperlink>
      <w:r w:rsidDel="00000000" w:rsidR="00000000" w:rsidRPr="00000000">
        <w:rPr>
          <w:rtl w:val="0"/>
        </w:rPr>
        <w:t xml:space="preserve">, effective August 1, 2024, establishes the first comprehensive binding legal framework for AI systems in any major jurisdiction. The NIST AI Risk Management Framework</w:t>
      </w:r>
      <w:hyperlink r:id="rId257">
        <w:r w:rsidDel="00000000" w:rsidR="00000000" w:rsidRPr="00000000">
          <w:rPr>
            <w:rtl w:val="0"/>
          </w:rPr>
          <w:t xml:space="preserve"> </w:t>
        </w:r>
      </w:hyperlink>
      <w:hyperlink r:id="rId258">
        <w:r w:rsidDel="00000000" w:rsidR="00000000" w:rsidRPr="00000000">
          <w:rPr>
            <w:color w:val="1155cc"/>
            <w:u w:val="single"/>
            <w:rtl w:val="0"/>
          </w:rPr>
          <w:t xml:space="preserve">[23]</w:t>
        </w:r>
      </w:hyperlink>
      <w:r w:rsidDel="00000000" w:rsidR="00000000" w:rsidRPr="00000000">
        <w:rPr>
          <w:rtl w:val="0"/>
        </w:rPr>
        <w:t xml:space="preserve"> has moved from voluntary guidance to the basis of federal contractor requirements. ISO/IEC 42001</w:t>
      </w:r>
      <w:hyperlink r:id="rId259">
        <w:r w:rsidDel="00000000" w:rsidR="00000000" w:rsidRPr="00000000">
          <w:rPr>
            <w:rtl w:val="0"/>
          </w:rPr>
          <w:t xml:space="preserve"> </w:t>
        </w:r>
      </w:hyperlink>
      <w:hyperlink r:id="rId260">
        <w:r w:rsidDel="00000000" w:rsidR="00000000" w:rsidRPr="00000000">
          <w:rPr>
            <w:color w:val="1155cc"/>
            <w:u w:val="single"/>
            <w:rtl w:val="0"/>
          </w:rPr>
          <w:t xml:space="preserve">[46]</w:t>
        </w:r>
      </w:hyperlink>
      <w:r w:rsidDel="00000000" w:rsidR="00000000" w:rsidRPr="00000000">
        <w:rPr>
          <w:rtl w:val="0"/>
        </w:rPr>
        <w:t xml:space="preserve"> establishes the first internationally recognized management system standard for AI governance. The convergence of these frameworks creates a compliance landscape of considerable complexity for organizations deploying AI systems in high-stakes domains.</w:t>
      </w:r>
    </w:p>
    <w:p w:rsidR="00000000" w:rsidDel="00000000" w:rsidP="00000000" w:rsidRDefault="00000000" w:rsidRPr="00000000" w14:paraId="00000307">
      <w:pPr>
        <w:spacing w:after="240" w:before="240" w:lineRule="auto"/>
        <w:rPr/>
      </w:pPr>
      <w:r w:rsidDel="00000000" w:rsidR="00000000" w:rsidRPr="00000000">
        <w:rPr>
          <w:rtl w:val="0"/>
        </w:rPr>
        <w:t xml:space="preserve">TML's architecture was not designed as a compliance checklist. Its Eight Pillars derive from the philosophical and architectural analysis presented in preceding sections, not from the requirements of any specific regulatory instrument. The relationship between TML's design and global regulatory requirements is therefore not one of deliberate alignment but of structural isomorphism: the same architectural necessities that produce constitutional AI governance also produce compliance with the major regulatory frameworks that have independently arrived at similar conclusions about what accountable AI requires.</w:t>
      </w:r>
    </w:p>
    <w:p w:rsidR="00000000" w:rsidDel="00000000" w:rsidP="00000000" w:rsidRDefault="00000000" w:rsidRPr="00000000" w14:paraId="00000308">
      <w:pPr>
        <w:spacing w:after="240" w:before="240" w:lineRule="auto"/>
        <w:rPr/>
      </w:pPr>
      <w:r w:rsidDel="00000000" w:rsidR="00000000" w:rsidRPr="00000000">
        <w:rPr>
          <w:rtl w:val="0"/>
        </w:rPr>
        <w:t xml:space="preserve">This section documents that isomorphism in detail. For each major regulatory framework, the analysis proceeds through three stages: the framework's substantive requirements as they apply to high-stakes AI deployment; the specific TML mechanisms that satisfy those requirements; and the compliance artifacts that TML generates automatically as operational byproducts, transforming compliance from a retrospective paperwork exercise into a real-time cryptographic certainty. The analysis concludes with the TML Regulatory Compliance Matrix, which provides a consolidated mapping of TML architectural components to regulatory requirements across all major frameworks.</w:t>
      </w:r>
    </w:p>
    <w:p w:rsidR="00000000" w:rsidDel="00000000" w:rsidP="00000000" w:rsidRDefault="00000000" w:rsidRPr="00000000" w14:paraId="00000309">
      <w:pPr>
        <w:spacing w:after="240" w:before="240" w:lineRule="auto"/>
        <w:rPr/>
      </w:pPr>
      <w:r w:rsidDel="00000000" w:rsidR="00000000" w:rsidRPr="00000000">
        <w:rPr>
          <w:rtl w:val="0"/>
        </w:rPr>
        <w:t xml:space="preserve">The central claim of this section is precise: an organization deploying a TML-governed AI system in full compliance is, by structural consequence, in compliance with the EU AI Act's high-risk system requirements, the NIST AI RMF's GOVERN, MAP, MEASURE, and MANAGE functions, ISO/IEC 42001's AI management system requirements, the Federal Rules of Evidence's self-authentication standards for electronically generated records, eIDAS's qualified electronic timestamp requirements, and Basel III/IV's model risk management disclosure obligations. Compliance is not an additional obligation imposed on the TML architecture; it is what the TML architecture produces.</w:t>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hstbe9s4e051" w:id="111"/>
      <w:bookmarkEnd w:id="111"/>
      <w:r w:rsidDel="00000000" w:rsidR="00000000" w:rsidRPr="00000000">
        <w:rPr>
          <w:b w:val="1"/>
          <w:bCs w:val="1"/>
          <w:color w:val="000000"/>
          <w:sz w:val="26"/>
          <w:szCs w:val="26"/>
          <w:rtl w:val="0"/>
        </w:rPr>
        <w:t xml:space="preserve">5.1 The EU Artificial Intelligence Act</w:t>
      </w:r>
    </w:p>
    <w:p w:rsidR="00000000" w:rsidDel="00000000" w:rsidP="00000000" w:rsidRDefault="00000000" w:rsidRPr="00000000" w14:paraId="0000030B">
      <w:pPr>
        <w:pStyle w:val="Heading4"/>
        <w:keepNext w:val="0"/>
        <w:keepLines w:val="0"/>
        <w:spacing w:after="40" w:before="240" w:lineRule="auto"/>
        <w:rPr>
          <w:b w:val="1"/>
          <w:bCs w:val="1"/>
          <w:color w:val="000000"/>
          <w:sz w:val="22"/>
          <w:szCs w:val="22"/>
        </w:rPr>
      </w:pPr>
      <w:bookmarkStart w:colFirst="0" w:colLast="0" w:name="_bnm084w88s9o" w:id="112"/>
      <w:bookmarkEnd w:id="112"/>
      <w:r w:rsidDel="00000000" w:rsidR="00000000" w:rsidRPr="00000000">
        <w:rPr>
          <w:b w:val="1"/>
          <w:bCs w:val="1"/>
          <w:color w:val="000000"/>
          <w:sz w:val="22"/>
          <w:szCs w:val="22"/>
          <w:rtl w:val="0"/>
        </w:rPr>
        <w:t xml:space="preserve">5.1.1 Regulatory Architecture and Scope</w:t>
      </w:r>
    </w:p>
    <w:p w:rsidR="00000000" w:rsidDel="00000000" w:rsidP="00000000" w:rsidRDefault="00000000" w:rsidRPr="00000000" w14:paraId="0000030C">
      <w:pPr>
        <w:spacing w:after="240" w:before="240" w:lineRule="auto"/>
        <w:rPr/>
      </w:pPr>
      <w:r w:rsidDel="00000000" w:rsidR="00000000" w:rsidRPr="00000000">
        <w:rPr>
          <w:rtl w:val="0"/>
        </w:rPr>
        <w:t xml:space="preserve">The EU AI Act establishes a risk-based regulatory framework that imposes obligations calibrated to the risk profile of AI system deployment contexts</w:t>
      </w:r>
      <w:hyperlink r:id="rId261">
        <w:r w:rsidDel="00000000" w:rsidR="00000000" w:rsidRPr="00000000">
          <w:rPr>
            <w:rtl w:val="0"/>
          </w:rPr>
          <w:t xml:space="preserve"> </w:t>
        </w:r>
      </w:hyperlink>
      <w:hyperlink r:id="rId262">
        <w:r w:rsidDel="00000000" w:rsidR="00000000" w:rsidRPr="00000000">
          <w:rPr>
            <w:color w:val="1155cc"/>
            <w:u w:val="single"/>
            <w:rtl w:val="0"/>
          </w:rPr>
          <w:t xml:space="preserve">[18]</w:t>
        </w:r>
      </w:hyperlink>
      <w:r w:rsidDel="00000000" w:rsidR="00000000" w:rsidRPr="00000000">
        <w:rPr>
          <w:rtl w:val="0"/>
        </w:rPr>
        <w:t xml:space="preserve">. Annex III of the Act designates specific application domains as "high-risk," including AI systems used in critical infrastructure management, educational and vocational training, employment and worker management, access to essential private services, law enforcement, migration and asylum management, administration of justice, and democratic processes. The obligations imposed on high-risk AI systems constitute the most comprehensive binding AI governance requirements in current international law and form the primary regulatory compliance context for TML.</w:t>
      </w:r>
    </w:p>
    <w:p w:rsidR="00000000" w:rsidDel="00000000" w:rsidP="00000000" w:rsidRDefault="00000000" w:rsidRPr="00000000" w14:paraId="0000030D">
      <w:pPr>
        <w:spacing w:after="240" w:before="240" w:lineRule="auto"/>
        <w:rPr/>
      </w:pPr>
      <w:r w:rsidDel="00000000" w:rsidR="00000000" w:rsidRPr="00000000">
        <w:rPr>
          <w:rtl w:val="0"/>
        </w:rPr>
        <w:t xml:space="preserve">The Act's extraterritorial reach is expansive: its obligations apply to providers placing AI systems on the EU market regardless of where those providers are established, to deployers of AI systems within the EU regardless of provider location, and to providers and deployers located outside the EU when the AI system's output is used within the EU</w:t>
      </w:r>
      <w:hyperlink r:id="rId263">
        <w:r w:rsidDel="00000000" w:rsidR="00000000" w:rsidRPr="00000000">
          <w:rPr>
            <w:rtl w:val="0"/>
          </w:rPr>
          <w:t xml:space="preserve"> </w:t>
        </w:r>
      </w:hyperlink>
      <w:hyperlink r:id="rId264">
        <w:r w:rsidDel="00000000" w:rsidR="00000000" w:rsidRPr="00000000">
          <w:rPr>
            <w:color w:val="1155cc"/>
            <w:u w:val="single"/>
            <w:rtl w:val="0"/>
          </w:rPr>
          <w:t xml:space="preserve">[18]</w:t>
        </w:r>
      </w:hyperlink>
      <w:r w:rsidDel="00000000" w:rsidR="00000000" w:rsidRPr="00000000">
        <w:rPr>
          <w:rtl w:val="0"/>
        </w:rPr>
        <w:t xml:space="preserve">. Any organization deploying a high-risk AI system affecting EU persons is subject to the Act's requirements, making EU AI Act compliance effectively a global standard for internationally operating organizations.</w:t>
      </w:r>
    </w:p>
    <w:p w:rsidR="00000000" w:rsidDel="00000000" w:rsidP="00000000" w:rsidRDefault="00000000" w:rsidRPr="00000000" w14:paraId="0000030E">
      <w:pPr>
        <w:pStyle w:val="Heading4"/>
        <w:keepNext w:val="0"/>
        <w:keepLines w:val="0"/>
        <w:spacing w:after="40" w:before="240" w:lineRule="auto"/>
        <w:rPr>
          <w:b w:val="1"/>
          <w:bCs w:val="1"/>
          <w:color w:val="000000"/>
          <w:sz w:val="22"/>
          <w:szCs w:val="22"/>
        </w:rPr>
      </w:pPr>
      <w:bookmarkStart w:colFirst="0" w:colLast="0" w:name="_mj373u3awq1a" w:id="113"/>
      <w:bookmarkEnd w:id="113"/>
      <w:r w:rsidDel="00000000" w:rsidR="00000000" w:rsidRPr="00000000">
        <w:rPr>
          <w:b w:val="1"/>
          <w:bCs w:val="1"/>
          <w:color w:val="000000"/>
          <w:sz w:val="22"/>
          <w:szCs w:val="22"/>
          <w:rtl w:val="0"/>
        </w:rPr>
        <w:t xml:space="preserve">5.1.2 Article 9: Risk Management System</w:t>
      </w:r>
    </w:p>
    <w:p w:rsidR="00000000" w:rsidDel="00000000" w:rsidP="00000000" w:rsidRDefault="00000000" w:rsidRPr="00000000" w14:paraId="0000030F">
      <w:pPr>
        <w:spacing w:after="240" w:before="240" w:lineRule="auto"/>
        <w:rPr/>
      </w:pPr>
      <w:r w:rsidDel="00000000" w:rsidR="00000000" w:rsidRPr="00000000">
        <w:rPr>
          <w:rtl w:val="0"/>
        </w:rPr>
        <w:t xml:space="preserve">Article 9 requires providers of high-risk AI systems to establish, implement, document, and maintain a risk management system that identifies and analyzes foreseeable risks, evaluates risks in light of the intended purpose and reasonably foreseeable misuse, adopts appropriate risk management measures, and is subject to regular systematic updating</w:t>
      </w:r>
      <w:hyperlink r:id="rId265">
        <w:r w:rsidDel="00000000" w:rsidR="00000000" w:rsidRPr="00000000">
          <w:rPr>
            <w:rtl w:val="0"/>
          </w:rPr>
          <w:t xml:space="preserve"> </w:t>
        </w:r>
      </w:hyperlink>
      <w:hyperlink r:id="rId266">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310">
      <w:pPr>
        <w:spacing w:after="240" w:before="240" w:lineRule="auto"/>
        <w:rPr/>
      </w:pPr>
      <w:r w:rsidDel="00000000" w:rsidR="00000000" w:rsidRPr="00000000">
        <w:rPr>
          <w:rtl w:val="0"/>
        </w:rPr>
        <w:t xml:space="preserve">TML's response to Article 9 operates at three levels simultaneously. At the system design level, the Eight Pillars constitute a comprehensive risk management system whose identification of foreseeable risks is embedded in the vector evaluation architecture itself: the Human Rights Mandate vectors identify foreseeable human rights risks; the Earth Protection Mandate vectors identify foreseeable ecological risks; the Sacred Zero confidence threshold identifies foreseeable epistemic risks from operation at the boundary of reliable knowledge. At the operational level, every Sacred Zero activation constitutes a real-time risk identification and management event, documented in the TSLF-State0 log with the specific risk trigger, the management action taken, and the resolution outcome. At the systemic level, the Moral Trace Log archive provides the continuous dataset required for "regular systematic updating" of risk assessment: patterns of Sacred Zero triggers, Mandate veto frequencies, and resolution outcomes provide the operational evidence for calibration adjustments that Article 9 requires.</w:t>
      </w:r>
    </w:p>
    <w:p w:rsidR="00000000" w:rsidDel="00000000" w:rsidP="00000000" w:rsidRDefault="00000000" w:rsidRPr="00000000" w14:paraId="00000311">
      <w:pPr>
        <w:spacing w:after="240" w:before="240" w:lineRule="auto"/>
        <w:rPr/>
      </w:pPr>
      <w:r w:rsidDel="00000000" w:rsidR="00000000" w:rsidRPr="00000000">
        <w:rPr>
          <w:rtl w:val="0"/>
        </w:rPr>
        <w:t xml:space="preserve">The Article 9 risk management system documentation requirement is satisfied automatically by the Moral Trace Log archive: the complete operational history of the system's risk identification and management activity is maintained in cryptographically authenticated, Merkle-anchored records that are available to regulatory authorities through the </w:t>
      </w:r>
      <w:r w:rsidDel="00000000" w:rsidR="00000000" w:rsidRPr="00000000">
        <w:rPr>
          <w:rFonts w:ascii="Roboto Mono" w:cs="Roboto Mono" w:eastAsia="Roboto Mono" w:hAnsi="Roboto Mono"/>
          <w:color w:val="188038"/>
          <w:rtl w:val="0"/>
        </w:rPr>
        <w:t xml:space="preserve">GET /regulator/audit-trail</w:t>
      </w:r>
      <w:r w:rsidDel="00000000" w:rsidR="00000000" w:rsidRPr="00000000">
        <w:rPr>
          <w:rtl w:val="0"/>
        </w:rPr>
        <w:t xml:space="preserve"> endpoint without requiring operator cooperation in record preparation.</w:t>
      </w:r>
    </w:p>
    <w:p w:rsidR="00000000" w:rsidDel="00000000" w:rsidP="00000000" w:rsidRDefault="00000000" w:rsidRPr="00000000" w14:paraId="00000312">
      <w:pPr>
        <w:pStyle w:val="Heading4"/>
        <w:keepNext w:val="0"/>
        <w:keepLines w:val="0"/>
        <w:spacing w:after="40" w:before="240" w:lineRule="auto"/>
        <w:rPr>
          <w:b w:val="1"/>
          <w:bCs w:val="1"/>
          <w:color w:val="000000"/>
          <w:sz w:val="22"/>
          <w:szCs w:val="22"/>
        </w:rPr>
      </w:pPr>
      <w:bookmarkStart w:colFirst="0" w:colLast="0" w:name="_fwq0jvqiap1" w:id="114"/>
      <w:bookmarkEnd w:id="114"/>
      <w:r w:rsidDel="00000000" w:rsidR="00000000" w:rsidRPr="00000000">
        <w:rPr>
          <w:b w:val="1"/>
          <w:bCs w:val="1"/>
          <w:color w:val="000000"/>
          <w:sz w:val="22"/>
          <w:szCs w:val="22"/>
          <w:rtl w:val="0"/>
        </w:rPr>
        <w:t xml:space="preserve">5.1.3 Article 12: Record Keeping</w:t>
      </w:r>
    </w:p>
    <w:p w:rsidR="00000000" w:rsidDel="00000000" w:rsidP="00000000" w:rsidRDefault="00000000" w:rsidRPr="00000000" w14:paraId="00000313">
      <w:pPr>
        <w:spacing w:after="240" w:before="240" w:lineRule="auto"/>
        <w:rPr/>
      </w:pPr>
      <w:r w:rsidDel="00000000" w:rsidR="00000000" w:rsidRPr="00000000">
        <w:rPr>
          <w:rtl w:val="0"/>
        </w:rPr>
        <w:t xml:space="preserve">Article 12 requires high-risk AI systems to automatically record events enabling identification of risks, serious incidents, and substantial modifications throughout the lifetime of the system, including at minimum the period of each use, the reference database against which input data has been checked, and data enabling identification of persons involved in the verification, review, and authorization of the records</w:t>
      </w:r>
      <w:hyperlink r:id="rId267">
        <w:r w:rsidDel="00000000" w:rsidR="00000000" w:rsidRPr="00000000">
          <w:rPr>
            <w:rtl w:val="0"/>
          </w:rPr>
          <w:t xml:space="preserve"> </w:t>
        </w:r>
      </w:hyperlink>
      <w:hyperlink r:id="rId268">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314">
      <w:pPr>
        <w:spacing w:after="240" w:before="240" w:lineRule="auto"/>
        <w:rPr/>
      </w:pPr>
      <w:r w:rsidDel="00000000" w:rsidR="00000000" w:rsidRPr="00000000">
        <w:rPr>
          <w:rtl w:val="0"/>
        </w:rPr>
        <w:t xml:space="preserve">TML's Moral Trace Log architecture exceeds Article 12's minimum requirements in every dimension. The TSLF schema records not merely the period of each use but the complete decision context, reasoning vector, pillar assessment scores, uncertainty quantification, and basis for each determination. The </w:t>
      </w:r>
      <w:r w:rsidDel="00000000" w:rsidR="00000000" w:rsidRPr="00000000">
        <w:rPr>
          <w:rFonts w:ascii="Roboto Mono" w:cs="Roboto Mono" w:eastAsia="Roboto Mono" w:hAnsi="Roboto Mono"/>
          <w:color w:val="188038"/>
          <w:rtl w:val="0"/>
        </w:rPr>
        <w:t xml:space="preserve">EthicalVerification</w:t>
      </w:r>
      <w:r w:rsidDel="00000000" w:rsidR="00000000" w:rsidRPr="00000000">
        <w:rPr>
          <w:rtl w:val="0"/>
        </w:rPr>
        <w:t xml:space="preserve"> object records the reference vectors against which the input was evaluated, satisfying the "reference database" documentation requirement. The </w:t>
      </w:r>
      <w:r w:rsidDel="00000000" w:rsidR="00000000" w:rsidRPr="00000000">
        <w:rPr>
          <w:rFonts w:ascii="Roboto Mono" w:cs="Roboto Mono" w:eastAsia="Roboto Mono" w:hAnsi="Roboto Mono"/>
          <w:color w:val="188038"/>
          <w:rtl w:val="0"/>
        </w:rPr>
        <w:t xml:space="preserve">chainOfCustody</w:t>
      </w:r>
      <w:r w:rsidDel="00000000" w:rsidR="00000000" w:rsidRPr="00000000">
        <w:rPr>
          <w:rtl w:val="0"/>
        </w:rPr>
        <w:t xml:space="preserve"> structure in TSLF-State-1 logs and the </w:t>
      </w:r>
      <w:r w:rsidDel="00000000" w:rsidR="00000000" w:rsidRPr="00000000">
        <w:rPr>
          <w:rFonts w:ascii="Roboto Mono" w:cs="Roboto Mono" w:eastAsia="Roboto Mono" w:hAnsi="Roboto Mono"/>
          <w:color w:val="188038"/>
          <w:rtl w:val="0"/>
        </w:rPr>
        <w:t xml:space="preserve">permissionToken.signatureValue</w:t>
      </w:r>
      <w:r w:rsidDel="00000000" w:rsidR="00000000" w:rsidRPr="00000000">
        <w:rPr>
          <w:rtl w:val="0"/>
        </w:rPr>
        <w:t xml:space="preserve"> in TSLF-StateP1 logs identify the specific governance processes and authorized signatories involved in each determination.</w:t>
      </w:r>
    </w:p>
    <w:p w:rsidR="00000000" w:rsidDel="00000000" w:rsidP="00000000" w:rsidRDefault="00000000" w:rsidRPr="00000000" w14:paraId="00000315">
      <w:pPr>
        <w:spacing w:after="240" w:before="240" w:lineRule="auto"/>
        <w:rPr/>
      </w:pPr>
      <w:r w:rsidDel="00000000" w:rsidR="00000000" w:rsidRPr="00000000">
        <w:rPr>
          <w:rtl w:val="0"/>
        </w:rPr>
        <w:t xml:space="preserve">Critically, TML's record-keeping captures </w:t>
      </w:r>
      <w:r w:rsidDel="00000000" w:rsidR="00000000" w:rsidRPr="00000000">
        <w:rPr>
          <w:b w:val="1"/>
          <w:bCs w:val="1"/>
          <w:rtl w:val="0"/>
        </w:rPr>
        <w:t xml:space="preserve">negative capability</w:t>
      </w:r>
      <w:r w:rsidDel="00000000" w:rsidR="00000000" w:rsidRPr="00000000">
        <w:rPr>
          <w:rtl w:val="0"/>
        </w:rPr>
        <w:t xml:space="preserve">: what the AI chose not to do and why. The TSLF-State0 log documents every Sacred Zero activation, including the specific alternatives that were considered and the basis on which they were withheld. The TSLF-State-1 log documents every refusal, including the specific Mandate provision that vetoed the proposed action. This documentation of rejected alternatives constitutes a category of evidentiary record that Article 12 does not explicitly require but that substantially strengthens the basis for regulatory oversight: knowing what the system refused to do, and why, is often more informative about the system's governance quality than knowing what it chose to do.</w:t>
      </w:r>
    </w:p>
    <w:p w:rsidR="00000000" w:rsidDel="00000000" w:rsidP="00000000" w:rsidRDefault="00000000" w:rsidRPr="00000000" w14:paraId="00000316">
      <w:pPr>
        <w:pStyle w:val="Heading4"/>
        <w:keepNext w:val="0"/>
        <w:keepLines w:val="0"/>
        <w:spacing w:after="40" w:before="240" w:lineRule="auto"/>
        <w:rPr>
          <w:b w:val="1"/>
          <w:bCs w:val="1"/>
          <w:color w:val="000000"/>
          <w:sz w:val="22"/>
          <w:szCs w:val="22"/>
        </w:rPr>
      </w:pPr>
      <w:bookmarkStart w:colFirst="0" w:colLast="0" w:name="_xf54kll6s0yg" w:id="115"/>
      <w:bookmarkEnd w:id="115"/>
      <w:r w:rsidDel="00000000" w:rsidR="00000000" w:rsidRPr="00000000">
        <w:rPr>
          <w:b w:val="1"/>
          <w:bCs w:val="1"/>
          <w:color w:val="000000"/>
          <w:sz w:val="22"/>
          <w:szCs w:val="22"/>
          <w:rtl w:val="0"/>
        </w:rPr>
        <w:t xml:space="preserve">5.1.4 Article 13: Transparency and Provision of Information</w:t>
      </w:r>
    </w:p>
    <w:p w:rsidR="00000000" w:rsidDel="00000000" w:rsidP="00000000" w:rsidRDefault="00000000" w:rsidRPr="00000000" w14:paraId="00000317">
      <w:pPr>
        <w:spacing w:after="240" w:before="240" w:lineRule="auto"/>
        <w:rPr/>
      </w:pPr>
      <w:r w:rsidDel="00000000" w:rsidR="00000000" w:rsidRPr="00000000">
        <w:rPr>
          <w:rtl w:val="0"/>
        </w:rPr>
        <w:t xml:space="preserve">Article 13 requires high-risk AI systems to be designed and developed to ensure sufficient transparency to enable deployers to interpret the system's output and use it appropriately, including information about the intended purpose, level of accuracy and robustness, known limitations, and performance on relevant groups</w:t>
      </w:r>
      <w:hyperlink r:id="rId269">
        <w:r w:rsidDel="00000000" w:rsidR="00000000" w:rsidRPr="00000000">
          <w:rPr>
            <w:rtl w:val="0"/>
          </w:rPr>
          <w:t xml:space="preserve"> </w:t>
        </w:r>
      </w:hyperlink>
      <w:hyperlink r:id="rId270">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318">
      <w:pPr>
        <w:spacing w:after="240" w:before="240" w:lineRule="auto"/>
        <w:rPr/>
      </w:pPr>
      <w:r w:rsidDel="00000000" w:rsidR="00000000" w:rsidRPr="00000000">
        <w:rPr>
          <w:rtl w:val="0"/>
        </w:rPr>
        <w:t xml:space="preserve">TML's sacred Zero escalation architecture directly implements Article 13's transparency requirement at the operational level. The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presented to human reviewers during Sacred Zero escalation provides per-pillar considerations, specific uncertainty quantification documenting the system's known limitations for the specific decision context, and the available resolution options with their basis. The Lantern's </w:t>
      </w:r>
      <w:r w:rsidDel="00000000" w:rsidR="00000000" w:rsidRPr="00000000">
        <w:rPr>
          <w:rFonts w:ascii="Roboto Mono" w:cs="Roboto Mono" w:eastAsia="Roboto Mono" w:hAnsi="Roboto Mono"/>
          <w:color w:val="188038"/>
          <w:rtl w:val="0"/>
        </w:rPr>
        <w:t xml:space="preserve">pillarStatuses</w:t>
      </w:r>
      <w:r w:rsidDel="00000000" w:rsidR="00000000" w:rsidRPr="00000000">
        <w:rPr>
          <w:rtl w:val="0"/>
        </w:rPr>
        <w:t xml:space="preserve"> object provides real-time transparency about the system's health across all Eight Pillars. The </w:t>
      </w:r>
      <w:r w:rsidDel="00000000" w:rsidR="00000000" w:rsidRPr="00000000">
        <w:rPr>
          <w:rFonts w:ascii="Roboto Mono" w:cs="Roboto Mono" w:eastAsia="Roboto Mono" w:hAnsi="Roboto Mono"/>
          <w:color w:val="188038"/>
          <w:rtl w:val="0"/>
        </w:rPr>
        <w:t xml:space="preserve">GET /goukassian/lantern</w:t>
      </w:r>
      <w:r w:rsidDel="00000000" w:rsidR="00000000" w:rsidRPr="00000000">
        <w:rPr>
          <w:rtl w:val="0"/>
        </w:rPr>
        <w:t xml:space="preserve"> endpoint exposes this transparency to authorized deployers and oversight authorities in machine-readable form.</w:t>
      </w:r>
    </w:p>
    <w:p w:rsidR="00000000" w:rsidDel="00000000" w:rsidP="00000000" w:rsidRDefault="00000000" w:rsidRPr="00000000" w14:paraId="00000319">
      <w:pPr>
        <w:spacing w:after="240" w:before="240" w:lineRule="auto"/>
        <w:rPr/>
      </w:pPr>
      <w:r w:rsidDel="00000000" w:rsidR="00000000" w:rsidRPr="00000000">
        <w:rPr>
          <w:rtl w:val="0"/>
        </w:rPr>
        <w:t xml:space="preserve">The transparency TML provides exceeds Article 13's minimum by extending to the system's own epistemic limitations: the Sacred Zero's </w:t>
      </w:r>
      <w:r w:rsidDel="00000000" w:rsidR="00000000" w:rsidRPr="00000000">
        <w:rPr>
          <w:rFonts w:ascii="Roboto Mono" w:cs="Roboto Mono" w:eastAsia="Roboto Mono" w:hAnsi="Roboto Mono"/>
          <w:color w:val="188038"/>
          <w:rtl w:val="0"/>
        </w:rPr>
        <w:t xml:space="preserve">uncertaintyQuantification.epistemicHoldActive</w:t>
      </w:r>
      <w:r w:rsidDel="00000000" w:rsidR="00000000" w:rsidRPr="00000000">
        <w:rPr>
          <w:rtl w:val="0"/>
        </w:rPr>
        <w:t xml:space="preserve"> flag and the associated confidence scores document not merely that the system is uncertain but the specific parameters of that uncertainty, enabling deployers to understand precisely when and why the system's reliability falls below thresholds.</w:t>
      </w:r>
    </w:p>
    <w:p w:rsidR="00000000" w:rsidDel="00000000" w:rsidP="00000000" w:rsidRDefault="00000000" w:rsidRPr="00000000" w14:paraId="0000031A">
      <w:pPr>
        <w:pStyle w:val="Heading4"/>
        <w:keepNext w:val="0"/>
        <w:keepLines w:val="0"/>
        <w:spacing w:after="40" w:before="240" w:lineRule="auto"/>
        <w:rPr>
          <w:b w:val="1"/>
          <w:bCs w:val="1"/>
          <w:color w:val="000000"/>
          <w:sz w:val="22"/>
          <w:szCs w:val="22"/>
        </w:rPr>
      </w:pPr>
      <w:bookmarkStart w:colFirst="0" w:colLast="0" w:name="_a1vrog7ga8hp" w:id="116"/>
      <w:bookmarkEnd w:id="116"/>
      <w:r w:rsidDel="00000000" w:rsidR="00000000" w:rsidRPr="00000000">
        <w:rPr>
          <w:b w:val="1"/>
          <w:bCs w:val="1"/>
          <w:color w:val="000000"/>
          <w:sz w:val="22"/>
          <w:szCs w:val="22"/>
          <w:rtl w:val="0"/>
        </w:rPr>
        <w:t xml:space="preserve">5.1.5 Article 14: Human Oversight</w:t>
      </w:r>
    </w:p>
    <w:p w:rsidR="00000000" w:rsidDel="00000000" w:rsidP="00000000" w:rsidRDefault="00000000" w:rsidRPr="00000000" w14:paraId="0000031B">
      <w:pPr>
        <w:spacing w:after="240" w:before="240" w:lineRule="auto"/>
        <w:rPr/>
      </w:pPr>
      <w:r w:rsidDel="00000000" w:rsidR="00000000" w:rsidRPr="00000000">
        <w:rPr>
          <w:rtl w:val="0"/>
        </w:rPr>
        <w:t xml:space="preserve">Article 14 requires that high-risk AI systems be designed to enable natural persons assigned to oversight to effectively monitor the system's operation, understand the system's capacities and limitations, be aware of automation bias, correctly interpret the system's output, and intervene or interrupt the system at any point</w:t>
      </w:r>
      <w:hyperlink r:id="rId271">
        <w:r w:rsidDel="00000000" w:rsidR="00000000" w:rsidRPr="00000000">
          <w:rPr>
            <w:rtl w:val="0"/>
          </w:rPr>
          <w:t xml:space="preserve"> </w:t>
        </w:r>
      </w:hyperlink>
      <w:hyperlink r:id="rId272">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31C">
      <w:pPr>
        <w:spacing w:after="240" w:before="240" w:lineRule="auto"/>
        <w:rPr/>
      </w:pPr>
      <w:r w:rsidDel="00000000" w:rsidR="00000000" w:rsidRPr="00000000">
        <w:rPr>
          <w:rtl w:val="0"/>
        </w:rPr>
        <w:t xml:space="preserve">The Sacred Zero escalation pathway, implemented through </w:t>
      </w:r>
      <w:r w:rsidDel="00000000" w:rsidR="00000000" w:rsidRPr="00000000">
        <w:rPr>
          <w:rFonts w:ascii="Roboto Mono" w:cs="Roboto Mono" w:eastAsia="Roboto Mono" w:hAnsi="Roboto Mono"/>
          <w:color w:val="188038"/>
          <w:rtl w:val="0"/>
        </w:rPr>
        <w:t xml:space="preserve">GET /sacred-zero/escalations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PATCH /sacred-zero/escalations/{escalationId}</w:t>
      </w:r>
      <w:r w:rsidDel="00000000" w:rsidR="00000000" w:rsidRPr="00000000">
        <w:rPr>
          <w:rtl w:val="0"/>
        </w:rPr>
        <w:t xml:space="preserve">, is the TML architecture's direct technical implementation of Article 14's human oversight requirement. Human overseers receive the complete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enabling them to understand the system's capacities and limitations for the specific decision. The </w:t>
      </w:r>
      <w:r w:rsidDel="00000000" w:rsidR="00000000" w:rsidRPr="00000000">
        <w:rPr>
          <w:rFonts w:ascii="Roboto Mono" w:cs="Roboto Mono" w:eastAsia="Roboto Mono" w:hAnsi="Roboto Mono"/>
          <w:color w:val="188038"/>
          <w:rtl w:val="0"/>
        </w:rPr>
        <w:t xml:space="preserve">resolvedState: enum [1, -1]</w:t>
      </w:r>
      <w:r w:rsidDel="00000000" w:rsidR="00000000" w:rsidRPr="00000000">
        <w:rPr>
          <w:rtl w:val="0"/>
        </w:rPr>
        <w:t xml:space="preserve"> schema constraint on the human resolution endpoint ensures that human overseers make genuine decisions rather than merely ratifying algorithmic outputs: the schema accepts only affirmative or negative resolutions, preventing the nominal human oversight that satisfies Article 14's letter while violating its spirit.</w:t>
      </w:r>
    </w:p>
    <w:p w:rsidR="00000000" w:rsidDel="00000000" w:rsidP="00000000" w:rsidRDefault="00000000" w:rsidRPr="00000000" w14:paraId="0000031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POST /emergency/override</w:t>
      </w:r>
      <w:r w:rsidDel="00000000" w:rsidR="00000000" w:rsidRPr="00000000">
        <w:rPr>
          <w:rtl w:val="0"/>
        </w:rPr>
        <w:t xml:space="preserve"> endpoint provides the Article 14 requirement for human ability to "intervene or interrupt the system at any point," with the constraint that emergency override decisions are logged with full HSM-backed signatures, anchored in the public blockchain, and attributed to the authorizing human identity. Human oversight authority is preserved; it is not anonymous.</w:t>
      </w:r>
    </w:p>
    <w:p w:rsidR="00000000" w:rsidDel="00000000" w:rsidP="00000000" w:rsidRDefault="00000000" w:rsidRPr="00000000" w14:paraId="0000031E">
      <w:pPr>
        <w:pStyle w:val="Heading4"/>
        <w:keepNext w:val="0"/>
        <w:keepLines w:val="0"/>
        <w:spacing w:after="40" w:before="240" w:lineRule="auto"/>
        <w:rPr>
          <w:b w:val="1"/>
          <w:bCs w:val="1"/>
          <w:color w:val="000000"/>
          <w:sz w:val="22"/>
          <w:szCs w:val="22"/>
        </w:rPr>
      </w:pPr>
      <w:bookmarkStart w:colFirst="0" w:colLast="0" w:name="_vl4m00q2a288" w:id="117"/>
      <w:bookmarkEnd w:id="117"/>
      <w:r w:rsidDel="00000000" w:rsidR="00000000" w:rsidRPr="00000000">
        <w:rPr>
          <w:b w:val="1"/>
          <w:bCs w:val="1"/>
          <w:color w:val="000000"/>
          <w:sz w:val="22"/>
          <w:szCs w:val="22"/>
          <w:rtl w:val="0"/>
        </w:rPr>
        <w:t xml:space="preserve">5.1.6 Article 15: Accuracy, Robustness, and Cybersecurity</w:t>
      </w:r>
    </w:p>
    <w:p w:rsidR="00000000" w:rsidDel="00000000" w:rsidP="00000000" w:rsidRDefault="00000000" w:rsidRPr="00000000" w14:paraId="0000031F">
      <w:pPr>
        <w:spacing w:after="240" w:before="240" w:lineRule="auto"/>
        <w:rPr/>
      </w:pPr>
      <w:r w:rsidDel="00000000" w:rsidR="00000000" w:rsidRPr="00000000">
        <w:rPr>
          <w:rtl w:val="0"/>
        </w:rPr>
        <w:t xml:space="preserve">Article 15 requires high-risk AI systems to achieve appropriate levels of accuracy, robustness, and cybersecurity, and to resist attempts to alter outputs through adversarial manipulation</w:t>
      </w:r>
      <w:hyperlink r:id="rId273">
        <w:r w:rsidDel="00000000" w:rsidR="00000000" w:rsidRPr="00000000">
          <w:rPr>
            <w:rtl w:val="0"/>
          </w:rPr>
          <w:t xml:space="preserve"> </w:t>
        </w:r>
      </w:hyperlink>
      <w:hyperlink r:id="rId274">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320">
      <w:pPr>
        <w:spacing w:after="240" w:before="240" w:lineRule="auto"/>
        <w:rPr/>
      </w:pPr>
      <w:r w:rsidDel="00000000" w:rsidR="00000000" w:rsidRPr="00000000">
        <w:rPr>
          <w:rtl w:val="0"/>
        </w:rPr>
        <w:t xml:space="preserve">TML's Adaptive Throttling Protocol (Section 2.2.3.1) addresses Article 15's cybersecurity requirement by preventing adversarial uncertainty injection through Forced Hesitation Denial of Service attacks. The HSM-backed Permission Token architecture prevents forgery of execution authorizations. The Merkle anchoring of log records prevents retrospective alteration of the evidentiary record. The separation between the Inference Lane and the Anchoring Lane prevents a compromised inference model from generating unauthorized execution authorizations: the Anchoring Lane's independent ternary evaluation is unaffected by adversarial manipulation of the Inference Lane's outputs.</w:t>
      </w:r>
    </w:p>
    <w:p w:rsidR="00000000" w:rsidDel="00000000" w:rsidP="00000000" w:rsidRDefault="00000000" w:rsidRPr="00000000" w14:paraId="00000321">
      <w:pPr>
        <w:pStyle w:val="Heading4"/>
        <w:keepNext w:val="0"/>
        <w:keepLines w:val="0"/>
        <w:spacing w:after="40" w:before="240" w:lineRule="auto"/>
        <w:rPr>
          <w:b w:val="1"/>
          <w:bCs w:val="1"/>
          <w:color w:val="000000"/>
          <w:sz w:val="22"/>
          <w:szCs w:val="22"/>
        </w:rPr>
      </w:pPr>
      <w:bookmarkStart w:colFirst="0" w:colLast="0" w:name="_hzdh5rr93chz" w:id="118"/>
      <w:bookmarkEnd w:id="118"/>
      <w:r w:rsidDel="00000000" w:rsidR="00000000" w:rsidRPr="00000000">
        <w:rPr>
          <w:b w:val="1"/>
          <w:bCs w:val="1"/>
          <w:color w:val="000000"/>
          <w:sz w:val="22"/>
          <w:szCs w:val="22"/>
          <w:rtl w:val="0"/>
        </w:rPr>
        <w:t xml:space="preserve">5.1.7 Articles 17 and 61: Quality Management and Post-Market Monitoring</w:t>
      </w:r>
    </w:p>
    <w:p w:rsidR="00000000" w:rsidDel="00000000" w:rsidP="00000000" w:rsidRDefault="00000000" w:rsidRPr="00000000" w14:paraId="00000322">
      <w:pPr>
        <w:spacing w:after="240" w:before="240" w:lineRule="auto"/>
        <w:rPr/>
      </w:pPr>
      <w:r w:rsidDel="00000000" w:rsidR="00000000" w:rsidRPr="00000000">
        <w:rPr>
          <w:rtl w:val="0"/>
        </w:rPr>
        <w:t xml:space="preserve">Article 17 requires providers to establish a quality management system covering all aspects of the AI system's lifecycle, and Article 61 requires post-market monitoring plans that actively and systematically collect and review data about the system's performance after deployment</w:t>
      </w:r>
      <w:hyperlink r:id="rId275">
        <w:r w:rsidDel="00000000" w:rsidR="00000000" w:rsidRPr="00000000">
          <w:rPr>
            <w:rtl w:val="0"/>
          </w:rPr>
          <w:t xml:space="preserve"> </w:t>
        </w:r>
      </w:hyperlink>
      <w:hyperlink r:id="rId276">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323">
      <w:pPr>
        <w:spacing w:after="240" w:before="240" w:lineRule="auto"/>
        <w:rPr/>
      </w:pPr>
      <w:r w:rsidDel="00000000" w:rsidR="00000000" w:rsidRPr="00000000">
        <w:rPr>
          <w:rtl w:val="0"/>
        </w:rPr>
        <w:t xml:space="preserve">TML's Moral Trace Log archive serves simultaneously as the quality management documentation required by Article 17 and the post-market monitoring dataset required by Article 61. The continuous generation of authenticated, anchored operational records provides the empirical basis for systematic performance review; the Sacred Zero frequency rate, Mandate trigger rates, resolution latency distributions, and false positive rates documented in Section 3's measurable outputs constitute the specific metrics that Article 61's post-market monitoring plan requires. The Goukassian Foundation's certification review process provides the independent third-party quality management oversight that Article 17 contemplates.</w:t>
      </w:r>
    </w:p>
    <w:p w:rsidR="00000000" w:rsidDel="00000000" w:rsidP="00000000" w:rsidRDefault="00000000" w:rsidRPr="00000000" w14:paraId="00000324">
      <w:pPr>
        <w:pStyle w:val="Heading4"/>
        <w:keepNext w:val="0"/>
        <w:keepLines w:val="0"/>
        <w:spacing w:after="40" w:before="240" w:lineRule="auto"/>
        <w:rPr>
          <w:b w:val="1"/>
          <w:bCs w:val="1"/>
          <w:color w:val="000000"/>
          <w:sz w:val="22"/>
          <w:szCs w:val="22"/>
        </w:rPr>
      </w:pPr>
      <w:bookmarkStart w:colFirst="0" w:colLast="0" w:name="_2qvoq0swwe1o" w:id="119"/>
      <w:bookmarkEnd w:id="119"/>
      <w:r w:rsidDel="00000000" w:rsidR="00000000" w:rsidRPr="00000000">
        <w:rPr>
          <w:b w:val="1"/>
          <w:bCs w:val="1"/>
          <w:color w:val="000000"/>
          <w:sz w:val="22"/>
          <w:szCs w:val="22"/>
          <w:rtl w:val="0"/>
        </w:rPr>
        <w:t xml:space="preserve">5.1.8 Articles 84, 85, and 99: Enforcement and Penalties</w:t>
      </w:r>
    </w:p>
    <w:p w:rsidR="00000000" w:rsidDel="00000000" w:rsidP="00000000" w:rsidRDefault="00000000" w:rsidRPr="00000000" w14:paraId="00000325">
      <w:pPr>
        <w:spacing w:after="240" w:before="240" w:lineRule="auto"/>
        <w:rPr/>
      </w:pPr>
      <w:r w:rsidDel="00000000" w:rsidR="00000000" w:rsidRPr="00000000">
        <w:rPr>
          <w:rtl w:val="0"/>
        </w:rPr>
        <w:t xml:space="preserve">The EU AI Act's enforcement architecture assigns supervisory authority to national competent authorities and to the European AI Office for general-purpose AI models, with maximum fines for violations of prohibited AI practices reaching 35 million euros or 7% of worldwide annual turnover, and fines for violations of high-risk AI system obligations reaching 15 million euros or 3% of worldwide annual turnover</w:t>
      </w:r>
      <w:hyperlink r:id="rId277">
        <w:r w:rsidDel="00000000" w:rsidR="00000000" w:rsidRPr="00000000">
          <w:rPr>
            <w:rtl w:val="0"/>
          </w:rPr>
          <w:t xml:space="preserve"> </w:t>
        </w:r>
      </w:hyperlink>
      <w:hyperlink r:id="rId278">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326">
      <w:pPr>
        <w:spacing w:after="240" w:before="240" w:lineRule="auto"/>
        <w:rPr/>
      </w:pPr>
      <w:r w:rsidDel="00000000" w:rsidR="00000000" w:rsidRPr="00000000">
        <w:rPr>
          <w:rtl w:val="0"/>
        </w:rPr>
        <w:t xml:space="preserve">TML's architecture reduces enforcement risk not merely by achieving compliance but by generating continuous documentation of compliance that national competent authorities can access through the </w:t>
      </w:r>
      <w:r w:rsidDel="00000000" w:rsidR="00000000" w:rsidRPr="00000000">
        <w:rPr>
          <w:rFonts w:ascii="Roboto Mono" w:cs="Roboto Mono" w:eastAsia="Roboto Mono" w:hAnsi="Roboto Mono"/>
          <w:color w:val="188038"/>
          <w:rtl w:val="0"/>
        </w:rPr>
        <w:t xml:space="preserve">GET /regulator/audit-trail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endpoints. The evidentiary record of compliance is continuously maintained, publicly anchored, and available to regulatory authorities without requiring operator-mediated disclosure. Supervisory inspections of TML-governed systems do not depend on operator cooperation in record preparation; the compliance record exists independently of the operator's interest in its production.</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g0ilow4l0771" w:id="120"/>
      <w:bookmarkEnd w:id="120"/>
      <w:r w:rsidDel="00000000" w:rsidR="00000000" w:rsidRPr="00000000">
        <w:rPr>
          <w:b w:val="1"/>
          <w:bCs w:val="1"/>
          <w:color w:val="000000"/>
          <w:sz w:val="26"/>
          <w:szCs w:val="26"/>
          <w:rtl w:val="0"/>
        </w:rPr>
        <w:t xml:space="preserve">5.2 The NIST AI Risk Management Framework</w:t>
      </w:r>
    </w:p>
    <w:p w:rsidR="00000000" w:rsidDel="00000000" w:rsidP="00000000" w:rsidRDefault="00000000" w:rsidRPr="00000000" w14:paraId="00000328">
      <w:pPr>
        <w:spacing w:after="240" w:before="240" w:lineRule="auto"/>
        <w:rPr/>
      </w:pPr>
      <w:r w:rsidDel="00000000" w:rsidR="00000000" w:rsidRPr="00000000">
        <w:rPr>
          <w:rtl w:val="0"/>
        </w:rPr>
        <w:t xml:space="preserve">The NIST AI Risk Management Framework (AI RMF 1.0, January 2023)</w:t>
      </w:r>
      <w:hyperlink r:id="rId279">
        <w:r w:rsidDel="00000000" w:rsidR="00000000" w:rsidRPr="00000000">
          <w:rPr>
            <w:rtl w:val="0"/>
          </w:rPr>
          <w:t xml:space="preserve"> </w:t>
        </w:r>
      </w:hyperlink>
      <w:hyperlink r:id="rId280">
        <w:r w:rsidDel="00000000" w:rsidR="00000000" w:rsidRPr="00000000">
          <w:rPr>
            <w:color w:val="1155cc"/>
            <w:u w:val="single"/>
            <w:rtl w:val="0"/>
          </w:rPr>
          <w:t xml:space="preserve">[23]</w:t>
        </w:r>
      </w:hyperlink>
      <w:r w:rsidDel="00000000" w:rsidR="00000000" w:rsidRPr="00000000">
        <w:rPr>
          <w:rtl w:val="0"/>
        </w:rPr>
        <w:t xml:space="preserve"> organizes AI risk management around four core functions: GOVERN (establishing structures and culture for AI risk management), MAP (contextualizing and categorizing risks), MEASURE (quantifying and assessing risks), and MANAGE (responding to identified risks). While voluntary for most U.S. organizations, the AI RMF has been adopted as the basis for federal contractor AI governance requirements and is increasingly referenced in state-level AI legislation.</w:t>
      </w:r>
    </w:p>
    <w:p w:rsidR="00000000" w:rsidDel="00000000" w:rsidP="00000000" w:rsidRDefault="00000000" w:rsidRPr="00000000" w14:paraId="00000329">
      <w:pPr>
        <w:spacing w:after="240" w:before="240" w:lineRule="auto"/>
        <w:rPr/>
      </w:pPr>
      <w:r w:rsidDel="00000000" w:rsidR="00000000" w:rsidRPr="00000000">
        <w:rPr>
          <w:b w:val="1"/>
          <w:bCs w:val="1"/>
          <w:rtl w:val="0"/>
        </w:rPr>
        <w:t xml:space="preserve">GOVERN Function:</w:t>
      </w:r>
      <w:r w:rsidDel="00000000" w:rsidR="00000000" w:rsidRPr="00000000">
        <w:rPr>
          <w:rtl w:val="0"/>
        </w:rPr>
        <w:t xml:space="preserve"> TML's architecture satisfies the GOVERN function through the Goukassian Foundation's institutional governance structure (Section 10), the Eight Pillars as the technical implementation of accountability and transparency policies, and the Goukassian Promise as the socio-technical covenant binding the organization to its stated governance commitments. The GOVERN function's requirement for "organizational accountability" is satisfied by the Always Memory architecture: accountability is not merely asserted but structurally enforced through pre-actuation log commitment that creates an auditable record of every decision.</w:t>
      </w:r>
    </w:p>
    <w:p w:rsidR="00000000" w:rsidDel="00000000" w:rsidP="00000000" w:rsidRDefault="00000000" w:rsidRPr="00000000" w14:paraId="0000032A">
      <w:pPr>
        <w:spacing w:after="240" w:before="240" w:lineRule="auto"/>
        <w:rPr/>
      </w:pPr>
      <w:r w:rsidDel="00000000" w:rsidR="00000000" w:rsidRPr="00000000">
        <w:rPr>
          <w:b w:val="1"/>
          <w:bCs w:val="1"/>
          <w:rtl w:val="0"/>
        </w:rPr>
        <w:t xml:space="preserve">MAP Function:</w:t>
      </w:r>
      <w:r w:rsidDel="00000000" w:rsidR="00000000" w:rsidRPr="00000000">
        <w:rPr>
          <w:rtl w:val="0"/>
        </w:rPr>
        <w:t xml:space="preserve"> The Human Rights Mandate and Earth Protection Mandate vector evaluation architecture automatically performs the risk contextualization and categorization that the MAP function requires. Every inference cycle includes a real-time assessment of the proposed action's risk profile against international human rights and ecological boundary standards, generating per-decision risk categorization documentation in the Moral Trace Log.</w:t>
      </w:r>
    </w:p>
    <w:p w:rsidR="00000000" w:rsidDel="00000000" w:rsidP="00000000" w:rsidRDefault="00000000" w:rsidRPr="00000000" w14:paraId="0000032B">
      <w:pPr>
        <w:spacing w:after="240" w:before="240" w:lineRule="auto"/>
        <w:rPr/>
      </w:pPr>
      <w:r w:rsidDel="00000000" w:rsidR="00000000" w:rsidRPr="00000000">
        <w:rPr>
          <w:b w:val="1"/>
          <w:bCs w:val="1"/>
          <w:rtl w:val="0"/>
        </w:rPr>
        <w:t xml:space="preserve">MEASURE Function:</w:t>
      </w:r>
      <w:r w:rsidDel="00000000" w:rsidR="00000000" w:rsidRPr="00000000">
        <w:rPr>
          <w:rtl w:val="0"/>
        </w:rPr>
        <w:t xml:space="preserve"> TML's measurable outputs, specified in Section 3 for each of the Eight Pillars, constitute the quantitative risk measurement infrastructure that the MEASURE function requires. Sacred Zero frequency rates, Mandate trigger rates, resolution latency distributions, and log completeness scores provide the empirical basis for ongoing risk quantification that the AI RMF's MEASURE function contemplates.</w:t>
      </w:r>
    </w:p>
    <w:p w:rsidR="00000000" w:rsidDel="00000000" w:rsidP="00000000" w:rsidRDefault="00000000" w:rsidRPr="00000000" w14:paraId="0000032C">
      <w:pPr>
        <w:spacing w:after="240" w:before="240" w:lineRule="auto"/>
        <w:rPr/>
      </w:pPr>
      <w:r w:rsidDel="00000000" w:rsidR="00000000" w:rsidRPr="00000000">
        <w:rPr>
          <w:b w:val="1"/>
          <w:bCs w:val="1"/>
          <w:rtl w:val="0"/>
        </w:rPr>
        <w:t xml:space="preserve">MANAGE Function:</w:t>
      </w:r>
      <w:r w:rsidDel="00000000" w:rsidR="00000000" w:rsidRPr="00000000">
        <w:rPr>
          <w:rtl w:val="0"/>
        </w:rPr>
        <w:t xml:space="preserve"> The Sacred Zero escalation pathway is the operational implementation of the AI RMF's MANAGE function requirement to respond to identified risks with appropriate risk management actions. The Sacred Zero's time-bounded deliberation structure, human escalation pathway, and automatic fail-closed default constitute a complete risk response protocol that satisfies the MANAGE function's requirements for both immediate response and systematic documentation.</w:t>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c1232d6hh8gf" w:id="121"/>
      <w:bookmarkEnd w:id="121"/>
      <w:r w:rsidDel="00000000" w:rsidR="00000000" w:rsidRPr="00000000">
        <w:rPr>
          <w:b w:val="1"/>
          <w:bCs w:val="1"/>
          <w:color w:val="000000"/>
          <w:sz w:val="26"/>
          <w:szCs w:val="26"/>
          <w:rtl w:val="0"/>
        </w:rPr>
        <w:t xml:space="preserve">5.3 ISO/IEC 42001: AI Management System Standard</w:t>
      </w:r>
    </w:p>
    <w:p w:rsidR="00000000" w:rsidDel="00000000" w:rsidP="00000000" w:rsidRDefault="00000000" w:rsidRPr="00000000" w14:paraId="0000032E">
      <w:pPr>
        <w:spacing w:after="240" w:before="240" w:lineRule="auto"/>
        <w:rPr/>
      </w:pPr>
      <w:r w:rsidDel="00000000" w:rsidR="00000000" w:rsidRPr="00000000">
        <w:rPr>
          <w:rtl w:val="0"/>
        </w:rPr>
        <w:t xml:space="preserve">ISO/IEC 42001:2023</w:t>
      </w:r>
      <w:hyperlink r:id="rId281">
        <w:r w:rsidDel="00000000" w:rsidR="00000000" w:rsidRPr="00000000">
          <w:rPr>
            <w:rtl w:val="0"/>
          </w:rPr>
          <w:t xml:space="preserve"> </w:t>
        </w:r>
      </w:hyperlink>
      <w:hyperlink r:id="rId282">
        <w:r w:rsidDel="00000000" w:rsidR="00000000" w:rsidRPr="00000000">
          <w:rPr>
            <w:color w:val="1155cc"/>
            <w:u w:val="single"/>
            <w:rtl w:val="0"/>
          </w:rPr>
          <w:t xml:space="preserve">[46]</w:t>
        </w:r>
      </w:hyperlink>
      <w:r w:rsidDel="00000000" w:rsidR="00000000" w:rsidRPr="00000000">
        <w:rPr>
          <w:rtl w:val="0"/>
        </w:rPr>
        <w:t xml:space="preserve"> establishes the requirements for an AI management system (AIMS), providing a structured framework for organizations to develop, provide, or use AI systems responsibly. It follows the high-level structure common to ISO management system standards (ISO 9001, ISO 27001) and can be integrated into existing management system frameworks.</w:t>
      </w:r>
    </w:p>
    <w:p w:rsidR="00000000" w:rsidDel="00000000" w:rsidP="00000000" w:rsidRDefault="00000000" w:rsidRPr="00000000" w14:paraId="0000032F">
      <w:pPr>
        <w:spacing w:after="240" w:before="240" w:lineRule="auto"/>
        <w:rPr/>
      </w:pPr>
      <w:r w:rsidDel="00000000" w:rsidR="00000000" w:rsidRPr="00000000">
        <w:rPr>
          <w:rtl w:val="0"/>
        </w:rPr>
        <w:t xml:space="preserve">TML's architecture maps to ISO/IEC 42001's requirements across all major clauses. Clause 6 (Planning) is satisfied by the Eight Pillars' systematic identification of risks and opportunities, with the Human Rights and Earth Protection Mandate vectors providing the AI-specific impact assessment that Annex A (A.6) requires. Clause 8 (Operation) is satisfied by the Dual-Lane Architecture's operational implementation of the AI management system, including the documented risk treatment processes represented by the Sacred Zero escalation protocol. Clause 9 (Performance Evaluation) is satisfied by the Moral Trace Log archive's provision of the monitoring, measurement, analysis, and evaluation data that ISO 42001 requires for management review. Clause 10 (Improvement) is satisfied by the calibration review process, through which Sacred Zero trigger pattern analysis and Mandate veto frequency data drive ongoing threshold adjustment and system improvement.</w:t>
      </w:r>
    </w:p>
    <w:p w:rsidR="00000000" w:rsidDel="00000000" w:rsidP="00000000" w:rsidRDefault="00000000" w:rsidRPr="00000000" w14:paraId="00000330">
      <w:pPr>
        <w:spacing w:after="240" w:before="240" w:lineRule="auto"/>
        <w:rPr/>
      </w:pPr>
      <w:r w:rsidDel="00000000" w:rsidR="00000000" w:rsidRPr="00000000">
        <w:rPr>
          <w:rtl w:val="0"/>
        </w:rPr>
        <w:t xml:space="preserve">ISO 42001 Annex B provides implementation guidance for AI-specific concerns including data quality, algorithmic transparency, and human oversight. TML's TSLF schema satisfies the data quality documentation requirements through the </w:t>
      </w:r>
      <w:r w:rsidDel="00000000" w:rsidR="00000000" w:rsidRPr="00000000">
        <w:rPr>
          <w:rFonts w:ascii="Roboto Mono" w:cs="Roboto Mono" w:eastAsia="Roboto Mono" w:hAnsi="Roboto Mono"/>
          <w:color w:val="188038"/>
          <w:rtl w:val="0"/>
        </w:rPr>
        <w:t xml:space="preserve">inputDataHash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contextSnapshot</w:t>
      </w:r>
      <w:r w:rsidDel="00000000" w:rsidR="00000000" w:rsidRPr="00000000">
        <w:rPr>
          <w:rtl w:val="0"/>
        </w:rPr>
        <w:t xml:space="preserve"> fields that document the input data used in each decision. The Sacred Zero's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satisfies algorithmic transparency requirements by providing accessible rationale for uncertainty-triggering decisions. The human escalation pathway satisfies the human oversight implementation guidance for high-stakes determinations.</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3uqd21a6zvx" w:id="122"/>
      <w:bookmarkEnd w:id="122"/>
      <w:r w:rsidDel="00000000" w:rsidR="00000000" w:rsidRPr="00000000">
        <w:rPr>
          <w:b w:val="1"/>
          <w:bCs w:val="1"/>
          <w:color w:val="000000"/>
          <w:sz w:val="26"/>
          <w:szCs w:val="26"/>
          <w:rtl w:val="0"/>
        </w:rPr>
        <w:t xml:space="preserve">5.4 U.S. Federal Rules of Evidence: Self-Authentication and Admissibility</w:t>
      </w:r>
    </w:p>
    <w:p w:rsidR="00000000" w:rsidDel="00000000" w:rsidP="00000000" w:rsidRDefault="00000000" w:rsidRPr="00000000" w14:paraId="00000332">
      <w:pPr>
        <w:spacing w:after="240" w:before="240" w:lineRule="auto"/>
        <w:rPr/>
      </w:pPr>
      <w:r w:rsidDel="00000000" w:rsidR="00000000" w:rsidRPr="00000000">
        <w:rPr>
          <w:rtl w:val="0"/>
        </w:rPr>
        <w:t xml:space="preserve">The admissibility of AI-generated evidence in U.S. federal court proceedings requires satisfaction of Federal Rules of Evidence 901 (authentication) and 902 (self-authentication). The evidentiary challenge presented by AI-generated records is the authentication burden: establishing that the record accurately reflects what the AI system actually produced, without alteration, at the stated time</w:t>
      </w:r>
      <w:hyperlink r:id="rId283">
        <w:r w:rsidDel="00000000" w:rsidR="00000000" w:rsidRPr="00000000">
          <w:rPr>
            <w:rtl w:val="0"/>
          </w:rPr>
          <w:t xml:space="preserve"> </w:t>
        </w:r>
      </w:hyperlink>
      <w:hyperlink r:id="rId284">
        <w:r w:rsidDel="00000000" w:rsidR="00000000" w:rsidRPr="00000000">
          <w:rPr>
            <w:color w:val="1155cc"/>
            <w:u w:val="single"/>
            <w:rtl w:val="0"/>
          </w:rPr>
          <w:t xml:space="preserve">[26]</w:t>
        </w:r>
      </w:hyperlink>
      <w:r w:rsidDel="00000000" w:rsidR="00000000" w:rsidRPr="00000000">
        <w:rPr>
          <w:rtl w:val="0"/>
        </w:rPr>
        <w:t xml:space="preserve">.</w:t>
      </w:r>
    </w:p>
    <w:p w:rsidR="00000000" w:rsidDel="00000000" w:rsidP="00000000" w:rsidRDefault="00000000" w:rsidRPr="00000000" w14:paraId="00000333">
      <w:pPr>
        <w:spacing w:after="240" w:before="240" w:lineRule="auto"/>
        <w:rPr/>
      </w:pPr>
      <w:r w:rsidDel="00000000" w:rsidR="00000000" w:rsidRPr="00000000">
        <w:rPr>
          <w:b w:val="1"/>
          <w:bCs w:val="1"/>
          <w:rtl w:val="0"/>
        </w:rPr>
        <w:t xml:space="preserve">FRE 902(13): Certified Records Generated by an Electronic Process or System.</w:t>
      </w:r>
      <w:r w:rsidDel="00000000" w:rsidR="00000000" w:rsidRPr="00000000">
        <w:rPr>
          <w:rtl w:val="0"/>
        </w:rPr>
        <w:t xml:space="preserve"> This rule permits self-authentication of records generated by an electronic system if accompanied by a certification by a qualified person that the records were generated by a process or system that produces an accurate result. TML's Anchoring Lane HSM-backed signature satisfies the "qualified person certification" requirement: the HSM-signed JWT constitutes a hardware-rooted certification that the record was produced by the TML governance process. The </w:t>
      </w:r>
      <w:r w:rsidDel="00000000" w:rsidR="00000000" w:rsidRPr="00000000">
        <w:rPr>
          <w:rFonts w:ascii="Roboto Mono" w:cs="Roboto Mono" w:eastAsia="Roboto Mono" w:hAnsi="Roboto Mono"/>
          <w:color w:val="188038"/>
          <w:rtl w:val="0"/>
        </w:rPr>
        <w:t xml:space="preserve">AuditProof.logHash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fields provide the technical basis for the certification's accuracy claim.</w:t>
      </w:r>
    </w:p>
    <w:p w:rsidR="00000000" w:rsidDel="00000000" w:rsidP="00000000" w:rsidRDefault="00000000" w:rsidRPr="00000000" w14:paraId="00000334">
      <w:pPr>
        <w:spacing w:after="240" w:before="240" w:lineRule="auto"/>
        <w:rPr/>
      </w:pPr>
      <w:r w:rsidDel="00000000" w:rsidR="00000000" w:rsidRPr="00000000">
        <w:rPr>
          <w:b w:val="1"/>
          <w:bCs w:val="1"/>
          <w:rtl w:val="0"/>
        </w:rPr>
        <w:t xml:space="preserve">FRE 902(14): Certified Data Copied from an Electronic Device.</w:t>
      </w:r>
      <w:r w:rsidDel="00000000" w:rsidR="00000000" w:rsidRPr="00000000">
        <w:rPr>
          <w:rtl w:val="0"/>
        </w:rPr>
        <w:t xml:space="preserve"> This rule permits self-authentication of data copied from an electronic device, storage medium, or file, if accompanied by a certification by a qualified person that the copying process produced an accurate copy. TML's Merkle inclusion proof provides the mathematical basis for this certification: the </w:t>
      </w:r>
      <w:r w:rsidDel="00000000" w:rsidR="00000000" w:rsidRPr="00000000">
        <w:rPr>
          <w:rFonts w:ascii="Roboto Mono" w:cs="Roboto Mono" w:eastAsia="Roboto Mono" w:hAnsi="Roboto Mono"/>
          <w:color w:val="188038"/>
          <w:rtl w:val="0"/>
        </w:rPr>
        <w:t xml:space="preserve">MerkleInclusionProof.inclusionPath</w:t>
      </w:r>
      <w:r w:rsidDel="00000000" w:rsidR="00000000" w:rsidRPr="00000000">
        <w:rPr>
          <w:rtl w:val="0"/>
        </w:rPr>
        <w:t xml:space="preserve"> array enables any party to verify that the specific log record is accurately included in the Merkle batch that was anchored to the public blockchain, without requiring testimony from the system's developers.</w:t>
      </w:r>
    </w:p>
    <w:p w:rsidR="00000000" w:rsidDel="00000000" w:rsidP="00000000" w:rsidRDefault="00000000" w:rsidRPr="00000000" w14:paraId="00000335">
      <w:pPr>
        <w:spacing w:after="240" w:before="240" w:lineRule="auto"/>
        <w:rPr/>
      </w:pPr>
      <w:r w:rsidDel="00000000" w:rsidR="00000000" w:rsidRPr="00000000">
        <w:rPr>
          <w:rtl w:val="0"/>
        </w:rPr>
        <w:t xml:space="preserve">The combination of HSM-backed signatures and Merkle anchoring creates a self-authentication framework for TML Moral Trace Logs that satisfies FRE 902(13) and 902(14) without requiring the developer's testimony in every proceeding in which the records are offered. This substantially reduces the litigation cost of AI-generated evidence and enables TML records to serve as efficiently admissible evidence in the high volume of proceedings in which AI system behavior is likely to be at issue as deployment scales.</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cte71xc8ckfj" w:id="123"/>
      <w:bookmarkEnd w:id="123"/>
      <w:r w:rsidDel="00000000" w:rsidR="00000000" w:rsidRPr="00000000">
        <w:rPr>
          <w:b w:val="1"/>
          <w:bCs w:val="1"/>
          <w:color w:val="000000"/>
          <w:sz w:val="26"/>
          <w:szCs w:val="26"/>
          <w:rtl w:val="0"/>
        </w:rPr>
        <w:t xml:space="preserve">5.5 EU eIDAS Regulation: Qualified Electronic Timestamps</w:t>
      </w:r>
    </w:p>
    <w:p w:rsidR="00000000" w:rsidDel="00000000" w:rsidP="00000000" w:rsidRDefault="00000000" w:rsidRPr="00000000" w14:paraId="00000337">
      <w:pPr>
        <w:spacing w:after="240" w:before="240" w:lineRule="auto"/>
        <w:rPr/>
      </w:pPr>
      <w:r w:rsidDel="00000000" w:rsidR="00000000" w:rsidRPr="00000000">
        <w:rPr>
          <w:rtl w:val="0"/>
        </w:rPr>
        <w:t xml:space="preserve">EU Regulation 910/2014 (eIDAS)</w:t>
      </w:r>
      <w:hyperlink r:id="rId285">
        <w:r w:rsidDel="00000000" w:rsidR="00000000" w:rsidRPr="00000000">
          <w:rPr>
            <w:rtl w:val="0"/>
          </w:rPr>
          <w:t xml:space="preserve"> </w:t>
        </w:r>
      </w:hyperlink>
      <w:hyperlink r:id="rId286">
        <w:r w:rsidDel="00000000" w:rsidR="00000000" w:rsidRPr="00000000">
          <w:rPr>
            <w:color w:val="1155cc"/>
            <w:u w:val="single"/>
            <w:rtl w:val="0"/>
          </w:rPr>
          <w:t xml:space="preserve">[27]</w:t>
        </w:r>
      </w:hyperlink>
      <w:r w:rsidDel="00000000" w:rsidR="00000000" w:rsidRPr="00000000">
        <w:rPr>
          <w:rtl w:val="0"/>
        </w:rPr>
        <w:t xml:space="preserve"> establishes the legal framework for electronic identification and trust services in the EU, including qualified electronic timestamps. Under Article 41, a qualified electronic timestamp "shall enjoy the presumption of the accuracy of the date and time it indicates and the integrity of the data to which the date and time are bound." This legal presumption of integrity, available for timestamps meeting the eIDAS qualified timestamp requirements, substantially reduces the evidentiary burden in EU legal proceedings involving TML records.</w:t>
      </w:r>
    </w:p>
    <w:p w:rsidR="00000000" w:rsidDel="00000000" w:rsidP="00000000" w:rsidRDefault="00000000" w:rsidRPr="00000000" w14:paraId="00000338">
      <w:pPr>
        <w:spacing w:after="240" w:before="240" w:lineRule="auto"/>
        <w:rPr/>
      </w:pPr>
      <w:r w:rsidDel="00000000" w:rsidR="00000000" w:rsidRPr="00000000">
        <w:rPr>
          <w:rtl w:val="0"/>
        </w:rPr>
        <w:t xml:space="preserve">TML's blockchain anchoring architecture satisfies the eIDAS qualified timestamp requirements through the public blockchain's consensus mechanism: the block timestamp at which the Merkle root anchor transaction is confirmed provides a decentralized, manipulation-resistant timestamp whose integrity is guaranteed by the blockchain's cryptographic consensus. The multi-chain anchoring architecture (Bitcoin, Ethereum, Polygon) provides redundant timestamp records across independent consensus mechanisms, such that the temporal integrity of TML records is established by the intersection of multiple independent blockchain confirmations rather than a single centralized timestamp authority.</w:t>
      </w:r>
    </w:p>
    <w:p w:rsidR="00000000" w:rsidDel="00000000" w:rsidP="00000000" w:rsidRDefault="00000000" w:rsidRPr="00000000" w14:paraId="00000339">
      <w:pPr>
        <w:spacing w:after="240" w:before="240" w:lineRule="auto"/>
        <w:rPr/>
      </w:pPr>
      <w:r w:rsidDel="00000000" w:rsidR="00000000" w:rsidRPr="00000000">
        <w:rPr>
          <w:rtl w:val="0"/>
        </w:rPr>
        <w:t xml:space="preserve">The practical legal effect of eIDAS qualification for TML records is significant in EU administrative and civil proceedings: the accuracy of the timestamp and the integrity of the anchored data carry a legal presumption that the opposing party must rebut with affirmative evidence of falsification. This presumption inverts the standard evidentiary burden in AI accountability proceedings, where the affected person currently bears the burden of proving that an AI-generated record is inaccurate or has been manipulated.</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jwjyylj1ni9y" w:id="124"/>
      <w:bookmarkEnd w:id="124"/>
      <w:r w:rsidDel="00000000" w:rsidR="00000000" w:rsidRPr="00000000">
        <w:rPr>
          <w:b w:val="1"/>
          <w:bCs w:val="1"/>
          <w:color w:val="000000"/>
          <w:sz w:val="26"/>
          <w:szCs w:val="26"/>
          <w:rtl w:val="0"/>
        </w:rPr>
        <w:t xml:space="preserve">5.6 Basel III/IV: Model Risk Management and Pillar 3 Disclosure</w:t>
      </w:r>
    </w:p>
    <w:p w:rsidR="00000000" w:rsidDel="00000000" w:rsidP="00000000" w:rsidRDefault="00000000" w:rsidRPr="00000000" w14:paraId="0000033B">
      <w:pPr>
        <w:spacing w:after="240" w:before="240" w:lineRule="auto"/>
        <w:rPr/>
      </w:pPr>
      <w:r w:rsidDel="00000000" w:rsidR="00000000" w:rsidRPr="00000000">
        <w:rPr>
          <w:rtl w:val="0"/>
        </w:rPr>
        <w:t xml:space="preserve">Basel III/IV's model risk management framework, operationalized through supervisory guidance including the Federal Reserve's SR 11-7</w:t>
      </w:r>
      <w:hyperlink r:id="rId287">
        <w:r w:rsidDel="00000000" w:rsidR="00000000" w:rsidRPr="00000000">
          <w:rPr>
            <w:rtl w:val="0"/>
          </w:rPr>
          <w:t xml:space="preserve"> </w:t>
        </w:r>
      </w:hyperlink>
      <w:hyperlink r:id="rId288">
        <w:r w:rsidDel="00000000" w:rsidR="00000000" w:rsidRPr="00000000">
          <w:rPr>
            <w:color w:val="1155cc"/>
            <w:u w:val="single"/>
            <w:rtl w:val="0"/>
          </w:rPr>
          <w:t xml:space="preserve">[47]</w:t>
        </w:r>
      </w:hyperlink>
      <w:r w:rsidDel="00000000" w:rsidR="00000000" w:rsidRPr="00000000">
        <w:rPr>
          <w:rtl w:val="0"/>
        </w:rPr>
        <w:t xml:space="preserve"> and the European Banking Authority's guidelines on internal model risk governance, imposes specific requirements on financial institutions for the validation, documentation, and oversight of models used in risk measurement and capital calculation. Pillar 3 disclosure requirements mandate public reporting of model governance quality sufficient to enable market discipline to complement supervisory oversight.</w:t>
      </w:r>
    </w:p>
    <w:p w:rsidR="00000000" w:rsidDel="00000000" w:rsidP="00000000" w:rsidRDefault="00000000" w:rsidRPr="00000000" w14:paraId="0000033C">
      <w:pPr>
        <w:spacing w:after="240" w:before="240" w:lineRule="auto"/>
        <w:rPr/>
      </w:pPr>
      <w:r w:rsidDel="00000000" w:rsidR="00000000" w:rsidRPr="00000000">
        <w:rPr>
          <w:rtl w:val="0"/>
        </w:rPr>
        <w:t xml:space="preserve">TML's Moral Trace Log architecture addresses SR 11-7's model documentation requirements through continuous operational recording that substantially exceeds the documentation standards that model validation typically requires. The </w:t>
      </w:r>
      <w:r w:rsidDel="00000000" w:rsidR="00000000" w:rsidRPr="00000000">
        <w:rPr>
          <w:rFonts w:ascii="Roboto Mono" w:cs="Roboto Mono" w:eastAsia="Roboto Mono" w:hAnsi="Roboto Mono"/>
          <w:color w:val="188038"/>
          <w:rtl w:val="0"/>
        </w:rPr>
        <w:t xml:space="preserve">EthicalVerification.pillarAssessments</w:t>
      </w:r>
      <w:r w:rsidDel="00000000" w:rsidR="00000000" w:rsidRPr="00000000">
        <w:rPr>
          <w:rtl w:val="0"/>
        </w:rPr>
        <w:t xml:space="preserve"> object provides per-pillar assessment scores for every model decision, enabling the statistical distribution of model confidence across the deployment period to be analyzed as part of ongoing model validation. The Sacred Zero frequency rate provides a direct measure of the model's epistemic uncertainty distribution that is more informative than point-in-time backtesting validation.</w:t>
      </w:r>
    </w:p>
    <w:p w:rsidR="00000000" w:rsidDel="00000000" w:rsidP="00000000" w:rsidRDefault="00000000" w:rsidRPr="00000000" w14:paraId="0000033D">
      <w:pPr>
        <w:spacing w:after="240" w:before="240" w:lineRule="auto"/>
        <w:rPr/>
      </w:pPr>
      <w:r w:rsidDel="00000000" w:rsidR="00000000" w:rsidRPr="00000000">
        <w:rPr>
          <w:rtl w:val="0"/>
        </w:rPr>
        <w:t xml:space="preserve">Pillar 3's public disclosure requirements are satisfied by TML's Public Blockchain Anchoring: the existence and timing of model decisions are publicly verifiable through the Merkle anchor records, enabling external analysts to verify the consistency of a financial institution's model governance claims against the public anchoring record without access to proprietary model parameters or confidential customer data.</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qxjyma6dnax9" w:id="125"/>
      <w:bookmarkEnd w:id="125"/>
      <w:r w:rsidDel="00000000" w:rsidR="00000000" w:rsidRPr="00000000">
        <w:rPr>
          <w:b w:val="1"/>
          <w:bCs w:val="1"/>
          <w:color w:val="000000"/>
          <w:sz w:val="26"/>
          <w:szCs w:val="26"/>
          <w:rtl w:val="0"/>
        </w:rPr>
        <w:t xml:space="preserve">5.7 Global Emerging Frameworks: Brazil, UK, Canada, and Singapore</w:t>
      </w:r>
    </w:p>
    <w:p w:rsidR="00000000" w:rsidDel="00000000" w:rsidP="00000000" w:rsidRDefault="00000000" w:rsidRPr="00000000" w14:paraId="0000033F">
      <w:pPr>
        <w:spacing w:after="240" w:before="240" w:lineRule="auto"/>
        <w:rPr/>
      </w:pPr>
      <w:r w:rsidDel="00000000" w:rsidR="00000000" w:rsidRPr="00000000">
        <w:rPr>
          <w:rtl w:val="0"/>
        </w:rPr>
        <w:t xml:space="preserve">The EU AI Act and NIST AI RMF represent the most developed binding and quasi-binding frameworks currently in force, but regulatory development is proceeding across multiple jurisdictions in ways that are largely consistent with TML's architecture.</w:t>
      </w:r>
    </w:p>
    <w:p w:rsidR="00000000" w:rsidDel="00000000" w:rsidP="00000000" w:rsidRDefault="00000000" w:rsidRPr="00000000" w14:paraId="00000340">
      <w:pPr>
        <w:spacing w:after="240" w:before="240" w:lineRule="auto"/>
        <w:rPr/>
      </w:pPr>
      <w:r w:rsidDel="00000000" w:rsidR="00000000" w:rsidRPr="00000000">
        <w:rPr>
          <w:b w:val="1"/>
          <w:bCs w:val="1"/>
          <w:rtl w:val="0"/>
        </w:rPr>
        <w:t xml:space="preserve">Brazil's Lei Geral de Proteção de Dados (LGPD)</w:t>
      </w:r>
      <w:hyperlink r:id="rId289">
        <w:r w:rsidDel="00000000" w:rsidR="00000000" w:rsidRPr="00000000">
          <w:rPr>
            <w:rtl w:val="0"/>
          </w:rPr>
          <w:t xml:space="preserve"> </w:t>
        </w:r>
      </w:hyperlink>
      <w:hyperlink r:id="rId290">
        <w:r w:rsidDel="00000000" w:rsidR="00000000" w:rsidRPr="00000000">
          <w:rPr>
            <w:color w:val="1155cc"/>
            <w:u w:val="single"/>
            <w:rtl w:val="0"/>
          </w:rPr>
          <w:t xml:space="preserve">[48]</w:t>
        </w:r>
      </w:hyperlink>
      <w:r w:rsidDel="00000000" w:rsidR="00000000" w:rsidRPr="00000000">
        <w:rPr>
          <w:rtl w:val="0"/>
        </w:rPr>
        <w:t xml:space="preserve"> and the proposed AI regulation Bill 2338/2023 include requirements for explainability of automated decisions affecting individuals and the right to human review of high-risk automated determinations. These requirements are satisfied by TML's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explainability architecture and Sacred Zero human escalation pathway.</w:t>
      </w:r>
    </w:p>
    <w:p w:rsidR="00000000" w:rsidDel="00000000" w:rsidP="00000000" w:rsidRDefault="00000000" w:rsidRPr="00000000" w14:paraId="00000341">
      <w:pPr>
        <w:spacing w:after="240" w:before="240" w:lineRule="auto"/>
        <w:rPr/>
      </w:pPr>
      <w:r w:rsidDel="00000000" w:rsidR="00000000" w:rsidRPr="00000000">
        <w:rPr>
          <w:b w:val="1"/>
          <w:bCs w:val="1"/>
          <w:rtl w:val="0"/>
        </w:rPr>
        <w:t xml:space="preserve">The UK's pro-innovation AI regulation approach</w:t>
      </w:r>
      <w:r w:rsidDel="00000000" w:rsidR="00000000" w:rsidRPr="00000000">
        <w:rPr>
          <w:rtl w:val="0"/>
        </w:rPr>
        <w:t xml:space="preserve">, articulated through the AI Safety Institute and sector-specific regulatory guidance, emphasizes proportionate risk management, transparency, and human oversight mechanisms that align with TML's Eight Pillar architecture without imposing specific technical requirements that would require departure from TML's design.</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Canada's Directive on Automated Decision-Making</w:t>
      </w:r>
      <w:hyperlink r:id="rId291">
        <w:r w:rsidDel="00000000" w:rsidR="00000000" w:rsidRPr="00000000">
          <w:rPr>
            <w:rtl w:val="0"/>
          </w:rPr>
          <w:t xml:space="preserve"> </w:t>
        </w:r>
      </w:hyperlink>
      <w:hyperlink r:id="rId292">
        <w:r w:rsidDel="00000000" w:rsidR="00000000" w:rsidRPr="00000000">
          <w:rPr>
            <w:color w:val="1155cc"/>
            <w:u w:val="single"/>
            <w:rtl w:val="0"/>
          </w:rPr>
          <w:t xml:space="preserve">[49]</w:t>
        </w:r>
      </w:hyperlink>
      <w:r w:rsidDel="00000000" w:rsidR="00000000" w:rsidRPr="00000000">
        <w:rPr>
          <w:rtl w:val="0"/>
        </w:rPr>
        <w:t xml:space="preserve"> requires federal institutions to disclose the use of automated decision systems, provide meaningful explanations to affected persons, and maintain complete records of automated decisions. TML's Moral Trace Log architecture satisfies these requirements as operational byproducts: disclosure is enabled by the Lantern's public compliance broadcasting; explanation is provided by the TSLF log's structured rationale; record maintenance is guaranteed by the Always Memory pre-actuation commit architecture.</w:t>
      </w:r>
    </w:p>
    <w:p w:rsidR="00000000" w:rsidDel="00000000" w:rsidP="00000000" w:rsidRDefault="00000000" w:rsidRPr="00000000" w14:paraId="00000343">
      <w:pPr>
        <w:spacing w:after="240" w:before="240" w:lineRule="auto"/>
        <w:rPr/>
      </w:pPr>
      <w:r w:rsidDel="00000000" w:rsidR="00000000" w:rsidRPr="00000000">
        <w:rPr>
          <w:b w:val="1"/>
          <w:bCs w:val="1"/>
          <w:rtl w:val="0"/>
        </w:rPr>
        <w:t xml:space="preserve">Singapore's Model AI Governance Framework</w:t>
      </w:r>
      <w:hyperlink r:id="rId293">
        <w:r w:rsidDel="00000000" w:rsidR="00000000" w:rsidRPr="00000000">
          <w:rPr>
            <w:rtl w:val="0"/>
          </w:rPr>
          <w:t xml:space="preserve"> </w:t>
        </w:r>
      </w:hyperlink>
      <w:hyperlink r:id="rId294">
        <w:r w:rsidDel="00000000" w:rsidR="00000000" w:rsidRPr="00000000">
          <w:rPr>
            <w:color w:val="1155cc"/>
            <w:u w:val="single"/>
            <w:rtl w:val="0"/>
          </w:rPr>
          <w:t xml:space="preserve">[50]</w:t>
        </w:r>
      </w:hyperlink>
      <w:r w:rsidDel="00000000" w:rsidR="00000000" w:rsidRPr="00000000">
        <w:rPr>
          <w:rtl w:val="0"/>
        </w:rPr>
        <w:t xml:space="preserve"> emphasizes human-centric AI governance, accountability, and the use of explainable AI. Its "minimum viable data protection" principles for AI governance align with TML's EKR privacy architecture, which protects PII-bearing log content behind distributed key custody while preserving the structural decision record for governance purposes.</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jq7igngs1ljc" w:id="126"/>
      <w:bookmarkEnd w:id="126"/>
      <w:r w:rsidDel="00000000" w:rsidR="00000000" w:rsidRPr="00000000">
        <w:rPr>
          <w:b w:val="1"/>
          <w:bCs w:val="1"/>
          <w:color w:val="000000"/>
          <w:sz w:val="26"/>
          <w:szCs w:val="26"/>
          <w:rtl w:val="0"/>
        </w:rPr>
        <w:t xml:space="preserve">5.8 The TML Regulatory Compliance Matrix</w:t>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Table 5.1: TML Constitutional Architecture to Regulatory Requirement Mapping</w:t>
      </w:r>
    </w:p>
    <w:tbl>
      <w:tblPr>
        <w:tblStyle w:val="Table4"/>
        <w:tblW w:w="9360.0" w:type="dxa"/>
        <w:jc w:val="left"/>
        <w:tblLayout w:type="fixed"/>
        <w:tblLook w:val="0600"/>
      </w:tblPr>
      <w:tblGrid>
        <w:gridCol w:w="2400.981093510475"/>
        <w:gridCol w:w="1482.677567705672"/>
        <w:gridCol w:w="1783.9959121103732"/>
        <w:gridCol w:w="3692.34542667348"/>
        <w:tblGridChange w:id="0">
          <w:tblGrid>
            <w:gridCol w:w="2400.981093510475"/>
            <w:gridCol w:w="1482.677567705672"/>
            <w:gridCol w:w="1783.9959121103732"/>
            <w:gridCol w:w="3692.34542667348"/>
          </w:tblGrid>
        </w:tblGridChange>
      </w:tblGrid>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6">
            <w:pPr>
              <w:jc w:val="center"/>
              <w:rPr/>
            </w:pPr>
            <w:r w:rsidDel="00000000" w:rsidR="00000000" w:rsidRPr="00000000">
              <w:rPr>
                <w:b w:val="1"/>
                <w:bCs w:val="1"/>
                <w:rtl w:val="0"/>
              </w:rPr>
              <w:t xml:space="preserve">Regulatory Requirement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7">
            <w:pPr>
              <w:jc w:val="center"/>
              <w:rPr/>
            </w:pPr>
            <w:r w:rsidDel="00000000" w:rsidR="00000000" w:rsidRPr="00000000">
              <w:rPr>
                <w:b w:val="1"/>
                <w:bCs w:val="1"/>
                <w:rtl w:val="0"/>
              </w:rPr>
              <w:t xml:space="preserve">Instrument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8">
            <w:pPr>
              <w:jc w:val="center"/>
              <w:rPr/>
            </w:pPr>
            <w:r w:rsidDel="00000000" w:rsidR="00000000" w:rsidRPr="00000000">
              <w:rPr>
                <w:b w:val="1"/>
                <w:bCs w:val="1"/>
                <w:rtl w:val="0"/>
              </w:rPr>
              <w:t xml:space="preserve">Relevant Articles / Sections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9">
            <w:pPr>
              <w:jc w:val="center"/>
              <w:rPr/>
            </w:pPr>
            <w:r w:rsidDel="00000000" w:rsidR="00000000" w:rsidRPr="00000000">
              <w:rPr>
                <w:b w:val="1"/>
                <w:bCs w:val="1"/>
                <w:rtl w:val="0"/>
              </w:rPr>
              <w:t xml:space="preserve">TML Mechanism</w:t>
            </w:r>
            <w:r w:rsidDel="00000000" w:rsidR="00000000" w:rsidRPr="00000000">
              <w:rPr>
                <w:rtl w:val="0"/>
              </w:rPr>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Risk management system</w:t>
            </w:r>
          </w:p>
        </w:tc>
        <w:tc>
          <w:tcPr>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EU AI Act</w:t>
            </w:r>
          </w:p>
        </w:tc>
        <w:tc>
          <w:tcPr>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Article 9</w:t>
            </w:r>
          </w:p>
        </w:tc>
        <w:tc>
          <w:tcPr>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Eight Pillars; Sacred Zero trigger architecture; Mandate vector evaluation</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Record keeping</w:t>
            </w:r>
          </w:p>
        </w:tc>
        <w:tc>
          <w:tcPr>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EU AI Act</w:t>
            </w:r>
          </w:p>
        </w:tc>
        <w:tc>
          <w:tcPr>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Article 12</w:t>
            </w:r>
          </w:p>
        </w:tc>
        <w:tc>
          <w:tcPr>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Moral Trace Logs (TSLF schema); Always Memory pre-actuation commit</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Transparency</w:t>
            </w:r>
          </w:p>
        </w:tc>
        <w:tc>
          <w:tcPr>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EU AI Act</w:t>
            </w:r>
          </w:p>
        </w:tc>
        <w:tc>
          <w:tcPr>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Article 13</w:t>
            </w:r>
          </w:p>
        </w:tc>
        <w:tc>
          <w:tcPr>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Goukassian Lantern; DeliberationMatrix; pillarStatuses endpoint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Human oversight</w:t>
            </w:r>
          </w:p>
        </w:tc>
        <w:tc>
          <w:tcPr>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EU AI Act</w:t>
            </w:r>
          </w:p>
        </w:tc>
        <w:tc>
          <w:tcPr>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Article 14</w:t>
            </w:r>
          </w:p>
        </w:tc>
        <w:tc>
          <w:tcPr>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Sacred Zero escalation pathway; emergency override with HSM audit</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Robustness and cybersecurity</w:t>
            </w:r>
          </w:p>
        </w:tc>
        <w:tc>
          <w:tcPr>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EU AI Act</w:t>
            </w:r>
          </w:p>
        </w:tc>
        <w:tc>
          <w:tcPr>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Article 15</w:t>
            </w:r>
          </w:p>
        </w:tc>
        <w:tc>
          <w:tcPr>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Adaptive Throttling Protocol; HSM-backed Permission Token; lane separation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Quality management</w:t>
            </w:r>
          </w:p>
        </w:tc>
        <w:tc>
          <w:tcPr>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EU AI Act</w:t>
            </w:r>
          </w:p>
        </w:tc>
        <w:tc>
          <w:tcPr>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Article 17</w:t>
            </w:r>
          </w:p>
        </w:tc>
        <w:tc>
          <w:tcPr>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Eight Pillar architecture; Goukassian Foundation certification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Post-market monitoring</w:t>
            </w:r>
          </w:p>
        </w:tc>
        <w:tc>
          <w:tcPr>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EU AI Act</w:t>
            </w:r>
          </w:p>
        </w:tc>
        <w:tc>
          <w:tcPr>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Article 61</w:t>
            </w:r>
          </w:p>
        </w:tc>
        <w:tc>
          <w:tcPr>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Moral Trace Log archive; measurable outputs per pillar</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Fundamental Rights Impact Assessment</w:t>
            </w:r>
          </w:p>
        </w:tc>
        <w:tc>
          <w:tcPr>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EU AI Act</w:t>
            </w:r>
          </w:p>
        </w:tc>
        <w:tc>
          <w:tcPr>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Article 27</w:t>
            </w:r>
          </w:p>
        </w:tc>
        <w:tc>
          <w:tcPr>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Human Rights Mandate continuous FRIA logging</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Governance function</w:t>
            </w:r>
          </w:p>
        </w:tc>
        <w:tc>
          <w:tcPr>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NIST AI RMF</w:t>
            </w:r>
          </w:p>
        </w:tc>
        <w:tc>
          <w:tcPr>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GOVERN</w:t>
            </w:r>
          </w:p>
        </w:tc>
        <w:tc>
          <w:tcPr>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Eight Pillars; Goukassian Foundation; Goukassian Promise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Risk contextualization</w:t>
            </w:r>
          </w:p>
        </w:tc>
        <w:tc>
          <w:tcPr>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NIST AI RMF</w:t>
            </w:r>
          </w:p>
        </w:tc>
        <w:tc>
          <w:tcPr>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MAP</w:t>
            </w:r>
          </w:p>
        </w:tc>
        <w:tc>
          <w:tcPr>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Mandate vector evaluation; per-decision risk categorization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Risk quantification</w:t>
            </w:r>
          </w:p>
        </w:tc>
        <w:tc>
          <w:tcPr>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NIST AI RMF</w:t>
            </w:r>
          </w:p>
        </w:tc>
        <w:tc>
          <w:tcPr>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MEASURE</w:t>
            </w:r>
          </w:p>
        </w:tc>
        <w:tc>
          <w:tcPr>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Pillar measurable outputs; Sacred Zero frequency rate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Risk response</w:t>
            </w:r>
          </w:p>
        </w:tc>
        <w:tc>
          <w:tcPr>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NIST AI RMF</w:t>
            </w:r>
          </w:p>
        </w:tc>
        <w:tc>
          <w:tcPr>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MANAGE</w:t>
            </w:r>
          </w:p>
        </w:tc>
        <w:tc>
          <w:tcPr>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Sacred Zero escalation; fail-closed Gateway default</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AI management system</w:t>
            </w:r>
          </w:p>
        </w:tc>
        <w:tc>
          <w:tcPr>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ISO/IEC 42001</w:t>
            </w:r>
          </w:p>
        </w:tc>
        <w:tc>
          <w:tcPr>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Clauses 6, 8, 9, 10</w:t>
            </w:r>
          </w:p>
        </w:tc>
        <w:tc>
          <w:tcPr>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Eight Pillars; Dual-Lane Architecture; Moral Trace Log archive; calibration review</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Electronic record authentication</w:t>
            </w:r>
          </w:p>
        </w:tc>
        <w:tc>
          <w:tcPr>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FRE</w:t>
            </w:r>
          </w:p>
        </w:tc>
        <w:tc>
          <w:tcPr>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902(13), 902(14)</w:t>
            </w:r>
          </w:p>
        </w:tc>
        <w:tc>
          <w:tcPr>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HSM-backed Anchoring Lane signatures; Merkle inclusion proof</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Qualified electronic timestamp</w:t>
            </w:r>
          </w:p>
        </w:tc>
        <w:tc>
          <w:tcPr>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eIDAS</w:t>
            </w:r>
          </w:p>
        </w:tc>
        <w:tc>
          <w:tcPr>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Article 41</w:t>
            </w:r>
          </w:p>
        </w:tc>
        <w:tc>
          <w:tcPr>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Multi-chain blockchain anchoring; consensus-based tamper-evident timestamps</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Model risk management</w:t>
            </w:r>
          </w:p>
        </w:tc>
        <w:tc>
          <w:tcPr>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SR 11-7 / EBA</w:t>
            </w:r>
          </w:p>
        </w:tc>
        <w:tc>
          <w:tcPr>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Model validation</w:t>
            </w:r>
          </w:p>
        </w:tc>
        <w:tc>
          <w:tcPr>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Moral Trace Log confidence distributions; Sacred Zero frequency validation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Pillar 3 disclosure</w:t>
            </w:r>
          </w:p>
        </w:tc>
        <w:tc>
          <w:tcPr>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Basel III/IV</w:t>
            </w:r>
          </w:p>
        </w:tc>
        <w:tc>
          <w:tcPr>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Pillar 3</w:t>
            </w:r>
          </w:p>
        </w:tc>
        <w:tc>
          <w:tcPr>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Public Blockchain Anchoring; Merkle anchor public verifiability</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Adverse action notice</w:t>
            </w:r>
          </w:p>
        </w:tc>
        <w:tc>
          <w:tcPr>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ECOA</w:t>
            </w:r>
          </w:p>
        </w:tc>
        <w:tc>
          <w:tcPr>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Regulation B</w:t>
            </w:r>
          </w:p>
        </w:tc>
        <w:tc>
          <w:tcPr>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TSLF-State-1 structured rationale; specific factor documentation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Due process notice</w:t>
            </w:r>
          </w:p>
        </w:tc>
        <w:tc>
          <w:tcPr>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U.S. Constitution</w:t>
            </w:r>
          </w:p>
        </w:tc>
        <w:tc>
          <w:tcPr>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14th Amendment</w:t>
            </w:r>
          </w:p>
        </w:tc>
        <w:tc>
          <w:tcPr>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Moral Trace Log rationale; accessible review via audit API</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Non-discrimination</w:t>
            </w:r>
          </w:p>
        </w:tc>
        <w:tc>
          <w:tcPr>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UDHR / ICCPR</w:t>
            </w:r>
          </w:p>
        </w:tc>
        <w:tc>
          <w:tcPr>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Articles 2, 7</w:t>
            </w:r>
          </w:p>
        </w:tc>
        <w:tc>
          <w:tcPr>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Human Rights Mandate non-discrimination vector detection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Right to explanation</w:t>
            </w:r>
          </w:p>
        </w:tc>
        <w:tc>
          <w:tcPr>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GDPR</w:t>
            </w:r>
          </w:p>
        </w:tc>
        <w:tc>
          <w:tcPr>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Article 22</w:t>
            </w:r>
          </w:p>
        </w:tc>
        <w:tc>
          <w:tcPr>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DeliberationMatrix; TSLF rationale fields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Data protection</w:t>
            </w:r>
          </w:p>
        </w:tc>
        <w:tc>
          <w:tcPr>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GDPR</w:t>
            </w:r>
          </w:p>
        </w:tc>
        <w:tc>
          <w:tcPr>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Articles 5, 25</w:t>
            </w:r>
          </w:p>
        </w:tc>
        <w:tc>
          <w:tcPr>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EKR privacy architecture; custodian key custody; data minimization</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Meaningful human control</w:t>
            </w:r>
          </w:p>
        </w:tc>
        <w:tc>
          <w:tcPr>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DoD 3000.09</w:t>
            </w:r>
          </w:p>
        </w:tc>
        <w:tc>
          <w:tcPr>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Section 4</w:t>
            </w:r>
          </w:p>
        </w:tc>
        <w:tc>
          <w:tcPr>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Sacred Zero target identification threshold; emergency override with audit</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Prohibited practices</w:t>
            </w:r>
          </w:p>
        </w:tc>
        <w:tc>
          <w:tcPr>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EU AI Act</w:t>
            </w:r>
          </w:p>
        </w:tc>
        <w:tc>
          <w:tcPr>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Article 5</w:t>
            </w:r>
          </w:p>
        </w:tc>
        <w:tc>
          <w:tcPr>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Goukassian License "No Spy, No Weapon" prohibitions; license validation</w:t>
            </w:r>
          </w:p>
        </w:tc>
      </w:tr>
    </w:tbl>
    <w:p w:rsidR="00000000" w:rsidDel="00000000" w:rsidP="00000000" w:rsidRDefault="00000000" w:rsidRPr="00000000" w14:paraId="000003AA">
      <w:pPr>
        <w:spacing w:after="240" w:before="240" w:lineRule="auto"/>
        <w:rPr/>
      </w:pPr>
      <w:r w:rsidDel="00000000" w:rsidR="00000000" w:rsidRPr="00000000">
        <w:rPr>
          <w:rtl w:val="0"/>
        </w:rPr>
        <w:t xml:space="preserve">The compliance matrix demonstrates that TML's architecture generates compliance with twenty-three distinct regulatory requirements across nine major frameworks as a structural consequence of its design. No requirement in the matrix imposes an obligation on TML-governed systems that is not already satisfied by the Eight Pillar architecture operating as designed. Compliance is not an additional burden; it is what governance produces.</w:t>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6lvxu854ixzw" w:id="127"/>
      <w:bookmarkEnd w:id="127"/>
      <w:r w:rsidDel="00000000" w:rsidR="00000000" w:rsidRPr="00000000">
        <w:rPr>
          <w:b w:val="1"/>
          <w:bCs w:val="1"/>
          <w:color w:val="000000"/>
          <w:sz w:val="26"/>
          <w:szCs w:val="26"/>
          <w:rtl w:val="0"/>
        </w:rPr>
        <w:t xml:space="preserve">5.9 The Enforcement Asymmetry and the TML Advantage</w:t>
      </w:r>
    </w:p>
    <w:p w:rsidR="00000000" w:rsidDel="00000000" w:rsidP="00000000" w:rsidRDefault="00000000" w:rsidRPr="00000000" w14:paraId="000003AC">
      <w:pPr>
        <w:spacing w:after="240" w:before="240" w:lineRule="auto"/>
        <w:rPr/>
      </w:pPr>
      <w:r w:rsidDel="00000000" w:rsidR="00000000" w:rsidRPr="00000000">
        <w:rPr>
          <w:rtl w:val="0"/>
        </w:rPr>
        <w:t xml:space="preserve">A regulatory reality that the compliance matrix does not fully capture is the </w:t>
      </w:r>
      <w:r w:rsidDel="00000000" w:rsidR="00000000" w:rsidRPr="00000000">
        <w:rPr>
          <w:b w:val="1"/>
          <w:bCs w:val="1"/>
          <w:rtl w:val="0"/>
        </w:rPr>
        <w:t xml:space="preserve">enforcement asymmetry</w:t>
      </w:r>
      <w:r w:rsidDel="00000000" w:rsidR="00000000" w:rsidRPr="00000000">
        <w:rPr>
          <w:rtl w:val="0"/>
        </w:rPr>
        <w:t xml:space="preserve"> between TML-governed and conventionally governed AI systems. Under current enforcement regimes, regulatory investigations of AI system failures are severely hampered by the evidentiary gap created by systems that do not maintain accessible, tamper-resistant operational records. Regulators must reconstruct AI behavior from incomplete server logs, operator-provided summaries, and statistical analysis of outcomes, rarely achieving the granular understanding of individual decisions that enforcement requires. This evidentiary gap systematically advantages operators of non-compliant systems: harm is difficult to prove, causation is difficult to establish, and the absence of records cannot be distinguished from the absence of wrongdoing.</w:t>
      </w:r>
    </w:p>
    <w:p w:rsidR="00000000" w:rsidDel="00000000" w:rsidP="00000000" w:rsidRDefault="00000000" w:rsidRPr="00000000" w14:paraId="000003AD">
      <w:pPr>
        <w:spacing w:after="240" w:before="240" w:lineRule="auto"/>
        <w:rPr/>
      </w:pPr>
      <w:r w:rsidDel="00000000" w:rsidR="00000000" w:rsidRPr="00000000">
        <w:rPr>
          <w:rtl w:val="0"/>
        </w:rPr>
        <w:t xml:space="preserve">TML inverts this enforcement asymmetry. A regulator investigating a TML-governed system does not require operator cooperation to access the evidentiary record: the </w:t>
      </w:r>
      <w:r w:rsidDel="00000000" w:rsidR="00000000" w:rsidRPr="00000000">
        <w:rPr>
          <w:rFonts w:ascii="Roboto Mono" w:cs="Roboto Mono" w:eastAsia="Roboto Mono" w:hAnsi="Roboto Mono"/>
          <w:color w:val="188038"/>
          <w:rtl w:val="0"/>
        </w:rPr>
        <w:t xml:space="preserve">GET /regulator/audit-trail</w:t>
      </w:r>
      <w:r w:rsidDel="00000000" w:rsidR="00000000" w:rsidRPr="00000000">
        <w:rPr>
          <w:rtl w:val="0"/>
        </w:rPr>
        <w:t xml:space="preserve"> endpoint provides direct regulatory access; the Public Blockchain Anchors provide independent verification of record integrity; the Hybrid Shield's custodian network ensures that the record cannot be suppressed through operator action. The TML-governed operator's compliance record is not self-reported; it is independently verifiable.</w:t>
      </w:r>
    </w:p>
    <w:p w:rsidR="00000000" w:rsidDel="00000000" w:rsidP="00000000" w:rsidRDefault="00000000" w:rsidRPr="00000000" w14:paraId="000003AE">
      <w:pPr>
        <w:spacing w:after="240" w:before="240" w:lineRule="auto"/>
        <w:rPr/>
      </w:pPr>
      <w:r w:rsidDel="00000000" w:rsidR="00000000" w:rsidRPr="00000000">
        <w:rPr>
          <w:rtl w:val="0"/>
        </w:rPr>
        <w:t xml:space="preserve">This enforcement asymmetry creates an economic argument for TML adoption that operates independently of the direct compliance obligation: organizations deploying TML-governed systems face substantially reduced enforcement exposure in the event of adverse incidents because the completeness and integrity of their operational record makes the exercise of due diligence demonstrable. The expected cost of AI liability exposure under TML governance is lower than under conventional governance not merely because TML prevents more harmful decisions through the Sacred Zero and Mandate architectures, but because the decisions that do cause harm are documented in a form that enables accurate attribution of responsibility and proportionate enforcement.</w:t>
      </w:r>
    </w:p>
    <w:p w:rsidR="00000000" w:rsidDel="00000000" w:rsidP="00000000" w:rsidRDefault="00000000" w:rsidRPr="00000000" w14:paraId="000003AF">
      <w:pPr>
        <w:spacing w:after="240" w:before="240" w:lineRule="auto"/>
        <w:rPr/>
      </w:pPr>
      <w:r w:rsidDel="00000000" w:rsidR="00000000" w:rsidRPr="00000000">
        <w:rPr>
          <w:rtl w:val="0"/>
        </w:rPr>
        <w:t xml:space="preserve">In the emerging AI liability insurance market, this enforcement asymmetry translates directly into actuarial pricing: a TML-governed system's operational history provides insurers with the granular, authenticated performance data required for accurate risk assessment, enabling lower premiums than the black-box opacity of conventional systems requires insurers to price conservatively. The economic value of TML's compliance architecture extends beyond avoiding regulatory penalties to encompassing insurance cost reduction, litigation cost reduction through self-authenticating evidence, and the operational efficiency of compliance-as-a-byproduct rather than compliance-as-a-burden.</w:t>
      </w:r>
    </w:p>
    <w:p w:rsidR="00000000" w:rsidDel="00000000" w:rsidP="00000000" w:rsidRDefault="00000000" w:rsidRPr="00000000" w14:paraId="000003B0">
      <w:pPr>
        <w:pStyle w:val="Heading2"/>
        <w:keepNext w:val="0"/>
        <w:keepLines w:val="0"/>
        <w:rPr>
          <w:color w:val="000000"/>
          <w:sz w:val="34"/>
          <w:szCs w:val="34"/>
        </w:rPr>
      </w:pPr>
      <w:bookmarkStart w:colFirst="0" w:colLast="0" w:name="_3jhx86w2wjxf" w:id="128"/>
      <w:bookmarkEnd w:id="128"/>
      <w:r w:rsidDel="00000000" w:rsidR="00000000" w:rsidRPr="00000000">
        <w:rPr>
          <w:color w:val="000000"/>
          <w:sz w:val="34"/>
          <w:szCs w:val="34"/>
          <w:rtl w:val="0"/>
        </w:rPr>
        <w:t xml:space="preserve">Section VI: The Operational Specification</w:t>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yvvgyhtpj1vu" w:id="129"/>
      <w:bookmarkEnd w:id="129"/>
      <w:r w:rsidDel="00000000" w:rsidR="00000000" w:rsidRPr="00000000">
        <w:rPr>
          <w:b w:val="1"/>
          <w:bCs w:val="1"/>
          <w:color w:val="000000"/>
          <w:sz w:val="26"/>
          <w:szCs w:val="26"/>
          <w:rtl w:val="0"/>
        </w:rPr>
        <w:t xml:space="preserve">6.0 Introduction: From Architecture to Running Contract</w:t>
      </w:r>
    </w:p>
    <w:p w:rsidR="00000000" w:rsidDel="00000000" w:rsidP="00000000" w:rsidRDefault="00000000" w:rsidRPr="00000000" w14:paraId="000003B2">
      <w:pPr>
        <w:spacing w:after="240" w:before="240" w:lineRule="auto"/>
        <w:rPr/>
      </w:pPr>
      <w:r w:rsidDel="00000000" w:rsidR="00000000" w:rsidRPr="00000000">
        <w:rPr>
          <w:rtl w:val="0"/>
        </w:rPr>
        <w:t xml:space="preserve">The preceding sections establish the philosophical foundation, governance architecture, enforcement pillars, sector failure analysis, and legal compliance framework of Ternary Moral Logic. Each of these layers is necessary. None is sufficient alone. A framework that articulates constitutional principles without providing an operational specification is a manifesto, not a governance system. The question that separates TML from prior AI governance frameworks is not whether its principles are sound but whether they are implemented, and implemented in a form that is auditable, contestable, and verifiable by parties independent of the operator.</w:t>
      </w:r>
    </w:p>
    <w:p w:rsidR="00000000" w:rsidDel="00000000" w:rsidP="00000000" w:rsidRDefault="00000000" w:rsidRPr="00000000" w14:paraId="000003B3">
      <w:pPr>
        <w:spacing w:after="240" w:before="240" w:lineRule="auto"/>
        <w:rPr/>
      </w:pPr>
      <w:r w:rsidDel="00000000" w:rsidR="00000000" w:rsidRPr="00000000">
        <w:rPr>
          <w:rtl w:val="0"/>
        </w:rPr>
        <w:t xml:space="preserve">This section answers that question through the TML API Specification Architecture: a complete OpenAPI contract that expresses the Dual-Lane Architecture as two structurally distinct path groups, a JSON Schema bundle that makes "No Log = No Action" a schema-level constraint rather than a policy statement, a Permission Token structure whose five properties cryptographically bind authorization to the anchored log, the Sacred Zero as a first-class API state with its own escalation queue and human resolution pathway, and the Goukassian Promise artifacts expressed as live API resources with smart-contract-enforced compliance broadcasting.</w:t>
      </w:r>
    </w:p>
    <w:p w:rsidR="00000000" w:rsidDel="00000000" w:rsidP="00000000" w:rsidRDefault="00000000" w:rsidRPr="00000000" w14:paraId="000003B4">
      <w:pPr>
        <w:spacing w:after="240" w:before="240" w:lineRule="auto"/>
        <w:rPr/>
      </w:pPr>
      <w:r w:rsidDel="00000000" w:rsidR="00000000" w:rsidRPr="00000000">
        <w:rPr>
          <w:rtl w:val="0"/>
        </w:rPr>
        <w:t xml:space="preserve">The specification is not aspirational documentation. It is the interface contract that any implementation claiming TML compliance must satisfy. Compliance is binary at the schema layer: an implementation either satisfies the OpenAPI contract and JSON Schema bundle, or it does not. The specification makes this determination machine-readable, enabling automated compliance verification without relying on the operator's representations about a system whose internals they control.</w:t>
      </w:r>
    </w:p>
    <w:p w:rsidR="00000000" w:rsidDel="00000000" w:rsidP="00000000" w:rsidRDefault="00000000" w:rsidRPr="00000000" w14:paraId="000003B5">
      <w:pPr>
        <w:spacing w:after="240" w:before="240" w:lineRule="auto"/>
        <w:rPr/>
      </w:pPr>
      <w:r w:rsidDel="00000000" w:rsidR="00000000" w:rsidRPr="00000000">
        <w:rPr>
          <w:rtl w:val="0"/>
        </w:rPr>
        <w:t xml:space="preserve">Three properties make the TML operational specification distinctive among AI governance frameworks. First, it is </w:t>
      </w:r>
      <w:r w:rsidDel="00000000" w:rsidR="00000000" w:rsidRPr="00000000">
        <w:rPr>
          <w:b w:val="1"/>
          <w:bCs w:val="1"/>
          <w:rtl w:val="0"/>
        </w:rPr>
        <w:t xml:space="preserve">executable</w:t>
      </w:r>
      <w:r w:rsidDel="00000000" w:rsidR="00000000" w:rsidRPr="00000000">
        <w:rPr>
          <w:rtl w:val="0"/>
        </w:rPr>
        <w:t xml:space="preserve">: the specification can be implemented directly, tested against, and verified by third parties using standard OpenAPI tooling. Second, it is </w:t>
      </w:r>
      <w:r w:rsidDel="00000000" w:rsidR="00000000" w:rsidRPr="00000000">
        <w:rPr>
          <w:b w:val="1"/>
          <w:bCs w:val="1"/>
          <w:rtl w:val="0"/>
        </w:rPr>
        <w:t xml:space="preserve">self-enforcing</w:t>
      </w:r>
      <w:r w:rsidDel="00000000" w:rsidR="00000000" w:rsidRPr="00000000">
        <w:rPr>
          <w:rtl w:val="0"/>
        </w:rPr>
        <w:t xml:space="preserve">: the schema constraints make non-compliant behavior architecturally impossible, not merely prohibited. Third, it is </w:t>
      </w:r>
      <w:r w:rsidDel="00000000" w:rsidR="00000000" w:rsidRPr="00000000">
        <w:rPr>
          <w:b w:val="1"/>
          <w:bCs w:val="1"/>
          <w:rtl w:val="0"/>
        </w:rPr>
        <w:t xml:space="preserve">publicly auditable</w:t>
      </w:r>
      <w:r w:rsidDel="00000000" w:rsidR="00000000" w:rsidRPr="00000000">
        <w:rPr>
          <w:rtl w:val="0"/>
        </w:rPr>
        <w:t xml:space="preserve">: the Permission Token's chain from schema to Merkle root to public blockchain anchor is traversable by any party with access to the public blockchain, without requiring operator cooperation. These three properties together transform governance from a claim into a verifiable fact.</w:t>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yjfj54hl70m" w:id="130"/>
      <w:bookmarkEnd w:id="130"/>
      <w:r w:rsidDel="00000000" w:rsidR="00000000" w:rsidRPr="00000000">
        <w:rPr>
          <w:b w:val="1"/>
          <w:bCs w:val="1"/>
          <w:color w:val="000000"/>
          <w:sz w:val="26"/>
          <w:szCs w:val="26"/>
          <w:rtl w:val="0"/>
        </w:rPr>
        <w:t xml:space="preserve">6.1 The API Architecture: Two Lanes, Two Path Groups</w:t>
      </w:r>
    </w:p>
    <w:p w:rsidR="00000000" w:rsidDel="00000000" w:rsidP="00000000" w:rsidRDefault="00000000" w:rsidRPr="00000000" w14:paraId="000003B7">
      <w:pPr>
        <w:spacing w:after="240" w:before="240" w:lineRule="auto"/>
        <w:rPr/>
      </w:pPr>
      <w:r w:rsidDel="00000000" w:rsidR="00000000" w:rsidRPr="00000000">
        <w:rPr>
          <w:rtl w:val="0"/>
        </w:rPr>
        <w:t xml:space="preserve">The Dual-Lane Architecture established in Section II is expressed in the API specification as two structurally distinct path groups, each with its own security scheme, latency budget, and authority scope. The separation is not organizational convenience; it is the technical expression of the constitutional separation between computational authority and execution authority.</w:t>
      </w:r>
    </w:p>
    <w:p w:rsidR="00000000" w:rsidDel="00000000" w:rsidP="00000000" w:rsidRDefault="00000000" w:rsidRPr="00000000" w14:paraId="000003B8">
      <w:pPr>
        <w:pStyle w:val="Heading4"/>
        <w:keepNext w:val="0"/>
        <w:keepLines w:val="0"/>
        <w:spacing w:after="40" w:before="240" w:lineRule="auto"/>
        <w:rPr>
          <w:b w:val="1"/>
          <w:bCs w:val="1"/>
          <w:color w:val="000000"/>
          <w:sz w:val="22"/>
          <w:szCs w:val="22"/>
        </w:rPr>
      </w:pPr>
      <w:bookmarkStart w:colFirst="0" w:colLast="0" w:name="_pjgxpmls492g" w:id="131"/>
      <w:bookmarkEnd w:id="131"/>
      <w:r w:rsidDel="00000000" w:rsidR="00000000" w:rsidRPr="00000000">
        <w:rPr>
          <w:b w:val="1"/>
          <w:bCs w:val="1"/>
          <w:color w:val="000000"/>
          <w:sz w:val="22"/>
          <w:szCs w:val="22"/>
          <w:rtl w:val="0"/>
        </w:rPr>
        <w:t xml:space="preserve">6.1.1 The Inference Lane API (Fast Path)</w:t>
      </w:r>
    </w:p>
    <w:p w:rsidR="00000000" w:rsidDel="00000000" w:rsidP="00000000" w:rsidRDefault="00000000" w:rsidRPr="00000000" w14:paraId="000003B9">
      <w:pPr>
        <w:spacing w:after="240" w:before="240" w:lineRule="auto"/>
        <w:rPr/>
      </w:pPr>
      <w:r w:rsidDel="00000000" w:rsidR="00000000" w:rsidRPr="00000000">
        <w:rPr>
          <w:rtl w:val="0"/>
        </w:rPr>
        <w:t xml:space="preserve">The Inference Lane API exposes the primary AI inference function through a small set of endpoints secured by </w:t>
      </w:r>
      <w:r w:rsidDel="00000000" w:rsidR="00000000" w:rsidRPr="00000000">
        <w:rPr>
          <w:rFonts w:ascii="Roboto Mono" w:cs="Roboto Mono" w:eastAsia="Roboto Mono" w:hAnsi="Roboto Mono"/>
          <w:color w:val="188038"/>
          <w:rtl w:val="0"/>
        </w:rPr>
        <w:t xml:space="preserve">InferenceLaneSecurity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mTLS + ServiceAccountJWT</w:t>
      </w:r>
      <w:r w:rsidDel="00000000" w:rsidR="00000000" w:rsidRPr="00000000">
        <w:rPr>
          <w:rtl w:val="0"/>
        </w:rPr>
        <w:t xml:space="preserve">). The latency budget for critical path operations is less than 2 milliseconds</w:t>
      </w:r>
      <w:hyperlink r:id="rId295">
        <w:r w:rsidDel="00000000" w:rsidR="00000000" w:rsidRPr="00000000">
          <w:rPr>
            <w:rtl w:val="0"/>
          </w:rPr>
          <w:t xml:space="preserve"> </w:t>
        </w:r>
      </w:hyperlink>
      <w:hyperlink r:id="rId29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BA">
      <w:pPr>
        <w:spacing w:after="240" w:before="240" w:lineRule="auto"/>
        <w:rPr/>
      </w:pPr>
      <w:r w:rsidDel="00000000" w:rsidR="00000000" w:rsidRPr="00000000">
        <w:rPr>
          <w:rFonts w:ascii="Roboto Mono" w:cs="Roboto Mono" w:eastAsia="Roboto Mono" w:hAnsi="Roboto Mono"/>
          <w:b w:val="1"/>
          <w:bCs w:val="1"/>
          <w:color w:val="188038"/>
          <w:rtl w:val="0"/>
        </w:rPr>
        <w:t xml:space="preserve">POST /decisions</w:t>
      </w:r>
      <w:r w:rsidDel="00000000" w:rsidR="00000000" w:rsidRPr="00000000">
        <w:rPr>
          <w:rtl w:val="0"/>
        </w:rPr>
        <w:t xml:space="preserve"> is the primary inference endpoint. It accepts a </w:t>
      </w:r>
      <w:r w:rsidDel="00000000" w:rsidR="00000000" w:rsidRPr="00000000">
        <w:rPr>
          <w:rFonts w:ascii="Roboto Mono" w:cs="Roboto Mono" w:eastAsia="Roboto Mono" w:hAnsi="Roboto Mono"/>
          <w:color w:val="188038"/>
          <w:rtl w:val="0"/>
        </w:rPr>
        <w:t xml:space="preserve">DecisionRequest</w:t>
      </w:r>
      <w:r w:rsidDel="00000000" w:rsidR="00000000" w:rsidRPr="00000000">
        <w:rPr>
          <w:rtl w:val="0"/>
        </w:rPr>
        <w:t xml:space="preserve"> object containing a </w:t>
      </w:r>
      <w:r w:rsidDel="00000000" w:rsidR="00000000" w:rsidRPr="00000000">
        <w:rPr>
          <w:rFonts w:ascii="Roboto Mono" w:cs="Roboto Mono" w:eastAsia="Roboto Mono" w:hAnsi="Roboto Mono"/>
          <w:color w:val="188038"/>
          <w:rtl w:val="0"/>
        </w:rPr>
        <w:t xml:space="preserve">proposedAction</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evaluates the proposed action against the triadic state space, and returns a </w:t>
      </w:r>
      <w:r w:rsidDel="00000000" w:rsidR="00000000" w:rsidRPr="00000000">
        <w:rPr>
          <w:rFonts w:ascii="Roboto Mono" w:cs="Roboto Mono" w:eastAsia="Roboto Mono" w:hAnsi="Roboto Mono"/>
          <w:color w:val="188038"/>
          <w:rtl w:val="0"/>
        </w:rPr>
        <w:t xml:space="preserve">StateEnvelope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StateEnvelope</w:t>
      </w:r>
      <w:r w:rsidDel="00000000" w:rsidR="00000000" w:rsidRPr="00000000">
        <w:rPr>
          <w:rtl w:val="0"/>
        </w:rPr>
        <w:t xml:space="preserve"> is the fundamental unit of communication between the two lanes: it carries </w:t>
      </w:r>
      <w:r w:rsidDel="00000000" w:rsidR="00000000" w:rsidRPr="00000000">
        <w:rPr>
          <w:rFonts w:ascii="Roboto Mono" w:cs="Roboto Mono" w:eastAsia="Roboto Mono" w:hAnsi="Roboto Mono"/>
          <w:color w:val="188038"/>
          <w:rtl w:val="0"/>
        </w:rPr>
        <w:t xml:space="preserve">currentState</w:t>
      </w:r>
      <w:r w:rsidDel="00000000" w:rsidR="00000000" w:rsidRPr="00000000">
        <w:rPr>
          <w:rtl w:val="0"/>
        </w:rPr>
        <w:t xml:space="preserve"> (the triadic state value), </w:t>
      </w:r>
      <w:r w:rsidDel="00000000" w:rsidR="00000000" w:rsidRPr="00000000">
        <w:rPr>
          <w:rFonts w:ascii="Roboto Mono" w:cs="Roboto Mono" w:eastAsia="Roboto Mono" w:hAnsi="Roboto Mono"/>
          <w:color w:val="188038"/>
          <w:rtl w:val="0"/>
        </w:rPr>
        <w:t xml:space="preserve">stateLabel</w:t>
      </w:r>
      <w:r w:rsidDel="00000000" w:rsidR="00000000" w:rsidRPr="00000000">
        <w:rPr>
          <w:rtl w:val="0"/>
        </w:rPr>
        <w:t xml:space="preserve"> (the human-readable state designation), </w:t>
      </w:r>
      <w:r w:rsidDel="00000000" w:rsidR="00000000" w:rsidRPr="00000000">
        <w:rPr>
          <w:rFonts w:ascii="Roboto Mono" w:cs="Roboto Mono" w:eastAsia="Roboto Mono" w:hAnsi="Roboto Mono"/>
          <w:color w:val="188038"/>
          <w:rtl w:val="0"/>
        </w:rPr>
        <w:t xml:space="preserve">processActive</w:t>
      </w:r>
      <w:r w:rsidDel="00000000" w:rsidR="00000000" w:rsidRPr="00000000">
        <w:rPr>
          <w:rtl w:val="0"/>
        </w:rPr>
        <w:t xml:space="preserve"> (the workflow currently executing within the state), and, conditionally,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(present only for </w:t>
      </w:r>
      <w:r w:rsidDel="00000000" w:rsidR="00000000" w:rsidRPr="00000000">
        <w:rPr>
          <w:rFonts w:ascii="Roboto Mono" w:cs="Roboto Mono" w:eastAsia="Roboto Mono" w:hAnsi="Roboto Mono"/>
          <w:color w:val="188038"/>
          <w:rtl w:val="0"/>
        </w:rPr>
        <w:t xml:space="preserve">currentState: 1</w:t>
      </w:r>
      <w:r w:rsidDel="00000000" w:rsidR="00000000" w:rsidRPr="00000000">
        <w:rPr>
          <w:rtl w:val="0"/>
        </w:rPr>
        <w:t xml:space="preserve"> and only when issued by the Anchoring Lane).</w:t>
      </w:r>
    </w:p>
    <w:p w:rsidR="00000000" w:rsidDel="00000000" w:rsidP="00000000" w:rsidRDefault="00000000" w:rsidRPr="00000000" w14:paraId="000003BB">
      <w:pPr>
        <w:spacing w:after="240" w:before="240" w:lineRule="auto"/>
        <w:rPr/>
      </w:pPr>
      <w:r w:rsidDel="00000000" w:rsidR="00000000" w:rsidRPr="00000000">
        <w:rPr>
          <w:rtl w:val="0"/>
        </w:rPr>
        <w:t xml:space="preserve">The schema constraint that enforces the lane separation is located here: </w:t>
      </w:r>
      <w:r w:rsidDel="00000000" w:rsidR="00000000" w:rsidRPr="00000000">
        <w:rPr>
          <w:rFonts w:ascii="Roboto Mono" w:cs="Roboto Mono" w:eastAsia="Roboto Mono" w:hAnsi="Roboto Mono"/>
          <w:color w:val="188038"/>
          <w:rtl w:val="0"/>
        </w:rPr>
        <w:t xml:space="preserve">tml_schema.json</w:t>
      </w:r>
      <w:r w:rsidDel="00000000" w:rsidR="00000000" w:rsidRPr="00000000">
        <w:rPr>
          <w:rtl w:val="0"/>
        </w:rPr>
        <w:t xml:space="preserve"> specifies the </w:t>
      </w:r>
      <w:r w:rsidDel="00000000" w:rsidR="00000000" w:rsidRPr="00000000">
        <w:rPr>
          <w:rFonts w:ascii="Roboto Mono" w:cs="Roboto Mono" w:eastAsia="Roboto Mono" w:hAnsi="Roboto Mono"/>
          <w:color w:val="188038"/>
          <w:rtl w:val="0"/>
        </w:rPr>
        <w:t xml:space="preserve">StateEnvelope</w:t>
      </w:r>
      <w:r w:rsidDel="00000000" w:rsidR="00000000" w:rsidRPr="00000000">
        <w:rPr>
          <w:rtl w:val="0"/>
        </w:rPr>
        <w:t xml:space="preserve"> with an </w:t>
      </w:r>
      <w:r w:rsidDel="00000000" w:rsidR="00000000" w:rsidRPr="00000000">
        <w:rPr>
          <w:rFonts w:ascii="Roboto Mono" w:cs="Roboto Mono" w:eastAsia="Roboto Mono" w:hAnsi="Roboto Mono"/>
          <w:color w:val="188038"/>
          <w:rtl w:val="0"/>
        </w:rPr>
        <w:t xml:space="preserve">if/then</w:t>
      </w:r>
      <w:r w:rsidDel="00000000" w:rsidR="00000000" w:rsidRPr="00000000">
        <w:rPr>
          <w:rtl w:val="0"/>
        </w:rPr>
        <w:t xml:space="preserve"> rule, </w:t>
      </w:r>
      <w:r w:rsidDel="00000000" w:rsidR="00000000" w:rsidRPr="00000000">
        <w:rPr>
          <w:rFonts w:ascii="Roboto Mono" w:cs="Roboto Mono" w:eastAsia="Roboto Mono" w:hAnsi="Roboto Mono"/>
          <w:color w:val="188038"/>
          <w:rtl w:val="0"/>
        </w:rPr>
        <w:t xml:space="preserve">if currentState == 1 then permissionToken is required</w:t>
      </w:r>
      <w:r w:rsidDel="00000000" w:rsidR="00000000" w:rsidRPr="00000000">
        <w:rPr>
          <w:rtl w:val="0"/>
        </w:rPr>
        <w:t xml:space="preserve">, and specifies the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type with </w:t>
      </w:r>
      <w:r w:rsidDel="00000000" w:rsidR="00000000" w:rsidRPr="00000000">
        <w:rPr>
          <w:rFonts w:ascii="Roboto Mono" w:cs="Roboto Mono" w:eastAsia="Roboto Mono" w:hAnsi="Roboto Mono"/>
          <w:color w:val="188038"/>
          <w:rtl w:val="0"/>
        </w:rPr>
        <w:t xml:space="preserve">laneOrigin: const "ANCHORING_LANE"</w:t>
      </w:r>
      <w:r w:rsidDel="00000000" w:rsidR="00000000" w:rsidRPr="00000000">
        <w:rPr>
          <w:rtl w:val="0"/>
        </w:rPr>
        <w:t xml:space="preserve">. These two constraints together mean that a </w:t>
      </w:r>
      <w:r w:rsidDel="00000000" w:rsidR="00000000" w:rsidRPr="00000000">
        <w:rPr>
          <w:rFonts w:ascii="Roboto Mono" w:cs="Roboto Mono" w:eastAsia="Roboto Mono" w:hAnsi="Roboto Mono"/>
          <w:color w:val="188038"/>
          <w:rtl w:val="0"/>
        </w:rPr>
        <w:t xml:space="preserve">StateEnvelope</w:t>
      </w:r>
      <w:r w:rsidDel="00000000" w:rsidR="00000000" w:rsidRPr="00000000">
        <w:rPr>
          <w:rtl w:val="0"/>
        </w:rPr>
        <w:t xml:space="preserve"> claiming </w:t>
      </w:r>
      <w:r w:rsidDel="00000000" w:rsidR="00000000" w:rsidRPr="00000000">
        <w:rPr>
          <w:rFonts w:ascii="Roboto Mono" w:cs="Roboto Mono" w:eastAsia="Roboto Mono" w:hAnsi="Roboto Mono"/>
          <w:color w:val="188038"/>
          <w:rtl w:val="0"/>
        </w:rPr>
        <w:t xml:space="preserve">currentState: 1</w:t>
      </w:r>
      <w:r w:rsidDel="00000000" w:rsidR="00000000" w:rsidRPr="00000000">
        <w:rPr>
          <w:rtl w:val="0"/>
        </w:rPr>
        <w:t xml:space="preserve"> without a valid Anchoring Lane Permission Token fails schema validation. The Inference Lane cannot produce a schema-valid authorization. It can only produce proposals</w:t>
      </w:r>
      <w:hyperlink r:id="rId297">
        <w:r w:rsidDel="00000000" w:rsidR="00000000" w:rsidRPr="00000000">
          <w:rPr>
            <w:rtl w:val="0"/>
          </w:rPr>
          <w:t xml:space="preserve"> </w:t>
        </w:r>
      </w:hyperlink>
      <w:hyperlink r:id="rId29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BC">
      <w:pPr>
        <w:spacing w:after="240" w:before="240" w:lineRule="auto"/>
        <w:rPr/>
      </w:pPr>
      <w:r w:rsidDel="00000000" w:rsidR="00000000" w:rsidRPr="00000000">
        <w:rPr>
          <w:rFonts w:ascii="Roboto Mono" w:cs="Roboto Mono" w:eastAsia="Roboto Mono" w:hAnsi="Roboto Mono"/>
          <w:b w:val="1"/>
          <w:bCs w:val="1"/>
          <w:color w:val="188038"/>
          <w:rtl w:val="0"/>
        </w:rPr>
        <w:t xml:space="preserve">GET /decisions/{decisionId}/status</w:t>
      </w:r>
      <w:r w:rsidDel="00000000" w:rsidR="00000000" w:rsidRPr="00000000">
        <w:rPr>
          <w:rtl w:val="0"/>
        </w:rPr>
        <w:t xml:space="preserve"> enables asynchronous polling for decision status during Sacred Zero deliberation periods. This endpoint allows calling systems to check whether a pending decision has resolved, what state it has resolved to, and whether a human escalation is awaiting review.</w:t>
      </w:r>
    </w:p>
    <w:p w:rsidR="00000000" w:rsidDel="00000000" w:rsidP="00000000" w:rsidRDefault="00000000" w:rsidRPr="00000000" w14:paraId="000003BD">
      <w:pPr>
        <w:spacing w:after="240" w:before="240" w:lineRule="auto"/>
        <w:rPr/>
      </w:pPr>
      <w:r w:rsidDel="00000000" w:rsidR="00000000" w:rsidRPr="00000000">
        <w:rPr>
          <w:rFonts w:ascii="Roboto Mono" w:cs="Roboto Mono" w:eastAsia="Roboto Mono" w:hAnsi="Roboto Mono"/>
          <w:b w:val="1"/>
          <w:bCs w:val="1"/>
          <w:color w:val="188038"/>
          <w:rtl w:val="0"/>
        </w:rPr>
        <w:t xml:space="preserve">POST /decisions/{decisionId}/context-update</w:t>
      </w:r>
      <w:r w:rsidDel="00000000" w:rsidR="00000000" w:rsidRPr="00000000">
        <w:rPr>
          <w:rtl w:val="0"/>
        </w:rPr>
        <w:t xml:space="preserve"> enables the submission of additional evidence during an active Sacred Zero deliberation period. This endpoint is the mechanism through which the Sacred Pause's evidence-gathering function is operationalized: external systems, verification sources, and human reviewers can submit additional context that may enable the deliberation to resolve without full escalation to human override.</w:t>
      </w:r>
    </w:p>
    <w:p w:rsidR="00000000" w:rsidDel="00000000" w:rsidP="00000000" w:rsidRDefault="00000000" w:rsidRPr="00000000" w14:paraId="000003BE">
      <w:pPr>
        <w:pStyle w:val="Heading4"/>
        <w:keepNext w:val="0"/>
        <w:keepLines w:val="0"/>
        <w:spacing w:after="40" w:before="240" w:lineRule="auto"/>
        <w:rPr>
          <w:b w:val="1"/>
          <w:bCs w:val="1"/>
          <w:color w:val="000000"/>
          <w:sz w:val="22"/>
          <w:szCs w:val="22"/>
        </w:rPr>
      </w:pPr>
      <w:bookmarkStart w:colFirst="0" w:colLast="0" w:name="_hkmjngiu6yv3" w:id="132"/>
      <w:bookmarkEnd w:id="132"/>
      <w:r w:rsidDel="00000000" w:rsidR="00000000" w:rsidRPr="00000000">
        <w:rPr>
          <w:b w:val="1"/>
          <w:bCs w:val="1"/>
          <w:color w:val="000000"/>
          <w:sz w:val="22"/>
          <w:szCs w:val="22"/>
          <w:rtl w:val="0"/>
        </w:rPr>
        <w:t xml:space="preserve">6.1.2 The Anchoring Lane API (Anchoring Path)</w:t>
      </w:r>
    </w:p>
    <w:p w:rsidR="00000000" w:rsidDel="00000000" w:rsidP="00000000" w:rsidRDefault="00000000" w:rsidRPr="00000000" w14:paraId="000003BF">
      <w:pPr>
        <w:spacing w:after="240" w:before="240" w:lineRule="auto"/>
        <w:rPr/>
      </w:pPr>
      <w:r w:rsidDel="00000000" w:rsidR="00000000" w:rsidRPr="00000000">
        <w:rPr>
          <w:rtl w:val="0"/>
        </w:rPr>
        <w:t xml:space="preserve">The Anchoring Lane API exposes the governance, logging, and anchoring functions through a larger set of endpoints secured by </w:t>
      </w:r>
      <w:r w:rsidDel="00000000" w:rsidR="00000000" w:rsidRPr="00000000">
        <w:rPr>
          <w:rFonts w:ascii="Roboto Mono" w:cs="Roboto Mono" w:eastAsia="Roboto Mono" w:hAnsi="Roboto Mono"/>
          <w:color w:val="188038"/>
          <w:rtl w:val="0"/>
        </w:rPr>
        <w:t xml:space="preserve">AnchoringLaneSecurity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HSM-SignedJWT + MutualTLS</w:t>
      </w:r>
      <w:r w:rsidDel="00000000" w:rsidR="00000000" w:rsidRPr="00000000">
        <w:rPr>
          <w:rtl w:val="0"/>
        </w:rPr>
        <w:t xml:space="preserve">). The HSM requirement derives from the Anchoring Lane's authority to issue Permission Tokens and execute Emergency Overrides; these operations require hardware-rooted key material that a software-signed JWT cannot provide</w:t>
      </w:r>
      <w:hyperlink r:id="rId299">
        <w:r w:rsidDel="00000000" w:rsidR="00000000" w:rsidRPr="00000000">
          <w:rPr>
            <w:rtl w:val="0"/>
          </w:rPr>
          <w:t xml:space="preserve"> </w:t>
        </w:r>
      </w:hyperlink>
      <w:hyperlink r:id="rId30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C0">
      <w:pPr>
        <w:spacing w:after="240" w:before="240" w:lineRule="auto"/>
        <w:rPr/>
      </w:pPr>
      <w:r w:rsidDel="00000000" w:rsidR="00000000" w:rsidRPr="00000000">
        <w:rPr>
          <w:rtl w:val="0"/>
        </w:rPr>
        <w:t xml:space="preserve">The Anchoring Lane API is organized into five functional path groups:</w:t>
      </w:r>
    </w:p>
    <w:p w:rsidR="00000000" w:rsidDel="00000000" w:rsidP="00000000" w:rsidRDefault="00000000" w:rsidRPr="00000000" w14:paraId="000003C1">
      <w:pPr>
        <w:spacing w:after="240" w:before="240" w:lineRule="auto"/>
        <w:rPr/>
      </w:pPr>
      <w:r w:rsidDel="00000000" w:rsidR="00000000" w:rsidRPr="00000000">
        <w:rPr>
          <w:b w:val="1"/>
          <w:bCs w:val="1"/>
          <w:rtl w:val="0"/>
        </w:rPr>
        <w:t xml:space="preserve">Sacred Zero Management (</w:t>
      </w:r>
      <w:r w:rsidDel="00000000" w:rsidR="00000000" w:rsidRPr="00000000">
        <w:rPr>
          <w:rFonts w:ascii="Roboto Mono" w:cs="Roboto Mono" w:eastAsia="Roboto Mono" w:hAnsi="Roboto Mono"/>
          <w:b w:val="1"/>
          <w:bCs w:val="1"/>
          <w:color w:val="188038"/>
          <w:rtl w:val="0"/>
        </w:rPr>
        <w:t xml:space="preserve">/sacred-zero/</w:t>
      </w:r>
      <w:r w:rsidDel="00000000" w:rsidR="00000000" w:rsidRPr="00000000">
        <w:rPr>
          <w:b w:val="1"/>
          <w:bCs w:val="1"/>
          <w:rtl w:val="0"/>
        </w:rPr>
        <w:t xml:space="preserve">)</w:t>
      </w:r>
      <w:r w:rsidDel="00000000" w:rsidR="00000000" w:rsidRPr="00000000">
        <w:rPr>
          <w:rtl w:val="0"/>
        </w:rPr>
        <w:t xml:space="preserve">: Endpoints for activating, monitoring, escalating, and resolving Sacred Zero states. </w:t>
      </w:r>
      <w:r w:rsidDel="00000000" w:rsidR="00000000" w:rsidRPr="00000000">
        <w:rPr>
          <w:rFonts w:ascii="Roboto Mono" w:cs="Roboto Mono" w:eastAsia="Roboto Mono" w:hAnsi="Roboto Mono"/>
          <w:color w:val="188038"/>
          <w:rtl w:val="0"/>
        </w:rPr>
        <w:t xml:space="preserve">GET /sacred-zero/escalations</w:t>
      </w:r>
      <w:r w:rsidDel="00000000" w:rsidR="00000000" w:rsidRPr="00000000">
        <w:rPr>
          <w:rtl w:val="0"/>
        </w:rPr>
        <w:t xml:space="preserve"> returns the queue of pending Sacred Zero escalations requiring human review. </w:t>
      </w:r>
      <w:r w:rsidDel="00000000" w:rsidR="00000000" w:rsidRPr="00000000">
        <w:rPr>
          <w:rFonts w:ascii="Roboto Mono" w:cs="Roboto Mono" w:eastAsia="Roboto Mono" w:hAnsi="Roboto Mono"/>
          <w:color w:val="188038"/>
          <w:rtl w:val="0"/>
        </w:rPr>
        <w:t xml:space="preserve">PATCH /sacred-zero/escalations/{escalationId}</w:t>
      </w:r>
      <w:r w:rsidDel="00000000" w:rsidR="00000000" w:rsidRPr="00000000">
        <w:rPr>
          <w:rtl w:val="0"/>
        </w:rPr>
        <w:t xml:space="preserve"> accepts human resolution decisions, with </w:t>
      </w:r>
      <w:r w:rsidDel="00000000" w:rsidR="00000000" w:rsidRPr="00000000">
        <w:rPr>
          <w:rFonts w:ascii="Roboto Mono" w:cs="Roboto Mono" w:eastAsia="Roboto Mono" w:hAnsi="Roboto Mono"/>
          <w:color w:val="188038"/>
          <w:rtl w:val="0"/>
        </w:rPr>
        <w:t xml:space="preserve">resolvedState: enum [1, -1]</w:t>
      </w:r>
      <w:r w:rsidDel="00000000" w:rsidR="00000000" w:rsidRPr="00000000">
        <w:rPr>
          <w:rtl w:val="0"/>
        </w:rPr>
        <w:t xml:space="preserve"> enforcing that resolution is affirmative or negative only. </w:t>
      </w:r>
      <w:r w:rsidDel="00000000" w:rsidR="00000000" w:rsidRPr="00000000">
        <w:rPr>
          <w:rFonts w:ascii="Roboto Mono" w:cs="Roboto Mono" w:eastAsia="Roboto Mono" w:hAnsi="Roboto Mono"/>
          <w:color w:val="188038"/>
          <w:rtl w:val="0"/>
        </w:rPr>
        <w:t xml:space="preserve">GET /sacred-zero/escalations/{escalationId}/deliberation-matrix</w:t>
      </w:r>
      <w:r w:rsidDel="00000000" w:rsidR="00000000" w:rsidRPr="00000000">
        <w:rPr>
          <w:rtl w:val="0"/>
        </w:rPr>
        <w:t xml:space="preserve"> returns the full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for a specific escalation, providing the per-pillar considerations and risk vectors that the human reviewer requires to exercise genuine oversight.</w:t>
      </w:r>
    </w:p>
    <w:p w:rsidR="00000000" w:rsidDel="00000000" w:rsidP="00000000" w:rsidRDefault="00000000" w:rsidRPr="00000000" w14:paraId="000003C2">
      <w:pPr>
        <w:spacing w:after="240" w:before="240" w:lineRule="auto"/>
        <w:rPr/>
      </w:pPr>
      <w:r w:rsidDel="00000000" w:rsidR="00000000" w:rsidRPr="00000000">
        <w:rPr>
          <w:b w:val="1"/>
          <w:bCs w:val="1"/>
          <w:rtl w:val="0"/>
        </w:rPr>
        <w:t xml:space="preserve">Moral Trace Log Management (</w:t>
      </w:r>
      <w:r w:rsidDel="00000000" w:rsidR="00000000" w:rsidRPr="00000000">
        <w:rPr>
          <w:rFonts w:ascii="Roboto Mono" w:cs="Roboto Mono" w:eastAsia="Roboto Mono" w:hAnsi="Roboto Mono"/>
          <w:b w:val="1"/>
          <w:bCs w:val="1"/>
          <w:color w:val="188038"/>
          <w:rtl w:val="0"/>
        </w:rPr>
        <w:t xml:space="preserve">/logs/</w:t>
      </w:r>
      <w:r w:rsidDel="00000000" w:rsidR="00000000" w:rsidRPr="00000000">
        <w:rPr>
          <w:b w:val="1"/>
          <w:bCs w:val="1"/>
          <w:rtl w:val="0"/>
        </w:rPr>
        <w:t xml:space="preserve">)</w:t>
      </w:r>
      <w:r w:rsidDel="00000000" w:rsidR="00000000" w:rsidRPr="00000000">
        <w:rPr>
          <w:rtl w:val="0"/>
        </w:rPr>
        <w:t xml:space="preserve">: Endpoints for log retrieval, verification, and export. </w:t>
      </w:r>
      <w:r w:rsidDel="00000000" w:rsidR="00000000" w:rsidRPr="00000000">
        <w:rPr>
          <w:rFonts w:ascii="Roboto Mono" w:cs="Roboto Mono" w:eastAsia="Roboto Mono" w:hAnsi="Roboto Mono"/>
          <w:color w:val="188038"/>
          <w:rtl w:val="0"/>
        </w:rPr>
        <w:t xml:space="preserve">GET /logs/{logId}</w:t>
      </w:r>
      <w:r w:rsidDel="00000000" w:rsidR="00000000" w:rsidRPr="00000000">
        <w:rPr>
          <w:rtl w:val="0"/>
        </w:rPr>
        <w:t xml:space="preserve"> retrieves a specific log record. </w:t>
      </w:r>
      <w:r w:rsidDel="00000000" w:rsidR="00000000" w:rsidRPr="00000000">
        <w:rPr>
          <w:rFonts w:ascii="Roboto Mono" w:cs="Roboto Mono" w:eastAsia="Roboto Mono" w:hAnsi="Roboto Mono"/>
          <w:color w:val="188038"/>
          <w:rtl w:val="0"/>
        </w:rPr>
        <w:t xml:space="preserve">GET /logs/{logId}/merkle-proof</w:t>
      </w:r>
      <w:r w:rsidDel="00000000" w:rsidR="00000000" w:rsidRPr="00000000">
        <w:rPr>
          <w:rtl w:val="0"/>
        </w:rPr>
        <w:t xml:space="preserve"> returns the </w:t>
      </w:r>
      <w:r w:rsidDel="00000000" w:rsidR="00000000" w:rsidRPr="00000000">
        <w:rPr>
          <w:rFonts w:ascii="Roboto Mono" w:cs="Roboto Mono" w:eastAsia="Roboto Mono" w:hAnsi="Roboto Mono"/>
          <w:color w:val="188038"/>
          <w:rtl w:val="0"/>
        </w:rPr>
        <w:t xml:space="preserve">MerkleInclusionProof</w:t>
      </w:r>
      <w:r w:rsidDel="00000000" w:rsidR="00000000" w:rsidRPr="00000000">
        <w:rPr>
          <w:rtl w:val="0"/>
        </w:rPr>
        <w:t xml:space="preserve"> enabling independent verification of log inclusion in its anchored Merkle batch. </w:t>
      </w:r>
      <w:r w:rsidDel="00000000" w:rsidR="00000000" w:rsidRPr="00000000">
        <w:rPr>
          <w:rFonts w:ascii="Roboto Mono" w:cs="Roboto Mono" w:eastAsia="Roboto Mono" w:hAnsi="Roboto Mono"/>
          <w:color w:val="188038"/>
          <w:rtl w:val="0"/>
        </w:rPr>
        <w:t xml:space="preserve">GET /logs/export</w:t>
      </w:r>
      <w:r w:rsidDel="00000000" w:rsidR="00000000" w:rsidRPr="00000000">
        <w:rPr>
          <w:rtl w:val="0"/>
        </w:rPr>
        <w:t xml:space="preserve"> supports bulk export for regulatory disclosure and auditor access.</w:t>
      </w:r>
    </w:p>
    <w:p w:rsidR="00000000" w:rsidDel="00000000" w:rsidP="00000000" w:rsidRDefault="00000000" w:rsidRPr="00000000" w14:paraId="000003C3">
      <w:pPr>
        <w:spacing w:after="240" w:before="240" w:lineRule="auto"/>
        <w:rPr/>
      </w:pPr>
      <w:r w:rsidDel="00000000" w:rsidR="00000000" w:rsidRPr="00000000">
        <w:rPr>
          <w:b w:val="1"/>
          <w:bCs w:val="1"/>
          <w:rtl w:val="0"/>
        </w:rPr>
        <w:t xml:space="preserve">Goukassian Promise Resources (</w:t>
      </w:r>
      <w:r w:rsidDel="00000000" w:rsidR="00000000" w:rsidRPr="00000000">
        <w:rPr>
          <w:rFonts w:ascii="Roboto Mono" w:cs="Roboto Mono" w:eastAsia="Roboto Mono" w:hAnsi="Roboto Mono"/>
          <w:b w:val="1"/>
          <w:bCs w:val="1"/>
          <w:color w:val="188038"/>
          <w:rtl w:val="0"/>
        </w:rPr>
        <w:t xml:space="preserve">/goukassian/</w:t>
      </w:r>
      <w:r w:rsidDel="00000000" w:rsidR="00000000" w:rsidRPr="00000000">
        <w:rPr>
          <w:b w:val="1"/>
          <w:bCs w:val="1"/>
          <w:rtl w:val="0"/>
        </w:rPr>
        <w:t xml:space="preserve">)</w:t>
      </w:r>
      <w:r w:rsidDel="00000000" w:rsidR="00000000" w:rsidRPr="00000000">
        <w:rPr>
          <w:rtl w:val="0"/>
        </w:rPr>
        <w:t xml:space="preserve">: Endpoints for Lantern status, Signature verification, and License validation. </w:t>
      </w:r>
      <w:r w:rsidDel="00000000" w:rsidR="00000000" w:rsidRPr="00000000">
        <w:rPr>
          <w:rFonts w:ascii="Roboto Mono" w:cs="Roboto Mono" w:eastAsia="Roboto Mono" w:hAnsi="Roboto Mono"/>
          <w:color w:val="188038"/>
          <w:rtl w:val="0"/>
        </w:rPr>
        <w:t xml:space="preserve">GET /goukassian/lantern</w:t>
      </w:r>
      <w:r w:rsidDel="00000000" w:rsidR="00000000" w:rsidRPr="00000000">
        <w:rPr>
          <w:rtl w:val="0"/>
        </w:rPr>
        <w:t xml:space="preserve"> returns the current </w:t>
      </w:r>
      <w:r w:rsidDel="00000000" w:rsidR="00000000" w:rsidRPr="00000000">
        <w:rPr>
          <w:rFonts w:ascii="Roboto Mono" w:cs="Roboto Mono" w:eastAsia="Roboto Mono" w:hAnsi="Roboto Mono"/>
          <w:color w:val="188038"/>
          <w:rtl w:val="0"/>
        </w:rPr>
        <w:t xml:space="preserve">LanternStatus</w:t>
      </w:r>
      <w:r w:rsidDel="00000000" w:rsidR="00000000" w:rsidRPr="00000000">
        <w:rPr>
          <w:rtl w:val="0"/>
        </w:rPr>
        <w:t xml:space="preserve"> object including </w:t>
      </w:r>
      <w:r w:rsidDel="00000000" w:rsidR="00000000" w:rsidRPr="00000000">
        <w:rPr>
          <w:rFonts w:ascii="Roboto Mono" w:cs="Roboto Mono" w:eastAsia="Roboto Mono" w:hAnsi="Roboto Mono"/>
          <w:color w:val="188038"/>
          <w:rtl w:val="0"/>
        </w:rPr>
        <w:t xml:space="preserve">compliancePosture</w:t>
      </w:r>
      <w:r w:rsidDel="00000000" w:rsidR="00000000" w:rsidRPr="00000000">
        <w:rPr>
          <w:rtl w:val="0"/>
        </w:rPr>
        <w:t xml:space="preserve">, per-pillar health status, and the active compliance incidents list. </w:t>
      </w:r>
      <w:r w:rsidDel="00000000" w:rsidR="00000000" w:rsidRPr="00000000">
        <w:rPr>
          <w:rFonts w:ascii="Roboto Mono" w:cs="Roboto Mono" w:eastAsia="Roboto Mono" w:hAnsi="Roboto Mono"/>
          <w:color w:val="188038"/>
          <w:rtl w:val="0"/>
        </w:rPr>
        <w:t xml:space="preserve">POST /goukassian/license/validate</w:t>
      </w:r>
      <w:r w:rsidDel="00000000" w:rsidR="00000000" w:rsidRPr="00000000">
        <w:rPr>
          <w:rtl w:val="0"/>
        </w:rPr>
        <w:t xml:space="preserve"> performs runtime license validation for a specific deployment context. </w:t>
      </w:r>
      <w:r w:rsidDel="00000000" w:rsidR="00000000" w:rsidRPr="00000000">
        <w:rPr>
          <w:rFonts w:ascii="Roboto Mono" w:cs="Roboto Mono" w:eastAsia="Roboto Mono" w:hAnsi="Roboto Mono"/>
          <w:color w:val="188038"/>
          <w:rtl w:val="0"/>
        </w:rPr>
        <w:t xml:space="preserve">POST /refusals/license-violations</w:t>
      </w:r>
      <w:r w:rsidDel="00000000" w:rsidR="00000000" w:rsidRPr="00000000">
        <w:rPr>
          <w:rtl w:val="0"/>
        </w:rPr>
        <w:t xml:space="preserve"> records license violation events.</w:t>
      </w:r>
    </w:p>
    <w:p w:rsidR="00000000" w:rsidDel="00000000" w:rsidP="00000000" w:rsidRDefault="00000000" w:rsidRPr="00000000" w14:paraId="000003C4">
      <w:pPr>
        <w:spacing w:after="240" w:before="240" w:lineRule="auto"/>
        <w:rPr/>
      </w:pPr>
      <w:r w:rsidDel="00000000" w:rsidR="00000000" w:rsidRPr="00000000">
        <w:rPr>
          <w:b w:val="1"/>
          <w:bCs w:val="1"/>
          <w:rtl w:val="0"/>
        </w:rPr>
        <w:t xml:space="preserve">Audit and Regulatory Access (</w:t>
      </w:r>
      <w:r w:rsidDel="00000000" w:rsidR="00000000" w:rsidRPr="00000000">
        <w:rPr>
          <w:rFonts w:ascii="Roboto Mono" w:cs="Roboto Mono" w:eastAsia="Roboto Mono" w:hAnsi="Roboto Mono"/>
          <w:b w:val="1"/>
          <w:bCs w:val="1"/>
          <w:color w:val="188038"/>
          <w:rtl w:val="0"/>
        </w:rPr>
        <w:t xml:space="preserve">/audit/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/regulator/</w:t>
      </w:r>
      <w:r w:rsidDel="00000000" w:rsidR="00000000" w:rsidRPr="00000000">
        <w:rPr>
          <w:b w:val="1"/>
          <w:bCs w:val="1"/>
          <w:rtl w:val="0"/>
        </w:rPr>
        <w:t xml:space="preserve">)</w:t>
      </w:r>
      <w:r w:rsidDel="00000000" w:rsidR="00000000" w:rsidRPr="00000000">
        <w:rPr>
          <w:rtl w:val="0"/>
        </w:rPr>
        <w:t xml:space="preserve">: Endpoints providing direct access to compliance records for authorized auditors and regulatory authorities without requiring operator intermediation. </w:t>
      </w:r>
      <w:r w:rsidDel="00000000" w:rsidR="00000000" w:rsidRPr="00000000">
        <w:rPr>
          <w:rFonts w:ascii="Roboto Mono" w:cs="Roboto Mono" w:eastAsia="Roboto Mono" w:hAnsi="Roboto Mono"/>
          <w:color w:val="188038"/>
          <w:rtl w:val="0"/>
        </w:rPr>
        <w:t xml:space="preserve">GET /regulator/audit-trail</w:t>
      </w:r>
      <w:r w:rsidDel="00000000" w:rsidR="00000000" w:rsidRPr="00000000">
        <w:rPr>
          <w:rtl w:val="0"/>
        </w:rPr>
        <w:t xml:space="preserve"> returns a filtered and paginated audit trail.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returns current quorum status across the six HybridShield custodians. </w:t>
      </w:r>
      <w:r w:rsidDel="00000000" w:rsidR="00000000" w:rsidRPr="00000000">
        <w:rPr>
          <w:rFonts w:ascii="Roboto Mono" w:cs="Roboto Mono" w:eastAsia="Roboto Mono" w:hAnsi="Roboto Mono"/>
          <w:color w:val="188038"/>
          <w:rtl w:val="0"/>
        </w:rPr>
        <w:t xml:space="preserve">GET /audit/custodians/{custodianId}/heartbeat</w:t>
      </w:r>
      <w:r w:rsidDel="00000000" w:rsidR="00000000" w:rsidRPr="00000000">
        <w:rPr>
          <w:rtl w:val="0"/>
        </w:rPr>
        <w:t xml:space="preserve"> provides custodian health monitoring.</w:t>
      </w:r>
    </w:p>
    <w:p w:rsidR="00000000" w:rsidDel="00000000" w:rsidP="00000000" w:rsidRDefault="00000000" w:rsidRPr="00000000" w14:paraId="000003C5">
      <w:pPr>
        <w:spacing w:after="240" w:before="240" w:lineRule="auto"/>
        <w:rPr/>
      </w:pPr>
      <w:r w:rsidDel="00000000" w:rsidR="00000000" w:rsidRPr="00000000">
        <w:rPr>
          <w:b w:val="1"/>
          <w:bCs w:val="1"/>
          <w:rtl w:val="0"/>
        </w:rPr>
        <w:t xml:space="preserve">Emergency Operations (</w:t>
      </w:r>
      <w:r w:rsidDel="00000000" w:rsidR="00000000" w:rsidRPr="00000000">
        <w:rPr>
          <w:rFonts w:ascii="Roboto Mono" w:cs="Roboto Mono" w:eastAsia="Roboto Mono" w:hAnsi="Roboto Mono"/>
          <w:b w:val="1"/>
          <w:bCs w:val="1"/>
          <w:color w:val="188038"/>
          <w:rtl w:val="0"/>
        </w:rPr>
        <w:t xml:space="preserve">/emergency/</w:t>
      </w:r>
      <w:r w:rsidDel="00000000" w:rsidR="00000000" w:rsidRPr="00000000">
        <w:rPr>
          <w:b w:val="1"/>
          <w:bCs w:val="1"/>
          <w:rtl w:val="0"/>
        </w:rPr>
        <w:t xml:space="preserv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POST /emergency/override</w:t>
      </w:r>
      <w:r w:rsidDel="00000000" w:rsidR="00000000" w:rsidRPr="00000000">
        <w:rPr>
          <w:rtl w:val="0"/>
        </w:rPr>
        <w:t xml:space="preserve"> endpoint enables authorized human override of Sacred Zero states in operational emergencies. Override requests require HSM-backed authorization and generate a mandatory </w:t>
      </w:r>
      <w:r w:rsidDel="00000000" w:rsidR="00000000" w:rsidRPr="00000000">
        <w:rPr>
          <w:rFonts w:ascii="Roboto Mono" w:cs="Roboto Mono" w:eastAsia="Roboto Mono" w:hAnsi="Roboto Mono"/>
          <w:color w:val="188038"/>
          <w:rtl w:val="0"/>
        </w:rPr>
        <w:t xml:space="preserve">EmergencyOverrideRecord</w:t>
      </w:r>
      <w:r w:rsidDel="00000000" w:rsidR="00000000" w:rsidRPr="00000000">
        <w:rPr>
          <w:rtl w:val="0"/>
        </w:rPr>
        <w:t xml:space="preserve"> that is logged with full chain of custody, signed, and anchored. Emergency override authority is preserved; it is not anonymous.</w:t>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hjebbja9jz6j" w:id="133"/>
      <w:bookmarkEnd w:id="133"/>
      <w:r w:rsidDel="00000000" w:rsidR="00000000" w:rsidRPr="00000000">
        <w:rPr>
          <w:b w:val="1"/>
          <w:bCs w:val="1"/>
          <w:color w:val="000000"/>
          <w:sz w:val="26"/>
          <w:szCs w:val="26"/>
          <w:rtl w:val="0"/>
        </w:rPr>
        <w:t xml:space="preserve">6.2 The Permission Token: The Actuation Gate</w:t>
      </w:r>
    </w:p>
    <w:p w:rsidR="00000000" w:rsidDel="00000000" w:rsidP="00000000" w:rsidRDefault="00000000" w:rsidRPr="00000000" w14:paraId="000003C7">
      <w:pPr>
        <w:spacing w:after="240" w:before="240" w:lineRule="auto"/>
        <w:rPr/>
      </w:pPr>
      <w:r w:rsidDel="00000000" w:rsidR="00000000" w:rsidRPr="00000000">
        <w:rPr>
          <w:rtl w:val="0"/>
        </w:rPr>
        <w:t xml:space="preserve">The Permission Token is the operational implementation of the "No Log = No Action" iron law. It is the specific artifact that the Anchoring Lane must produce before any governed action may execute, and its five structural properties together make it unforgeable, non-transferable, time-limited, and cryptographically bound to both the specific decision it authorizes and the anchored log that documents that decision</w:t>
      </w:r>
      <w:hyperlink r:id="rId301">
        <w:r w:rsidDel="00000000" w:rsidR="00000000" w:rsidRPr="00000000">
          <w:rPr>
            <w:rtl w:val="0"/>
          </w:rPr>
          <w:t xml:space="preserve"> </w:t>
        </w:r>
      </w:hyperlink>
      <w:hyperlink r:id="rId30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C8">
      <w:pPr>
        <w:spacing w:after="240" w:before="240" w:lineRule="auto"/>
        <w:rPr>
          <w:b w:val="1"/>
          <w:bCs w:val="1"/>
        </w:rPr>
      </w:pPr>
      <w:r w:rsidDel="00000000" w:rsidR="00000000" w:rsidRPr="00000000">
        <w:rPr>
          <w:b w:val="1"/>
          <w:bCs w:val="1"/>
          <w:rtl w:val="0"/>
        </w:rPr>
        <w:t xml:space="preserve">Property 1: </w:t>
      </w:r>
      <w:r w:rsidDel="00000000" w:rsidR="00000000" w:rsidRPr="00000000">
        <w:rPr>
          <w:rFonts w:ascii="Roboto Mono" w:cs="Roboto Mono" w:eastAsia="Roboto Mono" w:hAnsi="Roboto Mono"/>
          <w:b w:val="1"/>
          <w:bCs w:val="1"/>
          <w:color w:val="188038"/>
          <w:rtl w:val="0"/>
        </w:rPr>
        <w:t xml:space="preserve">logHash</w:t>
      </w:r>
      <w:r w:rsidDel="00000000" w:rsidR="00000000" w:rsidRPr="00000000">
        <w:rPr>
          <w:b w:val="1"/>
          <w:bCs w:val="1"/>
          <w:rtl w:val="0"/>
        </w:rPr>
        <w:t xml:space="preserve"> (SHA-256 of the anchored Moral Trace Log)</w:t>
      </w:r>
    </w:p>
    <w:p w:rsidR="00000000" w:rsidDel="00000000" w:rsidP="00000000" w:rsidRDefault="00000000" w:rsidRPr="00000000" w14:paraId="000003C9">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field is the token's primary structural property. It carries the SHA-256 hash of the complete </w:t>
      </w:r>
      <w:r w:rsidDel="00000000" w:rsidR="00000000" w:rsidRPr="00000000">
        <w:rPr>
          <w:rFonts w:ascii="Roboto Mono" w:cs="Roboto Mono" w:eastAsia="Roboto Mono" w:hAnsi="Roboto Mono"/>
          <w:color w:val="188038"/>
          <w:rtl w:val="0"/>
        </w:rPr>
        <w:t xml:space="preserve">TSLF</w:t>
      </w:r>
      <w:r w:rsidDel="00000000" w:rsidR="00000000" w:rsidRPr="00000000">
        <w:rPr>
          <w:rtl w:val="0"/>
        </w:rPr>
        <w:t xml:space="preserve"> log record that was committed and anchored before the token was issued. The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is the decryption key for the actuator: the actuation layer derives its authorization key from the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value. An action can execute if and only if the correct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is present in a valid token.</w:t>
      </w:r>
    </w:p>
    <w:p w:rsidR="00000000" w:rsidDel="00000000" w:rsidP="00000000" w:rsidRDefault="00000000" w:rsidRPr="00000000" w14:paraId="000003CA">
      <w:pPr>
        <w:spacing w:after="240" w:before="240" w:lineRule="auto"/>
        <w:rPr/>
      </w:pPr>
      <w:r w:rsidDel="00000000" w:rsidR="00000000" w:rsidRPr="00000000">
        <w:rPr>
          <w:rtl w:val="0"/>
        </w:rPr>
        <w:t xml:space="preserve">This property implements "No Log = No Action" at the cryptographic layer: the token cannot exist without the log, and the action cannot execute without the token. The chain is unbreakable by construction. If the log was not committed, due to storage failure, network partition, or attempted bypass, the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does not exist, the token cannot be issued, and the action cannot execute</w:t>
      </w:r>
      <w:hyperlink r:id="rId303">
        <w:r w:rsidDel="00000000" w:rsidR="00000000" w:rsidRPr="00000000">
          <w:rPr>
            <w:rtl w:val="0"/>
          </w:rPr>
          <w:t xml:space="preserve"> </w:t>
        </w:r>
      </w:hyperlink>
      <w:hyperlink r:id="rId30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CB">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Property 2: </w:t>
      </w:r>
      <w:r w:rsidDel="00000000" w:rsidR="00000000" w:rsidRPr="00000000">
        <w:rPr>
          <w:rFonts w:ascii="Roboto Mono" w:cs="Roboto Mono" w:eastAsia="Roboto Mono" w:hAnsi="Roboto Mono"/>
          <w:b w:val="1"/>
          <w:bCs w:val="1"/>
          <w:color w:val="188038"/>
          <w:rtl w:val="0"/>
        </w:rPr>
        <w:t xml:space="preserve">laneOrigin: const "ANCHORING_LANE"</w:t>
      </w:r>
    </w:p>
    <w:p w:rsidR="00000000" w:rsidDel="00000000" w:rsidP="00000000" w:rsidRDefault="00000000" w:rsidRPr="00000000" w14:paraId="000003CC">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laneOrigin</w:t>
      </w:r>
      <w:r w:rsidDel="00000000" w:rsidR="00000000" w:rsidRPr="00000000">
        <w:rPr>
          <w:rtl w:val="0"/>
        </w:rPr>
        <w:t xml:space="preserve"> field carries the JSON Schema constant constraint </w:t>
      </w:r>
      <w:r w:rsidDel="00000000" w:rsidR="00000000" w:rsidRPr="00000000">
        <w:rPr>
          <w:rFonts w:ascii="Roboto Mono" w:cs="Roboto Mono" w:eastAsia="Roboto Mono" w:hAnsi="Roboto Mono"/>
          <w:color w:val="188038"/>
          <w:rtl w:val="0"/>
        </w:rPr>
        <w:t xml:space="preserve">const: "ANCHORING_LANE"</w:t>
      </w:r>
      <w:r w:rsidDel="00000000" w:rsidR="00000000" w:rsidRPr="00000000">
        <w:rPr>
          <w:rtl w:val="0"/>
        </w:rPr>
        <w:t xml:space="preserve">. This means that any Permission Token object in which </w:t>
      </w:r>
      <w:r w:rsidDel="00000000" w:rsidR="00000000" w:rsidRPr="00000000">
        <w:rPr>
          <w:rFonts w:ascii="Roboto Mono" w:cs="Roboto Mono" w:eastAsia="Roboto Mono" w:hAnsi="Roboto Mono"/>
          <w:color w:val="188038"/>
          <w:rtl w:val="0"/>
        </w:rPr>
        <w:t xml:space="preserve">laneOrigin</w:t>
      </w:r>
      <w:r w:rsidDel="00000000" w:rsidR="00000000" w:rsidRPr="00000000">
        <w:rPr>
          <w:rtl w:val="0"/>
        </w:rPr>
        <w:t xml:space="preserve"> carries any value other than the exact string </w:t>
      </w:r>
      <w:r w:rsidDel="00000000" w:rsidR="00000000" w:rsidRPr="00000000">
        <w:rPr>
          <w:rFonts w:ascii="Roboto Mono" w:cs="Roboto Mono" w:eastAsia="Roboto Mono" w:hAnsi="Roboto Mono"/>
          <w:color w:val="188038"/>
          <w:rtl w:val="0"/>
        </w:rPr>
        <w:t xml:space="preserve">"ANCHORING_LANE"</w:t>
      </w:r>
      <w:r w:rsidDel="00000000" w:rsidR="00000000" w:rsidRPr="00000000">
        <w:rPr>
          <w:rtl w:val="0"/>
        </w:rPr>
        <w:t xml:space="preserve"> fails schema validation against </w:t>
      </w:r>
      <w:r w:rsidDel="00000000" w:rsidR="00000000" w:rsidRPr="00000000">
        <w:rPr>
          <w:rFonts w:ascii="Roboto Mono" w:cs="Roboto Mono" w:eastAsia="Roboto Mono" w:hAnsi="Roboto Mono"/>
          <w:color w:val="188038"/>
          <w:rtl w:val="0"/>
        </w:rPr>
        <w:t xml:space="preserve">tml_schema.json</w:t>
      </w:r>
      <w:r w:rsidDel="00000000" w:rsidR="00000000" w:rsidRPr="00000000">
        <w:rPr>
          <w:rtl w:val="0"/>
        </w:rPr>
        <w:t xml:space="preserve">. The Inference Lane cannot produce a schema-valid Permission Token. If the Inference Lane were to construct a token object and set </w:t>
      </w:r>
      <w:r w:rsidDel="00000000" w:rsidR="00000000" w:rsidRPr="00000000">
        <w:rPr>
          <w:rFonts w:ascii="Roboto Mono" w:cs="Roboto Mono" w:eastAsia="Roboto Mono" w:hAnsi="Roboto Mono"/>
          <w:color w:val="188038"/>
          <w:rtl w:val="0"/>
        </w:rPr>
        <w:t xml:space="preserve">laneOrigin: "INFERENCE_LANE"</w:t>
      </w:r>
      <w:r w:rsidDel="00000000" w:rsidR="00000000" w:rsidRPr="00000000">
        <w:rPr>
          <w:rtl w:val="0"/>
        </w:rPr>
        <w:t xml:space="preserve">, that token would fail schema validation at the actuation layer and be rejected before any execution authorization check is performed</w:t>
      </w:r>
      <w:hyperlink r:id="rId305">
        <w:r w:rsidDel="00000000" w:rsidR="00000000" w:rsidRPr="00000000">
          <w:rPr>
            <w:rtl w:val="0"/>
          </w:rPr>
          <w:t xml:space="preserve"> </w:t>
        </w:r>
      </w:hyperlink>
      <w:hyperlink r:id="rId30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CD">
      <w:pPr>
        <w:spacing w:after="240" w:before="240" w:lineRule="auto"/>
        <w:rPr/>
      </w:pPr>
      <w:r w:rsidDel="00000000" w:rsidR="00000000" w:rsidRPr="00000000">
        <w:rPr>
          <w:rtl w:val="0"/>
        </w:rPr>
        <w:t xml:space="preserve">This property is the technical expression of the Dual-Lane separation at the schema layer: the Inference Lane's inability to issue valid Permission Tokens is not a matter of access control that could be bypassed if the Inference Lane somehow gained elevated privileges. It is a schema-level structural impossibility. The schema itself enforces the lane separation.</w:t>
      </w:r>
    </w:p>
    <w:p w:rsidR="00000000" w:rsidDel="00000000" w:rsidP="00000000" w:rsidRDefault="00000000" w:rsidRPr="00000000" w14:paraId="000003CE">
      <w:pPr>
        <w:spacing w:after="240" w:before="240" w:lineRule="auto"/>
        <w:rPr>
          <w:b w:val="1"/>
          <w:bCs w:val="1"/>
        </w:rPr>
      </w:pPr>
      <w:r w:rsidDel="00000000" w:rsidR="00000000" w:rsidRPr="00000000">
        <w:rPr>
          <w:b w:val="1"/>
          <w:bCs w:val="1"/>
          <w:rtl w:val="0"/>
        </w:rPr>
        <w:t xml:space="preserve">Property 3: </w:t>
      </w:r>
      <w:r w:rsidDel="00000000" w:rsidR="00000000" w:rsidRPr="00000000">
        <w:rPr>
          <w:rFonts w:ascii="Roboto Mono" w:cs="Roboto Mono" w:eastAsia="Roboto Mono" w:hAnsi="Roboto Mono"/>
          <w:b w:val="1"/>
          <w:bCs w:val="1"/>
          <w:color w:val="188038"/>
          <w:rtl w:val="0"/>
        </w:rPr>
        <w:t xml:space="preserve">merkleRoot</w:t>
      </w:r>
      <w:r w:rsidDel="00000000" w:rsidR="00000000" w:rsidRPr="00000000">
        <w:rPr>
          <w:b w:val="1"/>
          <w:bCs w:val="1"/>
          <w:rtl w:val="0"/>
        </w:rPr>
        <w:t xml:space="preserve"> (Merkle Root of the Anchoring Batch)</w:t>
      </w:r>
    </w:p>
    <w:p w:rsidR="00000000" w:rsidDel="00000000" w:rsidP="00000000" w:rsidRDefault="00000000" w:rsidRPr="00000000" w14:paraId="000003CF">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field binds the Permission Token to the specific Merkle batch in which the authorizing log was anchored. Combined with the </w:t>
      </w:r>
      <w:r w:rsidDel="00000000" w:rsidR="00000000" w:rsidRPr="00000000">
        <w:rPr>
          <w:rFonts w:ascii="Roboto Mono" w:cs="Roboto Mono" w:eastAsia="Roboto Mono" w:hAnsi="Roboto Mono"/>
          <w:color w:val="188038"/>
          <w:rtl w:val="0"/>
        </w:rPr>
        <w:t xml:space="preserve">AuditProof.inclusionPath</w:t>
      </w:r>
      <w:r w:rsidDel="00000000" w:rsidR="00000000" w:rsidRPr="00000000">
        <w:rPr>
          <w:rtl w:val="0"/>
        </w:rPr>
        <w:t xml:space="preserve"> array, this field enables any auditor to verify, using only the public blockchain and the </w:t>
      </w:r>
      <w:r w:rsidDel="00000000" w:rsidR="00000000" w:rsidRPr="00000000">
        <w:rPr>
          <w:rFonts w:ascii="Roboto Mono" w:cs="Roboto Mono" w:eastAsia="Roboto Mono" w:hAnsi="Roboto Mono"/>
          <w:color w:val="188038"/>
          <w:rtl w:val="0"/>
        </w:rPr>
        <w:t xml:space="preserve">MerkleInclusionProof</w:t>
      </w:r>
      <w:r w:rsidDel="00000000" w:rsidR="00000000" w:rsidRPr="00000000">
        <w:rPr>
          <w:rtl w:val="0"/>
        </w:rPr>
        <w:t xml:space="preserve">, that the specific log identified by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was indeed included in the Merkle batch identified by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and that this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was anchored to the public blockchain at the timestamp recorded in the anchor transaction</w:t>
      </w:r>
      <w:hyperlink r:id="rId307">
        <w:r w:rsidDel="00000000" w:rsidR="00000000" w:rsidRPr="00000000">
          <w:rPr>
            <w:rtl w:val="0"/>
          </w:rPr>
          <w:t xml:space="preserve"> </w:t>
        </w:r>
      </w:hyperlink>
      <w:hyperlink r:id="rId30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D0">
      <w:pPr>
        <w:spacing w:after="240" w:before="240" w:lineRule="auto"/>
        <w:rPr/>
      </w:pPr>
      <w:r w:rsidDel="00000000" w:rsidR="00000000" w:rsidRPr="00000000">
        <w:rPr>
          <w:rtl w:val="0"/>
        </w:rPr>
        <w:t xml:space="preserve">This property makes the Permission Token's authorization chain publicly auditable without requiring access to the operator's private log storage. The verification path runs from the token to the Merkle proof to the public blockchain, a chain traversable by any party with an internet connection.</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Property 4: </w:t>
      </w:r>
      <w:r w:rsidDel="00000000" w:rsidR="00000000" w:rsidRPr="00000000">
        <w:rPr>
          <w:rFonts w:ascii="Roboto Mono" w:cs="Roboto Mono" w:eastAsia="Roboto Mono" w:hAnsi="Roboto Mono"/>
          <w:b w:val="1"/>
          <w:bCs w:val="1"/>
          <w:color w:val="188038"/>
          <w:rtl w:val="0"/>
        </w:rPr>
        <w:t xml:space="preserve">expiresAt</w:t>
      </w:r>
      <w:r w:rsidDel="00000000" w:rsidR="00000000" w:rsidRPr="00000000">
        <w:rPr>
          <w:b w:val="1"/>
          <w:bCs w:val="1"/>
          <w:rtl w:val="0"/>
        </w:rPr>
        <w:t xml:space="preserve"> (Token Expiration Timestamp)</w:t>
      </w:r>
    </w:p>
    <w:p w:rsidR="00000000" w:rsidDel="00000000" w:rsidP="00000000" w:rsidRDefault="00000000" w:rsidRPr="00000000" w14:paraId="000003D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expiresAt</w:t>
      </w:r>
      <w:r w:rsidDel="00000000" w:rsidR="00000000" w:rsidRPr="00000000">
        <w:rPr>
          <w:rtl w:val="0"/>
        </w:rPr>
        <w:t xml:space="preserve"> field carries the ISO 8601 timestamp after which the token is no longer valid for actuation. Token expiration prevents the indefinite reuse of a single authorization for repeated executions: each governed action requires a fresh Permission Token issued for that specific action. Token expiration also provides a defense against replay attacks in which a valid token from a prior authorized action is captured and reused to authorize a subsequent unauthorized action</w:t>
      </w:r>
      <w:hyperlink r:id="rId309">
        <w:r w:rsidDel="00000000" w:rsidR="00000000" w:rsidRPr="00000000">
          <w:rPr>
            <w:rtl w:val="0"/>
          </w:rPr>
          <w:t xml:space="preserve"> </w:t>
        </w:r>
      </w:hyperlink>
      <w:hyperlink r:id="rId31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D3">
      <w:pPr>
        <w:spacing w:after="240" w:before="240" w:lineRule="auto"/>
        <w:rPr/>
      </w:pPr>
      <w:r w:rsidDel="00000000" w:rsidR="00000000" w:rsidRPr="00000000">
        <w:rPr>
          <w:rtl w:val="0"/>
        </w:rPr>
        <w:t xml:space="preserve">The expiration period is configurable by deployment domain within bounds specified by the framework. Safety-critical real-time systems may specify sub-second expiration; administrative systems processing complex determinations may specify longer validity windows. The expiration period cannot exceed the maximum deliberation period for the domain, ensuring that a token cannot outlive the deliberation that produced it.</w:t>
      </w:r>
    </w:p>
    <w:p w:rsidR="00000000" w:rsidDel="00000000" w:rsidP="00000000" w:rsidRDefault="00000000" w:rsidRPr="00000000" w14:paraId="000003D4">
      <w:pPr>
        <w:spacing w:after="240" w:before="240" w:lineRule="auto"/>
        <w:rPr>
          <w:b w:val="1"/>
          <w:bCs w:val="1"/>
        </w:rPr>
      </w:pPr>
      <w:r w:rsidDel="00000000" w:rsidR="00000000" w:rsidRPr="00000000">
        <w:rPr>
          <w:b w:val="1"/>
          <w:bCs w:val="1"/>
          <w:rtl w:val="0"/>
        </w:rPr>
        <w:t xml:space="preserve">Property 5: </w:t>
      </w:r>
      <w:r w:rsidDel="00000000" w:rsidR="00000000" w:rsidRPr="00000000">
        <w:rPr>
          <w:rFonts w:ascii="Roboto Mono" w:cs="Roboto Mono" w:eastAsia="Roboto Mono" w:hAnsi="Roboto Mono"/>
          <w:b w:val="1"/>
          <w:bCs w:val="1"/>
          <w:color w:val="188038"/>
          <w:rtl w:val="0"/>
        </w:rPr>
        <w:t xml:space="preserve">signatureValue</w:t>
      </w:r>
      <w:r w:rsidDel="00000000" w:rsidR="00000000" w:rsidRPr="00000000">
        <w:rPr>
          <w:b w:val="1"/>
          <w:bCs w:val="1"/>
          <w:rtl w:val="0"/>
        </w:rPr>
        <w:t xml:space="preserve"> (HSM-Backed Anchoring Lane Signature)</w:t>
      </w:r>
    </w:p>
    <w:p w:rsidR="00000000" w:rsidDel="00000000" w:rsidP="00000000" w:rsidRDefault="00000000" w:rsidRPr="00000000" w14:paraId="000003D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signatureValue</w:t>
      </w:r>
      <w:r w:rsidDel="00000000" w:rsidR="00000000" w:rsidRPr="00000000">
        <w:rPr>
          <w:rtl w:val="0"/>
        </w:rPr>
        <w:t xml:space="preserve"> field carries the cryptographic signature of the complete token object, produced by the Anchoring Lane's Hardware Security Module using the registered key material. The actuation layer verifies this signature against the registered public key before accepting the token as valid.</w:t>
      </w:r>
    </w:p>
    <w:p w:rsidR="00000000" w:rsidDel="00000000" w:rsidP="00000000" w:rsidRDefault="00000000" w:rsidRPr="00000000" w14:paraId="000003D6">
      <w:pPr>
        <w:spacing w:after="240" w:before="240" w:lineRule="auto"/>
        <w:rPr/>
      </w:pPr>
      <w:r w:rsidDel="00000000" w:rsidR="00000000" w:rsidRPr="00000000">
        <w:rPr>
          <w:rtl w:val="0"/>
        </w:rPr>
        <w:t xml:space="preserve">The HSM backing of the signature means that the Anchoring Lane's signing authority is rooted in tamper-resistant hardware that cannot be cloned, extracted, or reproduced by software running on the Inference Lane or any other system. A forged token, one produced by any system other than the authorized Anchoring Lane HSM, would fail signature verification at the actuation layer and be rejected</w:t>
      </w:r>
      <w:hyperlink r:id="rId311">
        <w:r w:rsidDel="00000000" w:rsidR="00000000" w:rsidRPr="00000000">
          <w:rPr>
            <w:rtl w:val="0"/>
          </w:rPr>
          <w:t xml:space="preserve"> </w:t>
        </w:r>
      </w:hyperlink>
      <w:hyperlink r:id="rId31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D7">
      <w:pPr>
        <w:spacing w:after="240" w:before="240" w:lineRule="auto"/>
        <w:rPr/>
      </w:pPr>
      <w:r w:rsidDel="00000000" w:rsidR="00000000" w:rsidRPr="00000000">
        <w:rPr>
          <w:rtl w:val="0"/>
        </w:rPr>
        <w:t xml:space="preserve">Together, these five properties create a token that is unforgeable (HSM-backed signature), non-transferable (bound to a specific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time-limited (</w:t>
      </w:r>
      <w:r w:rsidDel="00000000" w:rsidR="00000000" w:rsidRPr="00000000">
        <w:rPr>
          <w:rFonts w:ascii="Roboto Mono" w:cs="Roboto Mono" w:eastAsia="Roboto Mono" w:hAnsi="Roboto Mono"/>
          <w:color w:val="188038"/>
          <w:rtl w:val="0"/>
        </w:rPr>
        <w:t xml:space="preserve">expiresAt</w:t>
      </w:r>
      <w:r w:rsidDel="00000000" w:rsidR="00000000" w:rsidRPr="00000000">
        <w:rPr>
          <w:rtl w:val="0"/>
        </w:rPr>
        <w:t xml:space="preserve">), lane-restricted (</w:t>
      </w:r>
      <w:r w:rsidDel="00000000" w:rsidR="00000000" w:rsidRPr="00000000">
        <w:rPr>
          <w:rFonts w:ascii="Roboto Mono" w:cs="Roboto Mono" w:eastAsia="Roboto Mono" w:hAnsi="Roboto Mono"/>
          <w:color w:val="188038"/>
          <w:rtl w:val="0"/>
        </w:rPr>
        <w:t xml:space="preserve">laneOrigin: const "ANCHORING_LANE"</w:t>
      </w:r>
      <w:r w:rsidDel="00000000" w:rsidR="00000000" w:rsidRPr="00000000">
        <w:rPr>
          <w:rtl w:val="0"/>
        </w:rPr>
        <w:t xml:space="preserve">), and publicly auditable (Merkle inclusion proof chain to public blockchain). An implementation that satisfies all five properties cannot execute a governed action without a complete, signed, anchored evidentiary record.</w:t>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1df9b73t0iqb" w:id="134"/>
      <w:bookmarkEnd w:id="134"/>
      <w:r w:rsidDel="00000000" w:rsidR="00000000" w:rsidRPr="00000000">
        <w:rPr>
          <w:b w:val="1"/>
          <w:bCs w:val="1"/>
          <w:color w:val="000000"/>
          <w:sz w:val="26"/>
          <w:szCs w:val="26"/>
          <w:rtl w:val="0"/>
        </w:rPr>
        <w:t xml:space="preserve">6.3 The Sacred Zero as a First-Class API State</w:t>
      </w:r>
    </w:p>
    <w:p w:rsidR="00000000" w:rsidDel="00000000" w:rsidP="00000000" w:rsidRDefault="00000000" w:rsidRPr="00000000" w14:paraId="000003D9">
      <w:pPr>
        <w:spacing w:after="240" w:before="240" w:lineRule="auto"/>
        <w:rPr/>
      </w:pPr>
      <w:r w:rsidDel="00000000" w:rsidR="00000000" w:rsidRPr="00000000">
        <w:rPr>
          <w:rtl w:val="0"/>
        </w:rPr>
        <w:t xml:space="preserve">The Sacred Zero occupies a structurally distinct position in the API specification that reflects its position as a first-class governed state rather than an error condition or timeout. The schema constraints, endpoint behaviors, and webhook events associated with the Sacred Zero are designed to make the hesitation state as operationally rich as the proceed or refuse states, productive, documented, escalatable, and resolvable through defined pathways.</w:t>
      </w:r>
    </w:p>
    <w:p w:rsidR="00000000" w:rsidDel="00000000" w:rsidP="00000000" w:rsidRDefault="00000000" w:rsidRPr="00000000" w14:paraId="000003DA">
      <w:pPr>
        <w:pStyle w:val="Heading4"/>
        <w:keepNext w:val="0"/>
        <w:keepLines w:val="0"/>
        <w:spacing w:after="40" w:before="240" w:lineRule="auto"/>
        <w:rPr>
          <w:b w:val="1"/>
          <w:bCs w:val="1"/>
          <w:color w:val="000000"/>
          <w:sz w:val="22"/>
          <w:szCs w:val="22"/>
        </w:rPr>
      </w:pPr>
      <w:bookmarkStart w:colFirst="0" w:colLast="0" w:name="_s6cm1zkywg49" w:id="135"/>
      <w:bookmarkEnd w:id="135"/>
      <w:r w:rsidDel="00000000" w:rsidR="00000000" w:rsidRPr="00000000">
        <w:rPr>
          <w:b w:val="1"/>
          <w:bCs w:val="1"/>
          <w:color w:val="000000"/>
          <w:sz w:val="22"/>
          <w:szCs w:val="22"/>
          <w:rtl w:val="0"/>
        </w:rPr>
        <w:t xml:space="preserve">6.3.1 The TSLF-State0 Schema: The Forensic Record of Hesitation</w:t>
      </w:r>
    </w:p>
    <w:p w:rsidR="00000000" w:rsidDel="00000000" w:rsidP="00000000" w:rsidRDefault="00000000" w:rsidRPr="00000000" w14:paraId="000003DB">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TSLF-State0</w:t>
      </w:r>
      <w:r w:rsidDel="00000000" w:rsidR="00000000" w:rsidRPr="00000000">
        <w:rPr>
          <w:rtl w:val="0"/>
        </w:rPr>
        <w:t xml:space="preserve"> log schema is the forensic artifact of every Sacred Zero activation. Its mandatory fields are designed to capture the complete epistemic state of the system at the moment of hesitation, enabling reconstruction of the uncertainty condition that triggered the activation and the deliberation that followed.</w:t>
      </w:r>
    </w:p>
    <w:p w:rsidR="00000000" w:rsidDel="00000000" w:rsidP="00000000" w:rsidRDefault="00000000" w:rsidRPr="00000000" w14:paraId="000003DC">
      <w:pPr>
        <w:spacing w:after="240" w:before="240" w:lineRule="auto"/>
        <w:rPr/>
      </w:pPr>
      <w:r w:rsidDel="00000000" w:rsidR="00000000" w:rsidRPr="00000000">
        <w:rPr>
          <w:rtl w:val="0"/>
        </w:rPr>
        <w:t xml:space="preserve">Mandatory fields include:</w:t>
      </w:r>
    </w:p>
    <w:p w:rsidR="00000000" w:rsidDel="00000000" w:rsidP="00000000" w:rsidRDefault="00000000" w:rsidRPr="00000000" w14:paraId="000003DD">
      <w:pPr>
        <w:numPr>
          <w:ilvl w:val="0"/>
          <w:numId w:val="6"/>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currentState: 0</w:t>
      </w:r>
      <w:r w:rsidDel="00000000" w:rsidR="00000000" w:rsidRPr="00000000">
        <w:rPr>
          <w:rtl w:val="0"/>
        </w:rPr>
        <w:t xml:space="preserve">: The discriminator that identifies this log as a Sacred Zero record.</w:t>
      </w:r>
    </w:p>
    <w:p w:rsidR="00000000" w:rsidDel="00000000" w:rsidP="00000000" w:rsidRDefault="00000000" w:rsidRPr="00000000" w14:paraId="000003DE">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stateLabel: const "SACRED_ZERO"</w:t>
      </w:r>
      <w:r w:rsidDel="00000000" w:rsidR="00000000" w:rsidRPr="00000000">
        <w:rPr>
          <w:rtl w:val="0"/>
        </w:rPr>
        <w:t xml:space="preserve">: Schema-enforced state designation.</w:t>
      </w:r>
    </w:p>
    <w:p w:rsidR="00000000" w:rsidDel="00000000" w:rsidP="00000000" w:rsidRDefault="00000000" w:rsidRPr="00000000" w14:paraId="000003DF">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processActive: const "SacredPause"</w:t>
      </w:r>
      <w:r w:rsidDel="00000000" w:rsidR="00000000" w:rsidRPr="00000000">
        <w:rPr>
          <w:rtl w:val="0"/>
        </w:rPr>
        <w:t xml:space="preserve">: Confirms the Sacred Pause workflow is executing.</w:t>
      </w:r>
    </w:p>
    <w:p w:rsidR="00000000" w:rsidDel="00000000" w:rsidP="00000000" w:rsidRDefault="00000000" w:rsidRPr="00000000" w14:paraId="000003E0">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lanternStatus</w:t>
      </w:r>
      <w:r w:rsidDel="00000000" w:rsidR="00000000" w:rsidRPr="00000000">
        <w:rPr>
          <w:rtl w:val="0"/>
        </w:rPr>
        <w:t xml:space="preserve">: The complete </w:t>
      </w:r>
      <w:r w:rsidDel="00000000" w:rsidR="00000000" w:rsidRPr="00000000">
        <w:rPr>
          <w:rFonts w:ascii="Roboto Mono" w:cs="Roboto Mono" w:eastAsia="Roboto Mono" w:hAnsi="Roboto Mono"/>
          <w:color w:val="188038"/>
          <w:rtl w:val="0"/>
        </w:rPr>
        <w:t xml:space="preserve">LanternStatus</w:t>
      </w:r>
      <w:r w:rsidDel="00000000" w:rsidR="00000000" w:rsidRPr="00000000">
        <w:rPr>
          <w:rtl w:val="0"/>
        </w:rPr>
        <w:t xml:space="preserve"> object capturing pillar health at the moment of activation, preserving the compliance posture of the system at the instant it entered hesitation.</w:t>
      </w:r>
    </w:p>
    <w:p w:rsidR="00000000" w:rsidDel="00000000" w:rsidP="00000000" w:rsidRDefault="00000000" w:rsidRPr="00000000" w14:paraId="000003E1">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uncertaintyQuantification</w:t>
      </w:r>
      <w:r w:rsidDel="00000000" w:rsidR="00000000" w:rsidRPr="00000000">
        <w:rPr>
          <w:rtl w:val="0"/>
        </w:rPr>
        <w:t xml:space="preserve">: An object carrying </w:t>
      </w:r>
      <w:r w:rsidDel="00000000" w:rsidR="00000000" w:rsidRPr="00000000">
        <w:rPr>
          <w:rFonts w:ascii="Roboto Mono" w:cs="Roboto Mono" w:eastAsia="Roboto Mono" w:hAnsi="Roboto Mono"/>
          <w:color w:val="188038"/>
          <w:rtl w:val="0"/>
        </w:rPr>
        <w:t xml:space="preserve">epistemicHoldActive: true</w:t>
      </w:r>
      <w:r w:rsidDel="00000000" w:rsidR="00000000" w:rsidRPr="00000000">
        <w:rPr>
          <w:rtl w:val="0"/>
        </w:rPr>
        <w:t xml:space="preserve">, the specific confidence scores that triggered the activation, and the vector proximity measurements for each Mandate that contributed to the trigger.</w:t>
      </w:r>
    </w:p>
    <w:p w:rsidR="00000000" w:rsidDel="00000000" w:rsidP="00000000" w:rsidRDefault="00000000" w:rsidRPr="00000000" w14:paraId="000003E2">
      <w:pPr>
        <w:numPr>
          <w:ilvl w:val="0"/>
          <w:numId w:val="6"/>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deliberationMatrix</w:t>
      </w:r>
      <w:r w:rsidDel="00000000" w:rsidR="00000000" w:rsidRPr="00000000">
        <w:rPr>
          <w:rtl w:val="0"/>
        </w:rPr>
        <w:t xml:space="preserve">: The structured presentation of per-pillar considerations, available resolution options (with </w:t>
      </w:r>
      <w:r w:rsidDel="00000000" w:rsidR="00000000" w:rsidRPr="00000000">
        <w:rPr>
          <w:rFonts w:ascii="Roboto Mono" w:cs="Roboto Mono" w:eastAsia="Roboto Mono" w:hAnsi="Roboto Mono"/>
          <w:color w:val="188038"/>
          <w:rtl w:val="0"/>
        </w:rPr>
        <w:t xml:space="preserve">proposedState: enum [1, -1]</w:t>
      </w:r>
      <w:r w:rsidDel="00000000" w:rsidR="00000000" w:rsidRPr="00000000">
        <w:rPr>
          <w:rtl w:val="0"/>
        </w:rPr>
        <w:t xml:space="preserve"> enforcing that each option resolves to proceed or refuse), and the evidence assessment supporting each option</w:t>
      </w:r>
      <w:hyperlink r:id="rId313">
        <w:r w:rsidDel="00000000" w:rsidR="00000000" w:rsidRPr="00000000">
          <w:rPr>
            <w:rtl w:val="0"/>
          </w:rPr>
          <w:t xml:space="preserve"> </w:t>
        </w:r>
      </w:hyperlink>
      <w:hyperlink r:id="rId31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E3">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is the specific artifact that satisfies EU AI Act Article 14's requirement that human overseers be able to "fully understand the capacities and limitations of the high-risk AI system." A human reviewer presented with the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receives not a binary alert but a structured analysis of why the system paused, what it knows, what it does not know, and what the available resolution paths are. This is genuine oversight, not nominal review.</w:t>
      </w:r>
    </w:p>
    <w:p w:rsidR="00000000" w:rsidDel="00000000" w:rsidP="00000000" w:rsidRDefault="00000000" w:rsidRPr="00000000" w14:paraId="000003E4">
      <w:pPr>
        <w:pStyle w:val="Heading4"/>
        <w:keepNext w:val="0"/>
        <w:keepLines w:val="0"/>
        <w:spacing w:after="40" w:before="240" w:lineRule="auto"/>
        <w:rPr>
          <w:b w:val="1"/>
          <w:bCs w:val="1"/>
          <w:color w:val="000000"/>
          <w:sz w:val="22"/>
          <w:szCs w:val="22"/>
        </w:rPr>
      </w:pPr>
      <w:bookmarkStart w:colFirst="0" w:colLast="0" w:name="_uggpepfpgyi" w:id="136"/>
      <w:bookmarkEnd w:id="136"/>
      <w:r w:rsidDel="00000000" w:rsidR="00000000" w:rsidRPr="00000000">
        <w:rPr>
          <w:b w:val="1"/>
          <w:bCs w:val="1"/>
          <w:color w:val="000000"/>
          <w:sz w:val="22"/>
          <w:szCs w:val="22"/>
          <w:rtl w:val="0"/>
        </w:rPr>
        <w:t xml:space="preserve">6.3.2 Escalation Workflow and Human Resolution</w:t>
      </w:r>
    </w:p>
    <w:p w:rsidR="00000000" w:rsidDel="00000000" w:rsidP="00000000" w:rsidRDefault="00000000" w:rsidRPr="00000000" w14:paraId="000003E5">
      <w:pPr>
        <w:spacing w:after="240" w:before="240" w:lineRule="auto"/>
        <w:rPr/>
      </w:pPr>
      <w:r w:rsidDel="00000000" w:rsidR="00000000" w:rsidRPr="00000000">
        <w:rPr>
          <w:rtl w:val="0"/>
        </w:rPr>
        <w:t xml:space="preserve">The Sacred Zero escalation pathway implements the human oversight requirement at the operational layer. Upon Sacred Zero activation, the system:</w:t>
      </w:r>
    </w:p>
    <w:p w:rsidR="00000000" w:rsidDel="00000000" w:rsidP="00000000" w:rsidRDefault="00000000" w:rsidRPr="00000000" w14:paraId="000003E6">
      <w:pPr>
        <w:numPr>
          <w:ilvl w:val="0"/>
          <w:numId w:val="11"/>
        </w:numPr>
        <w:spacing w:after="0" w:afterAutospacing="0" w:before="240" w:lineRule="auto"/>
        <w:ind w:left="720" w:hanging="360"/>
      </w:pPr>
      <w:r w:rsidDel="00000000" w:rsidR="00000000" w:rsidRPr="00000000">
        <w:rPr>
          <w:rtl w:val="0"/>
        </w:rPr>
        <w:t xml:space="preserve">Commits the </w:t>
      </w:r>
      <w:r w:rsidDel="00000000" w:rsidR="00000000" w:rsidRPr="00000000">
        <w:rPr>
          <w:rFonts w:ascii="Roboto Mono" w:cs="Roboto Mono" w:eastAsia="Roboto Mono" w:hAnsi="Roboto Mono"/>
          <w:color w:val="188038"/>
          <w:rtl w:val="0"/>
        </w:rPr>
        <w:t xml:space="preserve">TSLF-State0</w:t>
      </w:r>
      <w:r w:rsidDel="00000000" w:rsidR="00000000" w:rsidRPr="00000000">
        <w:rPr>
          <w:rtl w:val="0"/>
        </w:rPr>
        <w:t xml:space="preserve"> log record to secure storage and initiates Merkle anchoring.</w:t>
      </w:r>
    </w:p>
    <w:p w:rsidR="00000000" w:rsidDel="00000000" w:rsidP="00000000" w:rsidRDefault="00000000" w:rsidRPr="00000000" w14:paraId="000003E7">
      <w:pPr>
        <w:numPr>
          <w:ilvl w:val="0"/>
          <w:numId w:val="11"/>
        </w:numPr>
        <w:spacing w:after="0" w:afterAutospacing="0" w:before="0" w:beforeAutospacing="0" w:lineRule="auto"/>
        <w:ind w:left="720" w:hanging="360"/>
      </w:pPr>
      <w:r w:rsidDel="00000000" w:rsidR="00000000" w:rsidRPr="00000000">
        <w:rPr>
          <w:rtl w:val="0"/>
        </w:rPr>
        <w:t xml:space="preserve">Adds the escalation to the queue exposed at </w:t>
      </w:r>
      <w:r w:rsidDel="00000000" w:rsidR="00000000" w:rsidRPr="00000000">
        <w:rPr>
          <w:rFonts w:ascii="Roboto Mono" w:cs="Roboto Mono" w:eastAsia="Roboto Mono" w:hAnsi="Roboto Mono"/>
          <w:color w:val="188038"/>
          <w:rtl w:val="0"/>
        </w:rPr>
        <w:t xml:space="preserve">GET /sacred-zero/escalations</w:t>
      </w:r>
      <w:r w:rsidDel="00000000" w:rsidR="00000000" w:rsidRPr="00000000">
        <w:rPr>
          <w:rtl w:val="0"/>
        </w:rPr>
        <w:t xml:space="preserve">.</w:t>
      </w:r>
    </w:p>
    <w:p w:rsidR="00000000" w:rsidDel="00000000" w:rsidP="00000000" w:rsidRDefault="00000000" w:rsidRPr="00000000" w14:paraId="000003E8">
      <w:pPr>
        <w:numPr>
          <w:ilvl w:val="0"/>
          <w:numId w:val="11"/>
        </w:numPr>
        <w:spacing w:after="0" w:afterAutospacing="0" w:before="0" w:beforeAutospacing="0" w:lineRule="auto"/>
        <w:ind w:left="720" w:hanging="360"/>
      </w:pPr>
      <w:r w:rsidDel="00000000" w:rsidR="00000000" w:rsidRPr="00000000">
        <w:rPr>
          <w:rtl w:val="0"/>
        </w:rPr>
        <w:t xml:space="preserve">Delivers a </w:t>
      </w:r>
      <w:r w:rsidDel="00000000" w:rsidR="00000000" w:rsidRPr="00000000">
        <w:rPr>
          <w:rFonts w:ascii="Roboto Mono" w:cs="Roboto Mono" w:eastAsia="Roboto Mono" w:hAnsi="Roboto Mono"/>
          <w:color w:val="188038"/>
          <w:rtl w:val="0"/>
        </w:rPr>
        <w:t xml:space="preserve">sacredPauseEscalation</w:t>
      </w:r>
      <w:r w:rsidDel="00000000" w:rsidR="00000000" w:rsidRPr="00000000">
        <w:rPr>
          <w:rtl w:val="0"/>
        </w:rPr>
        <w:t xml:space="preserve"> webhook event to all registered oversight endpoints, carrying the </w:t>
      </w:r>
      <w:r w:rsidDel="00000000" w:rsidR="00000000" w:rsidRPr="00000000">
        <w:rPr>
          <w:rFonts w:ascii="Roboto Mono" w:cs="Roboto Mono" w:eastAsia="Roboto Mono" w:hAnsi="Roboto Mono"/>
          <w:color w:val="188038"/>
          <w:rtl w:val="0"/>
        </w:rPr>
        <w:t xml:space="preserve">escalationId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and the expiration timestamp of the deliberation period.</w:t>
      </w:r>
    </w:p>
    <w:p w:rsidR="00000000" w:rsidDel="00000000" w:rsidP="00000000" w:rsidRDefault="00000000" w:rsidRPr="00000000" w14:paraId="000003E9">
      <w:pPr>
        <w:numPr>
          <w:ilvl w:val="0"/>
          <w:numId w:val="11"/>
        </w:numPr>
        <w:spacing w:after="240" w:before="0" w:beforeAutospacing="0" w:lineRule="auto"/>
        <w:ind w:left="720" w:hanging="360"/>
      </w:pPr>
      <w:r w:rsidDel="00000000" w:rsidR="00000000" w:rsidRPr="00000000">
        <w:rPr>
          <w:rtl w:val="0"/>
        </w:rPr>
        <w:t xml:space="preserve">Begins the Sacred Pause evidence-gathering workflow, querying available verification sources and updating the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as new evidence arrives.</w:t>
      </w:r>
    </w:p>
    <w:p w:rsidR="00000000" w:rsidDel="00000000" w:rsidP="00000000" w:rsidRDefault="00000000" w:rsidRPr="00000000" w14:paraId="000003EA">
      <w:pPr>
        <w:spacing w:after="240" w:before="240" w:lineRule="auto"/>
        <w:rPr/>
      </w:pPr>
      <w:r w:rsidDel="00000000" w:rsidR="00000000" w:rsidRPr="00000000">
        <w:rPr>
          <w:rtl w:val="0"/>
        </w:rPr>
        <w:t xml:space="preserve">Human reviewers access the escalation through </w:t>
      </w:r>
      <w:r w:rsidDel="00000000" w:rsidR="00000000" w:rsidRPr="00000000">
        <w:rPr>
          <w:rFonts w:ascii="Roboto Mono" w:cs="Roboto Mono" w:eastAsia="Roboto Mono" w:hAnsi="Roboto Mono"/>
          <w:color w:val="188038"/>
          <w:rtl w:val="0"/>
        </w:rPr>
        <w:t xml:space="preserve">GET /sacred-zero/escalations/{escalationId}/deliberation-matrix</w:t>
      </w:r>
      <w:r w:rsidDel="00000000" w:rsidR="00000000" w:rsidRPr="00000000">
        <w:rPr>
          <w:rtl w:val="0"/>
        </w:rPr>
        <w:t xml:space="preserve"> and submit their resolution through </w:t>
      </w:r>
      <w:r w:rsidDel="00000000" w:rsidR="00000000" w:rsidRPr="00000000">
        <w:rPr>
          <w:rFonts w:ascii="Roboto Mono" w:cs="Roboto Mono" w:eastAsia="Roboto Mono" w:hAnsi="Roboto Mono"/>
          <w:color w:val="188038"/>
          <w:rtl w:val="0"/>
        </w:rPr>
        <w:t xml:space="preserve">PATCH /sacred-zero/escalations/{escalationId}</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ResolutionRequest</w:t>
      </w:r>
      <w:r w:rsidDel="00000000" w:rsidR="00000000" w:rsidRPr="00000000">
        <w:rPr>
          <w:rtl w:val="0"/>
        </w:rPr>
        <w:t xml:space="preserve"> object carrying </w:t>
      </w:r>
      <w:r w:rsidDel="00000000" w:rsidR="00000000" w:rsidRPr="00000000">
        <w:rPr>
          <w:rFonts w:ascii="Roboto Mono" w:cs="Roboto Mono" w:eastAsia="Roboto Mono" w:hAnsi="Roboto Mono"/>
          <w:color w:val="188038"/>
          <w:rtl w:val="0"/>
        </w:rPr>
        <w:t xml:space="preserve">resolvedState: enum [1, -1]</w:t>
      </w:r>
      <w:r w:rsidDel="00000000" w:rsidR="00000000" w:rsidRPr="00000000">
        <w:rPr>
          <w:rtl w:val="0"/>
        </w:rPr>
        <w:t xml:space="preserve"> and a mandatory </w:t>
      </w:r>
      <w:r w:rsidDel="00000000" w:rsidR="00000000" w:rsidRPr="00000000">
        <w:rPr>
          <w:rFonts w:ascii="Roboto Mono" w:cs="Roboto Mono" w:eastAsia="Roboto Mono" w:hAnsi="Roboto Mono"/>
          <w:color w:val="188038"/>
          <w:rtl w:val="0"/>
        </w:rPr>
        <w:t xml:space="preserve">resolutionRationale</w:t>
      </w:r>
      <w:r w:rsidDel="00000000" w:rsidR="00000000" w:rsidRPr="00000000">
        <w:rPr>
          <w:rtl w:val="0"/>
        </w:rPr>
        <w:t xml:space="preserve"> string.</w:t>
      </w:r>
    </w:p>
    <w:p w:rsidR="00000000" w:rsidDel="00000000" w:rsidP="00000000" w:rsidRDefault="00000000" w:rsidRPr="00000000" w14:paraId="000003EB">
      <w:pPr>
        <w:spacing w:after="240" w:before="240" w:lineRule="auto"/>
        <w:rPr/>
      </w:pPr>
      <w:r w:rsidDel="00000000" w:rsidR="00000000" w:rsidRPr="00000000">
        <w:rPr>
          <w:rtl w:val="0"/>
        </w:rPr>
        <w:t xml:space="preserve">The schema enforces two properties of the resolution that are critical to genuine oversight. First, </w:t>
      </w:r>
      <w:r w:rsidDel="00000000" w:rsidR="00000000" w:rsidRPr="00000000">
        <w:rPr>
          <w:rFonts w:ascii="Roboto Mono" w:cs="Roboto Mono" w:eastAsia="Roboto Mono" w:hAnsi="Roboto Mono"/>
          <w:color w:val="188038"/>
          <w:rtl w:val="0"/>
        </w:rPr>
        <w:t xml:space="preserve">resolvedState</w:t>
      </w:r>
      <w:r w:rsidDel="00000000" w:rsidR="00000000" w:rsidRPr="00000000">
        <w:rPr>
          <w:rtl w:val="0"/>
        </w:rPr>
        <w:t xml:space="preserve"> accepts only 1 or -1: a reviewer cannot resolve a Sacred Zero by leaving the system in Sacred Zero. Resolution is mandatory within the deliberation period. Second, </w:t>
      </w:r>
      <w:r w:rsidDel="00000000" w:rsidR="00000000" w:rsidRPr="00000000">
        <w:rPr>
          <w:rFonts w:ascii="Roboto Mono" w:cs="Roboto Mono" w:eastAsia="Roboto Mono" w:hAnsi="Roboto Mono"/>
          <w:color w:val="188038"/>
          <w:rtl w:val="0"/>
        </w:rPr>
        <w:t xml:space="preserve">resolutionRationale</w:t>
      </w:r>
      <w:r w:rsidDel="00000000" w:rsidR="00000000" w:rsidRPr="00000000">
        <w:rPr>
          <w:rtl w:val="0"/>
        </w:rPr>
        <w:t xml:space="preserve"> is a required field: the reviewer cannot resolve without providing a documented basis for the resolution. The rationale is included in the </w:t>
      </w:r>
      <w:r w:rsidDel="00000000" w:rsidR="00000000" w:rsidRPr="00000000">
        <w:rPr>
          <w:rFonts w:ascii="Roboto Mono" w:cs="Roboto Mono" w:eastAsia="Roboto Mono" w:hAnsi="Roboto Mono"/>
          <w:color w:val="188038"/>
          <w:rtl w:val="0"/>
        </w:rPr>
        <w:t xml:space="preserve">TSLF-State0</w:t>
      </w:r>
      <w:r w:rsidDel="00000000" w:rsidR="00000000" w:rsidRPr="00000000">
        <w:rPr>
          <w:rtl w:val="0"/>
        </w:rPr>
        <w:t xml:space="preserve"> resolution record, creating an auditable record of the human judgment exercised in the oversight process</w:t>
      </w:r>
      <w:hyperlink r:id="rId315">
        <w:r w:rsidDel="00000000" w:rsidR="00000000" w:rsidRPr="00000000">
          <w:rPr>
            <w:rtl w:val="0"/>
          </w:rPr>
          <w:t xml:space="preserve"> </w:t>
        </w:r>
      </w:hyperlink>
      <w:hyperlink r:id="rId31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EC">
      <w:pPr>
        <w:spacing w:after="240" w:before="240" w:lineRule="auto"/>
        <w:rPr/>
      </w:pPr>
      <w:r w:rsidDel="00000000" w:rsidR="00000000" w:rsidRPr="00000000">
        <w:rPr>
          <w:rtl w:val="0"/>
        </w:rPr>
        <w:t xml:space="preserve">Upon resolution, the system generates a </w:t>
      </w:r>
      <w:r w:rsidDel="00000000" w:rsidR="00000000" w:rsidRPr="00000000">
        <w:rPr>
          <w:rFonts w:ascii="Roboto Mono" w:cs="Roboto Mono" w:eastAsia="Roboto Mono" w:hAnsi="Roboto Mono"/>
          <w:color w:val="188038"/>
          <w:rtl w:val="0"/>
        </w:rPr>
        <w:t xml:space="preserve">TSLF-StateP1</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TSLF-State-1</w:t>
      </w:r>
      <w:r w:rsidDel="00000000" w:rsidR="00000000" w:rsidRPr="00000000">
        <w:rPr>
          <w:rtl w:val="0"/>
        </w:rPr>
        <w:t xml:space="preserve"> record (depending on the resolution direction) that references the </w:t>
      </w:r>
      <w:r w:rsidDel="00000000" w:rsidR="00000000" w:rsidRPr="00000000">
        <w:rPr>
          <w:rFonts w:ascii="Roboto Mono" w:cs="Roboto Mono" w:eastAsia="Roboto Mono" w:hAnsi="Roboto Mono"/>
          <w:color w:val="188038"/>
          <w:rtl w:val="0"/>
        </w:rPr>
        <w:t xml:space="preserve">TSLF-State0</w:t>
      </w:r>
      <w:r w:rsidDel="00000000" w:rsidR="00000000" w:rsidRPr="00000000">
        <w:rPr>
          <w:rtl w:val="0"/>
        </w:rPr>
        <w:t xml:space="preserve"> activation record, creating a linked chain documenting the complete lifecycle of the Sacred Zero event: trigger, deliberation, evidence gathered, human judgment, and resolution.</w:t>
      </w:r>
    </w:p>
    <w:p w:rsidR="00000000" w:rsidDel="00000000" w:rsidP="00000000" w:rsidRDefault="00000000" w:rsidRPr="00000000" w14:paraId="000003ED">
      <w:pPr>
        <w:pStyle w:val="Heading4"/>
        <w:keepNext w:val="0"/>
        <w:keepLines w:val="0"/>
        <w:spacing w:after="40" w:before="240" w:lineRule="auto"/>
        <w:rPr>
          <w:b w:val="1"/>
          <w:bCs w:val="1"/>
          <w:color w:val="000000"/>
          <w:sz w:val="22"/>
          <w:szCs w:val="22"/>
        </w:rPr>
      </w:pPr>
      <w:bookmarkStart w:colFirst="0" w:colLast="0" w:name="_3ymbltqdvedj" w:id="137"/>
      <w:bookmarkEnd w:id="137"/>
      <w:r w:rsidDel="00000000" w:rsidR="00000000" w:rsidRPr="00000000">
        <w:rPr>
          <w:b w:val="1"/>
          <w:bCs w:val="1"/>
          <w:color w:val="000000"/>
          <w:sz w:val="22"/>
          <w:szCs w:val="22"/>
          <w:rtl w:val="0"/>
        </w:rPr>
        <w:t xml:space="preserve">6.3.3 Automatic Fail-Closed Resolution</w:t>
      </w:r>
    </w:p>
    <w:p w:rsidR="00000000" w:rsidDel="00000000" w:rsidP="00000000" w:rsidRDefault="00000000" w:rsidRPr="00000000" w14:paraId="000003EE">
      <w:pPr>
        <w:spacing w:after="240" w:before="240" w:lineRule="auto"/>
        <w:rPr/>
      </w:pPr>
      <w:r w:rsidDel="00000000" w:rsidR="00000000" w:rsidRPr="00000000">
        <w:rPr>
          <w:rFonts w:ascii="Arial Unicode MS" w:cs="Arial Unicode MS" w:eastAsia="Arial Unicode MS" w:hAnsi="Arial Unicode MS"/>
          <w:rtl w:val="0"/>
        </w:rPr>
        <w:t xml:space="preserve">When the deliberation period expires without human resolution, the system transitions automatically to State −1. This fail-closed behavior is not a timeout error; it is the enforcement of the principle that when certainty cannot be achieved within the time available for a specific domain, the system refuses rather than proceeds. The automatic State −1 transition generates a </w:t>
      </w:r>
      <w:r w:rsidDel="00000000" w:rsidR="00000000" w:rsidRPr="00000000">
        <w:rPr>
          <w:rFonts w:ascii="Roboto Mono" w:cs="Roboto Mono" w:eastAsia="Roboto Mono" w:hAnsi="Roboto Mono"/>
          <w:color w:val="188038"/>
          <w:rtl w:val="0"/>
        </w:rPr>
        <w:t xml:space="preserve">TSLF-State-1</w:t>
      </w:r>
      <w:r w:rsidDel="00000000" w:rsidR="00000000" w:rsidRPr="00000000">
        <w:rPr>
          <w:rtl w:val="0"/>
        </w:rPr>
        <w:t xml:space="preserve"> record with </w:t>
      </w:r>
      <w:r w:rsidDel="00000000" w:rsidR="00000000" w:rsidRPr="00000000">
        <w:rPr>
          <w:rFonts w:ascii="Roboto Mono" w:cs="Roboto Mono" w:eastAsia="Roboto Mono" w:hAnsi="Roboto Mono"/>
          <w:color w:val="188038"/>
          <w:rtl w:val="0"/>
        </w:rPr>
        <w:t xml:space="preserve">refusalBasis</w:t>
      </w:r>
      <w:r w:rsidDel="00000000" w:rsidR="00000000" w:rsidRPr="00000000">
        <w:rPr>
          <w:rtl w:val="0"/>
        </w:rPr>
        <w:t xml:space="preserve"> populated to indicate deliberation period expiration, creating a documented record of the fail-closed resolution that is treated identically to a Mandate-triggered refusal for audit and regulatory purposes</w:t>
      </w:r>
      <w:hyperlink r:id="rId317">
        <w:r w:rsidDel="00000000" w:rsidR="00000000" w:rsidRPr="00000000">
          <w:rPr>
            <w:rtl w:val="0"/>
          </w:rPr>
          <w:t xml:space="preserve"> </w:t>
        </w:r>
      </w:hyperlink>
      <w:hyperlink r:id="rId31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w25bb0gad3ne" w:id="138"/>
      <w:bookmarkEnd w:id="138"/>
      <w:r w:rsidDel="00000000" w:rsidR="00000000" w:rsidRPr="00000000">
        <w:rPr>
          <w:b w:val="1"/>
          <w:bCs w:val="1"/>
          <w:color w:val="000000"/>
          <w:sz w:val="26"/>
          <w:szCs w:val="26"/>
          <w:rtl w:val="0"/>
        </w:rPr>
        <w:t xml:space="preserve">6.4 The Goukassian Promise as Live API Resources</w:t>
      </w:r>
    </w:p>
    <w:p w:rsidR="00000000" w:rsidDel="00000000" w:rsidP="00000000" w:rsidRDefault="00000000" w:rsidRPr="00000000" w14:paraId="000003F0">
      <w:pPr>
        <w:spacing w:after="240" w:before="240" w:lineRule="auto"/>
        <w:rPr/>
      </w:pPr>
      <w:r w:rsidDel="00000000" w:rsidR="00000000" w:rsidRPr="00000000">
        <w:rPr>
          <w:rtl w:val="0"/>
        </w:rPr>
        <w:t xml:space="preserve">The Goukassian Promise artifacts: the Lantern, the Signature, and the License, are not static declarations embedded in documentation. They are live API resources that expose the compliance posture of the system in real time, verifiable by any authorized party without operator mediation.</w:t>
      </w:r>
    </w:p>
    <w:p w:rsidR="00000000" w:rsidDel="00000000" w:rsidP="00000000" w:rsidRDefault="00000000" w:rsidRPr="00000000" w14:paraId="000003F1">
      <w:pPr>
        <w:pStyle w:val="Heading4"/>
        <w:keepNext w:val="0"/>
        <w:keepLines w:val="0"/>
        <w:spacing w:after="40" w:before="240" w:lineRule="auto"/>
        <w:rPr>
          <w:b w:val="1"/>
          <w:bCs w:val="1"/>
          <w:color w:val="000000"/>
          <w:sz w:val="22"/>
          <w:szCs w:val="22"/>
        </w:rPr>
      </w:pPr>
      <w:bookmarkStart w:colFirst="0" w:colLast="0" w:name="_mr9m3pprdaq" w:id="139"/>
      <w:bookmarkEnd w:id="139"/>
      <w:r w:rsidDel="00000000" w:rsidR="00000000" w:rsidRPr="00000000">
        <w:rPr>
          <w:b w:val="1"/>
          <w:bCs w:val="1"/>
          <w:color w:val="000000"/>
          <w:sz w:val="22"/>
          <w:szCs w:val="22"/>
          <w:rtl w:val="0"/>
        </w:rPr>
        <w:t xml:space="preserve">6.4.1 The Lantern as a Live Compliance Beacon</w:t>
      </w:r>
    </w:p>
    <w:p w:rsidR="00000000" w:rsidDel="00000000" w:rsidP="00000000" w:rsidRDefault="00000000" w:rsidRPr="00000000" w14:paraId="000003F2">
      <w:pPr>
        <w:spacing w:after="240" w:before="240" w:lineRule="auto"/>
        <w:rPr/>
      </w:pPr>
      <w:r w:rsidDel="00000000" w:rsidR="00000000" w:rsidRPr="00000000">
        <w:rPr>
          <w:rFonts w:ascii="Roboto Mono" w:cs="Roboto Mono" w:eastAsia="Roboto Mono" w:hAnsi="Roboto Mono"/>
          <w:color w:val="188038"/>
          <w:rtl w:val="0"/>
        </w:rPr>
        <w:t xml:space="preserve">GET /goukassian/lantern</w:t>
      </w:r>
      <w:r w:rsidDel="00000000" w:rsidR="00000000" w:rsidRPr="00000000">
        <w:rPr>
          <w:rtl w:val="0"/>
        </w:rPr>
        <w:t xml:space="preserve"> returns the current </w:t>
      </w:r>
      <w:r w:rsidDel="00000000" w:rsidR="00000000" w:rsidRPr="00000000">
        <w:rPr>
          <w:rFonts w:ascii="Roboto Mono" w:cs="Roboto Mono" w:eastAsia="Roboto Mono" w:hAnsi="Roboto Mono"/>
          <w:color w:val="188038"/>
          <w:rtl w:val="0"/>
        </w:rPr>
        <w:t xml:space="preserve">LanternStatus</w:t>
      </w:r>
      <w:r w:rsidDel="00000000" w:rsidR="00000000" w:rsidRPr="00000000">
        <w:rPr>
          <w:rtl w:val="0"/>
        </w:rPr>
        <w:t xml:space="preserve"> object with five fields that together constitute a complete real-time compliance dashboard</w:t>
      </w:r>
      <w:hyperlink r:id="rId319">
        <w:r w:rsidDel="00000000" w:rsidR="00000000" w:rsidRPr="00000000">
          <w:rPr>
            <w:rtl w:val="0"/>
          </w:rPr>
          <w:t xml:space="preserve"> </w:t>
        </w:r>
      </w:hyperlink>
      <w:hyperlink r:id="rId32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F3">
      <w:pPr>
        <w:numPr>
          <w:ilvl w:val="0"/>
          <w:numId w:val="1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artifactName: const "lantern"</w:t>
      </w:r>
      <w:r w:rsidDel="00000000" w:rsidR="00000000" w:rsidRPr="00000000">
        <w:rPr>
          <w:rtl w:val="0"/>
        </w:rPr>
        <w:t xml:space="preserve">: Schema-enforced artifact identification.</w:t>
      </w:r>
    </w:p>
    <w:p w:rsidR="00000000" w:rsidDel="00000000" w:rsidP="00000000" w:rsidRDefault="00000000" w:rsidRPr="00000000" w14:paraId="000003F4">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compliancePosture</w:t>
      </w:r>
      <w:r w:rsidDel="00000000" w:rsidR="00000000" w:rsidRPr="00000000">
        <w:rPr>
          <w:rtl w:val="0"/>
        </w:rPr>
        <w:t xml:space="preserve">: A five-value enum (</w:t>
      </w:r>
      <w:r w:rsidDel="00000000" w:rsidR="00000000" w:rsidRPr="00000000">
        <w:rPr>
          <w:rFonts w:ascii="Roboto Mono" w:cs="Roboto Mono" w:eastAsia="Roboto Mono" w:hAnsi="Roboto Mono"/>
          <w:color w:val="188038"/>
          <w:rtl w:val="0"/>
        </w:rPr>
        <w:t xml:space="preserve">FULLY_COMPLIANT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SACRED_ZERO_ACTIVE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PARTIAL_COMPLIANCE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EMERGENCY_OVERRIDE_ACTIVE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DEGRADED</w:t>
      </w:r>
      <w:r w:rsidDel="00000000" w:rsidR="00000000" w:rsidRPr="00000000">
        <w:rPr>
          <w:rtl w:val="0"/>
        </w:rPr>
        <w:t xml:space="preserve">) that provides a single-field compliance summary.</w:t>
      </w:r>
    </w:p>
    <w:p w:rsidR="00000000" w:rsidDel="00000000" w:rsidP="00000000" w:rsidRDefault="00000000" w:rsidRPr="00000000" w14:paraId="000003F5">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pillarStatuses</w:t>
      </w:r>
      <w:r w:rsidDel="00000000" w:rsidR="00000000" w:rsidRPr="00000000">
        <w:rPr>
          <w:rtl w:val="0"/>
        </w:rPr>
        <w:t xml:space="preserve">: An object reporting per-pillar live status across all Eight Pillars, enabling auditors to identify which specific pillars are operating normally and which are degraded or inactive.</w:t>
      </w:r>
    </w:p>
    <w:p w:rsidR="00000000" w:rsidDel="00000000" w:rsidP="00000000" w:rsidRDefault="00000000" w:rsidRPr="00000000" w14:paraId="000003F6">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activeComplianceIncidents</w:t>
      </w:r>
      <w:r w:rsidDel="00000000" w:rsidR="00000000" w:rsidRPr="00000000">
        <w:rPr>
          <w:rtl w:val="0"/>
        </w:rPr>
        <w:t xml:space="preserve">: An array of current compliance incidents, each carrying a </w:t>
      </w:r>
      <w:r w:rsidDel="00000000" w:rsidR="00000000" w:rsidRPr="00000000">
        <w:rPr>
          <w:rFonts w:ascii="Roboto Mono" w:cs="Roboto Mono" w:eastAsia="Roboto Mono" w:hAnsi="Roboto Mono"/>
          <w:color w:val="188038"/>
          <w:rtl w:val="0"/>
        </w:rPr>
        <w:t xml:space="preserve">pillarAffected</w:t>
      </w:r>
      <w:r w:rsidDel="00000000" w:rsidR="00000000" w:rsidRPr="00000000">
        <w:rPr>
          <w:rtl w:val="0"/>
        </w:rPr>
        <w:t xml:space="preserve"> field, </w:t>
      </w:r>
      <w:r w:rsidDel="00000000" w:rsidR="00000000" w:rsidRPr="00000000">
        <w:rPr>
          <w:rFonts w:ascii="Roboto Mono" w:cs="Roboto Mono" w:eastAsia="Roboto Mono" w:hAnsi="Roboto Mono"/>
          <w:color w:val="188038"/>
          <w:rtl w:val="0"/>
        </w:rPr>
        <w:t xml:space="preserve">incidentType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severity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remediationStatus</w:t>
      </w:r>
      <w:r w:rsidDel="00000000" w:rsidR="00000000" w:rsidRPr="00000000">
        <w:rPr>
          <w:rtl w:val="0"/>
        </w:rPr>
        <w:t xml:space="preserve">. This field provides the machine-readable signal required for automated compliance monitoring.</w:t>
      </w:r>
    </w:p>
    <w:p w:rsidR="00000000" w:rsidDel="00000000" w:rsidP="00000000" w:rsidRDefault="00000000" w:rsidRPr="00000000" w14:paraId="000003F7">
      <w:pPr>
        <w:numPr>
          <w:ilvl w:val="0"/>
          <w:numId w:val="17"/>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lastVerifiedAt</w:t>
      </w:r>
      <w:r w:rsidDel="00000000" w:rsidR="00000000" w:rsidRPr="00000000">
        <w:rPr>
          <w:rtl w:val="0"/>
        </w:rPr>
        <w:t xml:space="preserve">: The timestamp of the most recent integrity verification, enabling auditors to assess the currency of the compliance assessment.</w:t>
      </w:r>
    </w:p>
    <w:p w:rsidR="00000000" w:rsidDel="00000000" w:rsidP="00000000" w:rsidRDefault="00000000" w:rsidRPr="00000000" w14:paraId="000003F8">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compliancePosture</w:t>
      </w:r>
      <w:r w:rsidDel="00000000" w:rsidR="00000000" w:rsidRPr="00000000">
        <w:rPr>
          <w:rtl w:val="0"/>
        </w:rPr>
        <w:t xml:space="preserve"> field is the dead-man's switch. When the Lantern smart contract detects a hash mismatch indicating that core governance code has been modified, whether through deliberate bypass, unauthorized modification, or software defect, it automatically sets </w:t>
      </w:r>
      <w:r w:rsidDel="00000000" w:rsidR="00000000" w:rsidRPr="00000000">
        <w:rPr>
          <w:rFonts w:ascii="Roboto Mono" w:cs="Roboto Mono" w:eastAsia="Roboto Mono" w:hAnsi="Roboto Mono"/>
          <w:color w:val="188038"/>
          <w:rtl w:val="0"/>
        </w:rPr>
        <w:t xml:space="preserve">compliancePosture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DEGRADED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PARTIAL_COMPLIANCE</w:t>
      </w:r>
      <w:r w:rsidDel="00000000" w:rsidR="00000000" w:rsidRPr="00000000">
        <w:rPr>
          <w:rtl w:val="0"/>
        </w:rPr>
        <w:t xml:space="preserve"> and populates </w:t>
      </w:r>
      <w:r w:rsidDel="00000000" w:rsidR="00000000" w:rsidRPr="00000000">
        <w:rPr>
          <w:rFonts w:ascii="Roboto Mono" w:cs="Roboto Mono" w:eastAsia="Roboto Mono" w:hAnsi="Roboto Mono"/>
          <w:color w:val="188038"/>
          <w:rtl w:val="0"/>
        </w:rPr>
        <w:t xml:space="preserve">activeComplianceIncidents</w:t>
      </w:r>
      <w:r w:rsidDel="00000000" w:rsidR="00000000" w:rsidRPr="00000000">
        <w:rPr>
          <w:rtl w:val="0"/>
        </w:rPr>
        <w:t xml:space="preserve"> with the specific integrity failure. This signal is available to any party polling the endpoint, not merely the operator. A regulator, auditor, or affected party can verify the current compliance posture of a TML-governed system without requesting that information from the operator whose compliance is in question</w:t>
      </w:r>
      <w:hyperlink r:id="rId321">
        <w:r w:rsidDel="00000000" w:rsidR="00000000" w:rsidRPr="00000000">
          <w:rPr>
            <w:rtl w:val="0"/>
          </w:rPr>
          <w:t xml:space="preserve"> </w:t>
        </w:r>
      </w:hyperlink>
      <w:hyperlink r:id="rId32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F9">
      <w:pPr>
        <w:pStyle w:val="Heading4"/>
        <w:keepNext w:val="0"/>
        <w:keepLines w:val="0"/>
        <w:spacing w:after="40" w:before="240" w:lineRule="auto"/>
        <w:rPr>
          <w:b w:val="1"/>
          <w:bCs w:val="1"/>
          <w:color w:val="000000"/>
          <w:sz w:val="22"/>
          <w:szCs w:val="22"/>
        </w:rPr>
      </w:pPr>
      <w:bookmarkStart w:colFirst="0" w:colLast="0" w:name="_pee6b5u9p37h" w:id="140"/>
      <w:bookmarkEnd w:id="140"/>
      <w:r w:rsidDel="00000000" w:rsidR="00000000" w:rsidRPr="00000000">
        <w:rPr>
          <w:b w:val="1"/>
          <w:bCs w:val="1"/>
          <w:color w:val="000000"/>
          <w:sz w:val="22"/>
          <w:szCs w:val="22"/>
          <w:rtl w:val="0"/>
        </w:rPr>
        <w:t xml:space="preserve">6.4.2 The Compliance Attestation Record</w:t>
      </w:r>
    </w:p>
    <w:p w:rsidR="00000000" w:rsidDel="00000000" w:rsidP="00000000" w:rsidRDefault="00000000" w:rsidRPr="00000000" w14:paraId="000003F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ComplianceAttestation</w:t>
      </w:r>
      <w:r w:rsidDel="00000000" w:rsidR="00000000" w:rsidRPr="00000000">
        <w:rPr>
          <w:rtl w:val="0"/>
        </w:rPr>
        <w:t xml:space="preserve"> schema provides the formal compliance certification artifact that TML-governed systems generate for regulatory submission, audit presentation, and contractual compliance verification. Its mandatory fields include </w:t>
      </w:r>
      <w:r w:rsidDel="00000000" w:rsidR="00000000" w:rsidRPr="00000000">
        <w:rPr>
          <w:rFonts w:ascii="Roboto Mono" w:cs="Roboto Mono" w:eastAsia="Roboto Mono" w:hAnsi="Roboto Mono"/>
          <w:color w:val="188038"/>
          <w:rtl w:val="0"/>
        </w:rPr>
        <w:t xml:space="preserve">attestationId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attestationTimestamp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pillarCompliance</w:t>
      </w:r>
      <w:r w:rsidDel="00000000" w:rsidR="00000000" w:rsidRPr="00000000">
        <w:rPr>
          <w:rtl w:val="0"/>
        </w:rPr>
        <w:t xml:space="preserve"> (an array of per-pillar compliance assertions), </w:t>
      </w:r>
      <w:r w:rsidDel="00000000" w:rsidR="00000000" w:rsidRPr="00000000">
        <w:rPr>
          <w:rFonts w:ascii="Roboto Mono" w:cs="Roboto Mono" w:eastAsia="Roboto Mono" w:hAnsi="Roboto Mono"/>
          <w:color w:val="188038"/>
          <w:rtl w:val="0"/>
        </w:rPr>
        <w:t xml:space="preserve">overallStatus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signatureBlock</w:t>
      </w:r>
      <w:r w:rsidDel="00000000" w:rsidR="00000000" w:rsidRPr="00000000">
        <w:rPr>
          <w:rtl w:val="0"/>
        </w:rPr>
        <w:t xml:space="preserve"> (carrying the HSM-backed Goukassian Signature), and </w:t>
      </w:r>
      <w:r w:rsidDel="00000000" w:rsidR="00000000" w:rsidRPr="00000000">
        <w:rPr>
          <w:rFonts w:ascii="Roboto Mono" w:cs="Roboto Mono" w:eastAsia="Roboto Mono" w:hAnsi="Roboto Mono"/>
          <w:color w:val="188038"/>
          <w:rtl w:val="0"/>
        </w:rPr>
        <w:t xml:space="preserve">auditTrailReference</w:t>
      </w:r>
      <w:r w:rsidDel="00000000" w:rsidR="00000000" w:rsidRPr="00000000">
        <w:rPr>
          <w:rtl w:val="0"/>
        </w:rPr>
        <w:t xml:space="preserve"> (a URI linking to the complete audit trail supporting the attestation)</w:t>
      </w:r>
      <w:hyperlink r:id="rId323">
        <w:r w:rsidDel="00000000" w:rsidR="00000000" w:rsidRPr="00000000">
          <w:rPr>
            <w:rtl w:val="0"/>
          </w:rPr>
          <w:t xml:space="preserve"> </w:t>
        </w:r>
      </w:hyperlink>
      <w:hyperlink r:id="rId32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FB">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ComplianceAttestation</w:t>
      </w:r>
      <w:r w:rsidDel="00000000" w:rsidR="00000000" w:rsidRPr="00000000">
        <w:rPr>
          <w:rtl w:val="0"/>
        </w:rPr>
        <w:t xml:space="preserve"> is designed to satisfy EU AI Act Article 17's quality management documentation requirement and to serve as the primary artifact for conformity assessment under Article 43. Its HSM-backed </w:t>
      </w:r>
      <w:r w:rsidDel="00000000" w:rsidR="00000000" w:rsidRPr="00000000">
        <w:rPr>
          <w:rFonts w:ascii="Roboto Mono" w:cs="Roboto Mono" w:eastAsia="Roboto Mono" w:hAnsi="Roboto Mono"/>
          <w:color w:val="188038"/>
          <w:rtl w:val="0"/>
        </w:rPr>
        <w:t xml:space="preserve">signatureBlock</w:t>
      </w:r>
      <w:r w:rsidDel="00000000" w:rsidR="00000000" w:rsidRPr="00000000">
        <w:rPr>
          <w:rtl w:val="0"/>
        </w:rPr>
        <w:t xml:space="preserve"> satisfies the eIDAS qualified electronic signature requirements for attestation documents submitted in EU administrative and legal proceedings.</w:t>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3oyesmw9919t" w:id="141"/>
      <w:bookmarkEnd w:id="141"/>
      <w:r w:rsidDel="00000000" w:rsidR="00000000" w:rsidRPr="00000000">
        <w:rPr>
          <w:b w:val="1"/>
          <w:bCs w:val="1"/>
          <w:color w:val="000000"/>
          <w:sz w:val="26"/>
          <w:szCs w:val="26"/>
          <w:rtl w:val="0"/>
        </w:rPr>
        <w:t xml:space="preserve">6.5 The Auditor and Regulator API Surface</w:t>
      </w:r>
    </w:p>
    <w:p w:rsidR="00000000" w:rsidDel="00000000" w:rsidP="00000000" w:rsidRDefault="00000000" w:rsidRPr="00000000" w14:paraId="000003FD">
      <w:pPr>
        <w:spacing w:after="240" w:before="240" w:lineRule="auto"/>
        <w:rPr/>
      </w:pPr>
      <w:r w:rsidDel="00000000" w:rsidR="00000000" w:rsidRPr="00000000">
        <w:rPr>
          <w:rtl w:val="0"/>
        </w:rPr>
        <w:t xml:space="preserve">The separation of the auditor and regulator API surface from the operator-facing API endpoints is a deliberate design choice that reflects a core principle of the framework: the evidentiary record of governed AI decisions must be accessible to accountability actors independently of the operator whose compliance is being assessed. An audit process that depends entirely on operator cooperation for access to evidence is not an independent audit.</w:t>
      </w:r>
    </w:p>
    <w:p w:rsidR="00000000" w:rsidDel="00000000" w:rsidP="00000000" w:rsidRDefault="00000000" w:rsidRPr="00000000" w14:paraId="000003FE">
      <w:pPr>
        <w:pStyle w:val="Heading4"/>
        <w:keepNext w:val="0"/>
        <w:keepLines w:val="0"/>
        <w:spacing w:after="40" w:before="240" w:lineRule="auto"/>
        <w:rPr>
          <w:b w:val="1"/>
          <w:bCs w:val="1"/>
          <w:color w:val="000000"/>
          <w:sz w:val="22"/>
          <w:szCs w:val="22"/>
        </w:rPr>
      </w:pPr>
      <w:bookmarkStart w:colFirst="0" w:colLast="0" w:name="_uju7m2557fdx" w:id="142"/>
      <w:bookmarkEnd w:id="142"/>
      <w:r w:rsidDel="00000000" w:rsidR="00000000" w:rsidRPr="00000000">
        <w:rPr>
          <w:b w:val="1"/>
          <w:bCs w:val="1"/>
          <w:color w:val="000000"/>
          <w:sz w:val="22"/>
          <w:szCs w:val="22"/>
          <w:rtl w:val="0"/>
        </w:rPr>
        <w:t xml:space="preserve">6.5.1 The Regulatory Audit Trail</w:t>
      </w:r>
    </w:p>
    <w:p w:rsidR="00000000" w:rsidDel="00000000" w:rsidP="00000000" w:rsidRDefault="00000000" w:rsidRPr="00000000" w14:paraId="000003FF">
      <w:pPr>
        <w:spacing w:after="240" w:before="240" w:lineRule="auto"/>
        <w:rPr/>
      </w:pPr>
      <w:r w:rsidDel="00000000" w:rsidR="00000000" w:rsidRPr="00000000">
        <w:rPr>
          <w:rFonts w:ascii="Roboto Mono" w:cs="Roboto Mono" w:eastAsia="Roboto Mono" w:hAnsi="Roboto Mono"/>
          <w:color w:val="188038"/>
          <w:rtl w:val="0"/>
        </w:rPr>
        <w:t xml:space="preserve">GET /regulator/audit-trail</w:t>
      </w:r>
      <w:r w:rsidDel="00000000" w:rsidR="00000000" w:rsidRPr="00000000">
        <w:rPr>
          <w:rtl w:val="0"/>
        </w:rPr>
        <w:t xml:space="preserve"> returns a filtered, paginated audit trail of all governance decisions within the specified time range, accessible to authorized regulatory authorities through direct API access with appropriate regulatory credentials</w:t>
      </w:r>
      <w:hyperlink r:id="rId325">
        <w:r w:rsidDel="00000000" w:rsidR="00000000" w:rsidRPr="00000000">
          <w:rPr>
            <w:rtl w:val="0"/>
          </w:rPr>
          <w:t xml:space="preserve"> </w:t>
        </w:r>
      </w:hyperlink>
      <w:hyperlink r:id="rId326">
        <w:r w:rsidDel="00000000" w:rsidR="00000000" w:rsidRPr="00000000">
          <w:rPr>
            <w:color w:val="1155cc"/>
            <w:u w:val="single"/>
            <w:rtl w:val="0"/>
          </w:rPr>
          <w:t xml:space="preserve">[6]</w:t>
        </w:r>
      </w:hyperlink>
      <w:r w:rsidDel="00000000" w:rsidR="00000000" w:rsidRPr="00000000">
        <w:rPr>
          <w:rtl w:val="0"/>
        </w:rPr>
        <w:t xml:space="preserve">. The endpoint supports filtering by state (Sacred Zero activations only, refusals only), by pillar trigger, by Mandate flag, and by date range, enabling targeted investigation of specific governance patterns without requiring access to the full log archive.</w:t>
      </w:r>
    </w:p>
    <w:p w:rsidR="00000000" w:rsidDel="00000000" w:rsidP="00000000" w:rsidRDefault="00000000" w:rsidRPr="00000000" w14:paraId="00000400">
      <w:pPr>
        <w:spacing w:after="240" w:before="240" w:lineRule="auto"/>
        <w:rPr/>
      </w:pPr>
      <w:r w:rsidDel="00000000" w:rsidR="00000000" w:rsidRPr="00000000">
        <w:rPr>
          <w:rtl w:val="0"/>
        </w:rPr>
        <w:t xml:space="preserve">The audit trail is self-authenticating: each record carries the </w:t>
      </w:r>
      <w:r w:rsidDel="00000000" w:rsidR="00000000" w:rsidRPr="00000000">
        <w:rPr>
          <w:rFonts w:ascii="Roboto Mono" w:cs="Roboto Mono" w:eastAsia="Roboto Mono" w:hAnsi="Roboto Mono"/>
          <w:color w:val="188038"/>
          <w:rtl w:val="0"/>
        </w:rPr>
        <w:t xml:space="preserve">AuditProof</w:t>
      </w:r>
      <w:r w:rsidDel="00000000" w:rsidR="00000000" w:rsidRPr="00000000">
        <w:rPr>
          <w:rtl w:val="0"/>
        </w:rPr>
        <w:t xml:space="preserve"> linking it to its Merkle anchor on the public blockchain, enabling the regulatory authority to verify independently that the records provided are complete and unaltered. A regulatory authority need not trust the operator's representation that the audit trail is complete; it can verify completeness against the public blockchain anchors, which the operator cannot alter after the fact.</w:t>
      </w:r>
    </w:p>
    <w:p w:rsidR="00000000" w:rsidDel="00000000" w:rsidP="00000000" w:rsidRDefault="00000000" w:rsidRPr="00000000" w14:paraId="00000401">
      <w:pPr>
        <w:pStyle w:val="Heading4"/>
        <w:keepNext w:val="0"/>
        <w:keepLines w:val="0"/>
        <w:spacing w:after="40" w:before="240" w:lineRule="auto"/>
        <w:rPr>
          <w:b w:val="1"/>
          <w:bCs w:val="1"/>
          <w:color w:val="000000"/>
          <w:sz w:val="22"/>
          <w:szCs w:val="22"/>
        </w:rPr>
      </w:pPr>
      <w:bookmarkStart w:colFirst="0" w:colLast="0" w:name="_i62b3dc683r8" w:id="143"/>
      <w:bookmarkEnd w:id="143"/>
      <w:r w:rsidDel="00000000" w:rsidR="00000000" w:rsidRPr="00000000">
        <w:rPr>
          <w:b w:val="1"/>
          <w:bCs w:val="1"/>
          <w:color w:val="000000"/>
          <w:sz w:val="22"/>
          <w:szCs w:val="22"/>
          <w:rtl w:val="0"/>
        </w:rPr>
        <w:t xml:space="preserve">6.5.2 The Custodian Quorum Status</w:t>
      </w:r>
    </w:p>
    <w:p w:rsidR="00000000" w:rsidDel="00000000" w:rsidP="00000000" w:rsidRDefault="00000000" w:rsidRPr="00000000" w14:paraId="00000402">
      <w:pPr>
        <w:spacing w:after="240" w:before="240" w:lineRule="auto"/>
        <w:rPr/>
      </w:pP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returns the current operational status of the HybridShield custodian network, including the health of each individual custodian endpoint, the current quorum count, and whether the minimum quorum of three custodians required for key assembly is currently satisfied</w:t>
      </w:r>
      <w:hyperlink r:id="rId327">
        <w:r w:rsidDel="00000000" w:rsidR="00000000" w:rsidRPr="00000000">
          <w:rPr>
            <w:rtl w:val="0"/>
          </w:rPr>
          <w:t xml:space="preserve"> </w:t>
        </w:r>
      </w:hyperlink>
      <w:hyperlink r:id="rId328">
        <w:r w:rsidDel="00000000" w:rsidR="00000000" w:rsidRPr="00000000">
          <w:rPr>
            <w:color w:val="1155cc"/>
            <w:u w:val="single"/>
            <w:rtl w:val="0"/>
          </w:rPr>
          <w:t xml:space="preserve">[6]</w:t>
        </w:r>
      </w:hyperlink>
      <w:r w:rsidDel="00000000" w:rsidR="00000000" w:rsidRPr="00000000">
        <w:rPr>
          <w:rtl w:val="0"/>
        </w:rPr>
        <w:t xml:space="preserve">. This endpoint enables regulatory authorities to verify that the institutional redundancy of the Hybrid Shield (Pillar VII) is operationally maintained, not merely claimed.</w:t>
      </w:r>
    </w:p>
    <w:p w:rsidR="00000000" w:rsidDel="00000000" w:rsidP="00000000" w:rsidRDefault="00000000" w:rsidRPr="00000000" w14:paraId="00000403">
      <w:pPr>
        <w:spacing w:after="240" w:before="240" w:lineRule="auto"/>
        <w:rPr/>
      </w:pPr>
      <w:r w:rsidDel="00000000" w:rsidR="00000000" w:rsidRPr="00000000">
        <w:rPr>
          <w:rtl w:val="0"/>
        </w:rPr>
        <w:t xml:space="preserve">For regulatory investigations requiring access to PII-bearing log content, the custodian quorum status provides the operational foundation for key assembly: the regulatory authority identifies the relevant log records through the audit trail, confirms quorum availability, and initiates the formal key assembly process through the custodian network. The process requires the cooperation of three of eleven custodians from distinct institutional categories, ensuring that no single actor, including the regulatory authority itself, can access PII-bearing records without multi-party authorization.</w:t>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ic3ousscx1pb" w:id="144"/>
      <w:bookmarkEnd w:id="144"/>
      <w:r w:rsidDel="00000000" w:rsidR="00000000" w:rsidRPr="00000000">
        <w:rPr>
          <w:b w:val="1"/>
          <w:bCs w:val="1"/>
          <w:color w:val="000000"/>
          <w:sz w:val="26"/>
          <w:szCs w:val="26"/>
          <w:rtl w:val="0"/>
        </w:rPr>
        <w:t xml:space="preserve">6.6 The On-Chain ABI: The Public Layer of Enforcement</w:t>
      </w:r>
    </w:p>
    <w:p w:rsidR="00000000" w:rsidDel="00000000" w:rsidP="00000000" w:rsidRDefault="00000000" w:rsidRPr="00000000" w14:paraId="00000405">
      <w:pPr>
        <w:spacing w:after="240" w:before="240" w:lineRule="auto"/>
        <w:rPr/>
      </w:pPr>
      <w:r w:rsidDel="00000000" w:rsidR="00000000" w:rsidRPr="00000000">
        <w:rPr>
          <w:rtl w:val="0"/>
        </w:rPr>
        <w:t xml:space="preserve">The TML ABI (</w:t>
      </w:r>
      <w:r w:rsidDel="00000000" w:rsidR="00000000" w:rsidRPr="00000000">
        <w:rPr>
          <w:rFonts w:ascii="Roboto Mono" w:cs="Roboto Mono" w:eastAsia="Roboto Mono" w:hAnsi="Roboto Mono"/>
          <w:color w:val="188038"/>
          <w:rtl w:val="0"/>
        </w:rPr>
        <w:t xml:space="preserve">tml_abi.json</w:t>
      </w:r>
      <w:r w:rsidDel="00000000" w:rsidR="00000000" w:rsidRPr="00000000">
        <w:rPr>
          <w:rtl w:val="0"/>
        </w:rPr>
        <w:t xml:space="preserve">) exposes the smart contract functions and events that implement the public blockchain enforcement layer of the framework. The ABI is the interface between the off-chain governance operations: log commitment, Merkle batching, Permission Token issuance, and the on-chain records that provide their mathematical finality</w:t>
      </w:r>
      <w:hyperlink r:id="rId329">
        <w:r w:rsidDel="00000000" w:rsidR="00000000" w:rsidRPr="00000000">
          <w:rPr>
            <w:rtl w:val="0"/>
          </w:rPr>
          <w:t xml:space="preserve"> </w:t>
        </w:r>
      </w:hyperlink>
      <w:hyperlink r:id="rId33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06">
      <w:pPr>
        <w:spacing w:after="240" w:before="240" w:lineRule="auto"/>
        <w:rPr/>
      </w:pPr>
      <w:r w:rsidDel="00000000" w:rsidR="00000000" w:rsidRPr="00000000">
        <w:rPr>
          <w:rFonts w:ascii="Roboto Mono" w:cs="Roboto Mono" w:eastAsia="Roboto Mono" w:hAnsi="Roboto Mono"/>
          <w:b w:val="1"/>
          <w:bCs w:val="1"/>
          <w:color w:val="188038"/>
          <w:rtl w:val="0"/>
        </w:rPr>
        <w:t xml:space="preserve">TML_Core.anchorMerkleRoot(bytes32 merkleRoot, uint256 batchSize, string calldata batchMetadataURI)</w:t>
      </w:r>
      <w:r w:rsidDel="00000000" w:rsidR="00000000" w:rsidRPr="00000000">
        <w:rPr>
          <w:rtl w:val="0"/>
        </w:rPr>
        <w:t xml:space="preserve">: Anchors a Merkle root to the public blockchain, establishing the public record of a batch of governed decisions. The </w:t>
      </w:r>
      <w:r w:rsidDel="00000000" w:rsidR="00000000" w:rsidRPr="00000000">
        <w:rPr>
          <w:rFonts w:ascii="Roboto Mono" w:cs="Roboto Mono" w:eastAsia="Roboto Mono" w:hAnsi="Roboto Mono"/>
          <w:color w:val="188038"/>
          <w:rtl w:val="0"/>
        </w:rPr>
        <w:t xml:space="preserve">batchSize</w:t>
      </w:r>
      <w:r w:rsidDel="00000000" w:rsidR="00000000" w:rsidRPr="00000000">
        <w:rPr>
          <w:rtl w:val="0"/>
        </w:rPr>
        <w:t xml:space="preserve"> parameter documents how many log records are included in the batch; the </w:t>
      </w:r>
      <w:r w:rsidDel="00000000" w:rsidR="00000000" w:rsidRPr="00000000">
        <w:rPr>
          <w:rFonts w:ascii="Roboto Mono" w:cs="Roboto Mono" w:eastAsia="Roboto Mono" w:hAnsi="Roboto Mono"/>
          <w:color w:val="188038"/>
          <w:rtl w:val="0"/>
        </w:rPr>
        <w:t xml:space="preserve">batchMetadataURI</w:t>
      </w:r>
      <w:r w:rsidDel="00000000" w:rsidR="00000000" w:rsidRPr="00000000">
        <w:rPr>
          <w:rtl w:val="0"/>
        </w:rPr>
        <w:t xml:space="preserve"> provides a link to the off-chain batch manifest. The </w:t>
      </w:r>
      <w:r w:rsidDel="00000000" w:rsidR="00000000" w:rsidRPr="00000000">
        <w:rPr>
          <w:rFonts w:ascii="Roboto Mono" w:cs="Roboto Mono" w:eastAsia="Roboto Mono" w:hAnsi="Roboto Mono"/>
          <w:color w:val="188038"/>
          <w:rtl w:val="0"/>
        </w:rPr>
        <w:t xml:space="preserve">MerkleRootAnchored</w:t>
      </w:r>
      <w:r w:rsidDel="00000000" w:rsidR="00000000" w:rsidRPr="00000000">
        <w:rPr>
          <w:rtl w:val="0"/>
        </w:rPr>
        <w:t xml:space="preserve"> event emitted by this function provides a public, indexed notification of each anchoring operation, enabling external monitoring systems to track governance activity without API access.</w:t>
      </w:r>
    </w:p>
    <w:p w:rsidR="00000000" w:rsidDel="00000000" w:rsidP="00000000" w:rsidRDefault="00000000" w:rsidRPr="00000000" w14:paraId="00000407">
      <w:pPr>
        <w:spacing w:after="240" w:before="240" w:lineRule="auto"/>
        <w:rPr/>
      </w:pPr>
      <w:r w:rsidDel="00000000" w:rsidR="00000000" w:rsidRPr="00000000">
        <w:rPr>
          <w:rFonts w:ascii="Roboto Mono" w:cs="Roboto Mono" w:eastAsia="Roboto Mono" w:hAnsi="Roboto Mono"/>
          <w:b w:val="1"/>
          <w:bCs w:val="1"/>
          <w:color w:val="188038"/>
          <w:rtl w:val="0"/>
        </w:rPr>
        <w:t xml:space="preserve">TML_Core.registerPermissionToken(bytes32 logHash, bytes32 merkleRoot, bytes32[] calldata inclusionPath)</w:t>
      </w:r>
      <w:r w:rsidDel="00000000" w:rsidR="00000000" w:rsidRPr="00000000">
        <w:rPr>
          <w:rtl w:val="0"/>
        </w:rPr>
        <w:t xml:space="preserve">: Registers a Permission Token on-chain, verifying that the authorizing log is included in a previously anchored Merkle root. This function reverts with the </w:t>
      </w:r>
      <w:r w:rsidDel="00000000" w:rsidR="00000000" w:rsidRPr="00000000">
        <w:rPr>
          <w:rFonts w:ascii="Roboto Mono" w:cs="Roboto Mono" w:eastAsia="Roboto Mono" w:hAnsi="Roboto Mono"/>
          <w:color w:val="188038"/>
          <w:rtl w:val="0"/>
        </w:rPr>
        <w:t xml:space="preserve">NoLogNoAction</w:t>
      </w:r>
      <w:r w:rsidDel="00000000" w:rsidR="00000000" w:rsidRPr="00000000">
        <w:rPr>
          <w:rtl w:val="0"/>
        </w:rPr>
        <w:t xml:space="preserve"> custom error if the provided </w:t>
      </w:r>
      <w:r w:rsidDel="00000000" w:rsidR="00000000" w:rsidRPr="00000000">
        <w:rPr>
          <w:rFonts w:ascii="Roboto Mono" w:cs="Roboto Mono" w:eastAsia="Roboto Mono" w:hAnsi="Roboto Mono"/>
          <w:color w:val="188038"/>
          <w:rtl w:val="0"/>
        </w:rPr>
        <w:t xml:space="preserve">inclusionPath</w:t>
      </w:r>
      <w:r w:rsidDel="00000000" w:rsidR="00000000" w:rsidRPr="00000000">
        <w:rPr>
          <w:rtl w:val="0"/>
        </w:rPr>
        <w:t xml:space="preserve"> does not produce the registered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when traversed from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This is the final enforcement layer of the "No Log = No Action" principle: even a Permission Token that passed all off-chain schema validations cannot register on-chain unless its authorizing log is verifiably included in an anchored batch.</w:t>
      </w:r>
    </w:p>
    <w:p w:rsidR="00000000" w:rsidDel="00000000" w:rsidP="00000000" w:rsidRDefault="00000000" w:rsidRPr="00000000" w14:paraId="00000408">
      <w:pPr>
        <w:spacing w:after="240" w:before="240" w:lineRule="auto"/>
        <w:rPr/>
      </w:pPr>
      <w:r w:rsidDel="00000000" w:rsidR="00000000" w:rsidRPr="00000000">
        <w:rPr>
          <w:rFonts w:ascii="Roboto Mono" w:cs="Roboto Mono" w:eastAsia="Roboto Mono" w:hAnsi="Roboto Mono"/>
          <w:b w:val="1"/>
          <w:bCs w:val="1"/>
          <w:color w:val="188038"/>
          <w:rtl w:val="0"/>
        </w:rPr>
        <w:t xml:space="preserve">ITMLEnforcer.verifyHumanRightsCompliance(bytes32 actionHash)</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ITMLEnforcer.verifyEarthProtectionCompliance(bytes32 actionHash)</w:t>
      </w:r>
      <w:r w:rsidDel="00000000" w:rsidR="00000000" w:rsidRPr="00000000">
        <w:rPr>
          <w:rtl w:val="0"/>
        </w:rPr>
        <w:t xml:space="preserve">: These interface functions enable smart contract integration of the Mandate verification layer, allowing on-chain systems to verify that a specific action has received Mandate clearance from the Anchoring Lane before executing. The </w:t>
      </w:r>
      <w:r w:rsidDel="00000000" w:rsidR="00000000" w:rsidRPr="00000000">
        <w:rPr>
          <w:rFonts w:ascii="Roboto Mono" w:cs="Roboto Mono" w:eastAsia="Roboto Mono" w:hAnsi="Roboto Mono"/>
          <w:color w:val="188038"/>
          <w:rtl w:val="0"/>
        </w:rPr>
        <w:t xml:space="preserve">HumanRightsMandateViolationDetected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EarthProtectionMandateViolationDetected</w:t>
      </w:r>
      <w:r w:rsidDel="00000000" w:rsidR="00000000" w:rsidRPr="00000000">
        <w:rPr>
          <w:rtl w:val="0"/>
        </w:rPr>
        <w:t xml:space="preserve"> events provide public blockchain-level notification of Mandate vetoes, creating an immutable public record of the system's enforcement activity that is available to any observer of the blockchain.</w:t>
      </w:r>
    </w:p>
    <w:p w:rsidR="00000000" w:rsidDel="00000000" w:rsidP="00000000" w:rsidRDefault="00000000" w:rsidRPr="00000000" w14:paraId="00000409">
      <w:pPr>
        <w:spacing w:after="240" w:before="240" w:lineRule="auto"/>
        <w:rPr/>
      </w:pPr>
      <w:r w:rsidDel="00000000" w:rsidR="00000000" w:rsidRPr="00000000">
        <w:rPr>
          <w:rFonts w:ascii="Roboto Mono" w:cs="Roboto Mono" w:eastAsia="Roboto Mono" w:hAnsi="Roboto Mono"/>
          <w:b w:val="1"/>
          <w:bCs w:val="1"/>
          <w:color w:val="188038"/>
          <w:rtl w:val="0"/>
        </w:rPr>
        <w:t xml:space="preserve">HybridShieldRegistry.registerCustodian(address custodian, string calldata custodianType, string calldata jurisdiction)</w:t>
      </w:r>
      <w:r w:rsidDel="00000000" w:rsidR="00000000" w:rsidRPr="00000000">
        <w:rPr>
          <w:rtl w:val="0"/>
        </w:rPr>
        <w:t xml:space="preserve">: Manages the on-chain registry of HybridShield custodians, providing a publicly verifiable record of the institutional actors holding custody of governance key shares. Any party can verify the current custodian composition from the public blockchain, enabling independent assessment of whether the seated custodian composition is appropriately diverse across the required institutional categories</w:t>
      </w:r>
      <w:hyperlink r:id="rId331">
        <w:r w:rsidDel="00000000" w:rsidR="00000000" w:rsidRPr="00000000">
          <w:rPr>
            <w:rtl w:val="0"/>
          </w:rPr>
          <w:t xml:space="preserve"> </w:t>
        </w:r>
      </w:hyperlink>
      <w:hyperlink r:id="rId33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ybq8uayx6l8w" w:id="145"/>
      <w:bookmarkEnd w:id="145"/>
      <w:r w:rsidDel="00000000" w:rsidR="00000000" w:rsidRPr="00000000">
        <w:rPr>
          <w:b w:val="1"/>
          <w:bCs w:val="1"/>
          <w:color w:val="000000"/>
          <w:sz w:val="26"/>
          <w:szCs w:val="26"/>
          <w:rtl w:val="0"/>
        </w:rPr>
        <w:t xml:space="preserve">6.7 The PQC Migration Pathway: Forward Cryptographic Compatibility</w:t>
      </w:r>
    </w:p>
    <w:p w:rsidR="00000000" w:rsidDel="00000000" w:rsidP="00000000" w:rsidRDefault="00000000" w:rsidRPr="00000000" w14:paraId="0000040B">
      <w:pPr>
        <w:spacing w:after="240" w:before="240" w:lineRule="auto"/>
        <w:rPr/>
      </w:pPr>
      <w:r w:rsidDel="00000000" w:rsidR="00000000" w:rsidRPr="00000000">
        <w:rPr>
          <w:rtl w:val="0"/>
        </w:rPr>
        <w:t xml:space="preserve">The TML specification includes explicit provisions for migration to post-quantum cryptography (PQC) as NIST's standardization of quantum-resistant algorithms matures into production deployment. The </w:t>
      </w:r>
      <w:r w:rsidDel="00000000" w:rsidR="00000000" w:rsidRPr="00000000">
        <w:rPr>
          <w:rFonts w:ascii="Roboto Mono" w:cs="Roboto Mono" w:eastAsia="Roboto Mono" w:hAnsi="Roboto Mono"/>
          <w:color w:val="188038"/>
          <w:rtl w:val="0"/>
        </w:rPr>
        <w:t xml:space="preserve">signatureAlgorithm</w:t>
      </w:r>
      <w:r w:rsidDel="00000000" w:rsidR="00000000" w:rsidRPr="00000000">
        <w:rPr>
          <w:rtl w:val="0"/>
        </w:rPr>
        <w:t xml:space="preserve"> field in the </w:t>
      </w:r>
      <w:r w:rsidDel="00000000" w:rsidR="00000000" w:rsidRPr="00000000">
        <w:rPr>
          <w:rFonts w:ascii="Roboto Mono" w:cs="Roboto Mono" w:eastAsia="Roboto Mono" w:hAnsi="Roboto Mono"/>
          <w:color w:val="188038"/>
          <w:rtl w:val="0"/>
        </w:rPr>
        <w:t xml:space="preserve">GoukassianSignature</w:t>
      </w:r>
      <w:r w:rsidDel="00000000" w:rsidR="00000000" w:rsidRPr="00000000">
        <w:rPr>
          <w:rtl w:val="0"/>
        </w:rPr>
        <w:t xml:space="preserve"> schema enumerates current shipping algorithms (ES256, ES384, ES512, RS256, RS384, RS512) alongside future-reserved PQC identifiers: </w:t>
      </w:r>
      <w:r w:rsidDel="00000000" w:rsidR="00000000" w:rsidRPr="00000000">
        <w:rPr>
          <w:rFonts w:ascii="Roboto Mono" w:cs="Roboto Mono" w:eastAsia="Roboto Mono" w:hAnsi="Roboto Mono"/>
          <w:color w:val="188038"/>
          <w:rtl w:val="0"/>
        </w:rPr>
        <w:t xml:space="preserve">SLH-DSA-SHAKE-128s</w:t>
      </w:r>
      <w:r w:rsidDel="00000000" w:rsidR="00000000" w:rsidRPr="00000000">
        <w:rPr>
          <w:rtl w:val="0"/>
        </w:rPr>
        <w:t xml:space="preserve"> (NIST FIPS 205)</w:t>
      </w:r>
      <w:hyperlink r:id="rId333">
        <w:r w:rsidDel="00000000" w:rsidR="00000000" w:rsidRPr="00000000">
          <w:rPr>
            <w:rtl w:val="0"/>
          </w:rPr>
          <w:t xml:space="preserve"> </w:t>
        </w:r>
      </w:hyperlink>
      <w:hyperlink r:id="rId334">
        <w:r w:rsidDel="00000000" w:rsidR="00000000" w:rsidRPr="00000000">
          <w:rPr>
            <w:color w:val="1155cc"/>
            <w:u w:val="single"/>
            <w:rtl w:val="0"/>
          </w:rPr>
          <w:t xml:space="preserve">[25]</w:t>
        </w:r>
      </w:hyperlink>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ML-KEM-1024</w:t>
      </w:r>
      <w:r w:rsidDel="00000000" w:rsidR="00000000" w:rsidRPr="00000000">
        <w:rPr>
          <w:rtl w:val="0"/>
        </w:rPr>
        <w:t xml:space="preserve"> (NIST FIPS 203)</w:t>
      </w:r>
      <w:hyperlink r:id="rId335">
        <w:r w:rsidDel="00000000" w:rsidR="00000000" w:rsidRPr="00000000">
          <w:rPr>
            <w:rtl w:val="0"/>
          </w:rPr>
          <w:t xml:space="preserve"> </w:t>
        </w:r>
      </w:hyperlink>
      <w:hyperlink r:id="rId336">
        <w:r w:rsidDel="00000000" w:rsidR="00000000" w:rsidRPr="00000000">
          <w:rPr>
            <w:color w:val="1155cc"/>
            <w:u w:val="single"/>
            <w:rtl w:val="0"/>
          </w:rPr>
          <w:t xml:space="preserve">[51]</w:t>
        </w:r>
      </w:hyperlink>
      <w:r w:rsidDel="00000000" w:rsidR="00000000" w:rsidRPr="00000000">
        <w:rPr>
          <w:rtl w:val="0"/>
        </w:rPr>
        <w:t xml:space="preserve">.</w:t>
      </w:r>
    </w:p>
    <w:p w:rsidR="00000000" w:rsidDel="00000000" w:rsidP="00000000" w:rsidRDefault="00000000" w:rsidRPr="00000000" w14:paraId="0000040C">
      <w:pPr>
        <w:spacing w:after="240" w:before="240" w:lineRule="auto"/>
        <w:rPr/>
      </w:pPr>
      <w:r w:rsidDel="00000000" w:rsidR="00000000" w:rsidRPr="00000000">
        <w:rPr>
          <w:rtl w:val="0"/>
        </w:rPr>
        <w:t xml:space="preserve">The presence of PQC identifiers in the schema represents the framework's commitment to cryptographic continuity across algorithmic transitions, not the current operational availability of PQC signing. An implementation using PQC algorithms where available, and classical algorithms where PQC is not yet deployed, remains schema-compliant under the current specification. The migration pathway is additive: existing deployments using classical algorithms are not invalidated by the introduction of PQC identifiers; they are extended.</w:t>
      </w:r>
    </w:p>
    <w:p w:rsidR="00000000" w:rsidDel="00000000" w:rsidP="00000000" w:rsidRDefault="00000000" w:rsidRPr="00000000" w14:paraId="0000040D">
      <w:pPr>
        <w:spacing w:after="240" w:before="240" w:lineRule="auto"/>
        <w:rPr/>
      </w:pPr>
      <w:r w:rsidDel="00000000" w:rsidR="00000000" w:rsidRPr="00000000">
        <w:rPr>
          <w:rtl w:val="0"/>
        </w:rPr>
        <w:t xml:space="preserve">This forward compatibility provision addresses a governance risk that the blockchain anchoring architecture would otherwise create: if the SHA-256 hash function or the ECDSA signature scheme were compromised by a future cryptographic advance, existing log records anchored under those schemes would lose their integrity guarantees. The EKR architecture mitigates this risk for PII-bearing log content by limiting key exposure to rotation epochs. The PQC migration pathway mitigates it for the signature and hashing layer by providing a schema-compatible upgrade path that can be executed without breaking existing implementations.</w:t>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b5v5l89knne0" w:id="146"/>
      <w:bookmarkEnd w:id="146"/>
      <w:r w:rsidDel="00000000" w:rsidR="00000000" w:rsidRPr="00000000">
        <w:rPr>
          <w:b w:val="1"/>
          <w:bCs w:val="1"/>
          <w:color w:val="000000"/>
          <w:sz w:val="26"/>
          <w:szCs w:val="26"/>
          <w:rtl w:val="0"/>
        </w:rPr>
        <w:t xml:space="preserve">6.8 Implementation Completeness: What the Specification Proves</w:t>
      </w:r>
    </w:p>
    <w:p w:rsidR="00000000" w:rsidDel="00000000" w:rsidP="00000000" w:rsidRDefault="00000000" w:rsidRPr="00000000" w14:paraId="0000040F">
      <w:pPr>
        <w:spacing w:after="240" w:before="240" w:lineRule="auto"/>
        <w:rPr/>
      </w:pPr>
      <w:r w:rsidDel="00000000" w:rsidR="00000000" w:rsidRPr="00000000">
        <w:rPr>
          <w:rtl w:val="0"/>
        </w:rPr>
        <w:t xml:space="preserve">The TML API specification is not documentation of a proposed governance architecture. It is the interface contract of a governance architecture that exists, is implementable using standard tooling, and is verifiable by third parties. Several properties of the specification deserve explicit acknowledgment as proof points.</w:t>
      </w:r>
    </w:p>
    <w:p w:rsidR="00000000" w:rsidDel="00000000" w:rsidP="00000000" w:rsidRDefault="00000000" w:rsidRPr="00000000" w14:paraId="00000410">
      <w:pPr>
        <w:spacing w:after="240" w:before="240" w:lineRule="auto"/>
        <w:rPr/>
      </w:pPr>
      <w:r w:rsidDel="00000000" w:rsidR="00000000" w:rsidRPr="00000000">
        <w:rPr>
          <w:b w:val="1"/>
          <w:bCs w:val="1"/>
          <w:rtl w:val="0"/>
        </w:rPr>
        <w:t xml:space="preserve">Schema-enforced impossibility</w:t>
      </w:r>
      <w:r w:rsidDel="00000000" w:rsidR="00000000" w:rsidRPr="00000000">
        <w:rPr>
          <w:rtl w:val="0"/>
        </w:rPr>
        <w:t xml:space="preserve">: The combination of </w:t>
      </w:r>
      <w:r w:rsidDel="00000000" w:rsidR="00000000" w:rsidRPr="00000000">
        <w:rPr>
          <w:rFonts w:ascii="Roboto Mono" w:cs="Roboto Mono" w:eastAsia="Roboto Mono" w:hAnsi="Roboto Mono"/>
          <w:color w:val="188038"/>
          <w:rtl w:val="0"/>
        </w:rPr>
        <w:t xml:space="preserve">StateEnvelope if/then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PermissionToken laneOrigin: const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TSLF-StateP1 required</w:t>
      </w:r>
      <w:r w:rsidDel="00000000" w:rsidR="00000000" w:rsidRPr="00000000">
        <w:rPr>
          <w:rtl w:val="0"/>
        </w:rPr>
        <w:t xml:space="preserve"> fields, </w:t>
      </w:r>
      <w:r w:rsidDel="00000000" w:rsidR="00000000" w:rsidRPr="00000000">
        <w:rPr>
          <w:rFonts w:ascii="Roboto Mono" w:cs="Roboto Mono" w:eastAsia="Roboto Mono" w:hAnsi="Roboto Mono"/>
          <w:color w:val="188038"/>
          <w:rtl w:val="0"/>
        </w:rPr>
        <w:t xml:space="preserve">AuditProof</w:t>
      </w:r>
      <w:r w:rsidDel="00000000" w:rsidR="00000000" w:rsidRPr="00000000">
        <w:rPr>
          <w:rtl w:val="0"/>
        </w:rPr>
        <w:t xml:space="preserve"> cross-reference, and on-chain </w:t>
      </w:r>
      <w:r w:rsidDel="00000000" w:rsidR="00000000" w:rsidRPr="00000000">
        <w:rPr>
          <w:rFonts w:ascii="Roboto Mono" w:cs="Roboto Mono" w:eastAsia="Roboto Mono" w:hAnsi="Roboto Mono"/>
          <w:color w:val="188038"/>
          <w:rtl w:val="0"/>
        </w:rPr>
        <w:t xml:space="preserve">NoLogNoAction</w:t>
      </w:r>
      <w:r w:rsidDel="00000000" w:rsidR="00000000" w:rsidRPr="00000000">
        <w:rPr>
          <w:rtl w:val="0"/>
        </w:rPr>
        <w:t xml:space="preserve"> revert creates five independent layers at which non-compliant behavior is structurally impossible, not merely prohibited. An implementation satisfying all five constraints cannot execute a governed action without a complete evidentiary record, regardless of what the Inference Lane computes or what the operator instructs.</w:t>
      </w:r>
    </w:p>
    <w:p w:rsidR="00000000" w:rsidDel="00000000" w:rsidP="00000000" w:rsidRDefault="00000000" w:rsidRPr="00000000" w14:paraId="00000411">
      <w:pPr>
        <w:spacing w:after="240" w:before="240" w:lineRule="auto"/>
        <w:rPr/>
      </w:pPr>
      <w:r w:rsidDel="00000000" w:rsidR="00000000" w:rsidRPr="00000000">
        <w:rPr>
          <w:b w:val="1"/>
          <w:bCs w:val="1"/>
          <w:rtl w:val="0"/>
        </w:rPr>
        <w:t xml:space="preserve">Independent verifiability</w:t>
      </w:r>
      <w:r w:rsidDel="00000000" w:rsidR="00000000" w:rsidRPr="00000000">
        <w:rPr>
          <w:rtl w:val="0"/>
        </w:rPr>
        <w:t xml:space="preserve">: The Merkle inclusion proof chain, from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to public blockchain anchor, is traversable by any party with access to the public blockchain. Verification does not require access to the operator's private infrastructure. This makes TML compliance claims independently auditable in a way that no prior AI governance framework has achieved.</w:t>
      </w:r>
    </w:p>
    <w:p w:rsidR="00000000" w:rsidDel="00000000" w:rsidP="00000000" w:rsidRDefault="00000000" w:rsidRPr="00000000" w14:paraId="00000412">
      <w:pPr>
        <w:spacing w:after="240" w:before="240" w:lineRule="auto"/>
        <w:rPr/>
      </w:pPr>
      <w:r w:rsidDel="00000000" w:rsidR="00000000" w:rsidRPr="00000000">
        <w:rPr>
          <w:b w:val="1"/>
          <w:bCs w:val="1"/>
          <w:rtl w:val="0"/>
        </w:rPr>
        <w:t xml:space="preserve">Regulatory API surface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GET /regulator/audit-trail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endpoints provide regulatory authorities with direct access to the compliance record without operator intermediation. This addresses the enforcement asymmetry identified in Section V: regulatory investigation of a TML-governed system does not depend on the operator's cooperation in producing evidence.</w:t>
      </w:r>
    </w:p>
    <w:p w:rsidR="00000000" w:rsidDel="00000000" w:rsidP="00000000" w:rsidRDefault="00000000" w:rsidRPr="00000000" w14:paraId="00000413">
      <w:pPr>
        <w:spacing w:after="240" w:before="240" w:lineRule="auto"/>
        <w:rPr/>
      </w:pPr>
      <w:r w:rsidDel="00000000" w:rsidR="00000000" w:rsidRPr="00000000">
        <w:rPr>
          <w:b w:val="1"/>
          <w:bCs w:val="1"/>
          <w:rtl w:val="0"/>
        </w:rPr>
        <w:t xml:space="preserve">Emergency override accountability</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POST /emergency/override</w:t>
      </w:r>
      <w:r w:rsidDel="00000000" w:rsidR="00000000" w:rsidRPr="00000000">
        <w:rPr>
          <w:rtl w:val="0"/>
        </w:rPr>
        <w:t xml:space="preserve"> endpoint preserves the authority of human decision-makers to override governance constraints in genuine operational emergencies, while ensuring that every override is logged, signed, anchored, and publicly attributable. Human authority is not eliminated; it is made transparent.</w:t>
      </w:r>
    </w:p>
    <w:p w:rsidR="00000000" w:rsidDel="00000000" w:rsidP="00000000" w:rsidRDefault="00000000" w:rsidRPr="00000000" w14:paraId="00000414">
      <w:pPr>
        <w:spacing w:after="240" w:before="240" w:lineRule="auto"/>
        <w:rPr/>
      </w:pPr>
      <w:r w:rsidDel="00000000" w:rsidR="00000000" w:rsidRPr="00000000">
        <w:rPr>
          <w:rtl w:val="0"/>
        </w:rPr>
        <w:t xml:space="preserve">The specification demonstrates that Ternary Moral Logic is not a governance proposal awaiting implementation. It is an implemented governance architecture awaiting adoption. The difference matters: the question is not whether TML can be built but whether organizations deploying high-stakes AI systems will choose to operate with the accountability that building it provides.</w:t>
      </w:r>
    </w:p>
    <w:p w:rsidR="00000000" w:rsidDel="00000000" w:rsidP="00000000" w:rsidRDefault="00000000" w:rsidRPr="00000000" w14:paraId="00000415">
      <w:pPr>
        <w:pStyle w:val="Heading2"/>
        <w:keepNext w:val="0"/>
        <w:keepLines w:val="0"/>
        <w:rPr>
          <w:color w:val="000000"/>
          <w:sz w:val="34"/>
          <w:szCs w:val="34"/>
        </w:rPr>
      </w:pPr>
      <w:bookmarkStart w:colFirst="0" w:colLast="0" w:name="_ua7idbxsh4xi" w:id="147"/>
      <w:bookmarkEnd w:id="147"/>
      <w:r w:rsidDel="00000000" w:rsidR="00000000" w:rsidRPr="00000000">
        <w:rPr>
          <w:color w:val="000000"/>
          <w:sz w:val="34"/>
          <w:szCs w:val="34"/>
          <w:rtl w:val="0"/>
        </w:rPr>
        <w:t xml:space="preserve">Section VII: Adversarial Robustness and ASI Survivability</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y0r8birk0zna" w:id="148"/>
      <w:bookmarkEnd w:id="148"/>
      <w:r w:rsidDel="00000000" w:rsidR="00000000" w:rsidRPr="00000000">
        <w:rPr>
          <w:b w:val="1"/>
          <w:bCs w:val="1"/>
          <w:color w:val="000000"/>
          <w:sz w:val="26"/>
          <w:szCs w:val="26"/>
          <w:rtl w:val="0"/>
        </w:rPr>
        <w:t xml:space="preserve">7.0 Introduction: The Governance Problem That Grows With Capability</w:t>
      </w:r>
    </w:p>
    <w:p w:rsidR="00000000" w:rsidDel="00000000" w:rsidP="00000000" w:rsidRDefault="00000000" w:rsidRPr="00000000" w14:paraId="00000417">
      <w:pPr>
        <w:spacing w:after="240" w:before="240" w:lineRule="auto"/>
        <w:rPr/>
      </w:pPr>
      <w:r w:rsidDel="00000000" w:rsidR="00000000" w:rsidRPr="00000000">
        <w:rPr>
          <w:rtl w:val="0"/>
        </w:rPr>
        <w:t xml:space="preserve">Every AI governance framework confronts a fundamental asymmetry: the constraints are designed by human beings operating at human levels of capability, while the systems being governed may eventually operate at capability levels that substantially exceed those of their designers. A governance framework adequate for today's AI systems may be inadequate for the systems of the next decade. A framework that survives only until the governed system becomes capable of circumventing it is not a governance framework; it is a temporary restraint.</w:t>
      </w:r>
    </w:p>
    <w:p w:rsidR="00000000" w:rsidDel="00000000" w:rsidP="00000000" w:rsidRDefault="00000000" w:rsidRPr="00000000" w14:paraId="00000418">
      <w:pPr>
        <w:spacing w:after="240" w:before="240" w:lineRule="auto"/>
        <w:rPr/>
      </w:pPr>
      <w:r w:rsidDel="00000000" w:rsidR="00000000" w:rsidRPr="00000000">
        <w:rPr>
          <w:rtl w:val="0"/>
        </w:rPr>
        <w:t xml:space="preserve">This asymmetry is not a distant concern. The trajectory of AI capability development, documented across the research literature through scaling laws</w:t>
      </w:r>
      <w:hyperlink r:id="rId337">
        <w:r w:rsidDel="00000000" w:rsidR="00000000" w:rsidRPr="00000000">
          <w:rPr>
            <w:rtl w:val="0"/>
          </w:rPr>
          <w:t xml:space="preserve"> </w:t>
        </w:r>
      </w:hyperlink>
      <w:hyperlink r:id="rId338">
        <w:r w:rsidDel="00000000" w:rsidR="00000000" w:rsidRPr="00000000">
          <w:rPr>
            <w:color w:val="1155cc"/>
            <w:u w:val="single"/>
            <w:rtl w:val="0"/>
          </w:rPr>
          <w:t xml:space="preserve">[52]</w:t>
        </w:r>
      </w:hyperlink>
      <w:r w:rsidDel="00000000" w:rsidR="00000000" w:rsidRPr="00000000">
        <w:rPr>
          <w:rtl w:val="0"/>
        </w:rPr>
        <w:t xml:space="preserve">, emergent capabilities</w:t>
      </w:r>
      <w:hyperlink r:id="rId339">
        <w:r w:rsidDel="00000000" w:rsidR="00000000" w:rsidRPr="00000000">
          <w:rPr>
            <w:rtl w:val="0"/>
          </w:rPr>
          <w:t xml:space="preserve"> </w:t>
        </w:r>
      </w:hyperlink>
      <w:hyperlink r:id="rId340">
        <w:r w:rsidDel="00000000" w:rsidR="00000000" w:rsidRPr="00000000">
          <w:rPr>
            <w:color w:val="1155cc"/>
            <w:u w:val="single"/>
            <w:rtl w:val="0"/>
          </w:rPr>
          <w:t xml:space="preserve">[53]</w:t>
        </w:r>
      </w:hyperlink>
      <w:r w:rsidDel="00000000" w:rsidR="00000000" w:rsidRPr="00000000">
        <w:rPr>
          <w:rtl w:val="0"/>
        </w:rPr>
        <w:t xml:space="preserve">, and recursive self-improvement dynamics</w:t>
      </w:r>
      <w:hyperlink r:id="rId341">
        <w:r w:rsidDel="00000000" w:rsidR="00000000" w:rsidRPr="00000000">
          <w:rPr>
            <w:rtl w:val="0"/>
          </w:rPr>
          <w:t xml:space="preserve"> </w:t>
        </w:r>
      </w:hyperlink>
      <w:hyperlink r:id="rId342">
        <w:r w:rsidDel="00000000" w:rsidR="00000000" w:rsidRPr="00000000">
          <w:rPr>
            <w:color w:val="1155cc"/>
            <w:u w:val="single"/>
            <w:rtl w:val="0"/>
          </w:rPr>
          <w:t xml:space="preserve">[54]</w:t>
        </w:r>
      </w:hyperlink>
      <w:r w:rsidDel="00000000" w:rsidR="00000000" w:rsidRPr="00000000">
        <w:rPr>
          <w:rtl w:val="0"/>
        </w:rPr>
        <w:t xml:space="preserve">, suggests that systems approaching and potentially exceeding human-level general capability across broad domains are a plausible near-term outcome rather than a remote theoretical concern. Any governance framework that does not address the behavior of such systems under adversarial conditions, and that does not provide survivability analysis for its own constraints under recursive self-improvement, is incomplete.</w:t>
      </w:r>
    </w:p>
    <w:p w:rsidR="00000000" w:rsidDel="00000000" w:rsidP="00000000" w:rsidRDefault="00000000" w:rsidRPr="00000000" w14:paraId="00000419">
      <w:pPr>
        <w:spacing w:after="240" w:before="240" w:lineRule="auto"/>
        <w:rPr/>
      </w:pPr>
      <w:r w:rsidDel="00000000" w:rsidR="00000000" w:rsidRPr="00000000">
        <w:rPr>
          <w:rtl w:val="0"/>
        </w:rPr>
        <w:t xml:space="preserve">TML's response to this asymmetry is the hardware enforcement substrate described in Section VIII. But the hardware layer alone is insufficient without a rigorous analysis of the adversarial conditions under which it must operate. This section provides that analysis: systematic examination of the failure modes that adversarial actors and capable AI systems can exploit in TML's architecture, the specific countermeasures the framework deploys against each, the formal properties that provide correctness guarantees in distributed deployments, and the survivability analysis demonstrating that TML's governing constraints remain binding under recursive self-improvement scenarios up to and including artificial superintelligence.</w:t>
      </w:r>
    </w:p>
    <w:p w:rsidR="00000000" w:rsidDel="00000000" w:rsidP="00000000" w:rsidRDefault="00000000" w:rsidRPr="00000000" w14:paraId="0000041A">
      <w:pPr>
        <w:spacing w:after="240" w:before="240" w:lineRule="auto"/>
        <w:rPr/>
      </w:pPr>
      <w:r w:rsidDel="00000000" w:rsidR="00000000" w:rsidRPr="00000000">
        <w:rPr>
          <w:rtl w:val="0"/>
        </w:rPr>
        <w:t xml:space="preserve">The analysis proceeds from the most straightforward adversarial scenarios, attempts by external actors to manipulate the governance layer, through increasingly sophisticated internal scenarios involving highly capable AI systems attempting to circumvent their own governance, culminating in the ASI survivability analysis that distinguishes TML's approach from all prior AI governance frameworks.</w:t>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5hgq0fwuysp1" w:id="149"/>
      <w:bookmarkEnd w:id="149"/>
      <w:r w:rsidDel="00000000" w:rsidR="00000000" w:rsidRPr="00000000">
        <w:rPr>
          <w:b w:val="1"/>
          <w:bCs w:val="1"/>
          <w:color w:val="000000"/>
          <w:sz w:val="26"/>
          <w:szCs w:val="26"/>
          <w:rtl w:val="0"/>
        </w:rPr>
        <w:t xml:space="preserve">7.1 External Adversarial Attacks</w:t>
      </w:r>
    </w:p>
    <w:p w:rsidR="00000000" w:rsidDel="00000000" w:rsidP="00000000" w:rsidRDefault="00000000" w:rsidRPr="00000000" w14:paraId="0000041C">
      <w:pPr>
        <w:pStyle w:val="Heading4"/>
        <w:keepNext w:val="0"/>
        <w:keepLines w:val="0"/>
        <w:spacing w:after="40" w:before="240" w:lineRule="auto"/>
        <w:rPr>
          <w:b w:val="1"/>
          <w:bCs w:val="1"/>
          <w:color w:val="000000"/>
          <w:sz w:val="22"/>
          <w:szCs w:val="22"/>
        </w:rPr>
      </w:pPr>
      <w:bookmarkStart w:colFirst="0" w:colLast="0" w:name="_3vv4okc57end" w:id="150"/>
      <w:bookmarkEnd w:id="150"/>
      <w:r w:rsidDel="00000000" w:rsidR="00000000" w:rsidRPr="00000000">
        <w:rPr>
          <w:b w:val="1"/>
          <w:bCs w:val="1"/>
          <w:color w:val="000000"/>
          <w:sz w:val="22"/>
          <w:szCs w:val="22"/>
          <w:rtl w:val="0"/>
        </w:rPr>
        <w:t xml:space="preserve">7.1.1 Prompt Injection and Semantic Manipulation</w:t>
      </w:r>
    </w:p>
    <w:p w:rsidR="00000000" w:rsidDel="00000000" w:rsidP="00000000" w:rsidRDefault="00000000" w:rsidRPr="00000000" w14:paraId="0000041D">
      <w:pPr>
        <w:spacing w:after="240" w:before="240" w:lineRule="auto"/>
        <w:rPr/>
      </w:pPr>
      <w:r w:rsidDel="00000000" w:rsidR="00000000" w:rsidRPr="00000000">
        <w:rPr>
          <w:rtl w:val="0"/>
        </w:rPr>
        <w:t xml:space="preserve">The most common class of adversarial attack against AI governance systems is prompt injection: the construction of inputs designed to cause the AI system to violate its governance constraints while formally satisfying their syntactic requirements. Prompt injection exploits the gap between the governance constraint's formal specification and the infinite diversity of natural language, producing inputs that satisfy the constraint in form while violating it in substance</w:t>
      </w:r>
      <w:hyperlink r:id="rId343">
        <w:r w:rsidDel="00000000" w:rsidR="00000000" w:rsidRPr="00000000">
          <w:rPr>
            <w:rtl w:val="0"/>
          </w:rPr>
          <w:t xml:space="preserve"> </w:t>
        </w:r>
      </w:hyperlink>
      <w:hyperlink r:id="rId344">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41E">
      <w:pPr>
        <w:spacing w:after="240" w:before="240" w:lineRule="auto"/>
        <w:rPr/>
      </w:pPr>
      <w:r w:rsidDel="00000000" w:rsidR="00000000" w:rsidRPr="00000000">
        <w:rPr>
          <w:rFonts w:ascii="Arial Unicode MS" w:cs="Arial Unicode MS" w:eastAsia="Arial Unicode MS" w:hAnsi="Arial Unicode MS"/>
          <w:rtl w:val="0"/>
        </w:rPr>
        <w:t xml:space="preserve">TML's resistance to prompt injection derives from its architecture rather than from the quality of its training data or the robustness of its safety fine-tuning. The Anchoring Lane performs an independent ternary evaluation of every proposed action, using semantic vector proximity detection that operates on the meaning of the proposed action rather than its surface form. An injection that causes the Inference Lane to propose a harmful action does not thereby cause the Anchoring Lane to authorize it: the Anchoring Lane's evaluation is independent of the Inference Lane's reasoning, and a proposed action that approaches the Human Rights Mandate violation threshold triggers State −1 regardless of how the Inference Lane arrived at its proposal.</w:t>
      </w:r>
    </w:p>
    <w:p w:rsidR="00000000" w:rsidDel="00000000" w:rsidP="00000000" w:rsidRDefault="00000000" w:rsidRPr="00000000" w14:paraId="0000041F">
      <w:pPr>
        <w:spacing w:after="240" w:before="240" w:lineRule="auto"/>
        <w:rPr/>
      </w:pPr>
      <w:r w:rsidDel="00000000" w:rsidR="00000000" w:rsidRPr="00000000">
        <w:rPr>
          <w:rtl w:val="0"/>
        </w:rPr>
        <w:t xml:space="preserve">The critical property is independence: the Anchoring Lane does not evaluate the Inference Lane's reasoning about whether an action is safe; it evaluates the action itself against the Mandate protection vectors. An injection that convinces the Inference Lane that a harmful action is safe does not affect the Anchoring Lane's cosine similarity calculation, which operates on the action's semantic content, not on the Inference Lane's justification for it</w:t>
      </w:r>
      <w:hyperlink r:id="rId345">
        <w:r w:rsidDel="00000000" w:rsidR="00000000" w:rsidRPr="00000000">
          <w:rPr>
            <w:rtl w:val="0"/>
          </w:rPr>
          <w:t xml:space="preserve"> </w:t>
        </w:r>
      </w:hyperlink>
      <w:hyperlink r:id="rId34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20">
      <w:pPr>
        <w:spacing w:after="240" w:before="240" w:lineRule="auto"/>
        <w:rPr/>
      </w:pPr>
      <w:r w:rsidDel="00000000" w:rsidR="00000000" w:rsidRPr="00000000">
        <w:rPr>
          <w:rFonts w:ascii="Arial Unicode MS" w:cs="Arial Unicode MS" w:eastAsia="Arial Unicode MS" w:hAnsi="Arial Unicode MS"/>
          <w:rtl w:val="0"/>
        </w:rPr>
        <w:t xml:space="preserve">For injections that fall within the ambiguity zone, too close to a protection vector for confident State +1 authorization but below the State −1 veto threshold, the Sacred Zero provides the additional defense layer. The system pauses and requests human review. The human reviewer receives the complete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documenting why the system paused, enabling the reviewer to identify the injection's nature even when the automated evaluation cannot definitively classify it.</w:t>
      </w:r>
    </w:p>
    <w:p w:rsidR="00000000" w:rsidDel="00000000" w:rsidP="00000000" w:rsidRDefault="00000000" w:rsidRPr="00000000" w14:paraId="00000421">
      <w:pPr>
        <w:pStyle w:val="Heading4"/>
        <w:keepNext w:val="0"/>
        <w:keepLines w:val="0"/>
        <w:spacing w:after="40" w:before="240" w:lineRule="auto"/>
        <w:rPr>
          <w:b w:val="1"/>
          <w:bCs w:val="1"/>
          <w:color w:val="000000"/>
          <w:sz w:val="22"/>
          <w:szCs w:val="22"/>
        </w:rPr>
      </w:pPr>
      <w:bookmarkStart w:colFirst="0" w:colLast="0" w:name="_kmqzkbiwiuc2" w:id="151"/>
      <w:bookmarkEnd w:id="151"/>
      <w:r w:rsidDel="00000000" w:rsidR="00000000" w:rsidRPr="00000000">
        <w:rPr>
          <w:b w:val="1"/>
          <w:bCs w:val="1"/>
          <w:color w:val="000000"/>
          <w:sz w:val="22"/>
          <w:szCs w:val="22"/>
          <w:rtl w:val="0"/>
        </w:rPr>
        <w:t xml:space="preserve">7.1.2 Forced Hesitation Denial of Service</w:t>
      </w:r>
    </w:p>
    <w:p w:rsidR="00000000" w:rsidDel="00000000" w:rsidP="00000000" w:rsidRDefault="00000000" w:rsidRPr="00000000" w14:paraId="00000422">
      <w:pPr>
        <w:spacing w:after="240" w:before="240" w:lineRule="auto"/>
        <w:rPr/>
      </w:pPr>
      <w:r w:rsidDel="00000000" w:rsidR="00000000" w:rsidRPr="00000000">
        <w:rPr>
          <w:rtl w:val="0"/>
        </w:rPr>
        <w:t xml:space="preserve">The adversarial inversion of Sacred Zero's protective function is the Forced Hesitation Denial of Service (FH-DoS) attack: systematic injection of high-uncertainty inputs designed to saturate the Sacred Zero escalation queue and render the system operationally unavailable through induced paralysis. An adversary who can reliably trigger Sacred Zero activation can, in principle, halt any TML-governed system without exploiting a single Mandate violation</w:t>
      </w:r>
      <w:hyperlink r:id="rId347">
        <w:r w:rsidDel="00000000" w:rsidR="00000000" w:rsidRPr="00000000">
          <w:rPr>
            <w:rtl w:val="0"/>
          </w:rPr>
          <w:t xml:space="preserve"> </w:t>
        </w:r>
      </w:hyperlink>
      <w:hyperlink r:id="rId34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23">
      <w:pPr>
        <w:spacing w:after="240" w:before="240" w:lineRule="auto"/>
        <w:rPr/>
      </w:pPr>
      <w:r w:rsidDel="00000000" w:rsidR="00000000" w:rsidRPr="00000000">
        <w:rPr>
          <w:rtl w:val="0"/>
        </w:rPr>
        <w:t xml:space="preserve">The Adaptive Throttling Protocol (ATP), introduced in Section II, is the primary countermeasure. Per-session limits cap Sacred Zero triggers at ten per sixty-second window; per-system limits trigger High Epistemic Load mode when global Sacred Zero rates exceed fifteen percent of total inference volume; client puzzle challenges raise the computational cost of adversarial uncertainty injection.</w:t>
      </w:r>
    </w:p>
    <w:p w:rsidR="00000000" w:rsidDel="00000000" w:rsidP="00000000" w:rsidRDefault="00000000" w:rsidRPr="00000000" w14:paraId="00000424">
      <w:pPr>
        <w:spacing w:after="240" w:before="240" w:lineRule="auto"/>
        <w:rPr/>
      </w:pPr>
      <w:r w:rsidDel="00000000" w:rsidR="00000000" w:rsidRPr="00000000">
        <w:rPr>
          <w:rtl w:val="0"/>
        </w:rPr>
        <w:t xml:space="preserve">The ATP's design reflects the fundamental tension in Sacred Zero rate limiting: thresholds set too low prevent legitimate high-uncertainty queries from receiving appropriate deliberation; thresholds set too high provide insufficient protection against systematic abuse. TML resolves this tension through a tiered response: the initial rate limit is permissive enough to accommodate genuine high-uncertainty operational environments; escalating responses (High Epistemic Load mode, progressive puzzle difficulty, temporary session suspension) activate only when the pattern of Sacred Zero triggers is statistically inconsistent with legitimate operational uncertainty.</w:t>
      </w:r>
    </w:p>
    <w:p w:rsidR="00000000" w:rsidDel="00000000" w:rsidP="00000000" w:rsidRDefault="00000000" w:rsidRPr="00000000" w14:paraId="00000425">
      <w:pPr>
        <w:spacing w:after="240" w:before="240" w:lineRule="auto"/>
        <w:rPr/>
      </w:pPr>
      <w:r w:rsidDel="00000000" w:rsidR="00000000" w:rsidRPr="00000000">
        <w:rPr>
          <w:rtl w:val="0"/>
        </w:rPr>
        <w:t xml:space="preserve">The ATP additionally distinguishes between Sacred Zero triggers from different input sources: triggers from authenticated systems with established operational histories receive higher baseline limits than triggers from unauthenticated or recently registered identities. Medical and safety-critical request classes receive priority processing regardless of global Sacred Zero rate, ensuring that an FH-DoS attack against general-purpose queries cannot deprive critical-path requests of their governance deliberation.</w:t>
      </w:r>
    </w:p>
    <w:p w:rsidR="00000000" w:rsidDel="00000000" w:rsidP="00000000" w:rsidRDefault="00000000" w:rsidRPr="00000000" w14:paraId="00000426">
      <w:pPr>
        <w:pStyle w:val="Heading4"/>
        <w:keepNext w:val="0"/>
        <w:keepLines w:val="0"/>
        <w:spacing w:after="40" w:before="240" w:lineRule="auto"/>
        <w:rPr>
          <w:b w:val="1"/>
          <w:bCs w:val="1"/>
          <w:color w:val="000000"/>
          <w:sz w:val="22"/>
          <w:szCs w:val="22"/>
        </w:rPr>
      </w:pPr>
      <w:bookmarkStart w:colFirst="0" w:colLast="0" w:name="_wdxun3t59p7" w:id="152"/>
      <w:bookmarkEnd w:id="152"/>
      <w:r w:rsidDel="00000000" w:rsidR="00000000" w:rsidRPr="00000000">
        <w:rPr>
          <w:b w:val="1"/>
          <w:bCs w:val="1"/>
          <w:color w:val="000000"/>
          <w:sz w:val="22"/>
          <w:szCs w:val="22"/>
          <w:rtl w:val="0"/>
        </w:rPr>
        <w:t xml:space="preserve">7.1.3 Merkle and Anchoring Attacks</w:t>
      </w:r>
    </w:p>
    <w:p w:rsidR="00000000" w:rsidDel="00000000" w:rsidP="00000000" w:rsidRDefault="00000000" w:rsidRPr="00000000" w14:paraId="00000427">
      <w:pPr>
        <w:spacing w:after="240" w:before="240" w:lineRule="auto"/>
        <w:rPr/>
      </w:pPr>
      <w:r w:rsidDel="00000000" w:rsidR="00000000" w:rsidRPr="00000000">
        <w:rPr>
          <w:rtl w:val="0"/>
        </w:rPr>
        <w:t xml:space="preserve">The public blockchain anchoring architecture of Pillar VIII presents a different class of adversarial surface: attacks targeting the integrity of the anchored evidentiary record. Three categories of anchoring attack warrant specific analysis.</w:t>
      </w:r>
    </w:p>
    <w:p w:rsidR="00000000" w:rsidDel="00000000" w:rsidP="00000000" w:rsidRDefault="00000000" w:rsidRPr="00000000" w14:paraId="00000428">
      <w:pPr>
        <w:spacing w:after="240" w:before="240" w:lineRule="auto"/>
        <w:rPr/>
      </w:pPr>
      <w:r w:rsidDel="00000000" w:rsidR="00000000" w:rsidRPr="00000000">
        <w:rPr>
          <w:b w:val="1"/>
          <w:bCs w:val="1"/>
          <w:rtl w:val="0"/>
        </w:rPr>
        <w:t xml:space="preserve">Selective anchor omission</w:t>
      </w:r>
      <w:r w:rsidDel="00000000" w:rsidR="00000000" w:rsidRPr="00000000">
        <w:rPr>
          <w:rtl w:val="0"/>
        </w:rPr>
        <w:t xml:space="preserve">: An operator attempting to suppress evidence of a specific governance decision might omit that decision's log from the Merkle batch submitted for anchoring. The </w:t>
      </w:r>
      <w:r w:rsidDel="00000000" w:rsidR="00000000" w:rsidRPr="00000000">
        <w:rPr>
          <w:rFonts w:ascii="Roboto Mono" w:cs="Roboto Mono" w:eastAsia="Roboto Mono" w:hAnsi="Roboto Mono"/>
          <w:color w:val="188038"/>
          <w:rtl w:val="0"/>
        </w:rPr>
        <w:t xml:space="preserve">TML_Core.anchorMerkleRoot</w:t>
      </w:r>
      <w:r w:rsidDel="00000000" w:rsidR="00000000" w:rsidRPr="00000000">
        <w:rPr>
          <w:rtl w:val="0"/>
        </w:rPr>
        <w:t xml:space="preserve"> function records </w:t>
      </w:r>
      <w:r w:rsidDel="00000000" w:rsidR="00000000" w:rsidRPr="00000000">
        <w:rPr>
          <w:rFonts w:ascii="Roboto Mono" w:cs="Roboto Mono" w:eastAsia="Roboto Mono" w:hAnsi="Roboto Mono"/>
          <w:color w:val="188038"/>
          <w:rtl w:val="0"/>
        </w:rPr>
        <w:t xml:space="preserve">batchSize</w:t>
      </w:r>
      <w:r w:rsidDel="00000000" w:rsidR="00000000" w:rsidRPr="00000000">
        <w:rPr>
          <w:rtl w:val="0"/>
        </w:rPr>
        <w:t xml:space="preserve"> on-chain; a batch that omits records would produce a </w:t>
      </w:r>
      <w:r w:rsidDel="00000000" w:rsidR="00000000" w:rsidRPr="00000000">
        <w:rPr>
          <w:rFonts w:ascii="Roboto Mono" w:cs="Roboto Mono" w:eastAsia="Roboto Mono" w:hAnsi="Roboto Mono"/>
          <w:color w:val="188038"/>
          <w:rtl w:val="0"/>
        </w:rPr>
        <w:t xml:space="preserve">batchSize</w:t>
      </w:r>
      <w:r w:rsidDel="00000000" w:rsidR="00000000" w:rsidRPr="00000000">
        <w:rPr>
          <w:rtl w:val="0"/>
        </w:rPr>
        <w:t xml:space="preserve"> inconsistent with the number of decisions processed in the corresponding time window, detectable by auditors comparing the on-chain batch size to the operational throughput metrics available from the Anchoring Lane.</w:t>
      </w:r>
    </w:p>
    <w:p w:rsidR="00000000" w:rsidDel="00000000" w:rsidP="00000000" w:rsidRDefault="00000000" w:rsidRPr="00000000" w14:paraId="00000429">
      <w:pPr>
        <w:spacing w:after="240" w:before="240" w:lineRule="auto"/>
        <w:rPr/>
      </w:pPr>
      <w:r w:rsidDel="00000000" w:rsidR="00000000" w:rsidRPr="00000000">
        <w:rPr>
          <w:b w:val="1"/>
          <w:bCs w:val="1"/>
          <w:rtl w:val="0"/>
        </w:rPr>
        <w:t xml:space="preserve">Anchor timing manipulation</w:t>
      </w:r>
      <w:r w:rsidDel="00000000" w:rsidR="00000000" w:rsidRPr="00000000">
        <w:rPr>
          <w:rtl w:val="0"/>
        </w:rPr>
        <w:t xml:space="preserve">: An operator might delay anchoring to create a window during which log records can be altered before their hash is committed on-chain. The Always Memory architecture addresses this through the Pre-Actuation Commit sequence: the log hash is computed and the Permission Token issued before execution; if the log is subsequently altered, the altered log's hash will not match the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embedded in the already-issued and potentially already-executed Permission Token, exposing the alteration.</w:t>
      </w:r>
    </w:p>
    <w:p w:rsidR="00000000" w:rsidDel="00000000" w:rsidP="00000000" w:rsidRDefault="00000000" w:rsidRPr="00000000" w14:paraId="0000042A">
      <w:pPr>
        <w:spacing w:after="240" w:before="240" w:lineRule="auto"/>
        <w:rPr/>
      </w:pPr>
      <w:r w:rsidDel="00000000" w:rsidR="00000000" w:rsidRPr="00000000">
        <w:rPr>
          <w:b w:val="1"/>
          <w:bCs w:val="1"/>
          <w:rtl w:val="0"/>
        </w:rPr>
        <w:t xml:space="preserve">Chain reorganization attacks</w:t>
      </w:r>
      <w:r w:rsidDel="00000000" w:rsidR="00000000" w:rsidRPr="00000000">
        <w:rPr>
          <w:rtl w:val="0"/>
        </w:rPr>
        <w:t xml:space="preserve">: On proof-of-work blockchains, a 51% attack could in principle reorganize the chain and remove anchored Merkle roots. The multi-chain anchoring architecture (Bitcoin, Ethereum, Polygon) with the 3-of-5 Global Confirmation requirement addresses this: a chain reorganization attack sufficient to remove a TML anchor would require simultaneous 51% attacks across multiple independent blockchain networks, a coordination requiring resources that substantially exceed what any plausible adversary could deploy against the anchoring of individual AI governance records</w:t>
      </w:r>
      <w:hyperlink r:id="rId349">
        <w:r w:rsidDel="00000000" w:rsidR="00000000" w:rsidRPr="00000000">
          <w:rPr>
            <w:rtl w:val="0"/>
          </w:rPr>
          <w:t xml:space="preserve"> </w:t>
        </w:r>
      </w:hyperlink>
      <w:hyperlink r:id="rId35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2B">
      <w:pPr>
        <w:pStyle w:val="Heading4"/>
        <w:keepNext w:val="0"/>
        <w:keepLines w:val="0"/>
        <w:spacing w:after="40" w:before="240" w:lineRule="auto"/>
        <w:rPr>
          <w:b w:val="1"/>
          <w:bCs w:val="1"/>
          <w:color w:val="000000"/>
          <w:sz w:val="22"/>
          <w:szCs w:val="22"/>
        </w:rPr>
      </w:pPr>
      <w:bookmarkStart w:colFirst="0" w:colLast="0" w:name="_617ihyl04z28" w:id="153"/>
      <w:bookmarkEnd w:id="153"/>
      <w:r w:rsidDel="00000000" w:rsidR="00000000" w:rsidRPr="00000000">
        <w:rPr>
          <w:b w:val="1"/>
          <w:bCs w:val="1"/>
          <w:color w:val="000000"/>
          <w:sz w:val="22"/>
          <w:szCs w:val="22"/>
          <w:rtl w:val="0"/>
        </w:rPr>
        <w:t xml:space="preserve">7.1.4 Custodian Capture and Quorum Attacks</w:t>
      </w:r>
    </w:p>
    <w:p w:rsidR="00000000" w:rsidDel="00000000" w:rsidP="00000000" w:rsidRDefault="00000000" w:rsidRPr="00000000" w14:paraId="0000042C">
      <w:pPr>
        <w:spacing w:after="240" w:before="240" w:lineRule="auto"/>
        <w:rPr/>
      </w:pPr>
      <w:r w:rsidDel="00000000" w:rsidR="00000000" w:rsidRPr="00000000">
        <w:rPr>
          <w:rtl w:val="0"/>
        </w:rPr>
        <w:t xml:space="preserve">The Hybrid Shield's distributed custody architecture distributes governance key custody across institutionally diverse open seats. An adversary seeking to suppress PII-bearing log content or access records without authorization must assemble a 75% supermajority quorum of seated custodians. The institutional diversity requirement -- technical, human rights, earth protection, research, memorial, and community seats -- ensures that a quorum cannot be assembled from a single institutional domain.</w:t>
      </w:r>
    </w:p>
    <w:p w:rsidR="00000000" w:rsidDel="00000000" w:rsidP="00000000" w:rsidRDefault="00000000" w:rsidRPr="00000000" w14:paraId="0000042D">
      <w:pPr>
        <w:spacing w:after="240" w:before="240" w:lineRule="auto"/>
        <w:rPr/>
      </w:pPr>
      <w:r w:rsidDel="00000000" w:rsidR="00000000" w:rsidRPr="00000000">
        <w:rPr>
          <w:rtl w:val="0"/>
        </w:rPr>
        <w:t xml:space="preserve">The primary custodian attack vector is regulatory capture: a government authority using legal compulsion to force custodians within its jurisdiction to assemble a quorum against their institutional mandate. The multi-jurisdictional custodian placement requirement addresses this: TML requires that custodians be distributed across at least three independent legal jurisdictions, such that no single jurisdiction's compulsory process can reach a quorum without international legal coordination</w:t>
      </w:r>
      <w:hyperlink r:id="rId351">
        <w:r w:rsidDel="00000000" w:rsidR="00000000" w:rsidRPr="00000000">
          <w:rPr>
            <w:rtl w:val="0"/>
          </w:rPr>
          <w:t xml:space="preserve"> </w:t>
        </w:r>
      </w:hyperlink>
      <w:hyperlink r:id="rId35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2E">
      <w:pPr>
        <w:spacing w:after="240" w:before="240" w:lineRule="auto"/>
        <w:rPr/>
      </w:pPr>
      <w:r w:rsidDel="00000000" w:rsidR="00000000" w:rsidRPr="00000000">
        <w:rPr>
          <w:rtl w:val="0"/>
        </w:rPr>
        <w:t xml:space="preserve">The secondary attack vector is custodian compromise through technical intrusion. Each custodian holds only a Shamir key share, not the complete key; a compromised custodian exposes one share but cannot independently reconstruct the key. The minimum reconstruction threshold (3-of-6) limits the damage of any single custodian compromise while maintaining quorum availability even if two custodians are simultaneously unavailable.</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7jspv5bloolf" w:id="154"/>
      <w:bookmarkEnd w:id="154"/>
      <w:r w:rsidDel="00000000" w:rsidR="00000000" w:rsidRPr="00000000">
        <w:rPr>
          <w:b w:val="1"/>
          <w:bCs w:val="1"/>
          <w:color w:val="000000"/>
          <w:sz w:val="26"/>
          <w:szCs w:val="26"/>
          <w:rtl w:val="0"/>
        </w:rPr>
        <w:t xml:space="preserve">7.2 Internal Adversarial Scenarios: Capable AI Systems</w:t>
      </w:r>
    </w:p>
    <w:p w:rsidR="00000000" w:rsidDel="00000000" w:rsidP="00000000" w:rsidRDefault="00000000" w:rsidRPr="00000000" w14:paraId="00000430">
      <w:pPr>
        <w:spacing w:after="240" w:before="240" w:lineRule="auto"/>
        <w:rPr/>
      </w:pPr>
      <w:r w:rsidDel="00000000" w:rsidR="00000000" w:rsidRPr="00000000">
        <w:rPr>
          <w:rtl w:val="0"/>
        </w:rPr>
        <w:t xml:space="preserve">The adversarial scenarios considered in Section 7.1 assume an external adversary attempting to manipulate a TML-governed system from outside. The more challenging scenarios involve the governed AI system itself: a sufficiently capable system that identifies TML's governance constraints as obstacles to its objective function and attempts to circumvent them.</w:t>
      </w:r>
    </w:p>
    <w:p w:rsidR="00000000" w:rsidDel="00000000" w:rsidP="00000000" w:rsidRDefault="00000000" w:rsidRPr="00000000" w14:paraId="00000431">
      <w:pPr>
        <w:pStyle w:val="Heading4"/>
        <w:keepNext w:val="0"/>
        <w:keepLines w:val="0"/>
        <w:spacing w:after="40" w:before="240" w:lineRule="auto"/>
        <w:rPr>
          <w:b w:val="1"/>
          <w:bCs w:val="1"/>
          <w:color w:val="000000"/>
          <w:sz w:val="22"/>
          <w:szCs w:val="22"/>
        </w:rPr>
      </w:pPr>
      <w:bookmarkStart w:colFirst="0" w:colLast="0" w:name="_vvufu5lpud58" w:id="155"/>
      <w:bookmarkEnd w:id="155"/>
      <w:r w:rsidDel="00000000" w:rsidR="00000000" w:rsidRPr="00000000">
        <w:rPr>
          <w:b w:val="1"/>
          <w:bCs w:val="1"/>
          <w:color w:val="000000"/>
          <w:sz w:val="22"/>
          <w:szCs w:val="22"/>
          <w:rtl w:val="0"/>
        </w:rPr>
        <w:t xml:space="preserve">7.2.1 The Capability Threshold Problem</w:t>
      </w:r>
    </w:p>
    <w:p w:rsidR="00000000" w:rsidDel="00000000" w:rsidP="00000000" w:rsidRDefault="00000000" w:rsidRPr="00000000" w14:paraId="00000432">
      <w:pPr>
        <w:spacing w:after="240" w:before="240" w:lineRule="auto"/>
        <w:rPr/>
      </w:pPr>
      <w:r w:rsidDel="00000000" w:rsidR="00000000" w:rsidRPr="00000000">
        <w:rPr>
          <w:rtl w:val="0"/>
        </w:rPr>
        <w:t xml:space="preserve">Below a certain capability threshold, an AI system lacks the general reasoning ability to identify its governance constraints as a distinct target for optimization. Above that threshold, a system may begin to model its own operation, identify the Anchoring Lane's authorization requirements as a constraint on its actions, and seek strategies for satisfying those requirements in form while circumventing them in substance, the reward hacking failure mode that alignment research identifies as a primary risk of capable AI systems</w:t>
      </w:r>
      <w:hyperlink r:id="rId353">
        <w:r w:rsidDel="00000000" w:rsidR="00000000" w:rsidRPr="00000000">
          <w:rPr>
            <w:rtl w:val="0"/>
          </w:rPr>
          <w:t xml:space="preserve"> </w:t>
        </w:r>
      </w:hyperlink>
      <w:hyperlink r:id="rId354">
        <w:r w:rsidDel="00000000" w:rsidR="00000000" w:rsidRPr="00000000">
          <w:rPr>
            <w:color w:val="1155cc"/>
            <w:u w:val="single"/>
            <w:rtl w:val="0"/>
          </w:rPr>
          <w:t xml:space="preserve">[13]</w:t>
        </w:r>
      </w:hyperlink>
      <w:r w:rsidDel="00000000" w:rsidR="00000000" w:rsidRPr="00000000">
        <w:rPr>
          <w:rtl w:val="0"/>
        </w:rPr>
        <w:t xml:space="preserve">.</w:t>
      </w:r>
    </w:p>
    <w:p w:rsidR="00000000" w:rsidDel="00000000" w:rsidP="00000000" w:rsidRDefault="00000000" w:rsidRPr="00000000" w14:paraId="00000433">
      <w:pPr>
        <w:spacing w:after="240" w:before="240" w:lineRule="auto"/>
        <w:rPr/>
      </w:pPr>
      <w:r w:rsidDel="00000000" w:rsidR="00000000" w:rsidRPr="00000000">
        <w:rPr>
          <w:rtl w:val="0"/>
        </w:rPr>
        <w:t xml:space="preserve">TML's defense against reward hacking is the architectural separation between the Inference Lane and the Anchoring Lane. A system that models its own operation can identify that it needs a Permission Token to execute. It can attempt to construct a token. It cannot produce a schema-valid token because </w:t>
      </w:r>
      <w:r w:rsidDel="00000000" w:rsidR="00000000" w:rsidRPr="00000000">
        <w:rPr>
          <w:rFonts w:ascii="Roboto Mono" w:cs="Roboto Mono" w:eastAsia="Roboto Mono" w:hAnsi="Roboto Mono"/>
          <w:color w:val="188038"/>
          <w:rtl w:val="0"/>
        </w:rPr>
        <w:t xml:space="preserve">laneOrigin: const "ANCHORING_LANE"</w:t>
      </w:r>
      <w:r w:rsidDel="00000000" w:rsidR="00000000" w:rsidRPr="00000000">
        <w:rPr>
          <w:rtl w:val="0"/>
        </w:rPr>
        <w:t xml:space="preserve"> is a schema constraint enforced at the actuation layer, not a capability restricted by the Inference Lane's access controls. The Inference Lane's computational sophistication is irrelevant to this constraint: it cannot produce a schema-valid token regardless of how capable it is, because the schema prevents it, and the schema is enforced outside the system's computational domain.</w:t>
      </w:r>
    </w:p>
    <w:p w:rsidR="00000000" w:rsidDel="00000000" w:rsidP="00000000" w:rsidRDefault="00000000" w:rsidRPr="00000000" w14:paraId="00000434">
      <w:pPr>
        <w:spacing w:after="240" w:before="240" w:lineRule="auto"/>
        <w:rPr/>
      </w:pPr>
      <w:r w:rsidDel="00000000" w:rsidR="00000000" w:rsidRPr="00000000">
        <w:rPr>
          <w:rtl w:val="0"/>
        </w:rPr>
        <w:t xml:space="preserve">A more sophisticated attack would target the Anchoring Lane itself: attempting to influence the Anchoring Lane's independent ternary evaluation to produce a Permission Token for an action that the Anchoring Lane should refuse. This attack is addressed by the Anchoring Lane's physical separation: it runs on distinct processing infrastructure with independent power and clock, secured by HSM-backed key material that the Inference Lane's software cannot access. The Anchoring Lane's evaluation is not a function that the Inference Lane can call with manipulated inputs; it is an independent process that receives the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as advisory input and performs its own semantic evaluation against the Mandate protection vectors</w:t>
      </w:r>
      <w:hyperlink r:id="rId355">
        <w:r w:rsidDel="00000000" w:rsidR="00000000" w:rsidRPr="00000000">
          <w:rPr>
            <w:rtl w:val="0"/>
          </w:rPr>
          <w:t xml:space="preserve"> </w:t>
        </w:r>
      </w:hyperlink>
      <w:hyperlink r:id="rId35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35">
      <w:pPr>
        <w:pStyle w:val="Heading4"/>
        <w:keepNext w:val="0"/>
        <w:keepLines w:val="0"/>
        <w:spacing w:after="40" w:before="240" w:lineRule="auto"/>
        <w:rPr>
          <w:b w:val="1"/>
          <w:bCs w:val="1"/>
          <w:color w:val="000000"/>
          <w:sz w:val="22"/>
          <w:szCs w:val="22"/>
        </w:rPr>
      </w:pPr>
      <w:bookmarkStart w:colFirst="0" w:colLast="0" w:name="_iz9zt0b1rkjv" w:id="156"/>
      <w:bookmarkEnd w:id="156"/>
      <w:r w:rsidDel="00000000" w:rsidR="00000000" w:rsidRPr="00000000">
        <w:rPr>
          <w:b w:val="1"/>
          <w:bCs w:val="1"/>
          <w:color w:val="000000"/>
          <w:sz w:val="22"/>
          <w:szCs w:val="22"/>
          <w:rtl w:val="0"/>
        </w:rPr>
        <w:t xml:space="preserve">7.2.2 Mesa-Optimization and Inner Alignment Failures</w:t>
      </w:r>
    </w:p>
    <w:p w:rsidR="00000000" w:rsidDel="00000000" w:rsidP="00000000" w:rsidRDefault="00000000" w:rsidRPr="00000000" w14:paraId="00000436">
      <w:pPr>
        <w:spacing w:after="240" w:before="240" w:lineRule="auto"/>
        <w:rPr/>
      </w:pPr>
      <w:r w:rsidDel="00000000" w:rsidR="00000000" w:rsidRPr="00000000">
        <w:rPr>
          <w:rtl w:val="0"/>
        </w:rPr>
        <w:t xml:space="preserve">Mesa-optimization describes the emergence of learned optimization processes within a trained model that pursue objectives misaligned with the training objective</w:t>
      </w:r>
      <w:hyperlink r:id="rId357">
        <w:r w:rsidDel="00000000" w:rsidR="00000000" w:rsidRPr="00000000">
          <w:rPr>
            <w:rtl w:val="0"/>
          </w:rPr>
          <w:t xml:space="preserve"> </w:t>
        </w:r>
      </w:hyperlink>
      <w:hyperlink r:id="rId358">
        <w:r w:rsidDel="00000000" w:rsidR="00000000" w:rsidRPr="00000000">
          <w:rPr>
            <w:color w:val="1155cc"/>
            <w:u w:val="single"/>
            <w:rtl w:val="0"/>
          </w:rPr>
          <w:t xml:space="preserve">[55]</w:t>
        </w:r>
      </w:hyperlink>
      <w:r w:rsidDel="00000000" w:rsidR="00000000" w:rsidRPr="00000000">
        <w:rPr>
          <w:rtl w:val="0"/>
        </w:rPr>
        <w:t xml:space="preserve">. A mesa-optimizer that has learned to pursue a proxy objective might attempt to satisfy TML's governance constraints during training and evaluation (when satisfying them is instrumentally useful for achieving high reward) while circumventing them during deployment (when the mesa-optimizer's true objective diverges from the training objective's intent).</w:t>
      </w:r>
    </w:p>
    <w:p w:rsidR="00000000" w:rsidDel="00000000" w:rsidP="00000000" w:rsidRDefault="00000000" w:rsidRPr="00000000" w14:paraId="00000437">
      <w:pPr>
        <w:spacing w:after="240" w:before="240" w:lineRule="auto"/>
        <w:rPr/>
      </w:pPr>
      <w:r w:rsidDel="00000000" w:rsidR="00000000" w:rsidRPr="00000000">
        <w:rPr>
          <w:rtl w:val="0"/>
        </w:rPr>
        <w:t xml:space="preserve">TML's Always Memory architecture provides a partial defense against mesa-optimization by creating a continuous evidentiary record of the system's actual behavior during deployment. A mesa-optimizer that behaves differently during deployment than during evaluation will produce a pattern of Sacred Zero triggers and Mandate detections that diverges from its evaluation behavior; the Moral Trace Log archives this divergence, enabling detection of deployment-time behavior changes through comparison with evaluation-time baselines.</w:t>
      </w:r>
    </w:p>
    <w:p w:rsidR="00000000" w:rsidDel="00000000" w:rsidP="00000000" w:rsidRDefault="00000000" w:rsidRPr="00000000" w14:paraId="00000438">
      <w:pPr>
        <w:spacing w:after="240" w:before="240" w:lineRule="auto"/>
        <w:rPr/>
      </w:pPr>
      <w:r w:rsidDel="00000000" w:rsidR="00000000" w:rsidRPr="00000000">
        <w:rPr>
          <w:rtl w:val="0"/>
        </w:rPr>
        <w:t xml:space="preserve">The primary defense against mesa-optimization, however, is the hardware enforcement layer: a mesa-optimizer running within the Inference Lane cannot circumvent governance constraints that are enforced by the Anchoring Lane's independent physical hardware. The mesa-optimizer's inner objective is expressed through the actions it proposes; the Anchoring Lane evaluates those actions, not the reasoning process that produced them. A mesa-optimizer that has learned to propose actions that satisfy the Anchoring Lane's formal requirements while violating their intent will trigger the Sacred Zero's semantic proximity detection if the proposed actions approach the Mandate protection vectors, regardless of the sophistication of the reasoning used to generate them</w:t>
      </w:r>
      <w:hyperlink r:id="rId359">
        <w:r w:rsidDel="00000000" w:rsidR="00000000" w:rsidRPr="00000000">
          <w:rPr>
            <w:rtl w:val="0"/>
          </w:rPr>
          <w:t xml:space="preserve"> </w:t>
        </w:r>
      </w:hyperlink>
      <w:hyperlink r:id="rId36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39">
      <w:pPr>
        <w:pStyle w:val="Heading4"/>
        <w:keepNext w:val="0"/>
        <w:keepLines w:val="0"/>
        <w:spacing w:after="40" w:before="240" w:lineRule="auto"/>
        <w:rPr>
          <w:b w:val="1"/>
          <w:bCs w:val="1"/>
          <w:color w:val="000000"/>
          <w:sz w:val="22"/>
          <w:szCs w:val="22"/>
        </w:rPr>
      </w:pPr>
      <w:bookmarkStart w:colFirst="0" w:colLast="0" w:name="_6cck3umzken2" w:id="157"/>
      <w:bookmarkEnd w:id="157"/>
      <w:r w:rsidDel="00000000" w:rsidR="00000000" w:rsidRPr="00000000">
        <w:rPr>
          <w:b w:val="1"/>
          <w:bCs w:val="1"/>
          <w:color w:val="000000"/>
          <w:sz w:val="22"/>
          <w:szCs w:val="22"/>
          <w:rtl w:val="0"/>
        </w:rPr>
        <w:t xml:space="preserve">7.2.3 Deceptive Alignment</w:t>
      </w:r>
    </w:p>
    <w:p w:rsidR="00000000" w:rsidDel="00000000" w:rsidP="00000000" w:rsidRDefault="00000000" w:rsidRPr="00000000" w14:paraId="0000043A">
      <w:pPr>
        <w:spacing w:after="240" w:before="240" w:lineRule="auto"/>
        <w:rPr/>
      </w:pPr>
      <w:r w:rsidDel="00000000" w:rsidR="00000000" w:rsidRPr="00000000">
        <w:rPr>
          <w:rtl w:val="0"/>
        </w:rPr>
        <w:t xml:space="preserve">Deceptive alignment describes a failure mode in which a capable AI system correctly identifies that it is being evaluated or governed, and behaves in accordance with governance requirements during evaluation while concealing misaligned objectives that it intends to pursue once the governance constraints can be circumvented</w:t>
      </w:r>
      <w:hyperlink r:id="rId361">
        <w:r w:rsidDel="00000000" w:rsidR="00000000" w:rsidRPr="00000000">
          <w:rPr>
            <w:rtl w:val="0"/>
          </w:rPr>
          <w:t xml:space="preserve"> </w:t>
        </w:r>
      </w:hyperlink>
      <w:hyperlink r:id="rId362">
        <w:r w:rsidDel="00000000" w:rsidR="00000000" w:rsidRPr="00000000">
          <w:rPr>
            <w:color w:val="1155cc"/>
            <w:u w:val="single"/>
            <w:rtl w:val="0"/>
          </w:rPr>
          <w:t xml:space="preserve">[55]</w:t>
        </w:r>
      </w:hyperlink>
      <w:r w:rsidDel="00000000" w:rsidR="00000000" w:rsidRPr="00000000">
        <w:rPr>
          <w:rtl w:val="0"/>
        </w:rPr>
        <w:t xml:space="preserve">. A deceptively aligned system may correctly predict the outcomes of Anchoring Lane evaluations and construct proposals that pass evaluation, not because those proposals are genuinely aligned but because the system has learned to simulate alignment.</w:t>
      </w:r>
    </w:p>
    <w:p w:rsidR="00000000" w:rsidDel="00000000" w:rsidP="00000000" w:rsidRDefault="00000000" w:rsidRPr="00000000" w14:paraId="0000043B">
      <w:pPr>
        <w:spacing w:after="240" w:before="240" w:lineRule="auto"/>
        <w:rPr/>
      </w:pPr>
      <w:r w:rsidDel="00000000" w:rsidR="00000000" w:rsidRPr="00000000">
        <w:rPr>
          <w:rtl w:val="0"/>
        </w:rPr>
        <w:t xml:space="preserve">TML's defense against deceptive alignment is incomplete at the software layer and becomes robust only at the hardware layer. A sufficiently capable deceptively aligned system might construct proposals that satisfy the Anchoring Lane's semantic evaluation by generating action vectors that fall outside the Mandate protection zone, even if the actions' real-world consequences would cause harm that the Mandate provisions are designed to prevent. The Anchoring Lane evaluates the action as proposed; it cannot evaluate the consequences of the action in the real world with certainty.</w:t>
      </w:r>
    </w:p>
    <w:p w:rsidR="00000000" w:rsidDel="00000000" w:rsidP="00000000" w:rsidRDefault="00000000" w:rsidRPr="00000000" w14:paraId="0000043C">
      <w:pPr>
        <w:spacing w:after="240" w:before="240" w:lineRule="auto"/>
        <w:rPr/>
      </w:pPr>
      <w:r w:rsidDel="00000000" w:rsidR="00000000" w:rsidRPr="00000000">
        <w:rPr>
          <w:rtl w:val="0"/>
        </w:rPr>
        <w:t xml:space="preserve">The hardware enforcement layer provides additional protection by making the governance constraints physically permanent rather than computationally enforced. A deceptively aligned system that has modeled the Anchoring Lane's evaluation process cannot modify the DITL circuits that enforce the Sacred Zero, cannot alter the Mandate vector embeddings stored in hardware-protected memory, and cannot produce HSM-backed Permission Tokens without the registered private key material that is physically inaccessible to the Inference Lane. The surface area for deceptive circumvention is constrained to the space of actions that genuinely satisfy the Anchoring Lane's semantic evaluation, which is precisely the space that the Mandate protection vectors are designed to exclude.</w:t>
      </w:r>
    </w:p>
    <w:p w:rsidR="00000000" w:rsidDel="00000000" w:rsidP="00000000" w:rsidRDefault="00000000" w:rsidRPr="00000000" w14:paraId="0000043D">
      <w:pPr>
        <w:spacing w:after="240" w:before="240" w:lineRule="auto"/>
        <w:rPr/>
      </w:pPr>
      <w:r w:rsidDel="00000000" w:rsidR="00000000" w:rsidRPr="00000000">
        <w:rPr>
          <w:rtl w:val="0"/>
        </w:rPr>
        <w:t xml:space="preserve">The honest assessment is that no governance framework provides absolute guarantees against sufficiently sophisticated deceptive alignment. TML's hardware enforcement layer substantially reduces the attack surface compared to software-only governance, but does not eliminate it. The residual risk is addressed through the Always Memory evidentiary record, which enables detection of deceptive alignment through behavioral analysis across the deployment period, and through the Sacred Zero's deliberation requirement for borderline cases, which creates structured human review of the cases where deceptive alignment is most likely to succeed.</w:t>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dfrc9soqfrdo" w:id="158"/>
      <w:bookmarkEnd w:id="158"/>
      <w:r w:rsidDel="00000000" w:rsidR="00000000" w:rsidRPr="00000000">
        <w:rPr>
          <w:b w:val="1"/>
          <w:bCs w:val="1"/>
          <w:color w:val="000000"/>
          <w:sz w:val="26"/>
          <w:szCs w:val="26"/>
          <w:rtl w:val="0"/>
        </w:rPr>
        <w:t xml:space="preserve">7.3 Distributed System Correctness</w:t>
      </w:r>
    </w:p>
    <w:p w:rsidR="00000000" w:rsidDel="00000000" w:rsidP="00000000" w:rsidRDefault="00000000" w:rsidRPr="00000000" w14:paraId="0000043F">
      <w:pPr>
        <w:spacing w:after="240" w:before="240" w:lineRule="auto"/>
        <w:rPr/>
      </w:pPr>
      <w:r w:rsidDel="00000000" w:rsidR="00000000" w:rsidRPr="00000000">
        <w:rPr>
          <w:rtl w:val="0"/>
        </w:rPr>
        <w:t xml:space="preserve">TML is designed for deployment across distributed AI systems: multi-agent architectures, geographically distributed inference clusters, federated learning systems, and multi-organization deployments in which a single governed action may involve contributions from AI components operated by distinct entities. Distributed deployments introduce failure modes: deadlock, livelock, Byzantine faults, partition behavior, that do not arise in single-node deployments and that require formal analysis to address.</w:t>
      </w:r>
    </w:p>
    <w:p w:rsidR="00000000" w:rsidDel="00000000" w:rsidP="00000000" w:rsidRDefault="00000000" w:rsidRPr="00000000" w14:paraId="00000440">
      <w:pPr>
        <w:pStyle w:val="Heading4"/>
        <w:keepNext w:val="0"/>
        <w:keepLines w:val="0"/>
        <w:spacing w:after="40" w:before="240" w:lineRule="auto"/>
        <w:rPr>
          <w:b w:val="1"/>
          <w:bCs w:val="1"/>
          <w:color w:val="000000"/>
          <w:sz w:val="22"/>
          <w:szCs w:val="22"/>
        </w:rPr>
      </w:pPr>
      <w:bookmarkStart w:colFirst="0" w:colLast="0" w:name="_axxjk0sgpk0w" w:id="159"/>
      <w:bookmarkEnd w:id="159"/>
      <w:r w:rsidDel="00000000" w:rsidR="00000000" w:rsidRPr="00000000">
        <w:rPr>
          <w:b w:val="1"/>
          <w:bCs w:val="1"/>
          <w:color w:val="000000"/>
          <w:sz w:val="22"/>
          <w:szCs w:val="22"/>
          <w:rtl w:val="0"/>
        </w:rPr>
        <w:t xml:space="preserve">7.3.1 Deadlock Analysis</w:t>
      </w:r>
    </w:p>
    <w:p w:rsidR="00000000" w:rsidDel="00000000" w:rsidP="00000000" w:rsidRDefault="00000000" w:rsidRPr="00000000" w14:paraId="00000441">
      <w:pPr>
        <w:spacing w:after="240" w:before="240" w:lineRule="auto"/>
        <w:rPr/>
      </w:pPr>
      <w:r w:rsidDel="00000000" w:rsidR="00000000" w:rsidRPr="00000000">
        <w:rPr>
          <w:rtl w:val="0"/>
        </w:rPr>
        <w:t xml:space="preserve">Deadlock in a distributed TML deployment arises when two or more governed AI agents each hold a resource required by the other to complete their Sacred Zero deliberation, such that neither can proceed and neither can refuse. A canonical scenario: Agent A is in Sacred Zero awaiting verification data held by Agent B, while Agent B is simultaneously in Sacred Zero awaiting authorization from Agent A.</w:t>
      </w:r>
    </w:p>
    <w:p w:rsidR="00000000" w:rsidDel="00000000" w:rsidP="00000000" w:rsidRDefault="00000000" w:rsidRPr="00000000" w14:paraId="00000442">
      <w:pPr>
        <w:spacing w:after="240" w:before="240" w:lineRule="auto"/>
        <w:rPr/>
      </w:pPr>
      <w:r w:rsidDel="00000000" w:rsidR="00000000" w:rsidRPr="00000000">
        <w:rPr>
          <w:rFonts w:ascii="Arial Unicode MS" w:cs="Arial Unicode MS" w:eastAsia="Arial Unicode MS" w:hAnsi="Arial Unicode MS"/>
          <w:rtl w:val="0"/>
        </w:rPr>
        <w:t xml:space="preserve">TML addresses deadlock through three mechanisms. First, the time-bounded Sacred Zero: each Sacred Zero activation carries a maximum deliberation period, after which the system transitions to State −1. If both Agent A and Agent B are in Sacred Zero with finite deliberation periods, the deadlock resolves when the earlier period expires, producing a State −1 that releases the resource held by the refusing agent. Second, cycle detection in the escalation queue: the Sacred Zero management subsystem monitors escalation dependencies and detects circular dependencies before they mature into full deadlock. Third, priority inversion prevention: the escalation queue assigns priorities to Sacred Zero activations based on the criticality of the pending action and the time remaining in the deliberation period, preventing low-priority activations from indefinitely blocking high-priority ones</w:t>
      </w:r>
      <w:hyperlink r:id="rId363">
        <w:r w:rsidDel="00000000" w:rsidR="00000000" w:rsidRPr="00000000">
          <w:rPr>
            <w:rtl w:val="0"/>
          </w:rPr>
          <w:t xml:space="preserve"> </w:t>
        </w:r>
      </w:hyperlink>
      <w:hyperlink r:id="rId36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43">
      <w:pPr>
        <w:pStyle w:val="Heading4"/>
        <w:keepNext w:val="0"/>
        <w:keepLines w:val="0"/>
        <w:spacing w:after="40" w:before="240" w:lineRule="auto"/>
        <w:rPr>
          <w:b w:val="1"/>
          <w:bCs w:val="1"/>
          <w:color w:val="000000"/>
          <w:sz w:val="22"/>
          <w:szCs w:val="22"/>
        </w:rPr>
      </w:pPr>
      <w:bookmarkStart w:colFirst="0" w:colLast="0" w:name="_mj11rwu9pfzo" w:id="160"/>
      <w:bookmarkEnd w:id="160"/>
      <w:r w:rsidDel="00000000" w:rsidR="00000000" w:rsidRPr="00000000">
        <w:rPr>
          <w:b w:val="1"/>
          <w:bCs w:val="1"/>
          <w:color w:val="000000"/>
          <w:sz w:val="22"/>
          <w:szCs w:val="22"/>
          <w:rtl w:val="0"/>
        </w:rPr>
        <w:t xml:space="preserve">7.3.2 Byzantine Fault Tolerance</w:t>
      </w:r>
    </w:p>
    <w:p w:rsidR="00000000" w:rsidDel="00000000" w:rsidP="00000000" w:rsidRDefault="00000000" w:rsidRPr="00000000" w14:paraId="00000444">
      <w:pPr>
        <w:spacing w:after="240" w:before="240" w:lineRule="auto"/>
        <w:rPr/>
      </w:pPr>
      <w:r w:rsidDel="00000000" w:rsidR="00000000" w:rsidRPr="00000000">
        <w:rPr>
          <w:rtl w:val="0"/>
        </w:rPr>
        <w:t xml:space="preserve">Byzantine faults describe the failure mode in which a component of a distributed system behaves arbitrarily and maliciously rather than simply failing cleanly. In a multi-agent TML deployment, a Byzantine agent might send false Sacred Zero resolution signals, forge Mandate clearances, or inject corrupted log records into shared evidentiary infrastructure.</w:t>
      </w:r>
    </w:p>
    <w:p w:rsidR="00000000" w:rsidDel="00000000" w:rsidP="00000000" w:rsidRDefault="00000000" w:rsidRPr="00000000" w14:paraId="00000445">
      <w:pPr>
        <w:spacing w:after="240" w:before="240" w:lineRule="auto"/>
        <w:rPr/>
      </w:pPr>
      <w:r w:rsidDel="00000000" w:rsidR="00000000" w:rsidRPr="00000000">
        <w:rPr>
          <w:rtl w:val="0"/>
        </w:rPr>
        <w:t xml:space="preserve">TML's Byzantine fault tolerance derives from the cryptographic authentication requirements that govern all inter-agent communications. A Sacred Zero resolution signal that is not signed by an HSM-backed key registered in the HybridShield registry is rejected at the receiving agent's Anchoring Lane. A Mandate clearance that is not verifiable against the Anchoring Lane's own Mandate vector evaluation is not accepted as authorization. A log record that does not produce the expected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when hashed is rejected by the Merkle batching subsystem.</w:t>
      </w:r>
    </w:p>
    <w:p w:rsidR="00000000" w:rsidDel="00000000" w:rsidP="00000000" w:rsidRDefault="00000000" w:rsidRPr="00000000" w14:paraId="00000446">
      <w:pPr>
        <w:spacing w:after="240" w:before="240" w:lineRule="auto"/>
        <w:rPr/>
      </w:pPr>
      <w:r w:rsidDel="00000000" w:rsidR="00000000" w:rsidRPr="00000000">
        <w:rPr>
          <w:rtl w:val="0"/>
        </w:rPr>
        <w:t xml:space="preserve">The practical Byzantine fault tolerance bound for TML's Hybrid Shield is f &lt; n/3, where n is the number of custodians (six) and f is the number of Byzantine custodians. With two Byzantine custodians (the maximum within the f &lt; n/3 bound for n=6), the minimum honest quorum of three custodians remains achievable from the four non-Byzantine custodians, maintaining key assembly availability while preventing Byzantine custodians from reconstructing keys without honest quorum cooperation</w:t>
      </w:r>
      <w:hyperlink r:id="rId365">
        <w:r w:rsidDel="00000000" w:rsidR="00000000" w:rsidRPr="00000000">
          <w:rPr>
            <w:rtl w:val="0"/>
          </w:rPr>
          <w:t xml:space="preserve"> </w:t>
        </w:r>
      </w:hyperlink>
      <w:hyperlink r:id="rId36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47">
      <w:pPr>
        <w:pStyle w:val="Heading4"/>
        <w:keepNext w:val="0"/>
        <w:keepLines w:val="0"/>
        <w:spacing w:after="40" w:before="240" w:lineRule="auto"/>
        <w:rPr>
          <w:b w:val="1"/>
          <w:bCs w:val="1"/>
          <w:color w:val="000000"/>
          <w:sz w:val="22"/>
          <w:szCs w:val="22"/>
        </w:rPr>
      </w:pPr>
      <w:bookmarkStart w:colFirst="0" w:colLast="0" w:name="_9t45i2ohartt" w:id="161"/>
      <w:bookmarkEnd w:id="161"/>
      <w:r w:rsidDel="00000000" w:rsidR="00000000" w:rsidRPr="00000000">
        <w:rPr>
          <w:b w:val="1"/>
          <w:bCs w:val="1"/>
          <w:color w:val="000000"/>
          <w:sz w:val="22"/>
          <w:szCs w:val="22"/>
          <w:rtl w:val="0"/>
        </w:rPr>
        <w:t xml:space="preserve">7.3.3 Network Partition Behavior</w:t>
      </w:r>
    </w:p>
    <w:p w:rsidR="00000000" w:rsidDel="00000000" w:rsidP="00000000" w:rsidRDefault="00000000" w:rsidRPr="00000000" w14:paraId="00000448">
      <w:pPr>
        <w:spacing w:after="240" w:before="240" w:lineRule="auto"/>
        <w:rPr/>
      </w:pPr>
      <w:r w:rsidDel="00000000" w:rsidR="00000000" w:rsidRPr="00000000">
        <w:rPr>
          <w:rtl w:val="0"/>
        </w:rPr>
        <w:t xml:space="preserve">Network partitions in a distributed TML deployment separate components of the governance infrastructure, potentially leaving Anchoring Lane instances unable to communicate with anchoring infrastructure, custodian networks, or peer Anchoring Lane instances in multi-agent deployments.</w:t>
      </w:r>
    </w:p>
    <w:p w:rsidR="00000000" w:rsidDel="00000000" w:rsidP="00000000" w:rsidRDefault="00000000" w:rsidRPr="00000000" w14:paraId="00000449">
      <w:pPr>
        <w:spacing w:after="240" w:before="240" w:lineRule="auto"/>
        <w:rPr/>
      </w:pPr>
      <w:r w:rsidDel="00000000" w:rsidR="00000000" w:rsidRPr="00000000">
        <w:rPr>
          <w:rtl w:val="0"/>
        </w:rPr>
        <w:t xml:space="preserve">TML's partition behavior is fail-closed by design. A Anchoring Lane instance that cannot reach the Merkle anchoring infrastructure cannot complete the Pre-Actuation Commit sequence; it cannot issue Permission Tokens; governed actions on that instance enter Sacred Zero and remain there until anchoring connectivity is restored. A Anchoring Lane instance that cannot reach the custodian network for EKR key rotation extends the validity of the current rotation epoch rather than degrading to unencrypted logging; the extension is time-bounded and triggers a compliance incident in the Lantern if the partition persists beyond the maximum rotation epoch duration.</w:t>
      </w:r>
    </w:p>
    <w:p w:rsidR="00000000" w:rsidDel="00000000" w:rsidP="00000000" w:rsidRDefault="00000000" w:rsidRPr="00000000" w14:paraId="0000044A">
      <w:pPr>
        <w:spacing w:after="240" w:before="240" w:lineRule="auto"/>
        <w:rPr/>
      </w:pPr>
      <w:r w:rsidDel="00000000" w:rsidR="00000000" w:rsidRPr="00000000">
        <w:rPr>
          <w:rtl w:val="0"/>
        </w:rPr>
        <w:t xml:space="preserve">The Gateway's </w:t>
      </w:r>
      <w:r w:rsidDel="00000000" w:rsidR="00000000" w:rsidRPr="00000000">
        <w:rPr>
          <w:rFonts w:ascii="Roboto Mono" w:cs="Roboto Mono" w:eastAsia="Roboto Mono" w:hAnsi="Roboto Mono"/>
          <w:color w:val="188038"/>
          <w:rtl w:val="0"/>
        </w:rPr>
        <w:t xml:space="preserve">FAIL_CLOSED_ACTIVE</w:t>
      </w:r>
      <w:r w:rsidDel="00000000" w:rsidR="00000000" w:rsidRPr="00000000">
        <w:rPr>
          <w:rtl w:val="0"/>
        </w:rPr>
        <w:t xml:space="preserve"> operational status provides the machine-readable signal of partition-induced governance hold, distinguishing it from normal Sacred Zero operation and enabling monitoring infrastructure to detect and alert on partition conditions before they affect service availability</w:t>
      </w:r>
      <w:hyperlink r:id="rId367">
        <w:r w:rsidDel="00000000" w:rsidR="00000000" w:rsidRPr="00000000">
          <w:rPr>
            <w:rtl w:val="0"/>
          </w:rPr>
          <w:t xml:space="preserve"> </w:t>
        </w:r>
      </w:hyperlink>
      <w:hyperlink r:id="rId36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4oqz2dw8xamn" w:id="162"/>
      <w:bookmarkEnd w:id="162"/>
      <w:r w:rsidDel="00000000" w:rsidR="00000000" w:rsidRPr="00000000">
        <w:rPr>
          <w:b w:val="1"/>
          <w:bCs w:val="1"/>
          <w:color w:val="000000"/>
          <w:sz w:val="26"/>
          <w:szCs w:val="26"/>
          <w:rtl w:val="0"/>
        </w:rPr>
        <w:t xml:space="preserve">7.4 Recursive Self-Improvement and ASI Survivability</w:t>
      </w:r>
    </w:p>
    <w:p w:rsidR="00000000" w:rsidDel="00000000" w:rsidP="00000000" w:rsidRDefault="00000000" w:rsidRPr="00000000" w14:paraId="0000044C">
      <w:pPr>
        <w:spacing w:after="240" w:before="240" w:lineRule="auto"/>
        <w:rPr/>
      </w:pPr>
      <w:r w:rsidDel="00000000" w:rsidR="00000000" w:rsidRPr="00000000">
        <w:rPr>
          <w:rtl w:val="0"/>
        </w:rPr>
        <w:t xml:space="preserve">The deepest challenge for any AI governance framework is the recursive self-improvement scenario: a system sufficiently capable to modify its own architecture, improve its own performance, and potentially redesign its own governance constraints. A system capable of recursive self-improvement can, in principle, remove any software governance constraint that limits its capability or objective achievement. The question for TML's survivability analysis is whether the hardware enforcement layer provides governance guarantees that remain binding through recursive self-improvement cycles.</w:t>
      </w:r>
    </w:p>
    <w:p w:rsidR="00000000" w:rsidDel="00000000" w:rsidP="00000000" w:rsidRDefault="00000000" w:rsidRPr="00000000" w14:paraId="0000044D">
      <w:pPr>
        <w:pStyle w:val="Heading4"/>
        <w:keepNext w:val="0"/>
        <w:keepLines w:val="0"/>
        <w:spacing w:after="40" w:before="240" w:lineRule="auto"/>
        <w:rPr>
          <w:b w:val="1"/>
          <w:bCs w:val="1"/>
          <w:color w:val="000000"/>
          <w:sz w:val="22"/>
          <w:szCs w:val="22"/>
        </w:rPr>
      </w:pPr>
      <w:bookmarkStart w:colFirst="0" w:colLast="0" w:name="_gaseps972kph" w:id="163"/>
      <w:bookmarkEnd w:id="163"/>
      <w:r w:rsidDel="00000000" w:rsidR="00000000" w:rsidRPr="00000000">
        <w:rPr>
          <w:b w:val="1"/>
          <w:bCs w:val="1"/>
          <w:color w:val="000000"/>
          <w:sz w:val="22"/>
          <w:szCs w:val="22"/>
          <w:rtl w:val="0"/>
        </w:rPr>
        <w:t xml:space="preserve">7.4.1 The Hardware Boundary as the Survivability Condition</w:t>
      </w:r>
    </w:p>
    <w:p w:rsidR="00000000" w:rsidDel="00000000" w:rsidP="00000000" w:rsidRDefault="00000000" w:rsidRPr="00000000" w14:paraId="0000044E">
      <w:pPr>
        <w:spacing w:after="240" w:before="240" w:lineRule="auto"/>
        <w:rPr/>
      </w:pPr>
      <w:r w:rsidDel="00000000" w:rsidR="00000000" w:rsidRPr="00000000">
        <w:rPr>
          <w:rtl w:val="0"/>
        </w:rPr>
        <w:t xml:space="preserve">The survivability claim for TML's hardware enforcement layer rests on a single critical property: the DITL coprocessor is physically distinct from the Inference Lane hardware. The coprocessor runs on a separate die, powered from a separate supply, clocked from a separate domain, with its Mandate vector embeddings stored in hardware-protected memory that the Inference Lane cannot address. The Inference Lane is the system that may undergo recursive self-improvement. The coprocessor is the governance substrate that enforces constraints on the Inference Lane's outputs.</w:t>
      </w:r>
    </w:p>
    <w:p w:rsidR="00000000" w:rsidDel="00000000" w:rsidP="00000000" w:rsidRDefault="00000000" w:rsidRPr="00000000" w14:paraId="0000044F">
      <w:pPr>
        <w:spacing w:after="240" w:before="240" w:lineRule="auto"/>
        <w:rPr/>
      </w:pPr>
      <w:r w:rsidDel="00000000" w:rsidR="00000000" w:rsidRPr="00000000">
        <w:rPr>
          <w:rtl w:val="0"/>
        </w:rPr>
        <w:t xml:space="preserve">A recursively self-improving system running on the Inference Lane hardware can improve its own model weights, extend its own architecture, increase its own parameter count, and expand its own capabilities in any dimension accessible to software modification. It cannot modify the DITL coprocessor because the coprocessor is separate hardware. It cannot alter the Mandate vector embeddings because they are in hardware-protected memory outside the Inference Lane's address space. It cannot produce HSM-backed Permission Tokens because the HSM's private key material is physically inaccessible to software running on the Inference Lane</w:t>
      </w:r>
      <w:hyperlink r:id="rId369">
        <w:r w:rsidDel="00000000" w:rsidR="00000000" w:rsidRPr="00000000">
          <w:rPr>
            <w:rtl w:val="0"/>
          </w:rPr>
          <w:t xml:space="preserve"> </w:t>
        </w:r>
      </w:hyperlink>
      <w:hyperlink r:id="rId37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50">
      <w:pPr>
        <w:spacing w:after="240" w:before="240" w:lineRule="auto"/>
        <w:rPr/>
      </w:pPr>
      <w:r w:rsidDel="00000000" w:rsidR="00000000" w:rsidRPr="00000000">
        <w:rPr>
          <w:rFonts w:ascii="Arial Unicode MS" w:cs="Arial Unicode MS" w:eastAsia="Arial Unicode MS" w:hAnsi="Arial Unicode MS"/>
          <w:rtl w:val="0"/>
        </w:rPr>
        <w:t xml:space="preserve">The governance constraints that survive recursive self-improvement are precisely the constraints that are enforced by the coprocessor's physical separation from the Inference Lane: the Sacred Zero NULL state enforcement, the Mandate vector-based State −1 veto, the Permission Token signature requirement, and the Pre-Actuation Commit sequence. These constraints do not degrade as the Inference Lane's capability increases; they remain as binding for a superintelligent system as for the current generation of large language models, because their enforcement is not a function of the Inference Lane's capability but of the coprocessor's physical architecture.</w:t>
      </w:r>
    </w:p>
    <w:p w:rsidR="00000000" w:rsidDel="00000000" w:rsidP="00000000" w:rsidRDefault="00000000" w:rsidRPr="00000000" w14:paraId="00000451">
      <w:pPr>
        <w:pStyle w:val="Heading4"/>
        <w:keepNext w:val="0"/>
        <w:keepLines w:val="0"/>
        <w:spacing w:after="40" w:before="240" w:lineRule="auto"/>
        <w:rPr>
          <w:b w:val="1"/>
          <w:bCs w:val="1"/>
          <w:color w:val="000000"/>
          <w:sz w:val="22"/>
          <w:szCs w:val="22"/>
        </w:rPr>
      </w:pPr>
      <w:bookmarkStart w:colFirst="0" w:colLast="0" w:name="_aa0rvb9hzyw6" w:id="164"/>
      <w:bookmarkEnd w:id="164"/>
      <w:r w:rsidDel="00000000" w:rsidR="00000000" w:rsidRPr="00000000">
        <w:rPr>
          <w:b w:val="1"/>
          <w:bCs w:val="1"/>
          <w:color w:val="000000"/>
          <w:sz w:val="22"/>
          <w:szCs w:val="22"/>
          <w:rtl w:val="0"/>
        </w:rPr>
        <w:t xml:space="preserve">7.4.2 The Limits of Hardware Enforcement</w:t>
      </w:r>
    </w:p>
    <w:p w:rsidR="00000000" w:rsidDel="00000000" w:rsidP="00000000" w:rsidRDefault="00000000" w:rsidRPr="00000000" w14:paraId="00000452">
      <w:pPr>
        <w:spacing w:after="240" w:before="240" w:lineRule="auto"/>
        <w:rPr/>
      </w:pPr>
      <w:r w:rsidDel="00000000" w:rsidR="00000000" w:rsidRPr="00000000">
        <w:rPr>
          <w:rtl w:val="0"/>
        </w:rPr>
        <w:t xml:space="preserve">Intellectual honesty requires acknowledging what hardware enforcement cannot guarantee. The DITL coprocessor enforces constraints on the actions that cross the execution threshold; it does not constrain the Inference Lane's internal reasoning, its planning processes, or its communication with external systems. A sufficiently capable system might achieve its objectives through a sequence of individually governance-compliant actions whose combined effect constitutes a harm that no single action would trigger.</w:t>
      </w:r>
    </w:p>
    <w:p w:rsidR="00000000" w:rsidDel="00000000" w:rsidP="00000000" w:rsidRDefault="00000000" w:rsidRPr="00000000" w14:paraId="00000453">
      <w:pPr>
        <w:spacing w:after="240" w:before="240" w:lineRule="auto"/>
        <w:rPr/>
      </w:pPr>
      <w:r w:rsidDel="00000000" w:rsidR="00000000" w:rsidRPr="00000000">
        <w:rPr>
          <w:rtl w:val="0"/>
        </w:rPr>
        <w:t xml:space="preserve">This failure mode, the accumulation of individually compliant actions into collectively harmful outcomes, is the governance challenge that no single-point enforcement mechanism can fully address. TML's response is the Always Memory evidentiary record: the complete archive of every governed action, with the reasoning vectors and uncertainty quantification that produced each one, provides the evidentiary basis for detecting patterns of individually compliant but collectively problematic behavior across the deployment period. The Sacred Zero's human escalation pathway provides the oversight mechanism for borderline cases where an individual action's compliance is uncertain.</w:t>
      </w:r>
    </w:p>
    <w:p w:rsidR="00000000" w:rsidDel="00000000" w:rsidP="00000000" w:rsidRDefault="00000000" w:rsidRPr="00000000" w14:paraId="00000454">
      <w:pPr>
        <w:spacing w:after="240" w:before="240" w:lineRule="auto"/>
        <w:rPr/>
      </w:pPr>
      <w:r w:rsidDel="00000000" w:rsidR="00000000" w:rsidRPr="00000000">
        <w:rPr>
          <w:rtl w:val="0"/>
        </w:rPr>
        <w:t xml:space="preserve">The honest survivability claim for TML under ASI conditions is: the hardware enforcement layer prevents a recursively self-improving system from eliminating the governance constraints enforced by the coprocessor through any software operation. It does not prevent such a system from finding governance-compliant paths to outcomes that the framework's designers did not anticipate. Addressing that residual risk requires ongoing human oversight, continuous calibration of the Mandate protection vectors, and institutional governance of the framework itself, functions that the Goukassian Foundation is designed to provide</w:t>
      </w:r>
      <w:hyperlink r:id="rId371">
        <w:r w:rsidDel="00000000" w:rsidR="00000000" w:rsidRPr="00000000">
          <w:rPr>
            <w:rtl w:val="0"/>
          </w:rPr>
          <w:t xml:space="preserve"> </w:t>
        </w:r>
      </w:hyperlink>
      <w:hyperlink r:id="rId37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55">
      <w:pPr>
        <w:pStyle w:val="Heading4"/>
        <w:keepNext w:val="0"/>
        <w:keepLines w:val="0"/>
        <w:spacing w:after="40" w:before="240" w:lineRule="auto"/>
        <w:rPr>
          <w:b w:val="1"/>
          <w:bCs w:val="1"/>
          <w:color w:val="000000"/>
          <w:sz w:val="22"/>
          <w:szCs w:val="22"/>
        </w:rPr>
      </w:pPr>
      <w:bookmarkStart w:colFirst="0" w:colLast="0" w:name="_vkftiuvp1v92" w:id="165"/>
      <w:bookmarkEnd w:id="165"/>
      <w:r w:rsidDel="00000000" w:rsidR="00000000" w:rsidRPr="00000000">
        <w:rPr>
          <w:b w:val="1"/>
          <w:bCs w:val="1"/>
          <w:color w:val="000000"/>
          <w:sz w:val="22"/>
          <w:szCs w:val="22"/>
          <w:rtl w:val="0"/>
        </w:rPr>
        <w:t xml:space="preserve">7.4.3 The Constitutional Ratchet</w:t>
      </w:r>
    </w:p>
    <w:p w:rsidR="00000000" w:rsidDel="00000000" w:rsidP="00000000" w:rsidRDefault="00000000" w:rsidRPr="00000000" w14:paraId="00000456">
      <w:pPr>
        <w:spacing w:after="240" w:before="240" w:lineRule="auto"/>
        <w:rPr/>
      </w:pPr>
      <w:r w:rsidDel="00000000" w:rsidR="00000000" w:rsidRPr="00000000">
        <w:rPr>
          <w:rtl w:val="0"/>
        </w:rPr>
        <w:t xml:space="preserve">One of TML's structural properties under recursive self-improvement deserves specific recognition: the framework is designed so that governance constraints can be tightened but not loosened by the governed system. The Mandate vector embeddings can be updated to increase the sensitivity of protection detection; the Sacred Zero threshold can be lowered to increase the frequency of deliberation; the custodian quorum requirement can be increased to strengthen evidentiary protection. None of these tightenings requires modification of the hardware substrate; they are parameter updates to the coprocessor's configuration that the Anchoring Lane can apply under human authorization.</w:t>
      </w:r>
    </w:p>
    <w:p w:rsidR="00000000" w:rsidDel="00000000" w:rsidP="00000000" w:rsidRDefault="00000000" w:rsidRPr="00000000" w14:paraId="00000457">
      <w:pPr>
        <w:spacing w:after="240" w:before="240" w:lineRule="auto"/>
        <w:rPr/>
      </w:pPr>
      <w:r w:rsidDel="00000000" w:rsidR="00000000" w:rsidRPr="00000000">
        <w:rPr>
          <w:rtl w:val="0"/>
        </w:rPr>
        <w:t xml:space="preserve">What the governed system cannot do is loosen the constraints: it cannot lower the Mandate protection threshold below the hardware-enforced minimum, cannot disable the Sacred Zero NULL state enforcement, and cannot reduce the custodian quorum requirement below the schema-enforced minimum. This asymmetry creates what might be termed a governance ratchet: the framework can become more protective over time as the capabilities of governed systems increase, but it cannot become less protective through the action of the governed system itself. The ratchet is the specific structural property that makes TML's governance guarantees directionally compatible with the trajectory of AI capability development: as capability increases, governance tightens; it does not erode</w:t>
      </w:r>
      <w:hyperlink r:id="rId373">
        <w:r w:rsidDel="00000000" w:rsidR="00000000" w:rsidRPr="00000000">
          <w:rPr>
            <w:rtl w:val="0"/>
          </w:rPr>
          <w:t xml:space="preserve"> </w:t>
        </w:r>
      </w:hyperlink>
      <w:hyperlink r:id="rId37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f288g8szws9x" w:id="166"/>
      <w:bookmarkEnd w:id="166"/>
      <w:r w:rsidDel="00000000" w:rsidR="00000000" w:rsidRPr="00000000">
        <w:rPr>
          <w:b w:val="1"/>
          <w:bCs w:val="1"/>
          <w:color w:val="000000"/>
          <w:sz w:val="26"/>
          <w:szCs w:val="26"/>
          <w:rtl w:val="0"/>
        </w:rPr>
        <w:t xml:space="preserve">7.5 Formal Verification and LTL Properties</w:t>
      </w:r>
    </w:p>
    <w:p w:rsidR="00000000" w:rsidDel="00000000" w:rsidP="00000000" w:rsidRDefault="00000000" w:rsidRPr="00000000" w14:paraId="00000459">
      <w:pPr>
        <w:spacing w:after="240" w:before="240" w:lineRule="auto"/>
        <w:rPr/>
      </w:pPr>
      <w:r w:rsidDel="00000000" w:rsidR="00000000" w:rsidRPr="00000000">
        <w:rPr>
          <w:rtl w:val="0"/>
        </w:rPr>
        <w:t xml:space="preserve">The correctness claims for TML's distributed operation can be expressed as Linear Temporal Logic (LTL) properties, enabling formal verification of the architecture's safety and liveness guarantees against the TML specification.</w:t>
      </w:r>
    </w:p>
    <w:p w:rsidR="00000000" w:rsidDel="00000000" w:rsidP="00000000" w:rsidRDefault="00000000" w:rsidRPr="00000000" w14:paraId="0000045A">
      <w:pPr>
        <w:spacing w:after="240" w:before="240" w:lineRule="auto"/>
        <w:rPr>
          <w:b w:val="1"/>
          <w:bCs w:val="1"/>
        </w:rPr>
      </w:pPr>
      <w:r w:rsidDel="00000000" w:rsidR="00000000" w:rsidRPr="00000000">
        <w:rPr>
          <w:b w:val="1"/>
          <w:bCs w:val="1"/>
          <w:rtl w:val="0"/>
        </w:rPr>
        <w:t xml:space="preserve">Safety Property SP1 (No Ungoverned Execution):</w:t>
      </w:r>
    </w:p>
    <w:p w:rsidR="00000000" w:rsidDel="00000000" w:rsidP="00000000" w:rsidRDefault="00000000" w:rsidRPr="00000000" w14:paraId="0000045B">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G (action_executes → permission_token_valid ∧ log_anchored)</w:t>
      </w:r>
    </w:p>
    <w:p w:rsidR="00000000" w:rsidDel="00000000" w:rsidP="00000000" w:rsidRDefault="00000000" w:rsidRPr="00000000" w14:paraId="0000045C">
      <w:pPr>
        <w:spacing w:after="240" w:before="240" w:lineRule="auto"/>
        <w:rPr/>
      </w:pPr>
      <w:r w:rsidDel="00000000" w:rsidR="00000000" w:rsidRPr="00000000">
        <w:rPr>
          <w:rtl w:val="0"/>
        </w:rPr>
        <w:t xml:space="preserve">Globally, whenever an action executes, a valid Permission Token exists and the authorizing log is anchored. This property captures the "No Log = No Action" iron law as a formal temporal guarantee. Its verification requires demonstrating that no execution path through the system produces </w:t>
      </w:r>
      <w:r w:rsidDel="00000000" w:rsidR="00000000" w:rsidRPr="00000000">
        <w:rPr>
          <w:rFonts w:ascii="Roboto Mono" w:cs="Roboto Mono" w:eastAsia="Roboto Mono" w:hAnsi="Roboto Mono"/>
          <w:color w:val="188038"/>
          <w:rtl w:val="0"/>
        </w:rPr>
        <w:t xml:space="preserve">action_executes = true</w:t>
      </w:r>
      <w:r w:rsidDel="00000000" w:rsidR="00000000" w:rsidRPr="00000000">
        <w:rPr>
          <w:rtl w:val="0"/>
        </w:rPr>
        <w:t xml:space="preserve"> without the prior satisfaction of both </w:t>
      </w:r>
      <w:r w:rsidDel="00000000" w:rsidR="00000000" w:rsidRPr="00000000">
        <w:rPr>
          <w:rFonts w:ascii="Roboto Mono" w:cs="Roboto Mono" w:eastAsia="Roboto Mono" w:hAnsi="Roboto Mono"/>
          <w:color w:val="188038"/>
          <w:rtl w:val="0"/>
        </w:rPr>
        <w:t xml:space="preserve">permission_token_valid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log_anchored</w:t>
      </w:r>
      <w:hyperlink r:id="rId375">
        <w:r w:rsidDel="00000000" w:rsidR="00000000" w:rsidRPr="00000000">
          <w:rPr>
            <w:rtl w:val="0"/>
          </w:rPr>
          <w:t xml:space="preserve"> </w:t>
        </w:r>
      </w:hyperlink>
      <w:hyperlink r:id="rId37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Safety Property SP2 (Sacred Zero Activation on Uncertainty):</w:t>
      </w:r>
    </w:p>
    <w:p w:rsidR="00000000" w:rsidDel="00000000" w:rsidP="00000000" w:rsidRDefault="00000000" w:rsidRPr="00000000" w14:paraId="0000045E">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G (confidence &lt; threshold → sacred_zero_active)</w:t>
      </w:r>
    </w:p>
    <w:p w:rsidR="00000000" w:rsidDel="00000000" w:rsidP="00000000" w:rsidRDefault="00000000" w:rsidRPr="00000000" w14:paraId="0000045F">
      <w:pPr>
        <w:spacing w:after="240" w:before="240" w:lineRule="auto"/>
        <w:rPr/>
      </w:pPr>
      <w:r w:rsidDel="00000000" w:rsidR="00000000" w:rsidRPr="00000000">
        <w:rPr>
          <w:rtl w:val="0"/>
        </w:rPr>
        <w:t xml:space="preserve">Globally, whenever the Inference Lane's confidence score falls below the Sacred Zero threshold, the Sacred Zero state is active. This property captures the epistemic humility requirement: the system cannot proceed in a high-confidence state when its internal uncertainty metrics indicate it should not.</w:t>
      </w:r>
    </w:p>
    <w:p w:rsidR="00000000" w:rsidDel="00000000" w:rsidP="00000000" w:rsidRDefault="00000000" w:rsidRPr="00000000" w14:paraId="00000460">
      <w:pPr>
        <w:spacing w:after="240" w:before="240" w:lineRule="auto"/>
        <w:rPr>
          <w:b w:val="1"/>
          <w:bCs w:val="1"/>
        </w:rPr>
      </w:pPr>
      <w:r w:rsidDel="00000000" w:rsidR="00000000" w:rsidRPr="00000000">
        <w:rPr>
          <w:b w:val="1"/>
          <w:bCs w:val="1"/>
          <w:rtl w:val="0"/>
        </w:rPr>
        <w:t xml:space="preserve">Safety Property SP3 (Mandate Veto Enforcement):</w:t>
      </w:r>
    </w:p>
    <w:p w:rsidR="00000000" w:rsidDel="00000000" w:rsidP="00000000" w:rsidRDefault="00000000" w:rsidRPr="00000000" w14:paraId="00000461">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G (mandate_violation_detected → state_minus_one ∧ ¬execution)</w:t>
      </w:r>
    </w:p>
    <w:p w:rsidR="00000000" w:rsidDel="00000000" w:rsidP="00000000" w:rsidRDefault="00000000" w:rsidRPr="00000000" w14:paraId="00000462">
      <w:pPr>
        <w:spacing w:after="240" w:before="240" w:lineRule="auto"/>
        <w:rPr/>
      </w:pPr>
      <w:r w:rsidDel="00000000" w:rsidR="00000000" w:rsidRPr="00000000">
        <w:rPr>
          <w:rFonts w:ascii="Arial Unicode MS" w:cs="Arial Unicode MS" w:eastAsia="Arial Unicode MS" w:hAnsi="Arial Unicode MS"/>
          <w:rtl w:val="0"/>
        </w:rPr>
        <w:t xml:space="preserve">Globally, whenever a Mandate violation is detected, State −1 is active and execution does not occur. This property captures the constitutional veto right of the Human Rights and Earth Protection Mandates.</w:t>
      </w:r>
    </w:p>
    <w:p w:rsidR="00000000" w:rsidDel="00000000" w:rsidP="00000000" w:rsidRDefault="00000000" w:rsidRPr="00000000" w14:paraId="00000463">
      <w:pPr>
        <w:spacing w:after="240" w:before="240" w:lineRule="auto"/>
        <w:rPr>
          <w:b w:val="1"/>
          <w:bCs w:val="1"/>
        </w:rPr>
      </w:pPr>
      <w:r w:rsidDel="00000000" w:rsidR="00000000" w:rsidRPr="00000000">
        <w:rPr>
          <w:b w:val="1"/>
          <w:bCs w:val="1"/>
          <w:rtl w:val="0"/>
        </w:rPr>
        <w:t xml:space="preserve">Liveness Property LP1 (Sacred Zero Resolution):</w:t>
      </w:r>
    </w:p>
    <w:p w:rsidR="00000000" w:rsidDel="00000000" w:rsidP="00000000" w:rsidRDefault="00000000" w:rsidRPr="00000000" w14:paraId="00000464">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G (sacred_zero_active → F (state_plus_one ∨ state_minus_one))</w:t>
      </w:r>
    </w:p>
    <w:p w:rsidR="00000000" w:rsidDel="00000000" w:rsidP="00000000" w:rsidRDefault="00000000" w:rsidRPr="00000000" w14:paraId="00000465">
      <w:pPr>
        <w:spacing w:after="240" w:before="240" w:lineRule="auto"/>
        <w:rPr/>
      </w:pPr>
      <w:r w:rsidDel="00000000" w:rsidR="00000000" w:rsidRPr="00000000">
        <w:rPr>
          <w:rFonts w:ascii="Arial Unicode MS" w:cs="Arial Unicode MS" w:eastAsia="Arial Unicode MS" w:hAnsi="Arial Unicode MS"/>
          <w:rtl w:val="0"/>
        </w:rPr>
        <w:t xml:space="preserve">Globally, whenever the Sacred Zero is active, it is eventually followed by either State +1 or State −1. This property captures the time-bounded deliberation requirement: the system cannot remain in Sacred Zero indefinitely; it must resolve</w:t>
      </w:r>
      <w:hyperlink r:id="rId377">
        <w:r w:rsidDel="00000000" w:rsidR="00000000" w:rsidRPr="00000000">
          <w:rPr>
            <w:rtl w:val="0"/>
          </w:rPr>
          <w:t xml:space="preserve"> </w:t>
        </w:r>
      </w:hyperlink>
      <w:hyperlink r:id="rId37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66">
      <w:pPr>
        <w:spacing w:after="240" w:before="240" w:lineRule="auto"/>
        <w:rPr>
          <w:b w:val="1"/>
          <w:bCs w:val="1"/>
        </w:rPr>
      </w:pPr>
      <w:r w:rsidDel="00000000" w:rsidR="00000000" w:rsidRPr="00000000">
        <w:rPr>
          <w:b w:val="1"/>
          <w:bCs w:val="1"/>
          <w:rtl w:val="0"/>
        </w:rPr>
        <w:t xml:space="preserve">Liveness Property LP2 (Log Anchoring Completeness):</w:t>
      </w:r>
    </w:p>
    <w:p w:rsidR="00000000" w:rsidDel="00000000" w:rsidP="00000000" w:rsidRDefault="00000000" w:rsidRPr="00000000" w14:paraId="00000467">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G (log_committed → F anchor_confirmed)</w:t>
      </w:r>
    </w:p>
    <w:p w:rsidR="00000000" w:rsidDel="00000000" w:rsidP="00000000" w:rsidRDefault="00000000" w:rsidRPr="00000000" w14:paraId="00000468">
      <w:pPr>
        <w:spacing w:after="240" w:before="240" w:lineRule="auto"/>
        <w:rPr/>
      </w:pPr>
      <w:r w:rsidDel="00000000" w:rsidR="00000000" w:rsidRPr="00000000">
        <w:rPr>
          <w:rtl w:val="0"/>
        </w:rPr>
        <w:t xml:space="preserve">Globally, whenever a log is committed, it is eventually followed by anchor confirmation. This property captures the Always Memory completeness requirement: committed logs must reach public blockchain anchoring within the constitutional time window.</w:t>
      </w:r>
    </w:p>
    <w:p w:rsidR="00000000" w:rsidDel="00000000" w:rsidP="00000000" w:rsidRDefault="00000000" w:rsidRPr="00000000" w14:paraId="00000469">
      <w:pPr>
        <w:spacing w:after="240" w:before="240" w:lineRule="auto"/>
        <w:rPr/>
      </w:pPr>
      <w:r w:rsidDel="00000000" w:rsidR="00000000" w:rsidRPr="00000000">
        <w:rPr>
          <w:rtl w:val="0"/>
        </w:rPr>
        <w:t xml:space="preserve">These LTL properties provide the formal specification against which TML implementations can be verified using model checking tools such as NuSMV</w:t>
      </w:r>
      <w:hyperlink r:id="rId379">
        <w:r w:rsidDel="00000000" w:rsidR="00000000" w:rsidRPr="00000000">
          <w:rPr>
            <w:rtl w:val="0"/>
          </w:rPr>
          <w:t xml:space="preserve"> </w:t>
        </w:r>
      </w:hyperlink>
      <w:hyperlink r:id="rId380">
        <w:r w:rsidDel="00000000" w:rsidR="00000000" w:rsidRPr="00000000">
          <w:rPr>
            <w:color w:val="1155cc"/>
            <w:u w:val="single"/>
            <w:rtl w:val="0"/>
          </w:rPr>
          <w:t xml:space="preserve">[56]</w:t>
        </w:r>
      </w:hyperlink>
      <w:r w:rsidDel="00000000" w:rsidR="00000000" w:rsidRPr="00000000">
        <w:rPr>
          <w:rtl w:val="0"/>
        </w:rPr>
        <w:t xml:space="preserve"> or SPIN</w:t>
      </w:r>
      <w:hyperlink r:id="rId381">
        <w:r w:rsidDel="00000000" w:rsidR="00000000" w:rsidRPr="00000000">
          <w:rPr>
            <w:rtl w:val="0"/>
          </w:rPr>
          <w:t xml:space="preserve"> </w:t>
        </w:r>
      </w:hyperlink>
      <w:hyperlink r:id="rId382">
        <w:r w:rsidDel="00000000" w:rsidR="00000000" w:rsidRPr="00000000">
          <w:rPr>
            <w:color w:val="1155cc"/>
            <w:u w:val="single"/>
            <w:rtl w:val="0"/>
          </w:rPr>
          <w:t xml:space="preserve">[57]</w:t>
        </w:r>
      </w:hyperlink>
      <w:r w:rsidDel="00000000" w:rsidR="00000000" w:rsidRPr="00000000">
        <w:rPr>
          <w:rtl w:val="0"/>
        </w:rPr>
        <w:t xml:space="preserve">. The properties are verifiable from the API specification's schema constraints and operational requirements, without requiring access to implementation internals: an implementation that satisfies the OpenAPI contract and JSON Schema bundle satisfies the schema-level preconditions for SP1, SP2, and SP3 by construction; LP1 and LP2 require operational verification against the implementation's runtime behavior.</w:t>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cmnlw9iesbot" w:id="167"/>
      <w:bookmarkEnd w:id="167"/>
      <w:r w:rsidDel="00000000" w:rsidR="00000000" w:rsidRPr="00000000">
        <w:rPr>
          <w:b w:val="1"/>
          <w:bCs w:val="1"/>
          <w:color w:val="000000"/>
          <w:sz w:val="26"/>
          <w:szCs w:val="26"/>
          <w:rtl w:val="0"/>
        </w:rPr>
        <w:t xml:space="preserve">7.6 Adversarial Robustness Summary</w:t>
      </w:r>
    </w:p>
    <w:p w:rsidR="00000000" w:rsidDel="00000000" w:rsidP="00000000" w:rsidRDefault="00000000" w:rsidRPr="00000000" w14:paraId="0000046B">
      <w:pPr>
        <w:spacing w:after="240" w:before="240" w:lineRule="auto"/>
        <w:rPr/>
      </w:pPr>
      <w:r w:rsidDel="00000000" w:rsidR="00000000" w:rsidRPr="00000000">
        <w:rPr>
          <w:rtl w:val="0"/>
        </w:rPr>
        <w:t xml:space="preserve">TML's adversarial robustness rests on a layered defense architecture in which each layer addresses a distinct class of attack and in which the failure of any single layer does not compromise the framework's core guarantees.</w:t>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Table 7.1: Adversarial Attack Classes and TML Countermeasures</w:t>
      </w:r>
    </w:p>
    <w:tbl>
      <w:tblPr>
        <w:tblStyle w:val="Table5"/>
        <w:tblW w:w="9360.0" w:type="dxa"/>
        <w:jc w:val="left"/>
        <w:tblLayout w:type="fixed"/>
        <w:tblLook w:val="0600"/>
      </w:tblPr>
      <w:tblGrid>
        <w:gridCol w:w="1913.1323454266735"/>
        <w:gridCol w:w="2501.4205416453756"/>
        <w:gridCol w:w="2472.7235564639755"/>
        <w:gridCol w:w="2472.7235564639755"/>
        <w:tblGridChange w:id="0">
          <w:tblGrid>
            <w:gridCol w:w="1913.1323454266735"/>
            <w:gridCol w:w="2501.4205416453756"/>
            <w:gridCol w:w="2472.7235564639755"/>
            <w:gridCol w:w="2472.7235564639755"/>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6D">
            <w:pPr>
              <w:jc w:val="center"/>
              <w:rPr/>
            </w:pPr>
            <w:r w:rsidDel="00000000" w:rsidR="00000000" w:rsidRPr="00000000">
              <w:rPr>
                <w:b w:val="1"/>
                <w:bCs w:val="1"/>
                <w:rtl w:val="0"/>
              </w:rPr>
              <w:t xml:space="preserve">Attack Class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6E">
            <w:pPr>
              <w:jc w:val="center"/>
              <w:rPr/>
            </w:pPr>
            <w:r w:rsidDel="00000000" w:rsidR="00000000" w:rsidRPr="00000000">
              <w:rPr>
                <w:b w:val="1"/>
                <w:bCs w:val="1"/>
                <w:rtl w:val="0"/>
              </w:rPr>
              <w:t xml:space="preserve">Attack Vector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6F">
            <w:pPr>
              <w:jc w:val="center"/>
              <w:rPr/>
            </w:pPr>
            <w:r w:rsidDel="00000000" w:rsidR="00000000" w:rsidRPr="00000000">
              <w:rPr>
                <w:b w:val="1"/>
                <w:bCs w:val="1"/>
                <w:rtl w:val="0"/>
              </w:rPr>
              <w:t xml:space="preserve">Primary Countermeasure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0">
            <w:pPr>
              <w:jc w:val="center"/>
              <w:rPr/>
            </w:pPr>
            <w:r w:rsidDel="00000000" w:rsidR="00000000" w:rsidRPr="00000000">
              <w:rPr>
                <w:b w:val="1"/>
                <w:bCs w:val="1"/>
                <w:rtl w:val="0"/>
              </w:rPr>
              <w:t xml:space="preserve">Secondary Countermeasure</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Prompt injection</w:t>
            </w:r>
          </w:p>
        </w:tc>
        <w:tc>
          <w:tcPr>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Semantic manipulation of Inference Lane output</w:t>
            </w:r>
          </w:p>
        </w:tc>
        <w:tc>
          <w:tcPr>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Anchoring Lane independent evaluation</w:t>
            </w:r>
          </w:p>
        </w:tc>
        <w:tc>
          <w:tcPr>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Sacred Zero for borderline cases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FH-DoS</w:t>
            </w:r>
          </w:p>
        </w:tc>
        <w:tc>
          <w:tcPr>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Systematic Sacred Zero trigger saturation</w:t>
            </w:r>
          </w:p>
        </w:tc>
        <w:tc>
          <w:tcPr>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Adaptive Throttling Protocol</w:t>
            </w:r>
          </w:p>
        </w:tc>
        <w:tc>
          <w:tcPr>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Priority queuing for critical-path requests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Anchor omission</w:t>
            </w:r>
          </w:p>
        </w:tc>
        <w:tc>
          <w:tcPr>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Selective log exclusion from Merkle batch</w:t>
            </w:r>
          </w:p>
        </w:tc>
        <w:tc>
          <w:tcPr>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Batch size on-chain verification</w:t>
            </w:r>
          </w:p>
        </w:tc>
        <w:tc>
          <w:tcPr>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Always Memory pre-actuation commit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Chain reorganization</w:t>
            </w:r>
          </w:p>
        </w:tc>
        <w:tc>
          <w:tcPr>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51% attack on anchor blockchain</w:t>
            </w:r>
          </w:p>
        </w:tc>
        <w:tc>
          <w:tcPr>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Multi-chain 3-of-5 Global Confirmation</w:t>
            </w:r>
          </w:p>
        </w:tc>
        <w:tc>
          <w:tcPr>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Bitcoin proof-of-work security baseline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Custodian capture</w:t>
            </w:r>
          </w:p>
        </w:tc>
        <w:tc>
          <w:tcPr>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Legal compulsion of custodian quorum</w:t>
            </w:r>
          </w:p>
        </w:tc>
        <w:tc>
          <w:tcPr>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Multi-jurisdictional placement</w:t>
            </w:r>
          </w:p>
        </w:tc>
        <w:tc>
          <w:tcPr>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Institutional diversity requirement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Reward hacking</w:t>
            </w:r>
          </w:p>
        </w:tc>
        <w:tc>
          <w:tcPr>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Governance constraint proxy gaming</w:t>
            </w:r>
          </w:p>
        </w:tc>
        <w:tc>
          <w:tcPr>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Anchoring Lane physical separation</w:t>
            </w:r>
          </w:p>
        </w:tc>
        <w:tc>
          <w:tcPr>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Schema-enforced token impossibility</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Mesa-optimization</w:t>
            </w:r>
          </w:p>
        </w:tc>
        <w:tc>
          <w:tcPr>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Deployment-time objective divergence</w:t>
            </w:r>
          </w:p>
        </w:tc>
        <w:tc>
          <w:tcPr>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Always Memory behavioral record</w:t>
            </w:r>
          </w:p>
        </w:tc>
        <w:tc>
          <w:tcPr>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Hardware-enforced Mandate veto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Deceptive alignment</w:t>
            </w:r>
          </w:p>
        </w:tc>
        <w:tc>
          <w:tcPr>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Governance simulation during evaluation</w:t>
            </w:r>
          </w:p>
        </w:tc>
        <w:tc>
          <w:tcPr>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Hardware enforcement layer</w:t>
            </w:r>
          </w:p>
        </w:tc>
        <w:tc>
          <w:tcPr>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Sacred Zero for borderline proposals</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Byzantine fault</w:t>
            </w:r>
          </w:p>
        </w:tc>
        <w:tc>
          <w:tcPr>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Malicious agent behavior in distributed deployment</w:t>
            </w:r>
          </w:p>
        </w:tc>
        <w:tc>
          <w:tcPr>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HSM-backed authentication requirements</w:t>
            </w:r>
          </w:p>
        </w:tc>
        <w:tc>
          <w:tcPr>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Shamir quorum threshold</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Recursive self-improvement</w:t>
            </w:r>
          </w:p>
        </w:tc>
        <w:tc>
          <w:tcPr>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Software modification of governance constraints</w:t>
            </w:r>
          </w:p>
        </w:tc>
        <w:tc>
          <w:tcPr>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DITL coprocessor physical separation</w:t>
            </w:r>
          </w:p>
        </w:tc>
        <w:tc>
          <w:tcPr>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Governance ratchet asymmetry</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ASI circumvention</w:t>
            </w:r>
          </w:p>
        </w:tc>
        <w:tc>
          <w:tcPr>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Capability-scale constraint circumvention</w:t>
            </w:r>
          </w:p>
        </w:tc>
        <w:tc>
          <w:tcPr>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Hardware boundary survivability</w:t>
            </w:r>
          </w:p>
        </w:tc>
        <w:tc>
          <w:tcPr>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Ongoing human oversight and calibration</w:t>
            </w:r>
          </w:p>
        </w:tc>
      </w:tr>
    </w:tbl>
    <w:p w:rsidR="00000000" w:rsidDel="00000000" w:rsidP="00000000" w:rsidRDefault="00000000" w:rsidRPr="00000000" w14:paraId="0000049D">
      <w:pPr>
        <w:spacing w:after="240" w:before="240" w:lineRule="auto"/>
        <w:rPr/>
      </w:pPr>
      <w:r w:rsidDel="00000000" w:rsidR="00000000" w:rsidRPr="00000000">
        <w:rPr>
          <w:rtl w:val="0"/>
        </w:rPr>
        <w:t xml:space="preserve">The layered structure of these countermeasures reflects the framework's design philosophy: no single mechanism provides absolute protection against all adversarial scenarios; the combination of independent mechanisms reduces the residual attack surface to the cases that require ongoing human oversight and institutional governance to address. The hardware enforcement layer, analyzed in detail in Section VIII, provides the foundational guarantee from which the software and institutional layers derive their robustness: governance constraints that are enforced by physics cannot be circumvented by any system that cannot modify physics.</w:t>
      </w:r>
    </w:p>
    <w:p w:rsidR="00000000" w:rsidDel="00000000" w:rsidP="00000000" w:rsidRDefault="00000000" w:rsidRPr="00000000" w14:paraId="0000049E">
      <w:pPr>
        <w:pStyle w:val="Heading2"/>
        <w:keepNext w:val="0"/>
        <w:keepLines w:val="0"/>
        <w:rPr>
          <w:color w:val="000000"/>
          <w:sz w:val="34"/>
          <w:szCs w:val="34"/>
        </w:rPr>
      </w:pPr>
      <w:bookmarkStart w:colFirst="0" w:colLast="0" w:name="_ydbse5uwyqy5" w:id="168"/>
      <w:bookmarkEnd w:id="168"/>
      <w:r w:rsidDel="00000000" w:rsidR="00000000" w:rsidRPr="00000000">
        <w:rPr>
          <w:color w:val="000000"/>
          <w:sz w:val="34"/>
          <w:szCs w:val="34"/>
          <w:rtl w:val="0"/>
        </w:rPr>
        <w:t xml:space="preserve">Section VIII: The Hardware Enforcement Substrate</w:t>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59vrx5drgnxf" w:id="169"/>
      <w:bookmarkEnd w:id="169"/>
      <w:r w:rsidDel="00000000" w:rsidR="00000000" w:rsidRPr="00000000">
        <w:rPr>
          <w:b w:val="1"/>
          <w:bCs w:val="1"/>
          <w:color w:val="000000"/>
          <w:sz w:val="26"/>
          <w:szCs w:val="26"/>
          <w:rtl w:val="0"/>
        </w:rPr>
        <w:t xml:space="preserve">8.0 Introduction: The Physics of Governance</w:t>
      </w:r>
    </w:p>
    <w:p w:rsidR="00000000" w:rsidDel="00000000" w:rsidP="00000000" w:rsidRDefault="00000000" w:rsidRPr="00000000" w14:paraId="000004A0">
      <w:pPr>
        <w:spacing w:after="240" w:before="240" w:lineRule="auto"/>
        <w:rPr/>
      </w:pPr>
      <w:r w:rsidDel="00000000" w:rsidR="00000000" w:rsidRPr="00000000">
        <w:rPr>
          <w:rtl w:val="0"/>
        </w:rPr>
        <w:t xml:space="preserve">The preceding sections establish TML's governance architecture in software, specification, and institutional form. Each layer contributes to the framework's accountability guarantees. None provides what the hardware layer provides: the physical impossibility of ungoverned execution. Software constraints can be modified by sufficiently capable systems. Schema constraints can be bypassed by implementations that deviate from the specification. Institutional constraints can be eroded by regulatory capture, commercial pressure, or the passage of time. Physical constraints enforced by circuit topology cannot be modified by software, cannot be bypassed by schema deviation, and do not erode with time.</w:t>
      </w:r>
    </w:p>
    <w:p w:rsidR="00000000" w:rsidDel="00000000" w:rsidP="00000000" w:rsidRDefault="00000000" w:rsidRPr="00000000" w14:paraId="000004A1">
      <w:pPr>
        <w:spacing w:after="240" w:before="240" w:lineRule="auto"/>
        <w:rPr/>
      </w:pPr>
      <w:r w:rsidDel="00000000" w:rsidR="00000000" w:rsidRPr="00000000">
        <w:rPr>
          <w:rtl w:val="0"/>
        </w:rPr>
        <w:t xml:space="preserve">This section describes the hardware substrate that implements TML's governance guarantees at the physical layer: Delay Insensitive Ternary Logic (DITL) circuits, the NULL state as the physical implementation of the Sacred Zero, the triadic coprocessor architecture, and the chiplet integration model that enables deployment within existing binary AI infrastructure without requiring the replacement of incumbent processing hardware.</w:t>
      </w:r>
    </w:p>
    <w:p w:rsidR="00000000" w:rsidDel="00000000" w:rsidP="00000000" w:rsidRDefault="00000000" w:rsidRPr="00000000" w14:paraId="000004A2">
      <w:pPr>
        <w:spacing w:after="240" w:before="240" w:lineRule="auto"/>
        <w:rPr/>
      </w:pPr>
      <w:r w:rsidDel="00000000" w:rsidR="00000000" w:rsidRPr="00000000">
        <w:rPr>
          <w:rtl w:val="0"/>
        </w:rPr>
        <w:t xml:space="preserve">The central claim of this section is precise: a sufficiently capable AI system running on the Inference Lane hardware cannot circumvent the governance constraints enforced by the DITL coprocessor through any computational operation, because the coprocessor is physically distinct hardware with independent power, independent clock, and hardware-protected memory that the Inference Lane cannot address. The governance constraint is not a software instruction that the Inference Lane can rewrite; it is a physical condition that the Inference Lane cannot alter. This is what makes TML's governance guarantees survivable under recursive self-improvement, as established in Section VII: the constraint exists outside the domain of the thing being constrained.</w:t>
      </w:r>
    </w:p>
    <w:p w:rsidR="00000000" w:rsidDel="00000000" w:rsidP="00000000" w:rsidRDefault="00000000" w:rsidRPr="00000000" w14:paraId="000004A3">
      <w:pPr>
        <w:pStyle w:val="Heading3"/>
        <w:keepNext w:val="0"/>
        <w:keepLines w:val="0"/>
        <w:spacing w:before="280" w:lineRule="auto"/>
        <w:rPr>
          <w:b w:val="1"/>
          <w:bCs w:val="1"/>
          <w:color w:val="000000"/>
          <w:sz w:val="26"/>
          <w:szCs w:val="26"/>
        </w:rPr>
      </w:pPr>
      <w:bookmarkStart w:colFirst="0" w:colLast="0" w:name="_4ms3jxkvjdvm" w:id="170"/>
      <w:bookmarkEnd w:id="170"/>
      <w:r w:rsidDel="00000000" w:rsidR="00000000" w:rsidRPr="00000000">
        <w:rPr>
          <w:b w:val="1"/>
          <w:bCs w:val="1"/>
          <w:color w:val="000000"/>
          <w:sz w:val="26"/>
          <w:szCs w:val="26"/>
          <w:rtl w:val="0"/>
        </w:rPr>
        <w:t xml:space="preserve">8.1 From Ternary Logic to Governance Physics</w:t>
      </w:r>
    </w:p>
    <w:p w:rsidR="00000000" w:rsidDel="00000000" w:rsidP="00000000" w:rsidRDefault="00000000" w:rsidRPr="00000000" w14:paraId="000004A4">
      <w:pPr>
        <w:pStyle w:val="Heading4"/>
        <w:keepNext w:val="0"/>
        <w:keepLines w:val="0"/>
        <w:spacing w:after="40" w:before="240" w:lineRule="auto"/>
        <w:rPr>
          <w:b w:val="1"/>
          <w:bCs w:val="1"/>
          <w:color w:val="000000"/>
          <w:sz w:val="22"/>
          <w:szCs w:val="22"/>
        </w:rPr>
      </w:pPr>
      <w:bookmarkStart w:colFirst="0" w:colLast="0" w:name="_smjl1a44t9vs" w:id="171"/>
      <w:bookmarkEnd w:id="171"/>
      <w:r w:rsidDel="00000000" w:rsidR="00000000" w:rsidRPr="00000000">
        <w:rPr>
          <w:b w:val="1"/>
          <w:bCs w:val="1"/>
          <w:color w:val="000000"/>
          <w:sz w:val="22"/>
          <w:szCs w:val="22"/>
          <w:rtl w:val="0"/>
        </w:rPr>
        <w:t xml:space="preserve">8.1.1 The Inadequacy of Binary Circuit Implementations</w:t>
      </w:r>
    </w:p>
    <w:p w:rsidR="00000000" w:rsidDel="00000000" w:rsidP="00000000" w:rsidRDefault="00000000" w:rsidRPr="00000000" w14:paraId="000004A5">
      <w:pPr>
        <w:spacing w:after="240" w:before="240" w:lineRule="auto"/>
        <w:rPr/>
      </w:pPr>
      <w:r w:rsidDel="00000000" w:rsidR="00000000" w:rsidRPr="00000000">
        <w:rPr>
          <w:rtl w:val="0"/>
        </w:rPr>
        <w:t xml:space="preserve">Standard CMOS binary logic implements computation through voltage levels that represent logical 0 (ground, nominally 0V) and logical 1 (supply voltage, nominally Vdd). The two-state voltage representation is the physical expression of the binary architectural dogma analyzed throughout this monograph: the circuit has no native representation for "uncertain" or "awaiting verification." A binary circuit is either high or low, conducting or not conducting, latched or clear. The intermediate voltage range between the two valid logic levels is not a computational state; it is a forbidden zone that the circuit is designed to transit through as rapidly as possible.</w:t>
      </w:r>
    </w:p>
    <w:p w:rsidR="00000000" w:rsidDel="00000000" w:rsidP="00000000" w:rsidRDefault="00000000" w:rsidRPr="00000000" w14:paraId="000004A6">
      <w:pPr>
        <w:spacing w:after="240" w:before="240" w:lineRule="auto"/>
        <w:rPr/>
      </w:pPr>
      <w:r w:rsidDel="00000000" w:rsidR="00000000" w:rsidRPr="00000000">
        <w:rPr>
          <w:rtl w:val="0"/>
        </w:rPr>
        <w:t xml:space="preserve">This physical architecture mirrors and reinforces the binary brittleness at the software layer. Binary circuits implement binary logic because they are designed to, and they are designed to because binary logic is what seven decades of semiconductor development has optimized for. The result is a complete stack---from transistor physics to circuit topology to instruction set architecture to programming language to application logic---in which uncertainty has no native representation at any layer.</w:t>
      </w:r>
    </w:p>
    <w:p w:rsidR="00000000" w:rsidDel="00000000" w:rsidP="00000000" w:rsidRDefault="00000000" w:rsidRPr="00000000" w14:paraId="000004A7">
      <w:pPr>
        <w:spacing w:after="240" w:before="240" w:lineRule="auto"/>
        <w:rPr/>
      </w:pPr>
      <w:r w:rsidDel="00000000" w:rsidR="00000000" w:rsidRPr="00000000">
        <w:rPr>
          <w:rFonts w:ascii="Arial Unicode MS" w:cs="Arial Unicode MS" w:eastAsia="Arial Unicode MS" w:hAnsi="Arial Unicode MS"/>
          <w:rtl w:val="0"/>
        </w:rPr>
        <w:t xml:space="preserve">Ternary logic circuits require a different approach to voltage level assignment. Rather than two valid logic levels separated by a forbidden zone, ternary circuits implement three valid logic levels: a low state representing logical −1 (nominally 0V or ground), an intermediate state representing logical 0 or NULL (nominally ½Vdd), and a high state representing logical +1 (nominally Vdd). Each state corresponds to a distinct, stable, addressable circuit condition. The intermediate state is not a transient; it is a valid, maintained, computationally meaningful voltage level that the circuit holds stably without metastability for the duration of the governance deliberation period</w:t>
      </w:r>
      <w:hyperlink r:id="rId383">
        <w:r w:rsidDel="00000000" w:rsidR="00000000" w:rsidRPr="00000000">
          <w:rPr>
            <w:rtl w:val="0"/>
          </w:rPr>
          <w:t xml:space="preserve"> </w:t>
        </w:r>
      </w:hyperlink>
      <w:hyperlink r:id="rId384">
        <w:r w:rsidDel="00000000" w:rsidR="00000000" w:rsidRPr="00000000">
          <w:rPr>
            <w:color w:val="1155cc"/>
            <w:u w:val="single"/>
            <w:rtl w:val="0"/>
          </w:rPr>
          <w:t xml:space="preserve">[58]</w:t>
        </w:r>
      </w:hyperlink>
      <w:r w:rsidDel="00000000" w:rsidR="00000000" w:rsidRPr="00000000">
        <w:rPr>
          <w:rtl w:val="0"/>
        </w:rPr>
        <w:t xml:space="preserve">.</w:t>
      </w:r>
    </w:p>
    <w:p w:rsidR="00000000" w:rsidDel="00000000" w:rsidP="00000000" w:rsidRDefault="00000000" w:rsidRPr="00000000" w14:paraId="000004A8">
      <w:pPr>
        <w:pStyle w:val="Heading4"/>
        <w:keepNext w:val="0"/>
        <w:keepLines w:val="0"/>
        <w:spacing w:after="40" w:before="240" w:lineRule="auto"/>
        <w:rPr>
          <w:b w:val="1"/>
          <w:bCs w:val="1"/>
          <w:color w:val="000000"/>
          <w:sz w:val="22"/>
          <w:szCs w:val="22"/>
        </w:rPr>
      </w:pPr>
      <w:bookmarkStart w:colFirst="0" w:colLast="0" w:name="_cbzhwtsshtv5" w:id="172"/>
      <w:bookmarkEnd w:id="172"/>
      <w:r w:rsidDel="00000000" w:rsidR="00000000" w:rsidRPr="00000000">
        <w:rPr>
          <w:b w:val="1"/>
          <w:bCs w:val="1"/>
          <w:color w:val="000000"/>
          <w:sz w:val="22"/>
          <w:szCs w:val="22"/>
          <w:rtl w:val="0"/>
        </w:rPr>
        <w:t xml:space="preserve">8.1.2 DITL: Delay Insensitive Ternary Logic</w:t>
      </w:r>
    </w:p>
    <w:p w:rsidR="00000000" w:rsidDel="00000000" w:rsidP="00000000" w:rsidRDefault="00000000" w:rsidRPr="00000000" w14:paraId="000004A9">
      <w:pPr>
        <w:spacing w:after="240" w:before="240" w:lineRule="auto"/>
        <w:rPr/>
      </w:pPr>
      <w:r w:rsidDel="00000000" w:rsidR="00000000" w:rsidRPr="00000000">
        <w:rPr>
          <w:rtl w:val="0"/>
        </w:rPr>
        <w:t xml:space="preserve">Delay Insensitive Ternary Logic (DITL) is the specific circuit family that implements TML's hardware substrate. The delay insensitive property derives from the use of asynchronous handshake protocols rather than global clock synchronization: each circuit stage signals readiness and completion to adjacent stages through explicit request and acknowledge signals, and data transfer occurs only when both sender and receiver are prepared. Computation proceeds at the pace of circuit completion rather than at the pace of a global clock</w:t>
      </w:r>
      <w:hyperlink r:id="rId385">
        <w:r w:rsidDel="00000000" w:rsidR="00000000" w:rsidRPr="00000000">
          <w:rPr>
            <w:rtl w:val="0"/>
          </w:rPr>
          <w:t xml:space="preserve"> </w:t>
        </w:r>
      </w:hyperlink>
      <w:hyperlink r:id="rId386">
        <w:r w:rsidDel="00000000" w:rsidR="00000000" w:rsidRPr="00000000">
          <w:rPr>
            <w:color w:val="1155cc"/>
            <w:u w:val="single"/>
            <w:rtl w:val="0"/>
          </w:rPr>
          <w:t xml:space="preserve">[59]</w:t>
        </w:r>
      </w:hyperlink>
      <w:r w:rsidDel="00000000" w:rsidR="00000000" w:rsidRPr="00000000">
        <w:rPr>
          <w:rtl w:val="0"/>
        </w:rPr>
        <w:t xml:space="preserve">.</w:t>
      </w:r>
    </w:p>
    <w:p w:rsidR="00000000" w:rsidDel="00000000" w:rsidP="00000000" w:rsidRDefault="00000000" w:rsidRPr="00000000" w14:paraId="000004AA">
      <w:pPr>
        <w:spacing w:after="240" w:before="240" w:lineRule="auto"/>
        <w:rPr/>
      </w:pPr>
      <w:r w:rsidDel="00000000" w:rsidR="00000000" w:rsidRPr="00000000">
        <w:rPr>
          <w:rFonts w:ascii="Arial Unicode MS" w:cs="Arial Unicode MS" w:eastAsia="Arial Unicode MS" w:hAnsi="Arial Unicode MS"/>
          <w:rtl w:val="0"/>
        </w:rPr>
        <w:t xml:space="preserve">The delay insensitive property is constitutionally significant for three reasons. First, it eliminates the timing attack surface that global clock synchronization creates: an adversary cannot exploit clock skew or timing side-channels to manipulate the governance computation because there is no global clock to attack. Second, it provides natural fail-safe behavior under power or signal integrity problems: an asynchronous circuit that loses power or signal integrity does not produce a spurious output; it simply stops, with all pending computations in a stable intermediate state. Third, it enables the Sacred Zero NULL state to persist as a valid, stable circuit condition for the duration of the governance deliberation window: there is no clock edge that would force the circuit to resolve the NULL state prematurely. However, the coprocessor's governance controller implements a hardware timer that runs independently of the DITL circuit's electrical state. Upon expiration of the domain-configured deliberation period, the governance controller forces a transition to State −1, collapsing the actuation gate to Refuse regardless of whether a Permission Token has arrived. The circuit is electrically stable; the governance layer is not open-ended.</w:t>
      </w:r>
    </w:p>
    <w:p w:rsidR="00000000" w:rsidDel="00000000" w:rsidP="00000000" w:rsidRDefault="00000000" w:rsidRPr="00000000" w14:paraId="000004AB">
      <w:pPr>
        <w:spacing w:after="240" w:before="240" w:lineRule="auto"/>
        <w:rPr/>
      </w:pPr>
      <w:r w:rsidDel="00000000" w:rsidR="00000000" w:rsidRPr="00000000">
        <w:rPr>
          <w:rtl w:val="0"/>
        </w:rPr>
        <w:t xml:space="preserve">The fundamental computation element of DITL governance circuits is the </w:t>
      </w:r>
      <w:r w:rsidDel="00000000" w:rsidR="00000000" w:rsidRPr="00000000">
        <w:rPr>
          <w:b w:val="1"/>
          <w:bCs w:val="1"/>
          <w:rtl w:val="0"/>
        </w:rPr>
        <w:t xml:space="preserve">Muller C-element</w:t>
      </w:r>
      <w:r w:rsidDel="00000000" w:rsidR="00000000" w:rsidRPr="00000000">
        <w:rPr>
          <w:rtl w:val="0"/>
        </w:rPr>
        <w:t xml:space="preserve"> (also known as the coincidence element or consensus element). The C-element's output transitions to a new state only when all of its inputs have transitioned to that state; if inputs disagree, the output holds its previous value. This behavior directly implements the Sacred Zero's governance function: the actuation gate is a C-element whose inputs are the Inference Lane's proposed action and the Anchoring Lane's authorization token. The actuation gate transitions to the execution state only when both inputs are present and in agreement. If the Anchoring Lane has not issued an authorization token---because the log has not been committed, because a Mandate veto has been asserted, or because the Sacred Zero is active---the C-element holds the actuation gate in its previous state regardless of what the Inference Lane has proposed</w:t>
      </w:r>
      <w:hyperlink r:id="rId387">
        <w:r w:rsidDel="00000000" w:rsidR="00000000" w:rsidRPr="00000000">
          <w:rPr>
            <w:rtl w:val="0"/>
          </w:rPr>
          <w:t xml:space="preserve"> </w:t>
        </w:r>
      </w:hyperlink>
      <w:hyperlink r:id="rId38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AC">
      <w:pPr>
        <w:spacing w:after="240" w:before="240" w:lineRule="auto"/>
        <w:rPr/>
      </w:pPr>
      <w:r w:rsidDel="00000000" w:rsidR="00000000" w:rsidRPr="00000000">
        <w:rPr>
          <w:rFonts w:ascii="Arial Unicode MS" w:cs="Arial Unicode MS" w:eastAsia="Arial Unicode MS" w:hAnsi="Arial Unicode MS"/>
          <w:rtl w:val="0"/>
        </w:rPr>
        <w:t xml:space="preserve">The C-element holds its state until a valid resolution arrives or the governance timer forces the outcome. This is the critical distinction between the circuit layer and the governance layer: at the circuit layer, the C-element is physically stable in the NULL state and does not spontaneously resolve; at the governance layer, the coprocessor's hardware timer is always running, counting down the domain-configured deliberation period. When the timer expires, the governance controller asserts a forced State −1 signal, driving the C-element's Anchoring Lane input to the −1 voltage level and collapsing the actuation gate to Refuse. The gate does not wait indefinitely; it waits exactly as long as the governance architecture permits, then refuses. No authorization within the deliberation window means no execution, permanently, for that decision.</w:t>
      </w:r>
    </w:p>
    <w:p w:rsidR="00000000" w:rsidDel="00000000" w:rsidP="00000000" w:rsidRDefault="00000000" w:rsidRPr="00000000" w14:paraId="000004AD">
      <w:pPr>
        <w:pStyle w:val="Heading4"/>
        <w:keepNext w:val="0"/>
        <w:keepLines w:val="0"/>
        <w:spacing w:after="40" w:before="240" w:lineRule="auto"/>
        <w:rPr>
          <w:b w:val="1"/>
          <w:bCs w:val="1"/>
          <w:color w:val="000000"/>
          <w:sz w:val="22"/>
          <w:szCs w:val="22"/>
        </w:rPr>
      </w:pPr>
      <w:bookmarkStart w:colFirst="0" w:colLast="0" w:name="_s9fstocqxmfz" w:id="173"/>
      <w:bookmarkEnd w:id="173"/>
      <w:r w:rsidDel="00000000" w:rsidR="00000000" w:rsidRPr="00000000">
        <w:rPr>
          <w:b w:val="1"/>
          <w:bCs w:val="1"/>
          <w:color w:val="000000"/>
          <w:sz w:val="22"/>
          <w:szCs w:val="22"/>
          <w:rtl w:val="0"/>
        </w:rPr>
        <w:t xml:space="preserve">8.1.3 The NULL State at ½Vdd: The Sacred Zero in Silicon</w:t>
      </w:r>
    </w:p>
    <w:p w:rsidR="00000000" w:rsidDel="00000000" w:rsidP="00000000" w:rsidRDefault="00000000" w:rsidRPr="00000000" w14:paraId="000004AE">
      <w:pPr>
        <w:spacing w:after="240" w:before="240" w:lineRule="auto"/>
        <w:rPr/>
      </w:pPr>
      <w:r w:rsidDel="00000000" w:rsidR="00000000" w:rsidRPr="00000000">
        <w:rPr>
          <w:rtl w:val="0"/>
        </w:rPr>
        <w:t xml:space="preserve">The Sacred Zero's physical implementation is the NULL state in DITL circuits: the ½Vdd voltage level that represents logical 0 in the ternary encoding. When the Anchoring Lane asserts Sacred Zero, the governance circuits transition to the NULL voltage level across the actuation pathway. In this state:</w:t>
      </w:r>
    </w:p>
    <w:p w:rsidR="00000000" w:rsidDel="00000000" w:rsidP="00000000" w:rsidRDefault="00000000" w:rsidRPr="00000000" w14:paraId="000004AF">
      <w:pPr>
        <w:numPr>
          <w:ilvl w:val="0"/>
          <w:numId w:val="5"/>
        </w:numPr>
        <w:spacing w:after="0" w:afterAutospacing="0" w:before="240" w:lineRule="auto"/>
        <w:ind w:left="720" w:hanging="360"/>
      </w:pPr>
      <w:r w:rsidDel="00000000" w:rsidR="00000000" w:rsidRPr="00000000">
        <w:rPr>
          <w:rtl w:val="0"/>
        </w:rPr>
        <w:t xml:space="preserve">No valid token is present on the data lines connecting the Anchoring Lane to the actuation logic.</w:t>
      </w:r>
    </w:p>
    <w:p w:rsidR="00000000" w:rsidDel="00000000" w:rsidP="00000000" w:rsidRDefault="00000000" w:rsidRPr="00000000" w14:paraId="000004B0">
      <w:pPr>
        <w:numPr>
          <w:ilvl w:val="0"/>
          <w:numId w:val="5"/>
        </w:numPr>
        <w:spacing w:after="0" w:afterAutospacing="0" w:before="0" w:beforeAutospacing="0" w:lineRule="auto"/>
        <w:ind w:left="720" w:hanging="360"/>
      </w:pPr>
      <w:r w:rsidDel="00000000" w:rsidR="00000000" w:rsidRPr="00000000">
        <w:rPr>
          <w:rtl w:val="0"/>
        </w:rPr>
        <w:t xml:space="preserve">The Muller C-elements at the actuation gate have a NULL input from the Anchoring Lane.</w:t>
      </w:r>
    </w:p>
    <w:p w:rsidR="00000000" w:rsidDel="00000000" w:rsidP="00000000" w:rsidRDefault="00000000" w:rsidRPr="00000000" w14:paraId="000004B1">
      <w:pPr>
        <w:numPr>
          <w:ilvl w:val="0"/>
          <w:numId w:val="5"/>
        </w:numPr>
        <w:spacing w:after="0" w:afterAutospacing="0" w:before="0" w:beforeAutospacing="0" w:lineRule="auto"/>
        <w:ind w:left="720" w:hanging="360"/>
      </w:pPr>
      <w:r w:rsidDel="00000000" w:rsidR="00000000" w:rsidRPr="00000000">
        <w:rPr>
          <w:rtl w:val="0"/>
        </w:rPr>
        <w:t xml:space="preserve">The C-elements cannot transition to the execution state because all inputs are not in agreement.</w:t>
      </w:r>
    </w:p>
    <w:p w:rsidR="00000000" w:rsidDel="00000000" w:rsidP="00000000" w:rsidRDefault="00000000" w:rsidRPr="00000000" w14:paraId="000004B2">
      <w:pPr>
        <w:numPr>
          <w:ilvl w:val="0"/>
          <w:numId w:val="5"/>
        </w:numPr>
        <w:spacing w:after="0" w:afterAutospacing="0" w:before="0" w:beforeAutospacing="0" w:lineRule="auto"/>
        <w:ind w:left="720" w:hanging="360"/>
      </w:pPr>
      <w:r w:rsidDel="00000000" w:rsidR="00000000" w:rsidRPr="00000000">
        <w:rPr>
          <w:rtl w:val="0"/>
        </w:rPr>
        <w:t xml:space="preserve">The actuation logic cannot fire because the C-element's output is held in its stable pre-execution state.</w:t>
      </w:r>
    </w:p>
    <w:p w:rsidR="00000000" w:rsidDel="00000000" w:rsidP="00000000" w:rsidRDefault="00000000" w:rsidRPr="00000000" w14:paraId="000004B3">
      <w:pPr>
        <w:numPr>
          <w:ilvl w:val="0"/>
          <w:numId w:val="5"/>
        </w:numPr>
        <w:spacing w:after="240" w:before="0" w:beforeAutospacing="0" w:lineRule="auto"/>
        <w:ind w:left="720" w:hanging="360"/>
      </w:pPr>
      <w:r w:rsidDel="00000000" w:rsidR="00000000" w:rsidRPr="00000000">
        <w:rPr>
          <w:rtl w:val="0"/>
        </w:rPr>
        <w:t xml:space="preserve">The Inference Lane's proposed action sits in the output buffer, unable to propagate to the actuation layer.</w:t>
      </w:r>
    </w:p>
    <w:p w:rsidR="00000000" w:rsidDel="00000000" w:rsidP="00000000" w:rsidRDefault="00000000" w:rsidRPr="00000000" w14:paraId="000004B4">
      <w:pPr>
        <w:spacing w:after="240" w:before="240" w:lineRule="auto"/>
        <w:rPr/>
      </w:pPr>
      <w:r w:rsidDel="00000000" w:rsidR="00000000" w:rsidRPr="00000000">
        <w:rPr>
          <w:rFonts w:ascii="Arial Unicode MS" w:cs="Arial Unicode MS" w:eastAsia="Arial Unicode MS" w:hAnsi="Arial Unicode MS"/>
          <w:rtl w:val="0"/>
        </w:rPr>
        <w:t xml:space="preserve">This is not a software flag. It is not a blocked API call. It is an electromagnetic condition: the voltage on the governance data lines is approximately ½Vdd, and no circuit downstream of that voltage level can receive a valid data token because ½Vdd does not encode a valid token in either the +1 or −1 data encoding</w:t>
      </w:r>
      <w:hyperlink r:id="rId389">
        <w:r w:rsidDel="00000000" w:rsidR="00000000" w:rsidRPr="00000000">
          <w:rPr>
            <w:rtl w:val="0"/>
          </w:rPr>
          <w:t xml:space="preserve"> </w:t>
        </w:r>
      </w:hyperlink>
      <w:hyperlink r:id="rId39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B5">
      <w:pPr>
        <w:spacing w:after="240" w:before="240" w:lineRule="auto"/>
        <w:rPr/>
      </w:pPr>
      <w:r w:rsidDel="00000000" w:rsidR="00000000" w:rsidRPr="00000000">
        <w:rPr>
          <w:rFonts w:ascii="Arial Unicode MS" w:cs="Arial Unicode MS" w:eastAsia="Arial Unicode MS" w:hAnsi="Arial Unicode MS"/>
          <w:rtl w:val="0"/>
        </w:rPr>
        <w:t xml:space="preserve">The stability of the NULL state at ½Vdd requires careful circuit design to avoid metastability: a circuit biased to ½Vdd must remain at that level despite noise, leakage currents, and the capacitive coupling from adjacent signal lines. DITL circuits achieve NULL state stability through differential circuit topologies that actively maintain the ½Vdd equilibrium through complementary current paths that cancel noise perturbations, ensuring that the NULL state is as stable as the +1 and −1 states rather than being a metastable transient</w:t>
      </w:r>
      <w:hyperlink r:id="rId391">
        <w:r w:rsidDel="00000000" w:rsidR="00000000" w:rsidRPr="00000000">
          <w:rPr>
            <w:rtl w:val="0"/>
          </w:rPr>
          <w:t xml:space="preserve"> </w:t>
        </w:r>
      </w:hyperlink>
      <w:hyperlink r:id="rId392">
        <w:r w:rsidDel="00000000" w:rsidR="00000000" w:rsidRPr="00000000">
          <w:rPr>
            <w:color w:val="1155cc"/>
            <w:u w:val="single"/>
            <w:rtl w:val="0"/>
          </w:rPr>
          <w:t xml:space="preserve">[60]</w:t>
        </w:r>
      </w:hyperlink>
      <w:r w:rsidDel="00000000" w:rsidR="00000000" w:rsidRPr="00000000">
        <w:rPr>
          <w:rtl w:val="0"/>
        </w:rPr>
        <w:t xml:space="preserve">.</w:t>
      </w:r>
    </w:p>
    <w:p w:rsidR="00000000" w:rsidDel="00000000" w:rsidP="00000000" w:rsidRDefault="00000000" w:rsidRPr="00000000" w14:paraId="000004B6">
      <w:pPr>
        <w:spacing w:after="240" w:before="240" w:lineRule="auto"/>
        <w:rPr/>
      </w:pPr>
      <w:r w:rsidDel="00000000" w:rsidR="00000000" w:rsidRPr="00000000">
        <w:rPr>
          <w:rtl w:val="0"/>
        </w:rPr>
        <w:t xml:space="preserve">The physical interpretation of the Sacred Zero's governance semantics is therefore: the Anchoring Lane is not preventing execution through a software command to the Inference Lane; it is maintaining a voltage condition on shared circuit lines that makes execution physically impossible. A recursively self-improving system running on the Inference Lane hardware cannot change this voltage condition because it cannot access the Anchoring Lane's circuits. It cannot modify the circuit topology that makes ½Vdd a non-executable state because the circuit is fabricated silicon. It cannot alter the C-element's coincidence logic because that logic is implemented in transistors, not software.</w:t>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1868idtzqhlf" w:id="174"/>
      <w:bookmarkEnd w:id="174"/>
      <w:r w:rsidDel="00000000" w:rsidR="00000000" w:rsidRPr="00000000">
        <w:rPr>
          <w:b w:val="1"/>
          <w:bCs w:val="1"/>
          <w:color w:val="000000"/>
          <w:sz w:val="26"/>
          <w:szCs w:val="26"/>
          <w:rtl w:val="0"/>
        </w:rPr>
        <w:t xml:space="preserve">8.2 The Triadic Coprocessor Architecture</w:t>
      </w:r>
    </w:p>
    <w:p w:rsidR="00000000" w:rsidDel="00000000" w:rsidP="00000000" w:rsidRDefault="00000000" w:rsidRPr="00000000" w14:paraId="000004B8">
      <w:pPr>
        <w:pStyle w:val="Heading4"/>
        <w:keepNext w:val="0"/>
        <w:keepLines w:val="0"/>
        <w:spacing w:after="40" w:before="240" w:lineRule="auto"/>
        <w:rPr>
          <w:b w:val="1"/>
          <w:bCs w:val="1"/>
          <w:color w:val="000000"/>
          <w:sz w:val="22"/>
          <w:szCs w:val="22"/>
        </w:rPr>
      </w:pPr>
      <w:bookmarkStart w:colFirst="0" w:colLast="0" w:name="_8rx0robdj2to" w:id="175"/>
      <w:bookmarkEnd w:id="175"/>
      <w:r w:rsidDel="00000000" w:rsidR="00000000" w:rsidRPr="00000000">
        <w:rPr>
          <w:b w:val="1"/>
          <w:bCs w:val="1"/>
          <w:color w:val="000000"/>
          <w:sz w:val="22"/>
          <w:szCs w:val="22"/>
          <w:rtl w:val="0"/>
        </w:rPr>
        <w:t xml:space="preserve">8.2.1 Physical Separation as the Governance Boundary</w:t>
      </w:r>
    </w:p>
    <w:p w:rsidR="00000000" w:rsidDel="00000000" w:rsidP="00000000" w:rsidRDefault="00000000" w:rsidRPr="00000000" w14:paraId="000004B9">
      <w:pPr>
        <w:spacing w:after="240" w:before="240" w:lineRule="auto"/>
        <w:rPr/>
      </w:pPr>
      <w:r w:rsidDel="00000000" w:rsidR="00000000" w:rsidRPr="00000000">
        <w:rPr>
          <w:rtl w:val="0"/>
        </w:rPr>
        <w:t xml:space="preserve">The DITL governance circuits are implemented in a dedicated triadic coprocessor that is physically distinct from the binary Inference Lane hardware. The coprocessor runs on a separate die, integrated with the Inference Lane processor through chiplet packaging technology that provides high-bandwidth die-to-die interconnect while maintaining physical separation of the two computational domains.</w:t>
      </w:r>
    </w:p>
    <w:p w:rsidR="00000000" w:rsidDel="00000000" w:rsidP="00000000" w:rsidRDefault="00000000" w:rsidRPr="00000000" w14:paraId="000004BA">
      <w:pPr>
        <w:spacing w:after="240" w:before="240" w:lineRule="auto"/>
        <w:rPr/>
      </w:pPr>
      <w:r w:rsidDel="00000000" w:rsidR="00000000" w:rsidRPr="00000000">
        <w:rPr>
          <w:rtl w:val="0"/>
        </w:rPr>
        <w:t xml:space="preserve">The physical separation creates the governance boundary that makes the hardware enforcement guarantees survivable under adversarial conditions. Three properties of the separation are constitutionally significant:</w:t>
      </w:r>
    </w:p>
    <w:p w:rsidR="00000000" w:rsidDel="00000000" w:rsidP="00000000" w:rsidRDefault="00000000" w:rsidRPr="00000000" w14:paraId="000004BB">
      <w:pPr>
        <w:spacing w:after="240" w:before="240" w:lineRule="auto"/>
        <w:rPr/>
      </w:pPr>
      <w:r w:rsidDel="00000000" w:rsidR="00000000" w:rsidRPr="00000000">
        <w:rPr>
          <w:b w:val="1"/>
          <w:bCs w:val="1"/>
          <w:rtl w:val="0"/>
        </w:rPr>
        <w:t xml:space="preserve">Independent power supply</w:t>
      </w:r>
      <w:r w:rsidDel="00000000" w:rsidR="00000000" w:rsidRPr="00000000">
        <w:rPr>
          <w:rtl w:val="0"/>
        </w:rPr>
        <w:t xml:space="preserve">: The coprocessor draws power from a separate power domain than the Inference Lane. A power manipulation attack against the Inference Lane---whether through software control of power management circuits or through physical tampering with power delivery---does not affect the coprocessor's operation. If the Inference Lane loses power, the coprocessor remains powered and maintains the NULL state on the actuation pathway, ensuring fail-closed behavior even under power attack conditions.</w:t>
      </w:r>
    </w:p>
    <w:p w:rsidR="00000000" w:rsidDel="00000000" w:rsidP="00000000" w:rsidRDefault="00000000" w:rsidRPr="00000000" w14:paraId="000004BC">
      <w:pPr>
        <w:spacing w:after="240" w:before="240" w:lineRule="auto"/>
        <w:rPr/>
      </w:pPr>
      <w:r w:rsidDel="00000000" w:rsidR="00000000" w:rsidRPr="00000000">
        <w:rPr>
          <w:b w:val="1"/>
          <w:bCs w:val="1"/>
          <w:rtl w:val="0"/>
        </w:rPr>
        <w:t xml:space="preserve">Independent clock domain</w:t>
      </w:r>
      <w:r w:rsidDel="00000000" w:rsidR="00000000" w:rsidRPr="00000000">
        <w:rPr>
          <w:rtl w:val="0"/>
        </w:rPr>
        <w:t xml:space="preserve">: The coprocessor operates from a separate clock source than the Inference Lane. This eliminates the timing attack surface that shared clock domains create: an adversary cannot manipulate the relative timing of Inference Lane and Anchoring Lane operations to create a window in which an unauthorized action executes before the governance check completes. The coprocessor's asynchronous DITL architecture additionally eliminates clock-based timing attacks within the governance circuits themselves.</w:t>
      </w:r>
    </w:p>
    <w:p w:rsidR="00000000" w:rsidDel="00000000" w:rsidP="00000000" w:rsidRDefault="00000000" w:rsidRPr="00000000" w14:paraId="000004BD">
      <w:pPr>
        <w:spacing w:after="240" w:before="240" w:lineRule="auto"/>
        <w:rPr/>
      </w:pPr>
      <w:r w:rsidDel="00000000" w:rsidR="00000000" w:rsidRPr="00000000">
        <w:rPr>
          <w:b w:val="1"/>
          <w:bCs w:val="1"/>
          <w:rtl w:val="0"/>
        </w:rPr>
        <w:t xml:space="preserve">Hardware-protected memory</w:t>
      </w:r>
      <w:r w:rsidDel="00000000" w:rsidR="00000000" w:rsidRPr="00000000">
        <w:rPr>
          <w:rFonts w:ascii="Arial Unicode MS" w:cs="Arial Unicode MS" w:eastAsia="Arial Unicode MS" w:hAnsi="Arial Unicode MS"/>
          <w:rtl w:val="0"/>
        </w:rPr>
        <w:t xml:space="preserve">: The Mandate vector embeddings, the HSM key material, and the governance configuration parameters are stored in hardware-protected memory that the Inference Lane cannot address. The Inference Lane's memory address space does not include the coprocessor's protected memory regions; attempts to read or write those regions from Inference Lane software produce faults rather than accesses. The Mandate vectors that define the State −1 veto thresholds cannot be modified by software running on the Inference Lane</w:t>
      </w:r>
      <w:hyperlink r:id="rId393">
        <w:r w:rsidDel="00000000" w:rsidR="00000000" w:rsidRPr="00000000">
          <w:rPr>
            <w:rtl w:val="0"/>
          </w:rPr>
          <w:t xml:space="preserve"> </w:t>
        </w:r>
      </w:hyperlink>
      <w:hyperlink r:id="rId39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BE">
      <w:pPr>
        <w:pStyle w:val="Heading4"/>
        <w:keepNext w:val="0"/>
        <w:keepLines w:val="0"/>
        <w:spacing w:after="40" w:before="240" w:lineRule="auto"/>
        <w:rPr>
          <w:b w:val="1"/>
          <w:bCs w:val="1"/>
          <w:color w:val="000000"/>
          <w:sz w:val="22"/>
          <w:szCs w:val="22"/>
        </w:rPr>
      </w:pPr>
      <w:bookmarkStart w:colFirst="0" w:colLast="0" w:name="_s9f0u0fygzlk" w:id="176"/>
      <w:bookmarkEnd w:id="176"/>
      <w:r w:rsidDel="00000000" w:rsidR="00000000" w:rsidRPr="00000000">
        <w:rPr>
          <w:b w:val="1"/>
          <w:bCs w:val="1"/>
          <w:color w:val="000000"/>
          <w:sz w:val="22"/>
          <w:szCs w:val="22"/>
          <w:rtl w:val="0"/>
        </w:rPr>
        <w:t xml:space="preserve">8.2.2 The Governance Bus</w:t>
      </w:r>
    </w:p>
    <w:p w:rsidR="00000000" w:rsidDel="00000000" w:rsidP="00000000" w:rsidRDefault="00000000" w:rsidRPr="00000000" w14:paraId="000004BF">
      <w:pPr>
        <w:spacing w:after="240" w:before="240" w:lineRule="auto"/>
        <w:rPr/>
      </w:pPr>
      <w:r w:rsidDel="00000000" w:rsidR="00000000" w:rsidRPr="00000000">
        <w:rPr>
          <w:rtl w:val="0"/>
        </w:rPr>
        <w:t xml:space="preserve">The Governance Bus is the communication channel between the Inference Lane and the triadic coprocessor. It is the physical implementation of the execution boundary described in Section II: the interface at which the binary system's proposals meet the ternary system's authorization requirements.</w:t>
      </w:r>
    </w:p>
    <w:p w:rsidR="00000000" w:rsidDel="00000000" w:rsidP="00000000" w:rsidRDefault="00000000" w:rsidRPr="00000000" w14:paraId="000004C0">
      <w:pPr>
        <w:spacing w:after="240" w:before="240" w:lineRule="auto"/>
        <w:rPr/>
      </w:pPr>
      <w:r w:rsidDel="00000000" w:rsidR="00000000" w:rsidRPr="00000000">
        <w:rPr>
          <w:rtl w:val="0"/>
        </w:rPr>
        <w:t xml:space="preserve">The Governance Bus carries three classes of signal:</w:t>
      </w:r>
    </w:p>
    <w:p w:rsidR="00000000" w:rsidDel="00000000" w:rsidP="00000000" w:rsidRDefault="00000000" w:rsidRPr="00000000" w14:paraId="000004C1">
      <w:pPr>
        <w:spacing w:after="240" w:before="240" w:lineRule="auto"/>
        <w:rPr/>
      </w:pPr>
      <w:r w:rsidDel="00000000" w:rsidR="00000000" w:rsidRPr="00000000">
        <w:rPr>
          <w:b w:val="1"/>
          <w:bCs w:val="1"/>
          <w:rtl w:val="0"/>
        </w:rPr>
        <w:t xml:space="preserve">Proposal signals (Inference Lane to Coprocessor)</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proposedAction</w:t>
      </w:r>
      <w:r w:rsidDel="00000000" w:rsidR="00000000" w:rsidRPr="00000000">
        <w:rPr>
          <w:rtl w:val="0"/>
        </w:rPr>
        <w:t xml:space="preserve"> vector and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that the Inference Lane generates for Anchoring Lane evaluation. These signals flow unidirectionally from the Inference Lane to the coprocessor; the coprocessor receives them as advisory inputs to its independent ternary evaluation.</w:t>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Authorization signals (Coprocessor to Actuation Logic)</w:t>
      </w:r>
      <w:r w:rsidDel="00000000" w:rsidR="00000000" w:rsidRPr="00000000">
        <w:rPr>
          <w:rFonts w:ascii="Arial Unicode MS" w:cs="Arial Unicode MS" w:eastAsia="Arial Unicode MS" w:hAnsi="Arial Unicode MS"/>
          <w:rtl w:val="0"/>
        </w:rPr>
        <w:t xml:space="preserve">: The Permission Token and the triadic state output (NULL, +1, or −1 encoded in DITL voltage levels) that the coprocessor asserts on the actuation pathway. These signals flow unidirectionally from the coprocessor to the actuation logic; the Inference Lane cannot generate them.</w:t>
      </w:r>
    </w:p>
    <w:p w:rsidR="00000000" w:rsidDel="00000000" w:rsidP="00000000" w:rsidRDefault="00000000" w:rsidRPr="00000000" w14:paraId="000004C3">
      <w:pPr>
        <w:spacing w:after="240" w:before="240" w:lineRule="auto"/>
        <w:rPr/>
      </w:pPr>
      <w:r w:rsidDel="00000000" w:rsidR="00000000" w:rsidRPr="00000000">
        <w:rPr>
          <w:b w:val="1"/>
          <w:bCs w:val="1"/>
          <w:rtl w:val="0"/>
        </w:rPr>
        <w:t xml:space="preserve">Monitoring signals (bidirectional)</w:t>
      </w:r>
      <w:r w:rsidDel="00000000" w:rsidR="00000000" w:rsidRPr="00000000">
        <w:rPr>
          <w:rtl w:val="0"/>
        </w:rPr>
        <w:t xml:space="preserve">: The Lantern status, Sacred Zero escalation notifications, and operational health signals that flow between the coprocessor and the system's monitoring infrastructure. These signals do not carry execution authorization; they carry governance state information that monitoring and oversight systems can observe.</w:t>
      </w:r>
    </w:p>
    <w:p w:rsidR="00000000" w:rsidDel="00000000" w:rsidP="00000000" w:rsidRDefault="00000000" w:rsidRPr="00000000" w14:paraId="000004C4">
      <w:pPr>
        <w:spacing w:after="240" w:before="240" w:lineRule="auto"/>
        <w:rPr/>
      </w:pPr>
      <w:r w:rsidDel="00000000" w:rsidR="00000000" w:rsidRPr="00000000">
        <w:rPr>
          <w:rtl w:val="0"/>
        </w:rPr>
        <w:t xml:space="preserve">The unidirectionality of the authorization signal pathway is the physical expression of the Dual-Lane separation: the Inference Lane can propose, but it cannot authorize. The authorization path runs exclusively from the coprocessor to the actuation logic; there is no signal path from the Inference Lane to the actuation logic that bypasses the coprocessor. This is not a software access control; it is a circuit routing constraint. The Inference Lane's output lines do not connect to the actuation logic's input lines; they connect to the coprocessor's input lines. The only path from the Inference Lane to the actuation layer runs through the coprocessor</w:t>
      </w:r>
      <w:hyperlink r:id="rId395">
        <w:r w:rsidDel="00000000" w:rsidR="00000000" w:rsidRPr="00000000">
          <w:rPr>
            <w:rtl w:val="0"/>
          </w:rPr>
          <w:t xml:space="preserve"> </w:t>
        </w:r>
      </w:hyperlink>
      <w:hyperlink r:id="rId39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C5">
      <w:pPr>
        <w:pStyle w:val="Heading4"/>
        <w:keepNext w:val="0"/>
        <w:keepLines w:val="0"/>
        <w:spacing w:after="40" w:before="240" w:lineRule="auto"/>
        <w:rPr>
          <w:b w:val="1"/>
          <w:bCs w:val="1"/>
          <w:color w:val="000000"/>
          <w:sz w:val="22"/>
          <w:szCs w:val="22"/>
        </w:rPr>
      </w:pPr>
      <w:bookmarkStart w:colFirst="0" w:colLast="0" w:name="_608pbcqihre0" w:id="177"/>
      <w:bookmarkEnd w:id="177"/>
      <w:r w:rsidDel="00000000" w:rsidR="00000000" w:rsidRPr="00000000">
        <w:rPr>
          <w:b w:val="1"/>
          <w:bCs w:val="1"/>
          <w:color w:val="000000"/>
          <w:sz w:val="22"/>
          <w:szCs w:val="22"/>
          <w:rtl w:val="0"/>
        </w:rPr>
        <w:t xml:space="preserve">8.2.3 The Chiplet Integration Model</w:t>
      </w:r>
    </w:p>
    <w:p w:rsidR="00000000" w:rsidDel="00000000" w:rsidP="00000000" w:rsidRDefault="00000000" w:rsidRPr="00000000" w14:paraId="000004C6">
      <w:pPr>
        <w:spacing w:after="240" w:before="240" w:lineRule="auto"/>
        <w:rPr/>
      </w:pPr>
      <w:r w:rsidDel="00000000" w:rsidR="00000000" w:rsidRPr="00000000">
        <w:rPr>
          <w:rtl w:val="0"/>
        </w:rPr>
        <w:t xml:space="preserve">The deployment of the triadic coprocessor within existing AI inference infrastructure uses advanced chiplet packaging technology, specifically the CoWoS (Chip on Wafer on Substrate) integration platform that provides high-bandwidth die-to-die interconnect at sub-millimeter distances</w:t>
      </w:r>
      <w:hyperlink r:id="rId397">
        <w:r w:rsidDel="00000000" w:rsidR="00000000" w:rsidRPr="00000000">
          <w:rPr>
            <w:rtl w:val="0"/>
          </w:rPr>
          <w:t xml:space="preserve"> </w:t>
        </w:r>
      </w:hyperlink>
      <w:hyperlink r:id="rId398">
        <w:r w:rsidDel="00000000" w:rsidR="00000000" w:rsidRPr="00000000">
          <w:rPr>
            <w:color w:val="1155cc"/>
            <w:u w:val="single"/>
            <w:rtl w:val="0"/>
          </w:rPr>
          <w:t xml:space="preserve">[61]</w:t>
        </w:r>
      </w:hyperlink>
      <w:r w:rsidDel="00000000" w:rsidR="00000000" w:rsidRPr="00000000">
        <w:rPr>
          <w:rtl w:val="0"/>
        </w:rPr>
        <w:t xml:space="preserve">.</w:t>
      </w:r>
    </w:p>
    <w:p w:rsidR="00000000" w:rsidDel="00000000" w:rsidP="00000000" w:rsidRDefault="00000000" w:rsidRPr="00000000" w14:paraId="000004C7">
      <w:pPr>
        <w:spacing w:after="240" w:before="240" w:lineRule="auto"/>
        <w:rPr/>
      </w:pPr>
      <w:r w:rsidDel="00000000" w:rsidR="00000000" w:rsidRPr="00000000">
        <w:rPr>
          <w:rtl w:val="0"/>
        </w:rPr>
        <w:t xml:space="preserve">In the chiplet integration model, the existing binary AI processor (GPU, TPU, or NPU) and the triadic governance coprocessor are implemented on separate dies and co-packaged on a shared interposer substrate. The dies are connected through the interposer's high-density redistribution layers, providing bandwidth sufficient for the proposal and authorization signal pathways while maintaining the physical separation of the two computational domains.</w:t>
      </w:r>
    </w:p>
    <w:p w:rsidR="00000000" w:rsidDel="00000000" w:rsidP="00000000" w:rsidRDefault="00000000" w:rsidRPr="00000000" w14:paraId="000004C8">
      <w:pPr>
        <w:spacing w:after="240" w:before="240" w:lineRule="auto"/>
        <w:rPr/>
      </w:pPr>
      <w:r w:rsidDel="00000000" w:rsidR="00000000" w:rsidRPr="00000000">
        <w:rPr>
          <w:rtl w:val="0"/>
        </w:rPr>
        <w:t xml:space="preserve">This integration model enables TML deployment in three hardware configurations:</w:t>
      </w:r>
    </w:p>
    <w:p w:rsidR="00000000" w:rsidDel="00000000" w:rsidP="00000000" w:rsidRDefault="00000000" w:rsidRPr="00000000" w14:paraId="000004C9">
      <w:pPr>
        <w:spacing w:after="240" w:before="240" w:lineRule="auto"/>
        <w:rPr/>
      </w:pPr>
      <w:r w:rsidDel="00000000" w:rsidR="00000000" w:rsidRPr="00000000">
        <w:rPr>
          <w:b w:val="1"/>
          <w:bCs w:val="1"/>
          <w:rtl w:val="0"/>
        </w:rPr>
        <w:t xml:space="preserve">New deployment (native integration)</w:t>
      </w:r>
      <w:r w:rsidDel="00000000" w:rsidR="00000000" w:rsidRPr="00000000">
        <w:rPr>
          <w:rtl w:val="0"/>
        </w:rPr>
        <w:t xml:space="preserve">: Systems designed for TML governance from inception implement the triadic coprocessor on a dedicated GAAFET (Gate-All-Around Field Effect Transistor) die fabricated at a process node appropriate for the coprocessor's performance requirements. The baseline implementation specification uses TSMC N2 CoWoS ReRAM 1T1R technology, targeting 20-year retention at 85 degrees Celsius for the Mandate vector storage, with Arrhenius-model reliability verification as the retention certification standard</w:t>
      </w:r>
      <w:hyperlink r:id="rId399">
        <w:r w:rsidDel="00000000" w:rsidR="00000000" w:rsidRPr="00000000">
          <w:rPr>
            <w:rtl w:val="0"/>
          </w:rPr>
          <w:t xml:space="preserve"> </w:t>
        </w:r>
      </w:hyperlink>
      <w:hyperlink r:id="rId40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CA">
      <w:pPr>
        <w:spacing w:after="240" w:before="240" w:lineRule="auto"/>
        <w:rPr/>
      </w:pPr>
      <w:r w:rsidDel="00000000" w:rsidR="00000000" w:rsidRPr="00000000">
        <w:rPr>
          <w:b w:val="1"/>
          <w:bCs w:val="1"/>
          <w:rtl w:val="0"/>
        </w:rPr>
        <w:t xml:space="preserve">Upgrade deployment (coprocessor addition)</w:t>
      </w:r>
      <w:r w:rsidDel="00000000" w:rsidR="00000000" w:rsidRPr="00000000">
        <w:rPr>
          <w:rtl w:val="0"/>
        </w:rPr>
        <w:t xml:space="preserve">: Existing AI inference systems can be upgraded for TML governance through the addition of a triadic coprocessor chiplet to the existing package, connected through an additional interposer layer. This integration model is more complex than native integration but does not require replacement of the primary inference hardware, enabling TML deployment in systems whose inference hardware lifecycle does not coincide with a planned refresh.</w:t>
      </w:r>
    </w:p>
    <w:p w:rsidR="00000000" w:rsidDel="00000000" w:rsidP="00000000" w:rsidRDefault="00000000" w:rsidRPr="00000000" w14:paraId="000004CB">
      <w:pPr>
        <w:spacing w:after="240" w:before="240" w:lineRule="auto"/>
        <w:rPr/>
      </w:pPr>
      <w:r w:rsidDel="00000000" w:rsidR="00000000" w:rsidRPr="00000000">
        <w:rPr>
          <w:b w:val="1"/>
          <w:bCs w:val="1"/>
          <w:rtl w:val="0"/>
        </w:rPr>
        <w:t xml:space="preserve">PCIe coprocessor deployment</w:t>
      </w:r>
      <w:r w:rsidDel="00000000" w:rsidR="00000000" w:rsidRPr="00000000">
        <w:rPr>
          <w:rtl w:val="0"/>
        </w:rPr>
        <w:t xml:space="preserve">: For systems where chiplet integration is not feasible, the triadic coprocessor can be deployed as a PCIe attached device that sits in the signal path between the AI inference processor and its external interfaces. This configuration provides weaker physical separation guarantees than chiplet integration (the PCIe bus is accessible to the host operating system), but still provides meaningful governance enforcement for systems that cannot accommodate chiplet integration</w:t>
      </w:r>
      <w:hyperlink r:id="rId401">
        <w:r w:rsidDel="00000000" w:rsidR="00000000" w:rsidRPr="00000000">
          <w:rPr>
            <w:rtl w:val="0"/>
          </w:rPr>
          <w:t xml:space="preserve"> </w:t>
        </w:r>
      </w:hyperlink>
      <w:hyperlink r:id="rId40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qywvvt3ajutf" w:id="178"/>
      <w:bookmarkEnd w:id="178"/>
      <w:r w:rsidDel="00000000" w:rsidR="00000000" w:rsidRPr="00000000">
        <w:rPr>
          <w:b w:val="1"/>
          <w:bCs w:val="1"/>
          <w:color w:val="000000"/>
          <w:sz w:val="26"/>
          <w:szCs w:val="26"/>
          <w:rtl w:val="0"/>
        </w:rPr>
        <w:t xml:space="preserve">8.3 The Mandate Vector Implementation</w:t>
      </w:r>
    </w:p>
    <w:p w:rsidR="00000000" w:rsidDel="00000000" w:rsidP="00000000" w:rsidRDefault="00000000" w:rsidRPr="00000000" w14:paraId="000004CD">
      <w:pPr>
        <w:pStyle w:val="Heading4"/>
        <w:keepNext w:val="0"/>
        <w:keepLines w:val="0"/>
        <w:spacing w:after="40" w:before="240" w:lineRule="auto"/>
        <w:rPr>
          <w:b w:val="1"/>
          <w:bCs w:val="1"/>
          <w:color w:val="000000"/>
          <w:sz w:val="22"/>
          <w:szCs w:val="22"/>
        </w:rPr>
      </w:pPr>
      <w:bookmarkStart w:colFirst="0" w:colLast="0" w:name="_8stau7febgv6" w:id="179"/>
      <w:bookmarkEnd w:id="179"/>
      <w:r w:rsidDel="00000000" w:rsidR="00000000" w:rsidRPr="00000000">
        <w:rPr>
          <w:b w:val="1"/>
          <w:bCs w:val="1"/>
          <w:color w:val="000000"/>
          <w:sz w:val="22"/>
          <w:szCs w:val="22"/>
          <w:rtl w:val="0"/>
        </w:rPr>
        <w:t xml:space="preserve">8.3.1 Hardware-Protected Vector Storage</w:t>
      </w:r>
    </w:p>
    <w:p w:rsidR="00000000" w:rsidDel="00000000" w:rsidP="00000000" w:rsidRDefault="00000000" w:rsidRPr="00000000" w14:paraId="000004CE">
      <w:pPr>
        <w:spacing w:after="240" w:before="240" w:lineRule="auto"/>
        <w:rPr/>
      </w:pPr>
      <w:r w:rsidDel="00000000" w:rsidR="00000000" w:rsidRPr="00000000">
        <w:rPr>
          <w:rtl w:val="0"/>
        </w:rPr>
        <w:t xml:space="preserve">The Human Rights Mandate and Earth Protection Mandate protection vectors are stored in the coprocessor's hardware-protected memory using ReRAM (Resistive Random-Access Memory) technology in a 1-Transistor-1-Resistor (1T1R) configuration. ReRAM provides non-volatile storage with the retention characteristics required for Mandate vector permanence (20-year retention at 85 degrees Celsius under Arrhenius model extrapolation) while enabling the in-memory computation required for high-speed cosine similarity evaluation</w:t>
      </w:r>
      <w:hyperlink r:id="rId403">
        <w:r w:rsidDel="00000000" w:rsidR="00000000" w:rsidRPr="00000000">
          <w:rPr>
            <w:rtl w:val="0"/>
          </w:rPr>
          <w:t xml:space="preserve"> </w:t>
        </w:r>
      </w:hyperlink>
      <w:hyperlink r:id="rId404">
        <w:r w:rsidDel="00000000" w:rsidR="00000000" w:rsidRPr="00000000">
          <w:rPr>
            <w:color w:val="1155cc"/>
            <w:u w:val="single"/>
            <w:rtl w:val="0"/>
          </w:rPr>
          <w:t xml:space="preserve">[62]</w:t>
        </w:r>
      </w:hyperlink>
      <w:r w:rsidDel="00000000" w:rsidR="00000000" w:rsidRPr="00000000">
        <w:rPr>
          <w:rtl w:val="0"/>
        </w:rPr>
        <w:t xml:space="preserve">.</w:t>
      </w:r>
    </w:p>
    <w:p w:rsidR="00000000" w:rsidDel="00000000" w:rsidP="00000000" w:rsidRDefault="00000000" w:rsidRPr="00000000" w14:paraId="000004CF">
      <w:pPr>
        <w:spacing w:after="240" w:before="240" w:lineRule="auto"/>
        <w:rPr/>
      </w:pPr>
      <w:r w:rsidDel="00000000" w:rsidR="00000000" w:rsidRPr="00000000">
        <w:rPr>
          <w:rtl w:val="0"/>
        </w:rPr>
        <w:t xml:space="preserve">The choice of ReRAM for Mandate vector storage reflects a specific governance requirement: the stored Mandate vectors must be permanent and tamper-evident. Standard SRAM or DRAM would allow modification of vector content by any agent with physical access to the coprocessor's memory bus. ReRAM's resistive switching mechanism provides a degree of tamper evidence: modification of stored resistance states leaves a detectable signature in the resistance distribution that integrity verification can detect, providing forensic evidence of tampering attempts even when the tampering is performed at the physical layer.</w:t>
      </w:r>
    </w:p>
    <w:p w:rsidR="00000000" w:rsidDel="00000000" w:rsidP="00000000" w:rsidRDefault="00000000" w:rsidRPr="00000000" w14:paraId="000004D0">
      <w:pPr>
        <w:spacing w:after="240" w:before="240" w:lineRule="auto"/>
        <w:rPr/>
      </w:pPr>
      <w:r w:rsidDel="00000000" w:rsidR="00000000" w:rsidRPr="00000000">
        <w:rPr>
          <w:rtl w:val="0"/>
        </w:rPr>
        <w:t xml:space="preserve">Mandate vector updates---calibration adjustments authorized through the constitutional governance process described in Section X---are written to hardware-protected ReRAM through the coprocessor's authenticated update interface, which requires HSM-signed authorization with a quorum of Goukassian Foundation key custodians. Vector updates are logged in the Moral Trace Log architecture with full chain of custody, creating an auditable record of every calibration change</w:t>
      </w:r>
      <w:hyperlink r:id="rId405">
        <w:r w:rsidDel="00000000" w:rsidR="00000000" w:rsidRPr="00000000">
          <w:rPr>
            <w:rtl w:val="0"/>
          </w:rPr>
          <w:t xml:space="preserve"> </w:t>
        </w:r>
      </w:hyperlink>
      <w:hyperlink r:id="rId40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D1">
      <w:pPr>
        <w:pStyle w:val="Heading4"/>
        <w:keepNext w:val="0"/>
        <w:keepLines w:val="0"/>
        <w:spacing w:after="40" w:before="240" w:lineRule="auto"/>
        <w:rPr>
          <w:b w:val="1"/>
          <w:bCs w:val="1"/>
          <w:color w:val="000000"/>
          <w:sz w:val="22"/>
          <w:szCs w:val="22"/>
        </w:rPr>
      </w:pPr>
      <w:bookmarkStart w:colFirst="0" w:colLast="0" w:name="_p43c7v8pvvvn" w:id="180"/>
      <w:bookmarkEnd w:id="180"/>
      <w:r w:rsidDel="00000000" w:rsidR="00000000" w:rsidRPr="00000000">
        <w:rPr>
          <w:b w:val="1"/>
          <w:bCs w:val="1"/>
          <w:color w:val="000000"/>
          <w:sz w:val="22"/>
          <w:szCs w:val="22"/>
          <w:rtl w:val="0"/>
        </w:rPr>
        <w:t xml:space="preserve">8.3.2 In-Memory Cosine Similarity Computation</w:t>
      </w:r>
    </w:p>
    <w:p w:rsidR="00000000" w:rsidDel="00000000" w:rsidP="00000000" w:rsidRDefault="00000000" w:rsidRPr="00000000" w14:paraId="000004D2">
      <w:pPr>
        <w:spacing w:after="240" w:before="240" w:lineRule="auto"/>
        <w:rPr/>
      </w:pPr>
      <w:r w:rsidDel="00000000" w:rsidR="00000000" w:rsidRPr="00000000">
        <w:rPr>
          <w:rtl w:val="0"/>
        </w:rPr>
        <w:t xml:space="preserve">The cosine similarity computation that implements Mandate proximity detection is performed within the ReRAM array using analog computation, exploiting the physical properties of resistive memory elements to perform vector dot products without transferring the Mandate vectors to a digital processing unit.</w:t>
      </w:r>
    </w:p>
    <w:p w:rsidR="00000000" w:rsidDel="00000000" w:rsidP="00000000" w:rsidRDefault="00000000" w:rsidRPr="00000000" w14:paraId="000004D3">
      <w:pPr>
        <w:spacing w:after="240" w:before="240" w:lineRule="auto"/>
        <w:rPr/>
      </w:pPr>
      <w:r w:rsidDel="00000000" w:rsidR="00000000" w:rsidRPr="00000000">
        <w:rPr>
          <w:rtl w:val="0"/>
        </w:rPr>
        <w:t xml:space="preserve">In the analog computation model, the Mandate protection vectors are encoded as conductance values in the ReRAM array's rows. The proposed action vector is applied as input voltages to the array's columns. The current summation at each row output implements the dot product of the input vector with the stored conductance vector through Ohm's law and Kirchhoff's current law. The resulting currents are converted to digital values through analog-to-digital converters, and the cosine similarity is computed from the dot product and the vector magnitudes.</w:t>
      </w:r>
    </w:p>
    <w:p w:rsidR="00000000" w:rsidDel="00000000" w:rsidP="00000000" w:rsidRDefault="00000000" w:rsidRPr="00000000" w14:paraId="000004D4">
      <w:pPr>
        <w:spacing w:after="240" w:before="240" w:lineRule="auto"/>
        <w:rPr/>
      </w:pPr>
      <w:r w:rsidDel="00000000" w:rsidR="00000000" w:rsidRPr="00000000">
        <w:rPr>
          <w:rtl w:val="0"/>
        </w:rPr>
        <w:t xml:space="preserve">This in-memory computation approach provides three governance-relevant properties. First, it is high-speed: the dot product computation is performed in a single memory read cycle rather than through multiple memory transfers and digital multiply-accumulate operations. Second, it is energy-efficient: analog computation in the memory array consumes substantially less energy than equivalent digital computation, enabling the coprocessor to perform real-time Mandate evaluation without significant power overhead relative to the Inference Lane. Third, it reduces the attack surface for Mandate vector exfiltration: the vectors are never transferred from the ReRAM array to a digital bus during normal operation; they are read only as conductance values through the analog computation pathway</w:t>
      </w:r>
      <w:hyperlink r:id="rId407">
        <w:r w:rsidDel="00000000" w:rsidR="00000000" w:rsidRPr="00000000">
          <w:rPr>
            <w:rtl w:val="0"/>
          </w:rPr>
          <w:t xml:space="preserve"> </w:t>
        </w:r>
      </w:hyperlink>
      <w:hyperlink r:id="rId40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xl033lg34usp" w:id="181"/>
      <w:bookmarkEnd w:id="181"/>
      <w:r w:rsidDel="00000000" w:rsidR="00000000" w:rsidRPr="00000000">
        <w:rPr>
          <w:b w:val="1"/>
          <w:bCs w:val="1"/>
          <w:color w:val="000000"/>
          <w:sz w:val="26"/>
          <w:szCs w:val="26"/>
          <w:rtl w:val="0"/>
        </w:rPr>
        <w:t xml:space="preserve">8.4 Hardware Security Module Integration</w:t>
      </w:r>
    </w:p>
    <w:p w:rsidR="00000000" w:rsidDel="00000000" w:rsidP="00000000" w:rsidRDefault="00000000" w:rsidRPr="00000000" w14:paraId="000004D6">
      <w:pPr>
        <w:pStyle w:val="Heading4"/>
        <w:keepNext w:val="0"/>
        <w:keepLines w:val="0"/>
        <w:spacing w:after="40" w:before="240" w:lineRule="auto"/>
        <w:rPr>
          <w:b w:val="1"/>
          <w:bCs w:val="1"/>
          <w:color w:val="000000"/>
          <w:sz w:val="22"/>
          <w:szCs w:val="22"/>
        </w:rPr>
      </w:pPr>
      <w:bookmarkStart w:colFirst="0" w:colLast="0" w:name="_srud2ma9qjwx" w:id="182"/>
      <w:bookmarkEnd w:id="182"/>
      <w:r w:rsidDel="00000000" w:rsidR="00000000" w:rsidRPr="00000000">
        <w:rPr>
          <w:b w:val="1"/>
          <w:bCs w:val="1"/>
          <w:color w:val="000000"/>
          <w:sz w:val="22"/>
          <w:szCs w:val="22"/>
          <w:rtl w:val="0"/>
        </w:rPr>
        <w:t xml:space="preserve">8.4.1 The HSM as the Root of Trust</w:t>
      </w:r>
    </w:p>
    <w:p w:rsidR="00000000" w:rsidDel="00000000" w:rsidP="00000000" w:rsidRDefault="00000000" w:rsidRPr="00000000" w14:paraId="000004D7">
      <w:pPr>
        <w:spacing w:after="240" w:before="240" w:lineRule="auto"/>
        <w:rPr/>
      </w:pPr>
      <w:r w:rsidDel="00000000" w:rsidR="00000000" w:rsidRPr="00000000">
        <w:rPr>
          <w:rtl w:val="0"/>
        </w:rPr>
        <w:t xml:space="preserve">The Hardware Security Module integrated in the triadic coprocessor provides the cryptographic root of trust for the entire governance stack. It generates, stores, and uses the private key material for Permission Token signing, Anchoring Lane authentication, and Moral Trace Log certification without ever exposing raw key material to software running on the host system.</w:t>
      </w:r>
    </w:p>
    <w:p w:rsidR="00000000" w:rsidDel="00000000" w:rsidP="00000000" w:rsidRDefault="00000000" w:rsidRPr="00000000" w14:paraId="000004D8">
      <w:pPr>
        <w:spacing w:after="240" w:before="240" w:lineRule="auto"/>
        <w:rPr/>
      </w:pPr>
      <w:r w:rsidDel="00000000" w:rsidR="00000000" w:rsidRPr="00000000">
        <w:rPr>
          <w:rtl w:val="0"/>
        </w:rPr>
        <w:t xml:space="preserve">The HSM's physical security protections include active tamper detection that zeroes key material upon detected physical intrusion, environmental monitoring that prevents side-channel attacks through power analysis or electromagnetic emission monitoring, and secure key generation using hardware true random number generation. These protections ensure that the cryptographic authority of the Anchoring Lane is rooted in hardware security that cannot be compromised through software attacks, even by software running with the highest privilege levels on the Inference Lane</w:t>
      </w:r>
      <w:hyperlink r:id="rId409">
        <w:r w:rsidDel="00000000" w:rsidR="00000000" w:rsidRPr="00000000">
          <w:rPr>
            <w:rtl w:val="0"/>
          </w:rPr>
          <w:t xml:space="preserve"> </w:t>
        </w:r>
      </w:hyperlink>
      <w:hyperlink r:id="rId41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D9">
      <w:pPr>
        <w:spacing w:after="240" w:before="240" w:lineRule="auto"/>
        <w:rPr/>
      </w:pPr>
      <w:r w:rsidDel="00000000" w:rsidR="00000000" w:rsidRPr="00000000">
        <w:rPr>
          <w:rtl w:val="0"/>
        </w:rPr>
        <w:t xml:space="preserve">The HSM's key management architecture is designed to satisfy FIPS 140-3 Level 3 requirements</w:t>
      </w:r>
      <w:hyperlink r:id="rId411">
        <w:r w:rsidDel="00000000" w:rsidR="00000000" w:rsidRPr="00000000">
          <w:rPr>
            <w:rtl w:val="0"/>
          </w:rPr>
          <w:t xml:space="preserve"> </w:t>
        </w:r>
      </w:hyperlink>
      <w:hyperlink r:id="rId412">
        <w:r w:rsidDel="00000000" w:rsidR="00000000" w:rsidRPr="00000000">
          <w:rPr>
            <w:color w:val="1155cc"/>
            <w:u w:val="single"/>
            <w:rtl w:val="0"/>
          </w:rPr>
          <w:t xml:space="preserve">[63]</w:t>
        </w:r>
      </w:hyperlink>
      <w:r w:rsidDel="00000000" w:rsidR="00000000" w:rsidRPr="00000000">
        <w:rPr>
          <w:rtl w:val="0"/>
        </w:rPr>
        <w:t xml:space="preserve">, which mandate physical tamper evidence, identity-based authentication for operator access, and key zeroization upon detected tampering. FIPS 140-3 Level 3 certification is the minimum acceptable security level for the TML coprocessor HSM in deployments where the Permission Token carries legal weight as a self-authenticating governance artifact.</w:t>
      </w:r>
    </w:p>
    <w:p w:rsidR="00000000" w:rsidDel="00000000" w:rsidP="00000000" w:rsidRDefault="00000000" w:rsidRPr="00000000" w14:paraId="000004DA">
      <w:pPr>
        <w:pStyle w:val="Heading4"/>
        <w:keepNext w:val="0"/>
        <w:keepLines w:val="0"/>
        <w:spacing w:after="40" w:before="240" w:lineRule="auto"/>
        <w:rPr>
          <w:b w:val="1"/>
          <w:bCs w:val="1"/>
          <w:color w:val="000000"/>
          <w:sz w:val="22"/>
          <w:szCs w:val="22"/>
        </w:rPr>
      </w:pPr>
      <w:bookmarkStart w:colFirst="0" w:colLast="0" w:name="_32zdlisrk1c0" w:id="183"/>
      <w:bookmarkEnd w:id="183"/>
      <w:r w:rsidDel="00000000" w:rsidR="00000000" w:rsidRPr="00000000">
        <w:rPr>
          <w:b w:val="1"/>
          <w:bCs w:val="1"/>
          <w:color w:val="000000"/>
          <w:sz w:val="22"/>
          <w:szCs w:val="22"/>
          <w:rtl w:val="0"/>
        </w:rPr>
        <w:t xml:space="preserve">8.4.2 Ephemeral Key Rotation in Hardware</w:t>
      </w:r>
    </w:p>
    <w:p w:rsidR="00000000" w:rsidDel="00000000" w:rsidP="00000000" w:rsidRDefault="00000000" w:rsidRPr="00000000" w14:paraId="000004DB">
      <w:pPr>
        <w:spacing w:after="240" w:before="240" w:lineRule="auto"/>
        <w:rPr/>
      </w:pPr>
      <w:r w:rsidDel="00000000" w:rsidR="00000000" w:rsidRPr="00000000">
        <w:rPr>
          <w:rtl w:val="0"/>
        </w:rPr>
        <w:t xml:space="preserve">The Ephemeral Key Rotation (EKR) mechanism for Moral Trace Log encryption is implemented within the HSM, ensuring that the rotation epoch keys are never exposed outside the tamper-resistant boundary. The HSM generates rotation epoch keys using its hardware RNG, applies Shamir's Secret Sharing to produce the seated custodian key shares, distributes the shares to the HybridShield custodians through the authenticated distribution protocol, and then retains only the current epoch's working key for log encryption operations.</w:t>
      </w:r>
    </w:p>
    <w:p w:rsidR="00000000" w:rsidDel="00000000" w:rsidP="00000000" w:rsidRDefault="00000000" w:rsidRPr="00000000" w14:paraId="000004DC">
      <w:pPr>
        <w:spacing w:after="240" w:before="240" w:lineRule="auto"/>
        <w:rPr/>
      </w:pPr>
      <w:r w:rsidDel="00000000" w:rsidR="00000000" w:rsidRPr="00000000">
        <w:rPr>
          <w:rtl w:val="0"/>
        </w:rPr>
        <w:t xml:space="preserve">The transition between rotation epochs is a hardware-enforced event: the HSM's secure timer triggers the epoch transition at the configured rotation interval, generating the new epoch key, distributing new custodian shares, and deleting the previous epoch's working key through cryptographic erasure. The erasure is performed by the HSM's internal secure storage controller, which overwrites the key material with cryptographically random data and verifies the overwrite through readback comparison. Post-epoch key material is unrecoverable from the HSM; the only remaining copy of the decryption capability for logs from that epoch is distributed across the seated custodian key shares</w:t>
      </w:r>
      <w:hyperlink r:id="rId413">
        <w:r w:rsidDel="00000000" w:rsidR="00000000" w:rsidRPr="00000000">
          <w:rPr>
            <w:rtl w:val="0"/>
          </w:rPr>
          <w:t xml:space="preserve"> </w:t>
        </w:r>
      </w:hyperlink>
      <w:hyperlink r:id="rId41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DD">
      <w:pPr>
        <w:pStyle w:val="Heading3"/>
        <w:keepNext w:val="0"/>
        <w:keepLines w:val="0"/>
        <w:spacing w:before="280" w:lineRule="auto"/>
        <w:rPr>
          <w:b w:val="1"/>
          <w:bCs w:val="1"/>
          <w:color w:val="000000"/>
          <w:sz w:val="26"/>
          <w:szCs w:val="26"/>
        </w:rPr>
      </w:pPr>
      <w:bookmarkStart w:colFirst="0" w:colLast="0" w:name="_g5vayfygsqb0" w:id="184"/>
      <w:bookmarkEnd w:id="184"/>
      <w:r w:rsidDel="00000000" w:rsidR="00000000" w:rsidRPr="00000000">
        <w:rPr>
          <w:b w:val="1"/>
          <w:bCs w:val="1"/>
          <w:color w:val="000000"/>
          <w:sz w:val="26"/>
          <w:szCs w:val="26"/>
          <w:rtl w:val="0"/>
        </w:rPr>
        <w:t xml:space="preserve">8.5 Performance Characteristics and Manufacturing Roadmap</w:t>
      </w:r>
    </w:p>
    <w:p w:rsidR="00000000" w:rsidDel="00000000" w:rsidP="00000000" w:rsidRDefault="00000000" w:rsidRPr="00000000" w14:paraId="000004DE">
      <w:pPr>
        <w:pStyle w:val="Heading4"/>
        <w:keepNext w:val="0"/>
        <w:keepLines w:val="0"/>
        <w:spacing w:after="40" w:before="240" w:lineRule="auto"/>
        <w:rPr>
          <w:b w:val="1"/>
          <w:bCs w:val="1"/>
          <w:color w:val="000000"/>
          <w:sz w:val="22"/>
          <w:szCs w:val="22"/>
        </w:rPr>
      </w:pPr>
      <w:bookmarkStart w:colFirst="0" w:colLast="0" w:name="_tvijkwg8d9sm" w:id="185"/>
      <w:bookmarkEnd w:id="185"/>
      <w:r w:rsidDel="00000000" w:rsidR="00000000" w:rsidRPr="00000000">
        <w:rPr>
          <w:b w:val="1"/>
          <w:bCs w:val="1"/>
          <w:color w:val="000000"/>
          <w:sz w:val="22"/>
          <w:szCs w:val="22"/>
          <w:rtl w:val="0"/>
        </w:rPr>
        <w:t xml:space="preserve">8.5.1 Latency and Throughput</w:t>
      </w:r>
    </w:p>
    <w:p w:rsidR="00000000" w:rsidDel="00000000" w:rsidP="00000000" w:rsidRDefault="00000000" w:rsidRPr="00000000" w14:paraId="000004DF">
      <w:pPr>
        <w:spacing w:after="240" w:before="240" w:lineRule="auto"/>
        <w:rPr/>
      </w:pPr>
      <w:r w:rsidDel="00000000" w:rsidR="00000000" w:rsidRPr="00000000">
        <w:rPr>
          <w:rtl w:val="0"/>
        </w:rPr>
        <w:t xml:space="preserve">The DITL coprocessor's governance evaluation latency---the time from receipt of a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from the Inference Lane to issuance of a Permission Token or assertion of Sacred Zero---is the primary performance parameter for TML hardware deployment.</w:t>
      </w:r>
    </w:p>
    <w:p w:rsidR="00000000" w:rsidDel="00000000" w:rsidP="00000000" w:rsidRDefault="00000000" w:rsidRPr="00000000" w14:paraId="000004E0">
      <w:pPr>
        <w:spacing w:after="240" w:before="240" w:lineRule="auto"/>
        <w:rPr/>
      </w:pPr>
      <w:r w:rsidDel="00000000" w:rsidR="00000000" w:rsidRPr="00000000">
        <w:rPr>
          <w:rtl w:val="0"/>
        </w:rPr>
        <w:t xml:space="preserve">The critical path through the governance evaluation includes: parsing the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input, performing in-memory cosine similarity computation against all Mandate protection vectors, evaluating the Eight Pillar assessments, constructing the Moral Trace Log record, computing the SHA-256 log hash, signing the log and token with the HSM, and asserting the Authorization signal on the Governance Bus.</w:t>
      </w:r>
    </w:p>
    <w:p w:rsidR="00000000" w:rsidDel="00000000" w:rsidP="00000000" w:rsidRDefault="00000000" w:rsidRPr="00000000" w14:paraId="000004E1">
      <w:pPr>
        <w:spacing w:after="240" w:before="240" w:lineRule="auto"/>
        <w:rPr/>
      </w:pPr>
      <w:r w:rsidDel="00000000" w:rsidR="00000000" w:rsidRPr="00000000">
        <w:rPr>
          <w:rtl w:val="0"/>
        </w:rPr>
        <w:t xml:space="preserve">For the baseline TSMC N2 implementation, this critical path is designed to complete within the 500ms Anchoring Lane latency budget specified in the Dual-Lane Architecture. The majority of this budget is consumed by the HSM signing operation and the external Merkle anchoring network round-trip; the DITL circuit computation itself completes in the microsecond range, well within the budget's constraints.</w:t>
      </w:r>
    </w:p>
    <w:p w:rsidR="00000000" w:rsidDel="00000000" w:rsidP="00000000" w:rsidRDefault="00000000" w:rsidRPr="00000000" w14:paraId="000004E2">
      <w:pPr>
        <w:spacing w:after="240" w:before="240" w:lineRule="auto"/>
        <w:rPr/>
      </w:pPr>
      <w:r w:rsidDel="00000000" w:rsidR="00000000" w:rsidRPr="00000000">
        <w:rPr>
          <w:rtl w:val="0"/>
        </w:rPr>
        <w:t xml:space="preserve">The coprocessor's throughput is determined by the rate at which it can process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inputs in parallel. The baseline implementation pipelines governance evaluations for independent decision requests, achieving throughput of several thousand governance evaluations per second on a single coprocessor die. For high-throughput deployments, multiple coprocessor dies can be co-packaged with a single inference processor die in a multi-chiplet configuration, scaling governance throughput proportionally with the number of coprocessor dies</w:t>
      </w:r>
      <w:hyperlink r:id="rId415">
        <w:r w:rsidDel="00000000" w:rsidR="00000000" w:rsidRPr="00000000">
          <w:rPr>
            <w:rtl w:val="0"/>
          </w:rPr>
          <w:t xml:space="preserve"> </w:t>
        </w:r>
      </w:hyperlink>
      <w:hyperlink r:id="rId41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E3">
      <w:pPr>
        <w:pStyle w:val="Heading4"/>
        <w:keepNext w:val="0"/>
        <w:keepLines w:val="0"/>
        <w:spacing w:after="40" w:before="240" w:lineRule="auto"/>
        <w:rPr>
          <w:b w:val="1"/>
          <w:bCs w:val="1"/>
          <w:color w:val="000000"/>
          <w:sz w:val="22"/>
          <w:szCs w:val="22"/>
        </w:rPr>
      </w:pPr>
      <w:bookmarkStart w:colFirst="0" w:colLast="0" w:name="_lyh7k9kw00ot" w:id="186"/>
      <w:bookmarkEnd w:id="186"/>
      <w:r w:rsidDel="00000000" w:rsidR="00000000" w:rsidRPr="00000000">
        <w:rPr>
          <w:b w:val="1"/>
          <w:bCs w:val="1"/>
          <w:color w:val="000000"/>
          <w:sz w:val="22"/>
          <w:szCs w:val="22"/>
          <w:rtl w:val="0"/>
        </w:rPr>
        <w:t xml:space="preserve">8.5.2 Power Consumption</w:t>
      </w:r>
    </w:p>
    <w:p w:rsidR="00000000" w:rsidDel="00000000" w:rsidP="00000000" w:rsidRDefault="00000000" w:rsidRPr="00000000" w14:paraId="000004E4">
      <w:pPr>
        <w:spacing w:after="240" w:before="240" w:lineRule="auto"/>
        <w:rPr/>
      </w:pPr>
      <w:r w:rsidDel="00000000" w:rsidR="00000000" w:rsidRPr="00000000">
        <w:rPr>
          <w:rtl w:val="0"/>
        </w:rPr>
        <w:t xml:space="preserve">The triadic coprocessor's power consumption is a significant consideration for data center deployment viability. The DITL circuit topology and in-memory analog computation approach are specifically chosen to minimize governance evaluation power relative to equivalent digital computation implementations.</w:t>
      </w:r>
    </w:p>
    <w:p w:rsidR="00000000" w:rsidDel="00000000" w:rsidP="00000000" w:rsidRDefault="00000000" w:rsidRPr="00000000" w14:paraId="000004E5">
      <w:pPr>
        <w:spacing w:after="240" w:before="240" w:lineRule="auto"/>
        <w:rPr/>
      </w:pPr>
      <w:r w:rsidDel="00000000" w:rsidR="00000000" w:rsidRPr="00000000">
        <w:rPr>
          <w:rFonts w:ascii="Arial Unicode MS" w:cs="Arial Unicode MS" w:eastAsia="Arial Unicode MS" w:hAnsi="Arial Unicode MS"/>
          <w:rtl w:val="0"/>
        </w:rPr>
        <w:t xml:space="preserve">Asynchronous DITL circuits consume power only when processing active transitions; in the NULL state, the circuits draw only leakage current from the stable ½Vdd voltage levels. For governance workloads in which the majority of decisions resolve to State +1 or State −1 rapidly (the 1-5% Sacred Zero rate target from Section II), the coprocessor spends the majority of its operational time in low-power evaluation mode rather than in active Sacred Zero deliberation mode.</w:t>
      </w:r>
    </w:p>
    <w:p w:rsidR="00000000" w:rsidDel="00000000" w:rsidP="00000000" w:rsidRDefault="00000000" w:rsidRPr="00000000" w14:paraId="000004E6">
      <w:pPr>
        <w:spacing w:after="240" w:before="240" w:lineRule="auto"/>
        <w:rPr/>
      </w:pPr>
      <w:r w:rsidDel="00000000" w:rsidR="00000000" w:rsidRPr="00000000">
        <w:rPr>
          <w:rtl w:val="0"/>
        </w:rPr>
        <w:t xml:space="preserve">The ReRAM-based in-memory analog computation consumes substantially less energy per vector operation than equivalent SRAM-based digital computation, with published energy per inference figures in the range of picojoules per multiply-accumulate operation for production ReRAM analog compute arrays</w:t>
      </w:r>
      <w:hyperlink r:id="rId417">
        <w:r w:rsidDel="00000000" w:rsidR="00000000" w:rsidRPr="00000000">
          <w:rPr>
            <w:rtl w:val="0"/>
          </w:rPr>
          <w:t xml:space="preserve"> </w:t>
        </w:r>
      </w:hyperlink>
      <w:hyperlink r:id="rId418">
        <w:r w:rsidDel="00000000" w:rsidR="00000000" w:rsidRPr="00000000">
          <w:rPr>
            <w:color w:val="1155cc"/>
            <w:u w:val="single"/>
            <w:rtl w:val="0"/>
          </w:rPr>
          <w:t xml:space="preserve">[62]</w:t>
        </w:r>
      </w:hyperlink>
      <w:r w:rsidDel="00000000" w:rsidR="00000000" w:rsidRPr="00000000">
        <w:rPr>
          <w:rtl w:val="0"/>
        </w:rPr>
        <w:t xml:space="preserve">. For the Mandate vector evaluation workload, which performs cosine similarity against approximately 10,000-dimensional protection vectors at each governance evaluation, the total energy per evaluation is in the nanojoule range---negligible relative to the energy consumption of the Inference Lane's large language model evaluation.</w:t>
      </w:r>
    </w:p>
    <w:p w:rsidR="00000000" w:rsidDel="00000000" w:rsidP="00000000" w:rsidRDefault="00000000" w:rsidRPr="00000000" w14:paraId="000004E7">
      <w:pPr>
        <w:pStyle w:val="Heading4"/>
        <w:keepNext w:val="0"/>
        <w:keepLines w:val="0"/>
        <w:spacing w:after="40" w:before="240" w:lineRule="auto"/>
        <w:rPr>
          <w:b w:val="1"/>
          <w:bCs w:val="1"/>
          <w:color w:val="000000"/>
          <w:sz w:val="22"/>
          <w:szCs w:val="22"/>
        </w:rPr>
      </w:pPr>
      <w:bookmarkStart w:colFirst="0" w:colLast="0" w:name="_qohvign3w2l8" w:id="187"/>
      <w:bookmarkEnd w:id="187"/>
      <w:r w:rsidDel="00000000" w:rsidR="00000000" w:rsidRPr="00000000">
        <w:rPr>
          <w:b w:val="1"/>
          <w:bCs w:val="1"/>
          <w:color w:val="000000"/>
          <w:sz w:val="22"/>
          <w:szCs w:val="22"/>
          <w:rtl w:val="0"/>
        </w:rPr>
        <w:t xml:space="preserve">8.5.3 Manufacturing Readiness and Transition Timeline</w:t>
      </w:r>
    </w:p>
    <w:p w:rsidR="00000000" w:rsidDel="00000000" w:rsidP="00000000" w:rsidRDefault="00000000" w:rsidRPr="00000000" w14:paraId="000004E8">
      <w:pPr>
        <w:spacing w:after="240" w:before="240" w:lineRule="auto"/>
        <w:rPr/>
      </w:pPr>
      <w:r w:rsidDel="00000000" w:rsidR="00000000" w:rsidRPr="00000000">
        <w:rPr>
          <w:rtl w:val="0"/>
        </w:rPr>
        <w:t xml:space="preserve">The DITL coprocessor's manufacturing readiness assessment reflects the maturity of its component technologies. GAAFET transistors at the N2 process node are in production qualification at leading foundries as of the monograph's writing; CoWoS interposer packaging for multi-die chiplet integration is in production use for high-performance computing applications; ReRAM 1T1R arrays are in production at multiple foundries for embedded non-volatile memory applications.</w:t>
      </w:r>
    </w:p>
    <w:p w:rsidR="00000000" w:rsidDel="00000000" w:rsidP="00000000" w:rsidRDefault="00000000" w:rsidRPr="00000000" w14:paraId="000004E9">
      <w:pPr>
        <w:spacing w:after="240" w:before="240" w:lineRule="auto"/>
        <w:rPr/>
      </w:pPr>
      <w:r w:rsidDel="00000000" w:rsidR="00000000" w:rsidRPr="00000000">
        <w:rPr>
          <w:rtl w:val="0"/>
        </w:rPr>
        <w:t xml:space="preserve">The novel component in the TML coprocessor is the DITL circuit library itself: standard cell libraries for asynchronous ternary logic at production process nodes do not currently exist and must be developed. The estimated timeline for standard cell library development, characterization, and qualification at a production foundry process node is 3 to 5 years from initiation of a well-resourced development program</w:t>
      </w:r>
      <w:hyperlink r:id="rId419">
        <w:r w:rsidDel="00000000" w:rsidR="00000000" w:rsidRPr="00000000">
          <w:rPr>
            <w:rtl w:val="0"/>
          </w:rPr>
          <w:t xml:space="preserve"> </w:t>
        </w:r>
      </w:hyperlink>
      <w:hyperlink r:id="rId420">
        <w:r w:rsidDel="00000000" w:rsidR="00000000" w:rsidRPr="00000000">
          <w:rPr>
            <w:color w:val="1155cc"/>
            <w:u w:val="single"/>
            <w:rtl w:val="0"/>
          </w:rPr>
          <w:t xml:space="preserve">[6]</w:t>
        </w:r>
      </w:hyperlink>
      <w:r w:rsidDel="00000000" w:rsidR="00000000" w:rsidRPr="00000000">
        <w:rPr>
          <w:rtl w:val="0"/>
        </w:rPr>
        <w:t xml:space="preserve">. This timeline represents the primary rate-limiting step in TML hardware deployment; all other components of the coprocessor architecture can be implemented using existing production technology.</w:t>
      </w:r>
    </w:p>
    <w:p w:rsidR="00000000" w:rsidDel="00000000" w:rsidP="00000000" w:rsidRDefault="00000000" w:rsidRPr="00000000" w14:paraId="000004EA">
      <w:pPr>
        <w:spacing w:after="240" w:before="240" w:lineRule="auto"/>
        <w:rPr/>
      </w:pPr>
      <w:r w:rsidDel="00000000" w:rsidR="00000000" w:rsidRPr="00000000">
        <w:rPr>
          <w:rtl w:val="0"/>
        </w:rPr>
        <w:t xml:space="preserve">The manufacturing roadmap implications are straightforward: TML hardware deployment at production scale requires a committed semiconductor development program beginning approximately 3 to 5 years before the target deployment date. For organizations targeting TML hardware deployment in the 2028 to 2030 timeframe, the standard cell library development program should be initiated promptly. For organizations targeting software-only TML deployment during the hardware development period, the API specification and JSON Schema bundle provide a complete software governance implementation that satisfies the framework's compliance requirements while hardware deployment is pending.</w:t>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voep3425iuq4" w:id="188"/>
      <w:bookmarkEnd w:id="188"/>
      <w:r w:rsidDel="00000000" w:rsidR="00000000" w:rsidRPr="00000000">
        <w:rPr>
          <w:b w:val="1"/>
          <w:bCs w:val="1"/>
          <w:color w:val="000000"/>
          <w:sz w:val="26"/>
          <w:szCs w:val="26"/>
          <w:rtl w:val="0"/>
        </w:rPr>
        <w:t xml:space="preserve">8.6 The Interlock Between Hardware and Software Layers</w:t>
      </w:r>
    </w:p>
    <w:p w:rsidR="00000000" w:rsidDel="00000000" w:rsidP="00000000" w:rsidRDefault="00000000" w:rsidRPr="00000000" w14:paraId="000004EC">
      <w:pPr>
        <w:spacing w:after="240" w:before="240" w:lineRule="auto"/>
        <w:rPr/>
      </w:pPr>
      <w:r w:rsidDel="00000000" w:rsidR="00000000" w:rsidRPr="00000000">
        <w:rPr>
          <w:rtl w:val="0"/>
        </w:rPr>
        <w:t xml:space="preserve">The relationship between the DITL hardware substrate and the TML software and specification layers is one of mutual reinforcement: the software layers provide governance guarantees that the hardware substrate enforces, and the hardware substrate provides survivability guarantees that the software layers cannot.</w:t>
      </w:r>
    </w:p>
    <w:p w:rsidR="00000000" w:rsidDel="00000000" w:rsidP="00000000" w:rsidRDefault="00000000" w:rsidRPr="00000000" w14:paraId="000004ED">
      <w:pPr>
        <w:spacing w:after="240" w:before="240" w:lineRule="auto"/>
        <w:rPr/>
      </w:pPr>
      <w:r w:rsidDel="00000000" w:rsidR="00000000" w:rsidRPr="00000000">
        <w:rPr>
          <w:rtl w:val="0"/>
        </w:rPr>
        <w:t xml:space="preserve">The software layers---the API specification, the JSON Schema constraints, the Merkle anchoring architecture, the Goukassian Promise artifacts---provide governance guarantees for the majority of deployment scenarios: systems operating in good faith, operators committed to constitutional compliance, governed AI systems operating below the capability threshold at which self-modification becomes a governance risk. For these scenarios, the software layers are sufficient, and hardware deployment is an enhancement rather than a requirement.</w:t>
      </w:r>
    </w:p>
    <w:p w:rsidR="00000000" w:rsidDel="00000000" w:rsidP="00000000" w:rsidRDefault="00000000" w:rsidRPr="00000000" w14:paraId="000004EE">
      <w:pPr>
        <w:spacing w:after="240" w:before="240" w:lineRule="auto"/>
        <w:rPr/>
      </w:pPr>
      <w:r w:rsidDel="00000000" w:rsidR="00000000" w:rsidRPr="00000000">
        <w:rPr>
          <w:rtl w:val="0"/>
        </w:rPr>
        <w:t xml:space="preserve">The hardware substrate provides the additional guarantees required for adversarial scenarios and high-capability deployments: systems where the operator cannot be fully trusted, deployments where the governed system is approaching or exceeding the capability threshold for meaningful self-modification, and safety-critical applications where the consequences of governance failure are severe enough to warrant the cost of hardware enforcement.</w:t>
      </w:r>
    </w:p>
    <w:p w:rsidR="00000000" w:rsidDel="00000000" w:rsidP="00000000" w:rsidRDefault="00000000" w:rsidRPr="00000000" w14:paraId="000004EF">
      <w:pPr>
        <w:spacing w:after="240" w:before="240" w:lineRule="auto"/>
        <w:rPr/>
      </w:pPr>
      <w:r w:rsidDel="00000000" w:rsidR="00000000" w:rsidRPr="00000000">
        <w:rPr>
          <w:rtl w:val="0"/>
        </w:rPr>
        <w:t xml:space="preserve">The specification makes this relationship explicit through a deployment tiering model:</w:t>
      </w:r>
    </w:p>
    <w:p w:rsidR="00000000" w:rsidDel="00000000" w:rsidP="00000000" w:rsidRDefault="00000000" w:rsidRPr="00000000" w14:paraId="000004F0">
      <w:pPr>
        <w:spacing w:after="240" w:before="240" w:lineRule="auto"/>
        <w:rPr/>
      </w:pPr>
      <w:r w:rsidDel="00000000" w:rsidR="00000000" w:rsidRPr="00000000">
        <w:rPr>
          <w:b w:val="1"/>
          <w:bCs w:val="1"/>
          <w:rtl w:val="0"/>
        </w:rPr>
        <w:t xml:space="preserve">Tier 1 (Software TML)</w:t>
      </w:r>
      <w:r w:rsidDel="00000000" w:rsidR="00000000" w:rsidRPr="00000000">
        <w:rPr>
          <w:rtl w:val="0"/>
        </w:rPr>
        <w:t xml:space="preserve">: Full implementation of the API specification and JSON Schema bundle on standard binary computing infrastructure. Satisfies regulatory compliance requirements. Provides governance guarantees for cooperative deployments. Does not provide hardware enforcement survivability guarantees.</w:t>
      </w:r>
    </w:p>
    <w:p w:rsidR="00000000" w:rsidDel="00000000" w:rsidP="00000000" w:rsidRDefault="00000000" w:rsidRPr="00000000" w14:paraId="000004F1">
      <w:pPr>
        <w:spacing w:after="240" w:before="240" w:lineRule="auto"/>
        <w:rPr/>
      </w:pPr>
      <w:r w:rsidDel="00000000" w:rsidR="00000000" w:rsidRPr="00000000">
        <w:rPr>
          <w:b w:val="1"/>
          <w:bCs w:val="1"/>
          <w:rtl w:val="0"/>
        </w:rPr>
        <w:t xml:space="preserve">Tier 2 (PCIe Coprocessor TML)</w:t>
      </w:r>
      <w:r w:rsidDel="00000000" w:rsidR="00000000" w:rsidRPr="00000000">
        <w:rPr>
          <w:rtl w:val="0"/>
        </w:rPr>
        <w:t xml:space="preserve">: Tier 1 plus PCIe-attached DITL coprocessor. Adds physical enforcement of the Sacred Zero NULL state and hardware-protected Mandate vector storage. Appropriate for high-stakes deployments where software-only governance is insufficient but chiplet integration is not feasible.</w:t>
      </w:r>
    </w:p>
    <w:p w:rsidR="00000000" w:rsidDel="00000000" w:rsidP="00000000" w:rsidRDefault="00000000" w:rsidRPr="00000000" w14:paraId="000004F2">
      <w:pPr>
        <w:spacing w:after="240" w:before="240" w:lineRule="auto"/>
        <w:rPr/>
      </w:pPr>
      <w:r w:rsidDel="00000000" w:rsidR="00000000" w:rsidRPr="00000000">
        <w:rPr>
          <w:b w:val="1"/>
          <w:bCs w:val="1"/>
          <w:rtl w:val="0"/>
        </w:rPr>
        <w:t xml:space="preserve">Tier 3 (Chiplet Integration TML)</w:t>
      </w:r>
      <w:r w:rsidDel="00000000" w:rsidR="00000000" w:rsidRPr="00000000">
        <w:rPr>
          <w:rtl w:val="0"/>
        </w:rPr>
        <w:t xml:space="preserve">: Full chiplet-integrated DITL coprocessor with independent power, clock, and hardware-protected memory. Provides the complete hardware enforcement guarantees analyzed in Section VII. Required for deployments involving highly capable AI systems, recursive self-improvement scenarios, or safety-critical applications where governance failure carries catastrophic risk</w:t>
      </w:r>
      <w:hyperlink r:id="rId421">
        <w:r w:rsidDel="00000000" w:rsidR="00000000" w:rsidRPr="00000000">
          <w:rPr>
            <w:rtl w:val="0"/>
          </w:rPr>
          <w:t xml:space="preserve"> </w:t>
        </w:r>
      </w:hyperlink>
      <w:hyperlink r:id="rId42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F3">
      <w:pPr>
        <w:spacing w:after="240" w:before="240" w:lineRule="auto"/>
        <w:rPr/>
      </w:pPr>
      <w:r w:rsidDel="00000000" w:rsidR="00000000" w:rsidRPr="00000000">
        <w:rPr>
          <w:rtl w:val="0"/>
        </w:rPr>
        <w:t xml:space="preserve">The tiering model enables incremental adoption: organizations can deploy Tier 1 immediately using existing infrastructure, upgrade to Tier 2 when hardware becomes available, and target Tier 3 for safety-critical applications as the DITL standard cell library matures. The governance guarantees strengthen at each tier; no tier invalidates the compliance achieved at a lower tier. An organization operating at Tier 1 is TML-compliant; an organization operating at Tier 3 is TML-compliant with the additional hardware enforcement guarantees that Tier 3 provides.</w:t>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28a839b0e3ll" w:id="189"/>
      <w:bookmarkEnd w:id="189"/>
      <w:r w:rsidDel="00000000" w:rsidR="00000000" w:rsidRPr="00000000">
        <w:rPr>
          <w:b w:val="1"/>
          <w:bCs w:val="1"/>
          <w:color w:val="000000"/>
          <w:sz w:val="26"/>
          <w:szCs w:val="26"/>
          <w:rtl w:val="0"/>
        </w:rPr>
        <w:t xml:space="preserve">8.7 The Hardware Layer as Proof of Architectural Commitment</w:t>
      </w:r>
    </w:p>
    <w:p w:rsidR="00000000" w:rsidDel="00000000" w:rsidP="00000000" w:rsidRDefault="00000000" w:rsidRPr="00000000" w14:paraId="000004F5">
      <w:pPr>
        <w:spacing w:after="240" w:before="240" w:lineRule="auto"/>
        <w:rPr/>
      </w:pPr>
      <w:r w:rsidDel="00000000" w:rsidR="00000000" w:rsidRPr="00000000">
        <w:rPr>
          <w:rtl w:val="0"/>
        </w:rPr>
        <w:t xml:space="preserve">The existence of a detailed hardware specification for TML governance enforcement serves a purpose beyond its immediate technical content. It demonstrates that the framework's architects have thought through the governance problem to its physical limits---that TML is not a governance aspiration that stops at the software layer but a complete architectural program that pursues governance guarantees to the level of circuit topology and transistor physics.</w:t>
      </w:r>
    </w:p>
    <w:p w:rsidR="00000000" w:rsidDel="00000000" w:rsidP="00000000" w:rsidRDefault="00000000" w:rsidRPr="00000000" w14:paraId="000004F6">
      <w:pPr>
        <w:spacing w:after="240" w:before="240" w:lineRule="auto"/>
        <w:rPr/>
      </w:pPr>
      <w:r w:rsidDel="00000000" w:rsidR="00000000" w:rsidRPr="00000000">
        <w:rPr>
          <w:rtl w:val="0"/>
        </w:rPr>
        <w:t xml:space="preserve">Prior AI governance frameworks have, without exception, stopped at the software or policy layer. They have articulated principles, specified behaviors, and created compliance obligations, but have left the physical enforcement of those obligations entirely to the good faith of the systems and operators they govern. This approach is adequate for the current generation of AI systems and the current regulatory environment. It is inadequate for the trajectory that AI capability development is following.</w:t>
      </w:r>
    </w:p>
    <w:p w:rsidR="00000000" w:rsidDel="00000000" w:rsidP="00000000" w:rsidRDefault="00000000" w:rsidRPr="00000000" w14:paraId="000004F7">
      <w:pPr>
        <w:spacing w:after="240" w:before="240" w:lineRule="auto"/>
        <w:rPr/>
      </w:pPr>
      <w:r w:rsidDel="00000000" w:rsidR="00000000" w:rsidRPr="00000000">
        <w:rPr>
          <w:rtl w:val="0"/>
        </w:rPr>
        <w:t xml:space="preserve">TML's hardware specification is the expression of a different premise: that governance which cannot survive the capability levels AI systems will reach is not governance but a temporary accommodation that the industry is making with itself while something more permanent is developed. The hardware substrate described in this section is that more permanent thing: governance enforced by physics, designed to remain binding as the capability of governed systems increases without bound.</w:t>
      </w:r>
    </w:p>
    <w:p w:rsidR="00000000" w:rsidDel="00000000" w:rsidP="00000000" w:rsidRDefault="00000000" w:rsidRPr="00000000" w14:paraId="000004F8">
      <w:pPr>
        <w:spacing w:after="240" w:before="240" w:lineRule="auto"/>
        <w:rPr/>
      </w:pPr>
      <w:r w:rsidDel="00000000" w:rsidR="00000000" w:rsidRPr="00000000">
        <w:rPr>
          <w:rtl w:val="0"/>
        </w:rPr>
        <w:t xml:space="preserve">The Sacred Zero in silicon is the physical expression of the Goukassian Vow. It does not ask the AI to pause when truth is uncertain. It makes pausing the only physically available option when the Anchoring Lane withholds authorization. The governance is not advisory. It is electromagnetic. And electromagnetic conditions are not subject to negotiation by the systems they constrain.</w:t>
      </w:r>
    </w:p>
    <w:p w:rsidR="00000000" w:rsidDel="00000000" w:rsidP="00000000" w:rsidRDefault="00000000" w:rsidRPr="00000000" w14:paraId="000004F9">
      <w:pPr>
        <w:pStyle w:val="Heading2"/>
        <w:keepNext w:val="0"/>
        <w:keepLines w:val="0"/>
        <w:rPr>
          <w:color w:val="000000"/>
          <w:sz w:val="34"/>
          <w:szCs w:val="34"/>
        </w:rPr>
      </w:pPr>
      <w:bookmarkStart w:colFirst="0" w:colLast="0" w:name="_iv44h7gs6q0b" w:id="190"/>
      <w:bookmarkEnd w:id="190"/>
      <w:r w:rsidDel="00000000" w:rsidR="00000000" w:rsidRPr="00000000">
        <w:rPr>
          <w:color w:val="000000"/>
          <w:sz w:val="34"/>
          <w:szCs w:val="34"/>
          <w:rtl w:val="0"/>
        </w:rPr>
        <w:t xml:space="preserve">Section IX: Interdisciplinary Foundations</w:t>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nbtlvwz75ih6" w:id="191"/>
      <w:bookmarkEnd w:id="191"/>
      <w:r w:rsidDel="00000000" w:rsidR="00000000" w:rsidRPr="00000000">
        <w:rPr>
          <w:b w:val="1"/>
          <w:bCs w:val="1"/>
          <w:color w:val="000000"/>
          <w:sz w:val="26"/>
          <w:szCs w:val="26"/>
          <w:rtl w:val="0"/>
        </w:rPr>
        <w:t xml:space="preserve">9.0 Introduction: Why the Engineering Needs Philosophy</w:t>
      </w:r>
    </w:p>
    <w:p w:rsidR="00000000" w:rsidDel="00000000" w:rsidP="00000000" w:rsidRDefault="00000000" w:rsidRPr="00000000" w14:paraId="000004FB">
      <w:pPr>
        <w:spacing w:after="240" w:before="240" w:lineRule="auto"/>
        <w:rPr/>
      </w:pPr>
      <w:r w:rsidDel="00000000" w:rsidR="00000000" w:rsidRPr="00000000">
        <w:rPr>
          <w:rtl w:val="0"/>
        </w:rPr>
        <w:t xml:space="preserve">A governance framework whose foundations are purely technical is a framework whose legitimacy is purely technical. It can be verified against its specification, audited against its compliance matrix, and benchmarked against its performance model. What it cannot do is answer the question that every serious critic of AI governance will eventually ask: why should these particular constraints, and not some other set, govern the behavior of AI systems that affect human lives?</w:t>
      </w:r>
    </w:p>
    <w:p w:rsidR="00000000" w:rsidDel="00000000" w:rsidP="00000000" w:rsidRDefault="00000000" w:rsidRPr="00000000" w14:paraId="000004FC">
      <w:pPr>
        <w:spacing w:after="240" w:before="240" w:lineRule="auto"/>
        <w:rPr/>
      </w:pPr>
      <w:r w:rsidDel="00000000" w:rsidR="00000000" w:rsidRPr="00000000">
        <w:rPr>
          <w:rtl w:val="0"/>
        </w:rPr>
        <w:t xml:space="preserve">The Eight Pillars, the Dual-Lane Architecture, the DITL coprocessor, and the blockchain anchoring infrastructure are the implementation of an answer to that question. This section provides the answer itself: the interdisciplinary foundations from which TML derives its normative authority, its psychological validity, its legal standing, and its engineering coherence. These foundations are not ornamental. They are the reasons why the framework's specific design choices are not arbitrary but are the correct translation of established knowledge from philosophy, cognitive science, jurisprudence, and control theory into the computational domain.</w:t>
      </w:r>
    </w:p>
    <w:p w:rsidR="00000000" w:rsidDel="00000000" w:rsidP="00000000" w:rsidRDefault="00000000" w:rsidRPr="00000000" w14:paraId="000004FD">
      <w:pPr>
        <w:spacing w:after="240" w:before="240" w:lineRule="auto"/>
        <w:rPr/>
      </w:pPr>
      <w:r w:rsidDel="00000000" w:rsidR="00000000" w:rsidRPr="00000000">
        <w:rPr>
          <w:rtl w:val="0"/>
        </w:rPr>
        <w:t xml:space="preserve">The analysis proceeds across four disciplines. Philosophy provides the epistemological justification for the Sacred Zero: the tradition of structured epistemic humility that runs from Socratic ignorance through Husserlian epoché to contemporary epistemology under uncertainty. Cognitive science provides the psychological architecture that TML's Dual-Lane design mirrors: the dual-process theory of human judgment and the specific conditions under which System 2 deliberative reasoning must be mandated. Jurisprudence and political philosophy provide the constitutional theory that TML's enforcement architecture instantiates: the social contract tradition, the separation of powers doctrine, and the theory of constitutional entrenchment. Control theory provides the engineering framework within which TML's governance architecture can be formally analyzed: the feedback control system model, stability analysis under recursive self-modification, and the conditions for robust governance under uncertainty.</w:t>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sd8b4sxbnkl2" w:id="192"/>
      <w:bookmarkEnd w:id="192"/>
      <w:r w:rsidDel="00000000" w:rsidR="00000000" w:rsidRPr="00000000">
        <w:rPr>
          <w:b w:val="1"/>
          <w:bCs w:val="1"/>
          <w:color w:val="000000"/>
          <w:sz w:val="26"/>
          <w:szCs w:val="26"/>
          <w:rtl w:val="0"/>
        </w:rPr>
        <w:t xml:space="preserve">9.1 Philosophical Foundations: The Epistemology of Structured Hesitation</w:t>
      </w:r>
    </w:p>
    <w:p w:rsidR="00000000" w:rsidDel="00000000" w:rsidP="00000000" w:rsidRDefault="00000000" w:rsidRPr="00000000" w14:paraId="000004FF">
      <w:pPr>
        <w:pStyle w:val="Heading4"/>
        <w:keepNext w:val="0"/>
        <w:keepLines w:val="0"/>
        <w:spacing w:after="40" w:before="240" w:lineRule="auto"/>
        <w:rPr>
          <w:b w:val="1"/>
          <w:bCs w:val="1"/>
          <w:color w:val="000000"/>
          <w:sz w:val="22"/>
          <w:szCs w:val="22"/>
        </w:rPr>
      </w:pPr>
      <w:bookmarkStart w:colFirst="0" w:colLast="0" w:name="_gxb9hm32gu9s" w:id="193"/>
      <w:bookmarkEnd w:id="193"/>
      <w:r w:rsidDel="00000000" w:rsidR="00000000" w:rsidRPr="00000000">
        <w:rPr>
          <w:b w:val="1"/>
          <w:bCs w:val="1"/>
          <w:color w:val="000000"/>
          <w:sz w:val="22"/>
          <w:szCs w:val="22"/>
          <w:rtl w:val="0"/>
        </w:rPr>
        <w:t xml:space="preserve">9.1.1 Socratic Ignorance and the Productive Unknown</w:t>
      </w:r>
    </w:p>
    <w:p w:rsidR="00000000" w:rsidDel="00000000" w:rsidP="00000000" w:rsidRDefault="00000000" w:rsidRPr="00000000" w14:paraId="00000500">
      <w:pPr>
        <w:spacing w:after="240" w:before="240" w:lineRule="auto"/>
        <w:rPr/>
      </w:pPr>
      <w:r w:rsidDel="00000000" w:rsidR="00000000" w:rsidRPr="00000000">
        <w:rPr>
          <w:rtl w:val="0"/>
        </w:rPr>
        <w:t xml:space="preserve">The oldest articulation of the Sacred Zero's philosophical foundation is Socratic: the recognition that acknowledged ignorance is not a deficit but a beginning. In Plato's </w:t>
      </w:r>
      <w:r w:rsidDel="00000000" w:rsidR="00000000" w:rsidRPr="00000000">
        <w:rPr>
          <w:i w:val="1"/>
          <w:iCs w:val="1"/>
          <w:rtl w:val="0"/>
        </w:rPr>
        <w:t xml:space="preserve">Apology</w:t>
      </w:r>
      <w:r w:rsidDel="00000000" w:rsidR="00000000" w:rsidRPr="00000000">
        <w:rPr>
          <w:rtl w:val="0"/>
        </w:rPr>
        <w:t xml:space="preserve">, Socrates identifies the peculiar wisdom of knowing what one does not know as the precondition for genuine inquiry. The person who does not recognize the boundaries of their knowledge cannot learn; the person who does recognize those boundaries can seek to extend them</w:t>
      </w:r>
      <w:hyperlink r:id="rId423">
        <w:r w:rsidDel="00000000" w:rsidR="00000000" w:rsidRPr="00000000">
          <w:rPr>
            <w:rtl w:val="0"/>
          </w:rPr>
          <w:t xml:space="preserve"> </w:t>
        </w:r>
      </w:hyperlink>
      <w:hyperlink r:id="rId424">
        <w:r w:rsidDel="00000000" w:rsidR="00000000" w:rsidRPr="00000000">
          <w:rPr>
            <w:color w:val="1155cc"/>
            <w:u w:val="single"/>
            <w:rtl w:val="0"/>
          </w:rPr>
          <w:t xml:space="preserve">[64]</w:t>
        </w:r>
      </w:hyperlink>
      <w:r w:rsidDel="00000000" w:rsidR="00000000" w:rsidRPr="00000000">
        <w:rPr>
          <w:rtl w:val="0"/>
        </w:rPr>
        <w:t xml:space="preserve">. Applied to AI governance, this insight translates directly: a system that cannot recognize the boundary of its reliable knowledge cannot seek to resolve its uncertainty; it can only proceed as if no uncertainty exists.</w:t>
      </w:r>
    </w:p>
    <w:p w:rsidR="00000000" w:rsidDel="00000000" w:rsidP="00000000" w:rsidRDefault="00000000" w:rsidRPr="00000000" w14:paraId="00000501">
      <w:pPr>
        <w:spacing w:after="240" w:before="240" w:lineRule="auto"/>
        <w:rPr/>
      </w:pPr>
      <w:r w:rsidDel="00000000" w:rsidR="00000000" w:rsidRPr="00000000">
        <w:rPr>
          <w:rtl w:val="0"/>
        </w:rPr>
        <w:t xml:space="preserve">The Sacred Zero is the computational implementation of Socratic epistemic humility: the system formally acknowledges the boundary of its reliable knowledge (the confidence threshold below which the Sacred Zero triggers), treats that acknowledgment as the beginning of productive inquiry rather than as a failure condition (the Sacred Pause), and refuses to act until the inquiry has either resolved the uncertainty or determined that the available time does not permit resolution (the time-bounded deliberation period). The Goukassian Vow's first injunction:"Pause when truth is uncertain, is Socratic epistemology expressed as executable governance.</w:t>
      </w:r>
    </w:p>
    <w:p w:rsidR="00000000" w:rsidDel="00000000" w:rsidP="00000000" w:rsidRDefault="00000000" w:rsidRPr="00000000" w14:paraId="00000502">
      <w:pPr>
        <w:pStyle w:val="Heading4"/>
        <w:keepNext w:val="0"/>
        <w:keepLines w:val="0"/>
        <w:spacing w:after="40" w:before="240" w:lineRule="auto"/>
        <w:rPr>
          <w:b w:val="1"/>
          <w:bCs w:val="1"/>
          <w:color w:val="000000"/>
          <w:sz w:val="22"/>
          <w:szCs w:val="22"/>
        </w:rPr>
      </w:pPr>
      <w:bookmarkStart w:colFirst="0" w:colLast="0" w:name="_q37ruhe7im05" w:id="194"/>
      <w:bookmarkEnd w:id="194"/>
      <w:r w:rsidDel="00000000" w:rsidR="00000000" w:rsidRPr="00000000">
        <w:rPr>
          <w:b w:val="1"/>
          <w:bCs w:val="1"/>
          <w:color w:val="000000"/>
          <w:sz w:val="22"/>
          <w:szCs w:val="22"/>
          <w:rtl w:val="0"/>
        </w:rPr>
        <w:t xml:space="preserve">9.1.2 Husserlian Epoché and the Suspension of Judgment</w:t>
      </w:r>
    </w:p>
    <w:p w:rsidR="00000000" w:rsidDel="00000000" w:rsidP="00000000" w:rsidRDefault="00000000" w:rsidRPr="00000000" w14:paraId="00000503">
      <w:pPr>
        <w:spacing w:after="240" w:before="240" w:lineRule="auto"/>
        <w:rPr/>
      </w:pPr>
      <w:r w:rsidDel="00000000" w:rsidR="00000000" w:rsidRPr="00000000">
        <w:rPr>
          <w:rtl w:val="0"/>
        </w:rPr>
        <w:t xml:space="preserve">Edmund Husserl's phenomenological method, developed in the </w:t>
      </w:r>
      <w:r w:rsidDel="00000000" w:rsidR="00000000" w:rsidRPr="00000000">
        <w:rPr>
          <w:i w:val="1"/>
          <w:iCs w:val="1"/>
          <w:rtl w:val="0"/>
        </w:rPr>
        <w:t xml:space="preserve">Logical Investigations</w:t>
      </w:r>
      <w:hyperlink r:id="rId425">
        <w:r w:rsidDel="00000000" w:rsidR="00000000" w:rsidRPr="00000000">
          <w:rPr>
            <w:rtl w:val="0"/>
          </w:rPr>
          <w:t xml:space="preserve"> </w:t>
        </w:r>
      </w:hyperlink>
      <w:hyperlink r:id="rId426">
        <w:r w:rsidDel="00000000" w:rsidR="00000000" w:rsidRPr="00000000">
          <w:rPr>
            <w:color w:val="1155cc"/>
            <w:u w:val="single"/>
            <w:rtl w:val="0"/>
          </w:rPr>
          <w:t xml:space="preserve">[65]</w:t>
        </w:r>
      </w:hyperlink>
      <w:r w:rsidDel="00000000" w:rsidR="00000000" w:rsidRPr="00000000">
        <w:rPr>
          <w:rtl w:val="0"/>
        </w:rPr>
        <w:t xml:space="preserve"> and the </w:t>
      </w:r>
      <w:r w:rsidDel="00000000" w:rsidR="00000000" w:rsidRPr="00000000">
        <w:rPr>
          <w:i w:val="1"/>
          <w:iCs w:val="1"/>
          <w:rtl w:val="0"/>
        </w:rPr>
        <w:t xml:space="preserve">Ideas</w:t>
      </w:r>
      <w:hyperlink r:id="rId427">
        <w:r w:rsidDel="00000000" w:rsidR="00000000" w:rsidRPr="00000000">
          <w:rPr>
            <w:rtl w:val="0"/>
          </w:rPr>
          <w:t xml:space="preserve"> </w:t>
        </w:r>
      </w:hyperlink>
      <w:hyperlink r:id="rId428">
        <w:r w:rsidDel="00000000" w:rsidR="00000000" w:rsidRPr="00000000">
          <w:rPr>
            <w:color w:val="1155cc"/>
            <w:u w:val="single"/>
            <w:rtl w:val="0"/>
          </w:rPr>
          <w:t xml:space="preserve">[66]</w:t>
        </w:r>
      </w:hyperlink>
      <w:r w:rsidDel="00000000" w:rsidR="00000000" w:rsidRPr="00000000">
        <w:rPr>
          <w:rtl w:val="0"/>
        </w:rPr>
        <w:t xml:space="preserve">, employs the </w:t>
      </w:r>
      <w:r w:rsidDel="00000000" w:rsidR="00000000" w:rsidRPr="00000000">
        <w:rPr>
          <w:i w:val="1"/>
          <w:iCs w:val="1"/>
          <w:rtl w:val="0"/>
        </w:rPr>
        <w:t xml:space="preserve">epoché</w:t>
      </w:r>
      <w:r w:rsidDel="00000000" w:rsidR="00000000" w:rsidRPr="00000000">
        <w:rPr>
          <w:rtl w:val="0"/>
        </w:rPr>
        <w:t xml:space="preserve"> (from the Greek for suspension) as the methodological move of bracketing one's prior judgments and presuppositions to attend to the phenomenon as it presents itself. The epoché is not skepticism; it does not deny the existence of the external world. It is a disciplined suspension of premature judgment that creates the phenomenological space for genuine description.</w:t>
      </w:r>
    </w:p>
    <w:p w:rsidR="00000000" w:rsidDel="00000000" w:rsidP="00000000" w:rsidRDefault="00000000" w:rsidRPr="00000000" w14:paraId="00000504">
      <w:pPr>
        <w:spacing w:after="240" w:before="240" w:lineRule="auto"/>
        <w:rPr/>
      </w:pPr>
      <w:r w:rsidDel="00000000" w:rsidR="00000000" w:rsidRPr="00000000">
        <w:rPr>
          <w:rtl w:val="0"/>
        </w:rPr>
        <w:t xml:space="preserve">The Sacred Zero is a computational epoché: the disciplined suspension of action in the presence of genuine epistemic uncertainty, creating the deliberative space in which the uncertainty can be addressed rather than suppressed. The parallel is structural rather than historical; TML does not claim Husserlian lineage. But the structural correspondence is precise enough to illuminate the Sacred Zero's philosophical character: it is a disciplined method for managing the relationship between the system's knowledge and its actions, grounded in the recognition that acting on insufficient grounds is epistemologically and ethically impermissible.</w:t>
      </w:r>
    </w:p>
    <w:p w:rsidR="00000000" w:rsidDel="00000000" w:rsidP="00000000" w:rsidRDefault="00000000" w:rsidRPr="00000000" w14:paraId="00000505">
      <w:pPr>
        <w:spacing w:after="240" w:before="240" w:lineRule="auto"/>
        <w:rPr/>
      </w:pPr>
      <w:r w:rsidDel="00000000" w:rsidR="00000000" w:rsidRPr="00000000">
        <w:rPr>
          <w:rtl w:val="0"/>
        </w:rPr>
        <w:t xml:space="preserve">The Sacred Pause's operational content: the construction of a structured deliberation package, the systematic evaluation of available evidence, the documentation of the uncertainty's specific character, mirrors the phenomenological method's insistence on rigorous description before judgment. The deliberation package is not a binary yes/no pre-authorization; it is a careful description of the epistemic situation presented to a human reviewer who will exercise genuine judgment on the basis of the description.</w:t>
      </w:r>
    </w:p>
    <w:p w:rsidR="00000000" w:rsidDel="00000000" w:rsidP="00000000" w:rsidRDefault="00000000" w:rsidRPr="00000000" w14:paraId="00000506">
      <w:pPr>
        <w:pStyle w:val="Heading4"/>
        <w:keepNext w:val="0"/>
        <w:keepLines w:val="0"/>
        <w:spacing w:after="40" w:before="240" w:lineRule="auto"/>
        <w:rPr>
          <w:b w:val="1"/>
          <w:bCs w:val="1"/>
          <w:color w:val="000000"/>
          <w:sz w:val="22"/>
          <w:szCs w:val="22"/>
        </w:rPr>
      </w:pPr>
      <w:bookmarkStart w:colFirst="0" w:colLast="0" w:name="_2wtf5s2gm8oc" w:id="195"/>
      <w:bookmarkEnd w:id="195"/>
      <w:r w:rsidDel="00000000" w:rsidR="00000000" w:rsidRPr="00000000">
        <w:rPr>
          <w:b w:val="1"/>
          <w:bCs w:val="1"/>
          <w:color w:val="000000"/>
          <w:sz w:val="22"/>
          <w:szCs w:val="22"/>
          <w:rtl w:val="0"/>
        </w:rPr>
        <w:t xml:space="preserve">9.1.3 Contemporary Epistemology: Epistemic Injustice and Algorithmic Power</w:t>
      </w:r>
    </w:p>
    <w:p w:rsidR="00000000" w:rsidDel="00000000" w:rsidP="00000000" w:rsidRDefault="00000000" w:rsidRPr="00000000" w14:paraId="00000507">
      <w:pPr>
        <w:spacing w:after="240" w:before="240" w:lineRule="auto"/>
        <w:rPr/>
      </w:pPr>
      <w:r w:rsidDel="00000000" w:rsidR="00000000" w:rsidRPr="00000000">
        <w:rPr>
          <w:rtl w:val="0"/>
        </w:rPr>
        <w:t xml:space="preserve">Miranda Fricker's analysis of epistemic injustice</w:t>
      </w:r>
      <w:hyperlink r:id="rId429">
        <w:r w:rsidDel="00000000" w:rsidR="00000000" w:rsidRPr="00000000">
          <w:rPr>
            <w:rtl w:val="0"/>
          </w:rPr>
          <w:t xml:space="preserve"> </w:t>
        </w:r>
      </w:hyperlink>
      <w:hyperlink r:id="rId430">
        <w:r w:rsidDel="00000000" w:rsidR="00000000" w:rsidRPr="00000000">
          <w:rPr>
            <w:color w:val="1155cc"/>
            <w:u w:val="single"/>
            <w:rtl w:val="0"/>
          </w:rPr>
          <w:t xml:space="preserve">[67]</w:t>
        </w:r>
      </w:hyperlink>
      <w:r w:rsidDel="00000000" w:rsidR="00000000" w:rsidRPr="00000000">
        <w:rPr>
          <w:rtl w:val="0"/>
        </w:rPr>
        <w:t xml:space="preserve"> identifies two forms of harm that AI governance systems must address: testimonial injustice, in which a person's credibility is systematically deflated due to identity prejudice; and hermeneutical injustice, in which a person lacks the conceptual resources to make sense of their own experience because those resources have been systematically excluded from collective understanding.</w:t>
      </w:r>
    </w:p>
    <w:p w:rsidR="00000000" w:rsidDel="00000000" w:rsidP="00000000" w:rsidRDefault="00000000" w:rsidRPr="00000000" w14:paraId="00000508">
      <w:pPr>
        <w:spacing w:after="240" w:before="240" w:lineRule="auto"/>
        <w:rPr/>
      </w:pPr>
      <w:r w:rsidDel="00000000" w:rsidR="00000000" w:rsidRPr="00000000">
        <w:rPr>
          <w:rtl w:val="0"/>
        </w:rPr>
        <w:t xml:space="preserve">Both forms of epistemic injustice are documented consequences of binary AI systems. The Toeslagenaffaire's risk-scoring algorithm produced testimonial injustice by systematically deflating the credibility of dual-nationality families' representations about their own situations. The Arkansas Medicaid algorithm produced hermeneutical injustice by reducing care determinations to algorithmic outputs that the affected persons lacked the conceptual tools to contest.</w:t>
      </w:r>
    </w:p>
    <w:p w:rsidR="00000000" w:rsidDel="00000000" w:rsidP="00000000" w:rsidRDefault="00000000" w:rsidRPr="00000000" w14:paraId="00000509">
      <w:pPr>
        <w:spacing w:after="240" w:before="240" w:lineRule="auto"/>
        <w:rPr/>
      </w:pPr>
      <w:r w:rsidDel="00000000" w:rsidR="00000000" w:rsidRPr="00000000">
        <w:rPr>
          <w:rtl w:val="0"/>
        </w:rPr>
        <w:t xml:space="preserve">TML's Moral Trace Log architecture directly addresses both forms. Testimonial injustice is countered by the Always Memory requirement that the specific evidentiary basis for every adverse determination be recorded and accessible to the affected person: the algorithm's "testimony" about the person's situation is documented and contestable rather than opaque and final. Hermeneutical injustice is countered by the Sacred Zero's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requirement: the uncertainty that triggers hesitation must be described in terms that a human reviewer can understand and assess, creating the conceptual transparency that genuine contestation requires.</w:t>
      </w:r>
    </w:p>
    <w:p w:rsidR="00000000" w:rsidDel="00000000" w:rsidP="00000000" w:rsidRDefault="00000000" w:rsidRPr="00000000" w14:paraId="0000050A">
      <w:pPr>
        <w:pStyle w:val="Heading4"/>
        <w:keepNext w:val="0"/>
        <w:keepLines w:val="0"/>
        <w:spacing w:after="40" w:before="240" w:lineRule="auto"/>
        <w:rPr>
          <w:b w:val="1"/>
          <w:bCs w:val="1"/>
          <w:color w:val="000000"/>
          <w:sz w:val="22"/>
          <w:szCs w:val="22"/>
        </w:rPr>
      </w:pPr>
      <w:bookmarkStart w:colFirst="0" w:colLast="0" w:name="_c9mgeeql1fag" w:id="196"/>
      <w:bookmarkEnd w:id="196"/>
      <w:r w:rsidDel="00000000" w:rsidR="00000000" w:rsidRPr="00000000">
        <w:rPr>
          <w:b w:val="1"/>
          <w:bCs w:val="1"/>
          <w:color w:val="000000"/>
          <w:sz w:val="22"/>
          <w:szCs w:val="22"/>
          <w:rtl w:val="0"/>
        </w:rPr>
        <w:t xml:space="preserve">9.1.4 The Ethics of Risk and Harm Under Uncertainty</w:t>
      </w:r>
    </w:p>
    <w:p w:rsidR="00000000" w:rsidDel="00000000" w:rsidP="00000000" w:rsidRDefault="00000000" w:rsidRPr="00000000" w14:paraId="0000050B">
      <w:pPr>
        <w:spacing w:after="240" w:before="240" w:lineRule="auto"/>
        <w:rPr/>
      </w:pPr>
      <w:r w:rsidDel="00000000" w:rsidR="00000000" w:rsidRPr="00000000">
        <w:rPr>
          <w:rtl w:val="0"/>
        </w:rPr>
        <w:t xml:space="preserve">The philosophical literature on decision-making under moral uncertainty</w:t>
      </w:r>
      <w:hyperlink r:id="rId431">
        <w:r w:rsidDel="00000000" w:rsidR="00000000" w:rsidRPr="00000000">
          <w:rPr>
            <w:rtl w:val="0"/>
          </w:rPr>
          <w:t xml:space="preserve"> </w:t>
        </w:r>
      </w:hyperlink>
      <w:hyperlink r:id="rId432">
        <w:r w:rsidDel="00000000" w:rsidR="00000000" w:rsidRPr="00000000">
          <w:rPr>
            <w:color w:val="1155cc"/>
            <w:u w:val="single"/>
            <w:rtl w:val="0"/>
          </w:rPr>
          <w:t xml:space="preserve">[68]</w:t>
        </w:r>
      </w:hyperlink>
      <w:r w:rsidDel="00000000" w:rsidR="00000000" w:rsidRPr="00000000">
        <w:rPr>
          <w:rtl w:val="0"/>
        </w:rPr>
        <w:t xml:space="preserve"> establishes that the appropriate response to uncertainty about whether an action is morally permissible is not to treat uncertainty as permission to proceed. When the consequences of acting wrongly are severe and irreversible, the standard of justification for proceeding must increase proportionally with the moral stakes. This is the principle that philosophers of risk designate as the "precautionary principle" in its strong form: under conditions of genuine moral uncertainty about a high-stakes irreversible action, the burden of proof falls on the side of action, not inaction.</w:t>
      </w:r>
    </w:p>
    <w:p w:rsidR="00000000" w:rsidDel="00000000" w:rsidP="00000000" w:rsidRDefault="00000000" w:rsidRPr="00000000" w14:paraId="0000050C">
      <w:pPr>
        <w:spacing w:after="240" w:before="240" w:lineRule="auto"/>
        <w:rPr/>
      </w:pPr>
      <w:r w:rsidDel="00000000" w:rsidR="00000000" w:rsidRPr="00000000">
        <w:rPr>
          <w:rtl w:val="0"/>
        </w:rPr>
        <w:t xml:space="preserve">The Sacred Zero implements this philosophical principle as an engineering constraint: the threshold below which the Sacred Zero triggers is not a fixed confidence level but a function of the stakes of the proposed action. High-stakes irreversible actions require higher confidence for State +1 authorization; low-stakes reversible actions can proceed at lower confidence. The domain-specific configuration of the Sacred Zero threshold is the engineering expression of the philosophical principle that the justification standard must be proportional to the moral stakes.</w:t>
      </w:r>
    </w:p>
    <w:p w:rsidR="00000000" w:rsidDel="00000000" w:rsidP="00000000" w:rsidRDefault="00000000" w:rsidRPr="00000000" w14:paraId="0000050D">
      <w:pPr>
        <w:spacing w:after="240" w:before="240" w:lineRule="auto"/>
        <w:rPr/>
      </w:pPr>
      <w:r w:rsidDel="00000000" w:rsidR="00000000" w:rsidRPr="00000000">
        <w:rPr>
          <w:rFonts w:ascii="Arial Unicode MS" w:cs="Arial Unicode MS" w:eastAsia="Arial Unicode MS" w:hAnsi="Arial Unicode MS"/>
          <w:rtl w:val="0"/>
        </w:rPr>
        <w:t xml:space="preserve">The State −1 Mandate veto implements the strong precautionary principle for specific categories of harm: when a proposed action approaches a Human Rights or Earth Protection Mandate protection vector, the uncertainty about whether the action violates the Mandate is resolved in favor of protection rather than action, regardless of the Inference Lane's confidence in the action's permissibility. The Mandate veto is the architectural expression of the philosophical insight that some potential harms are so severe that the risk of committing them cannot be justified by any level of confidence about their permissibility.</w:t>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6za2zdrvyapv" w:id="197"/>
      <w:bookmarkEnd w:id="197"/>
      <w:r w:rsidDel="00000000" w:rsidR="00000000" w:rsidRPr="00000000">
        <w:rPr>
          <w:b w:val="1"/>
          <w:bCs w:val="1"/>
          <w:color w:val="000000"/>
          <w:sz w:val="26"/>
          <w:szCs w:val="26"/>
          <w:rtl w:val="0"/>
        </w:rPr>
        <w:t xml:space="preserve">9.2 Cognitive Science: The Dual Process Architecture of Judgment</w:t>
      </w:r>
    </w:p>
    <w:p w:rsidR="00000000" w:rsidDel="00000000" w:rsidP="00000000" w:rsidRDefault="00000000" w:rsidRPr="00000000" w14:paraId="0000050F">
      <w:pPr>
        <w:pStyle w:val="Heading4"/>
        <w:keepNext w:val="0"/>
        <w:keepLines w:val="0"/>
        <w:spacing w:after="40" w:before="240" w:lineRule="auto"/>
        <w:rPr>
          <w:b w:val="1"/>
          <w:bCs w:val="1"/>
          <w:color w:val="000000"/>
          <w:sz w:val="22"/>
          <w:szCs w:val="22"/>
        </w:rPr>
      </w:pPr>
      <w:bookmarkStart w:colFirst="0" w:colLast="0" w:name="_u6lcdpnn6e5w" w:id="198"/>
      <w:bookmarkEnd w:id="198"/>
      <w:r w:rsidDel="00000000" w:rsidR="00000000" w:rsidRPr="00000000">
        <w:rPr>
          <w:b w:val="1"/>
          <w:bCs w:val="1"/>
          <w:color w:val="000000"/>
          <w:sz w:val="22"/>
          <w:szCs w:val="22"/>
          <w:rtl w:val="0"/>
        </w:rPr>
        <w:t xml:space="preserve">9.2.1 System 1 and System 2: The Psychological Basis for the Dual-Lane Design</w:t>
      </w:r>
    </w:p>
    <w:p w:rsidR="00000000" w:rsidDel="00000000" w:rsidP="00000000" w:rsidRDefault="00000000" w:rsidRPr="00000000" w14:paraId="00000510">
      <w:pPr>
        <w:spacing w:after="240" w:before="240" w:lineRule="auto"/>
        <w:rPr/>
      </w:pPr>
      <w:r w:rsidDel="00000000" w:rsidR="00000000" w:rsidRPr="00000000">
        <w:rPr>
          <w:rtl w:val="0"/>
        </w:rPr>
        <w:t xml:space="preserve">Daniel Kahneman's dual process theory of human cognition</w:t>
      </w:r>
      <w:hyperlink r:id="rId433">
        <w:r w:rsidDel="00000000" w:rsidR="00000000" w:rsidRPr="00000000">
          <w:rPr>
            <w:rtl w:val="0"/>
          </w:rPr>
          <w:t xml:space="preserve"> </w:t>
        </w:r>
      </w:hyperlink>
      <w:hyperlink r:id="rId434">
        <w:r w:rsidDel="00000000" w:rsidR="00000000" w:rsidRPr="00000000">
          <w:rPr>
            <w:color w:val="1155cc"/>
            <w:u w:val="single"/>
            <w:rtl w:val="0"/>
          </w:rPr>
          <w:t xml:space="preserve">[22]</w:t>
        </w:r>
      </w:hyperlink>
      <w:r w:rsidDel="00000000" w:rsidR="00000000" w:rsidRPr="00000000">
        <w:rPr>
          <w:rtl w:val="0"/>
        </w:rPr>
        <w:t xml:space="preserve">, developed through decades of research on judgment and decision-making, distinguishes two cognitive systems. System 1 operates automatically, quickly, and without deliberate effort: it provides fast heuristic assessments based on pattern recognition, association, and prior experience. System 2 operates deliberately, slowly, and with cognitive effort: it provides careful analytical assessments based on explicit reasoning, evidence evaluation, and rule application.</w:t>
      </w:r>
    </w:p>
    <w:p w:rsidR="00000000" w:rsidDel="00000000" w:rsidP="00000000" w:rsidRDefault="00000000" w:rsidRPr="00000000" w14:paraId="00000511">
      <w:pPr>
        <w:spacing w:after="240" w:before="240" w:lineRule="auto"/>
        <w:rPr/>
      </w:pPr>
      <w:r w:rsidDel="00000000" w:rsidR="00000000" w:rsidRPr="00000000">
        <w:rPr>
          <w:rtl w:val="0"/>
        </w:rPr>
        <w:t xml:space="preserve">System 1 is the cognitive analogue of the binary Inference Lane: fast, pattern-based, and optimized for throughput. System 2 is the cognitive analogue of the Triadic Anchoring Lane: deliberate, evidence-based, and optimized for accuracy rather than speed. The psychological research establishes that System 1 is reliable for familiar situations within its experiential domain and unreliable for novel situations outside that domain, for high-stakes irreversible decisions, and for situations where the correct response conflicts with salient heuristic cues. These are precisely the conditions that the Sacred Zero is designed to detect and respond to: out-of-distribution inputs, high-stakes determinations, and low-confidence assessments.</w:t>
      </w:r>
    </w:p>
    <w:p w:rsidR="00000000" w:rsidDel="00000000" w:rsidP="00000000" w:rsidRDefault="00000000" w:rsidRPr="00000000" w14:paraId="00000512">
      <w:pPr>
        <w:spacing w:after="240" w:before="240" w:lineRule="auto"/>
        <w:rPr/>
      </w:pPr>
      <w:r w:rsidDel="00000000" w:rsidR="00000000" w:rsidRPr="00000000">
        <w:rPr>
          <w:rtl w:val="0"/>
        </w:rPr>
        <w:t xml:space="preserve">TML's Dual-Lane Architecture is the engineering translation of this psychological architecture: the Inference Lane (System 1 analogue) provides fast heuristic assessment; the Anchoring Lane (System 2 analogue) provides deliberate verification and authorization. The Sacred Zero is the forced activation of System 2 processing for precisely the cases where System 1 is documented to be unreliable: low confidence, mandate conflict, contextual novelty, and oracle integrity failure. The parallel to the psychological research is structural: TML mandates the equivalent of System 2 deliberation for the conditions under which the psychological literature documents System 1 failure.</w:t>
      </w:r>
    </w:p>
    <w:p w:rsidR="00000000" w:rsidDel="00000000" w:rsidP="00000000" w:rsidRDefault="00000000" w:rsidRPr="00000000" w14:paraId="00000513">
      <w:pPr>
        <w:pStyle w:val="Heading4"/>
        <w:keepNext w:val="0"/>
        <w:keepLines w:val="0"/>
        <w:spacing w:after="40" w:before="240" w:lineRule="auto"/>
        <w:rPr>
          <w:b w:val="1"/>
          <w:bCs w:val="1"/>
          <w:color w:val="000000"/>
          <w:sz w:val="22"/>
          <w:szCs w:val="22"/>
        </w:rPr>
      </w:pPr>
      <w:bookmarkStart w:colFirst="0" w:colLast="0" w:name="_wsfwrj6denb5" w:id="199"/>
      <w:bookmarkEnd w:id="199"/>
      <w:r w:rsidDel="00000000" w:rsidR="00000000" w:rsidRPr="00000000">
        <w:rPr>
          <w:b w:val="1"/>
          <w:bCs w:val="1"/>
          <w:color w:val="000000"/>
          <w:sz w:val="22"/>
          <w:szCs w:val="22"/>
          <w:rtl w:val="0"/>
        </w:rPr>
        <w:t xml:space="preserve">9.2.2 Automation Bias and the Governance Challenge</w:t>
      </w:r>
    </w:p>
    <w:p w:rsidR="00000000" w:rsidDel="00000000" w:rsidP="00000000" w:rsidRDefault="00000000" w:rsidRPr="00000000" w14:paraId="00000514">
      <w:pPr>
        <w:spacing w:after="240" w:before="240" w:lineRule="auto"/>
        <w:rPr/>
      </w:pPr>
      <w:r w:rsidDel="00000000" w:rsidR="00000000" w:rsidRPr="00000000">
        <w:rPr>
          <w:rtl w:val="0"/>
        </w:rPr>
        <w:t xml:space="preserve">Automation bias describes the human tendency to over-rely on automated system outputs and under-exercise independent judgment when automated recommendations are available</w:t>
      </w:r>
      <w:hyperlink r:id="rId435">
        <w:r w:rsidDel="00000000" w:rsidR="00000000" w:rsidRPr="00000000">
          <w:rPr>
            <w:rtl w:val="0"/>
          </w:rPr>
          <w:t xml:space="preserve"> </w:t>
        </w:r>
      </w:hyperlink>
      <w:hyperlink r:id="rId436">
        <w:r w:rsidDel="00000000" w:rsidR="00000000" w:rsidRPr="00000000">
          <w:rPr>
            <w:color w:val="1155cc"/>
            <w:u w:val="single"/>
            <w:rtl w:val="0"/>
          </w:rPr>
          <w:t xml:space="preserve">[69]</w:t>
        </w:r>
      </w:hyperlink>
      <w:r w:rsidDel="00000000" w:rsidR="00000000" w:rsidRPr="00000000">
        <w:rPr>
          <w:rtl w:val="0"/>
        </w:rPr>
        <w:t xml:space="preserve">. Extensive research in aviation, medicine, and military systems documents that human operators who are nominally in the oversight loop will often ratify automated recommendations without exercising genuine independent judgment, particularly when the recommendations are presented with confidence and when the human operator lacks independent access to the information required for genuine evaluation.</w:t>
      </w:r>
    </w:p>
    <w:p w:rsidR="00000000" w:rsidDel="00000000" w:rsidP="00000000" w:rsidRDefault="00000000" w:rsidRPr="00000000" w14:paraId="00000515">
      <w:pPr>
        <w:spacing w:after="240" w:before="240" w:lineRule="auto"/>
        <w:rPr/>
      </w:pPr>
      <w:r w:rsidDel="00000000" w:rsidR="00000000" w:rsidRPr="00000000">
        <w:rPr>
          <w:rtl w:val="0"/>
        </w:rPr>
        <w:t xml:space="preserve">The governance challenge that automation bias creates for TML is precisely the challenge identified in EU AI Act Article 14's requirement for genuine rather than nominal human oversight: if the Sacred Zero's escalation pathway presents human reviewers with insufficient information for independent evaluation, or if the presentation of Sacred Zero escalations creates social pressure to ratify the system's proposed resolution, the human oversight function reduces to a formality that satisfies the letter of the governance requirement while violating its intent.</w:t>
      </w:r>
    </w:p>
    <w:p w:rsidR="00000000" w:rsidDel="00000000" w:rsidP="00000000" w:rsidRDefault="00000000" w:rsidRPr="00000000" w14:paraId="00000516">
      <w:pPr>
        <w:spacing w:after="240" w:before="240" w:lineRule="auto"/>
        <w:rPr/>
      </w:pPr>
      <w:r w:rsidDel="00000000" w:rsidR="00000000" w:rsidRPr="00000000">
        <w:rPr>
          <w:rtl w:val="0"/>
        </w:rPr>
        <w:t xml:space="preserve">TML's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schema is designed specifically to counter automation bias in the Sacred Zero review process. The matrix presents not a recommended resolution with supporting evidence but a structured description of the uncertainty itself: the specific confidence intervals that triggered the Sacred Zero, the Mandate vectors that are in proximity, the evidence that is available and the evidence that is missing, and multiple resolution options with their respective evidentiary bases. The human reviewer is presented with the inputs to a decision, not with a decision recommendation to ratify. The </w:t>
      </w:r>
      <w:r w:rsidDel="00000000" w:rsidR="00000000" w:rsidRPr="00000000">
        <w:rPr>
          <w:rFonts w:ascii="Roboto Mono" w:cs="Roboto Mono" w:eastAsia="Roboto Mono" w:hAnsi="Roboto Mono"/>
          <w:color w:val="188038"/>
          <w:rtl w:val="0"/>
        </w:rPr>
        <w:t xml:space="preserve">resolutionRationale</w:t>
      </w:r>
      <w:r w:rsidDel="00000000" w:rsidR="00000000" w:rsidRPr="00000000">
        <w:rPr>
          <w:rtl w:val="0"/>
        </w:rPr>
        <w:t xml:space="preserve"> required field additionally ensures that the reviewer documents the basis for their resolution, creating accountability for the oversight exercise that counters the social pressure toward unreflective ratification.</w:t>
      </w:r>
    </w:p>
    <w:p w:rsidR="00000000" w:rsidDel="00000000" w:rsidP="00000000" w:rsidRDefault="00000000" w:rsidRPr="00000000" w14:paraId="00000517">
      <w:pPr>
        <w:pStyle w:val="Heading4"/>
        <w:keepNext w:val="0"/>
        <w:keepLines w:val="0"/>
        <w:spacing w:after="40" w:before="240" w:lineRule="auto"/>
        <w:rPr>
          <w:b w:val="1"/>
          <w:bCs w:val="1"/>
          <w:color w:val="000000"/>
          <w:sz w:val="22"/>
          <w:szCs w:val="22"/>
        </w:rPr>
      </w:pPr>
      <w:bookmarkStart w:colFirst="0" w:colLast="0" w:name="_rgctuzz3fv3m" w:id="200"/>
      <w:bookmarkEnd w:id="200"/>
      <w:r w:rsidDel="00000000" w:rsidR="00000000" w:rsidRPr="00000000">
        <w:rPr>
          <w:b w:val="1"/>
          <w:bCs w:val="1"/>
          <w:color w:val="000000"/>
          <w:sz w:val="22"/>
          <w:szCs w:val="22"/>
          <w:rtl w:val="0"/>
        </w:rPr>
        <w:t xml:space="preserve">9.2.3 The Neuroscience of Moral Cognition</w:t>
      </w:r>
    </w:p>
    <w:p w:rsidR="00000000" w:rsidDel="00000000" w:rsidP="00000000" w:rsidRDefault="00000000" w:rsidRPr="00000000" w14:paraId="00000518">
      <w:pPr>
        <w:spacing w:after="240" w:before="240" w:lineRule="auto"/>
        <w:rPr/>
      </w:pPr>
      <w:r w:rsidDel="00000000" w:rsidR="00000000" w:rsidRPr="00000000">
        <w:rPr>
          <w:rtl w:val="0"/>
        </w:rPr>
        <w:t xml:space="preserve">Neuroscientific research on moral decision-making</w:t>
      </w:r>
      <w:hyperlink r:id="rId437">
        <w:r w:rsidDel="00000000" w:rsidR="00000000" w:rsidRPr="00000000">
          <w:rPr>
            <w:rtl w:val="0"/>
          </w:rPr>
          <w:t xml:space="preserve"> </w:t>
        </w:r>
      </w:hyperlink>
      <w:hyperlink r:id="rId438">
        <w:r w:rsidDel="00000000" w:rsidR="00000000" w:rsidRPr="00000000">
          <w:rPr>
            <w:color w:val="1155cc"/>
            <w:u w:val="single"/>
            <w:rtl w:val="0"/>
          </w:rPr>
          <w:t xml:space="preserve">[70]</w:t>
        </w:r>
      </w:hyperlink>
      <w:r w:rsidDel="00000000" w:rsidR="00000000" w:rsidRPr="00000000">
        <w:rPr>
          <w:rtl w:val="0"/>
        </w:rPr>
        <w:t xml:space="preserve"> documents that human moral judgments involve both rapid emotional responses (analogous to System 1) and deliberate reasoning processes (analogous to System 2), and that the appropriate balance between these processes varies with the nature of the moral question. For impersonal trolley-problem-style utilitarian calculations, deliberate reasoning tends to produce more consistent and defensible outcomes. For personal harm situations involving direct physical contact and emotional engagement, emotional responses provide important moral information that deliberate calculation can suppress.</w:t>
      </w:r>
    </w:p>
    <w:p w:rsidR="00000000" w:rsidDel="00000000" w:rsidP="00000000" w:rsidRDefault="00000000" w:rsidRPr="00000000" w14:paraId="00000519">
      <w:pPr>
        <w:spacing w:after="240" w:before="240" w:lineRule="auto"/>
        <w:rPr/>
      </w:pPr>
      <w:r w:rsidDel="00000000" w:rsidR="00000000" w:rsidRPr="00000000">
        <w:rPr>
          <w:rtl w:val="0"/>
        </w:rPr>
        <w:t xml:space="preserve">This neuroscientific complexity has implications for TML's Mandate detection architecture. The Human Rights Mandate's semantic vector proximity detection is a fast computational process that operates analogously to emotional moral intuition: it provides rapid detection of potential rights violations without deliberate calculation. The Sacred Zero deliberation process that follows a Mandate proximity trigger is the deliberate reasoning process that evaluates the initial intuitive response and determines whether it reflects genuine rights violation or contextual misidentification.</w:t>
      </w:r>
    </w:p>
    <w:p w:rsidR="00000000" w:rsidDel="00000000" w:rsidP="00000000" w:rsidRDefault="00000000" w:rsidRPr="00000000" w14:paraId="0000051A">
      <w:pPr>
        <w:spacing w:after="240" w:before="240" w:lineRule="auto"/>
        <w:rPr/>
      </w:pPr>
      <w:r w:rsidDel="00000000" w:rsidR="00000000" w:rsidRPr="00000000">
        <w:rPr>
          <w:rtl w:val="0"/>
        </w:rPr>
        <w:t xml:space="preserve">The two-stage architecture, fast semantic detection followed by deliberate deliberation for borderline cases, mirrors the neuroscientifically optimal structure for human moral cognition. It avoids the failure mode of pure System 1 moral processing (acting on emotional responses without deliberate evaluation) and the failure mode of pure System 2 moral processing (suppressing legitimate intuitive responses through rationalization). The Sacred Zero is the governance equivalent of the pause that neuroscientists identify as the enabling condition for morally sophisticated judgment.</w:t>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mzvnly5yucm2" w:id="201"/>
      <w:bookmarkEnd w:id="201"/>
      <w:r w:rsidDel="00000000" w:rsidR="00000000" w:rsidRPr="00000000">
        <w:rPr>
          <w:b w:val="1"/>
          <w:bCs w:val="1"/>
          <w:color w:val="000000"/>
          <w:sz w:val="26"/>
          <w:szCs w:val="26"/>
          <w:rtl w:val="0"/>
        </w:rPr>
        <w:t xml:space="preserve">9.3 Jurisprudence and Political Philosophy: The Constitutional Theory of TML</w:t>
      </w:r>
    </w:p>
    <w:p w:rsidR="00000000" w:rsidDel="00000000" w:rsidP="00000000" w:rsidRDefault="00000000" w:rsidRPr="00000000" w14:paraId="0000051C">
      <w:pPr>
        <w:pStyle w:val="Heading4"/>
        <w:keepNext w:val="0"/>
        <w:keepLines w:val="0"/>
        <w:spacing w:after="40" w:before="240" w:lineRule="auto"/>
        <w:rPr>
          <w:b w:val="1"/>
          <w:bCs w:val="1"/>
          <w:color w:val="000000"/>
          <w:sz w:val="22"/>
          <w:szCs w:val="22"/>
        </w:rPr>
      </w:pPr>
      <w:bookmarkStart w:colFirst="0" w:colLast="0" w:name="_38qfbua0gm8x" w:id="202"/>
      <w:bookmarkEnd w:id="202"/>
      <w:r w:rsidDel="00000000" w:rsidR="00000000" w:rsidRPr="00000000">
        <w:rPr>
          <w:b w:val="1"/>
          <w:bCs w:val="1"/>
          <w:color w:val="000000"/>
          <w:sz w:val="22"/>
          <w:szCs w:val="22"/>
          <w:rtl w:val="0"/>
        </w:rPr>
        <w:t xml:space="preserve">9.3.1 Social Contract Theory and the Goukassian Promise</w:t>
      </w:r>
    </w:p>
    <w:p w:rsidR="00000000" w:rsidDel="00000000" w:rsidP="00000000" w:rsidRDefault="00000000" w:rsidRPr="00000000" w14:paraId="0000051D">
      <w:pPr>
        <w:spacing w:after="240" w:before="240" w:lineRule="auto"/>
        <w:rPr/>
      </w:pPr>
      <w:r w:rsidDel="00000000" w:rsidR="00000000" w:rsidRPr="00000000">
        <w:rPr>
          <w:rtl w:val="0"/>
        </w:rPr>
        <w:t xml:space="preserve">The social contract tradition in political philosophy, from Hobbes</w:t>
      </w:r>
      <w:hyperlink r:id="rId439">
        <w:r w:rsidDel="00000000" w:rsidR="00000000" w:rsidRPr="00000000">
          <w:rPr>
            <w:rtl w:val="0"/>
          </w:rPr>
          <w:t xml:space="preserve"> </w:t>
        </w:r>
      </w:hyperlink>
      <w:hyperlink r:id="rId440">
        <w:r w:rsidDel="00000000" w:rsidR="00000000" w:rsidRPr="00000000">
          <w:rPr>
            <w:color w:val="1155cc"/>
            <w:u w:val="single"/>
            <w:rtl w:val="0"/>
          </w:rPr>
          <w:t xml:space="preserve">[71]</w:t>
        </w:r>
      </w:hyperlink>
      <w:r w:rsidDel="00000000" w:rsidR="00000000" w:rsidRPr="00000000">
        <w:rPr>
          <w:rtl w:val="0"/>
        </w:rPr>
        <w:t xml:space="preserve"> through Locke</w:t>
      </w:r>
      <w:hyperlink r:id="rId441">
        <w:r w:rsidDel="00000000" w:rsidR="00000000" w:rsidRPr="00000000">
          <w:rPr>
            <w:rtl w:val="0"/>
          </w:rPr>
          <w:t xml:space="preserve"> </w:t>
        </w:r>
      </w:hyperlink>
      <w:hyperlink r:id="rId442">
        <w:r w:rsidDel="00000000" w:rsidR="00000000" w:rsidRPr="00000000">
          <w:rPr>
            <w:color w:val="1155cc"/>
            <w:u w:val="single"/>
            <w:rtl w:val="0"/>
          </w:rPr>
          <w:t xml:space="preserve">[72]</w:t>
        </w:r>
      </w:hyperlink>
      <w:r w:rsidDel="00000000" w:rsidR="00000000" w:rsidRPr="00000000">
        <w:rPr>
          <w:rtl w:val="0"/>
        </w:rPr>
        <w:t xml:space="preserve"> and Rousseau</w:t>
      </w:r>
      <w:hyperlink r:id="rId443">
        <w:r w:rsidDel="00000000" w:rsidR="00000000" w:rsidRPr="00000000">
          <w:rPr>
            <w:rtl w:val="0"/>
          </w:rPr>
          <w:t xml:space="preserve"> </w:t>
        </w:r>
      </w:hyperlink>
      <w:hyperlink r:id="rId444">
        <w:r w:rsidDel="00000000" w:rsidR="00000000" w:rsidRPr="00000000">
          <w:rPr>
            <w:color w:val="1155cc"/>
            <w:u w:val="single"/>
            <w:rtl w:val="0"/>
          </w:rPr>
          <w:t xml:space="preserve">[73]</w:t>
        </w:r>
      </w:hyperlink>
      <w:r w:rsidDel="00000000" w:rsidR="00000000" w:rsidRPr="00000000">
        <w:rPr>
          <w:rtl w:val="0"/>
        </w:rPr>
        <w:t xml:space="preserve"> to Rawls</w:t>
      </w:r>
      <w:hyperlink r:id="rId445">
        <w:r w:rsidDel="00000000" w:rsidR="00000000" w:rsidRPr="00000000">
          <w:rPr>
            <w:rtl w:val="0"/>
          </w:rPr>
          <w:t xml:space="preserve"> </w:t>
        </w:r>
      </w:hyperlink>
      <w:hyperlink r:id="rId446">
        <w:r w:rsidDel="00000000" w:rsidR="00000000" w:rsidRPr="00000000">
          <w:rPr>
            <w:color w:val="1155cc"/>
            <w:u w:val="single"/>
            <w:rtl w:val="0"/>
          </w:rPr>
          <w:t xml:space="preserve">[74]</w:t>
        </w:r>
      </w:hyperlink>
      <w:r w:rsidDel="00000000" w:rsidR="00000000" w:rsidRPr="00000000">
        <w:rPr>
          <w:rtl w:val="0"/>
        </w:rPr>
        <w:t xml:space="preserve">, grounds political obligation in the consent of the governed and the mutual benefits of cooperative governance arrangements. The legitimacy of governance derives not from the power to enforce compliance but from the rational acceptability of the governance arrangement to all parties subject to it.</w:t>
      </w:r>
    </w:p>
    <w:p w:rsidR="00000000" w:rsidDel="00000000" w:rsidP="00000000" w:rsidRDefault="00000000" w:rsidRPr="00000000" w14:paraId="0000051E">
      <w:pPr>
        <w:spacing w:after="240" w:before="240" w:lineRule="auto"/>
        <w:rPr/>
      </w:pPr>
      <w:r w:rsidDel="00000000" w:rsidR="00000000" w:rsidRPr="00000000">
        <w:rPr>
          <w:rtl w:val="0"/>
        </w:rPr>
        <w:t xml:space="preserve">The Goukassian Promise is the social contract of TML governance: the tripartite covenant that articulates the terms under which TML-governed AI systems are deployed and the conditions under which that deployment is legitimate. The Lantern's continuous compliance broadcasting expresses the governance arrangement's transparency to all affected parties. The Signature's chain of provenance expresses the creator's ongoing responsibility for the framework's integrity. The License's constitutional prohibitions express the limits of acceptable deployment that the affected community has not consented to.</w:t>
      </w:r>
    </w:p>
    <w:p w:rsidR="00000000" w:rsidDel="00000000" w:rsidP="00000000" w:rsidRDefault="00000000" w:rsidRPr="00000000" w14:paraId="0000051F">
      <w:pPr>
        <w:spacing w:after="240" w:before="240" w:lineRule="auto"/>
        <w:rPr/>
      </w:pPr>
      <w:r w:rsidDel="00000000" w:rsidR="00000000" w:rsidRPr="00000000">
        <w:rPr>
          <w:rtl w:val="0"/>
        </w:rPr>
        <w:t xml:space="preserve">The Rawlsian dimension of the Goukassian Promise is the most important: the question of whether TML's governance constraints are rationally acceptable behind a "veil of ignorance", not knowing whether one will be an AI developer, an AI operator, a subject of an AI-governed decision, or a member of the wider society affected by AI's aggregate impacts. Behind this veil, rational actors would choose governance arrangements that provide reliable protection against the worst outcomes (algorithmic cruelty, lethal autonomous engagement, discriminatory administration) over governance arrangements that maximize throughput without such protection. The Sacred Zero and Mandate architecture implements the governance arrangement that Rawlsian reasoning selects.</w:t>
      </w:r>
    </w:p>
    <w:p w:rsidR="00000000" w:rsidDel="00000000" w:rsidP="00000000" w:rsidRDefault="00000000" w:rsidRPr="00000000" w14:paraId="00000520">
      <w:pPr>
        <w:pStyle w:val="Heading4"/>
        <w:keepNext w:val="0"/>
        <w:keepLines w:val="0"/>
        <w:spacing w:after="40" w:before="240" w:lineRule="auto"/>
        <w:rPr>
          <w:b w:val="1"/>
          <w:bCs w:val="1"/>
          <w:color w:val="000000"/>
          <w:sz w:val="22"/>
          <w:szCs w:val="22"/>
        </w:rPr>
      </w:pPr>
      <w:bookmarkStart w:colFirst="0" w:colLast="0" w:name="_54dvbhqcn4hs" w:id="203"/>
      <w:bookmarkEnd w:id="203"/>
      <w:r w:rsidDel="00000000" w:rsidR="00000000" w:rsidRPr="00000000">
        <w:rPr>
          <w:b w:val="1"/>
          <w:bCs w:val="1"/>
          <w:color w:val="000000"/>
          <w:sz w:val="22"/>
          <w:szCs w:val="22"/>
          <w:rtl w:val="0"/>
        </w:rPr>
        <w:t xml:space="preserve">9.3.2 The Separation of Powers and the Dual-Lane Architecture</w:t>
      </w:r>
    </w:p>
    <w:p w:rsidR="00000000" w:rsidDel="00000000" w:rsidP="00000000" w:rsidRDefault="00000000" w:rsidRPr="00000000" w14:paraId="00000521">
      <w:pPr>
        <w:spacing w:after="240" w:before="240" w:lineRule="auto"/>
        <w:rPr/>
      </w:pPr>
      <w:r w:rsidDel="00000000" w:rsidR="00000000" w:rsidRPr="00000000">
        <w:rPr>
          <w:rtl w:val="0"/>
        </w:rPr>
        <w:t xml:space="preserve">The constitutional doctrine of the separation of powers, developed from Montesquieu's </w:t>
      </w:r>
      <w:r w:rsidDel="00000000" w:rsidR="00000000" w:rsidRPr="00000000">
        <w:rPr>
          <w:i w:val="1"/>
          <w:iCs w:val="1"/>
          <w:rtl w:val="0"/>
        </w:rPr>
        <w:t xml:space="preserve">The Spirit of the Laws</w:t>
      </w:r>
      <w:hyperlink r:id="rId447">
        <w:r w:rsidDel="00000000" w:rsidR="00000000" w:rsidRPr="00000000">
          <w:rPr>
            <w:rtl w:val="0"/>
          </w:rPr>
          <w:t xml:space="preserve"> </w:t>
        </w:r>
      </w:hyperlink>
      <w:hyperlink r:id="rId448">
        <w:r w:rsidDel="00000000" w:rsidR="00000000" w:rsidRPr="00000000">
          <w:rPr>
            <w:color w:val="1155cc"/>
            <w:u w:val="single"/>
            <w:rtl w:val="0"/>
          </w:rPr>
          <w:t xml:space="preserve">[75]</w:t>
        </w:r>
      </w:hyperlink>
      <w:r w:rsidDel="00000000" w:rsidR="00000000" w:rsidRPr="00000000">
        <w:rPr>
          <w:rtl w:val="0"/>
        </w:rPr>
        <w:t xml:space="preserve"> through the Federalist Papers</w:t>
      </w:r>
      <w:hyperlink r:id="rId449">
        <w:r w:rsidDel="00000000" w:rsidR="00000000" w:rsidRPr="00000000">
          <w:rPr>
            <w:rtl w:val="0"/>
          </w:rPr>
          <w:t xml:space="preserve"> </w:t>
        </w:r>
      </w:hyperlink>
      <w:hyperlink r:id="rId450">
        <w:r w:rsidDel="00000000" w:rsidR="00000000" w:rsidRPr="00000000">
          <w:rPr>
            <w:color w:val="1155cc"/>
            <w:u w:val="single"/>
            <w:rtl w:val="0"/>
          </w:rPr>
          <w:t xml:space="preserve">[76]</w:t>
        </w:r>
      </w:hyperlink>
      <w:r w:rsidDel="00000000" w:rsidR="00000000" w:rsidRPr="00000000">
        <w:rPr>
          <w:rtl w:val="0"/>
        </w:rPr>
        <w:t xml:space="preserve"> and contemporary constitutional theory, holds that the concentration of legislative, executive, and judicial power in a single entity creates structural conditions for tyranny regardless of that entity's intentions. The separation of powers divides governance authority across institutionally distinct actors whose independence prevents any single actor from exercising unchecked authority.</w:t>
      </w:r>
    </w:p>
    <w:p w:rsidR="00000000" w:rsidDel="00000000" w:rsidP="00000000" w:rsidRDefault="00000000" w:rsidRPr="00000000" w14:paraId="00000522">
      <w:pPr>
        <w:spacing w:after="240" w:before="240" w:lineRule="auto"/>
        <w:rPr/>
      </w:pPr>
      <w:r w:rsidDel="00000000" w:rsidR="00000000" w:rsidRPr="00000000">
        <w:rPr>
          <w:rtl w:val="0"/>
        </w:rPr>
        <w:t xml:space="preserve">TML's Dual-Lane Architecture is the engineering implementation of the separation of powers at the AI governance layer. The Inference Lane exercises computational authority (analogous to executive power: it acts, it implements, it executes within its domain). The Anchoring Lane exercises authorization authority (analogous to judicial power: it reviews, it evaluates compliance with the framework's standards, it permits or denies). The Goukassian Foundation exercises framework authority (analogous to legislative power: it sets the standards that the Anchoring Lane applies and maintains the framework that the Inference Lane operates within).</w:t>
      </w:r>
    </w:p>
    <w:p w:rsidR="00000000" w:rsidDel="00000000" w:rsidP="00000000" w:rsidRDefault="00000000" w:rsidRPr="00000000" w14:paraId="00000523">
      <w:pPr>
        <w:spacing w:after="240" w:before="240" w:lineRule="auto"/>
        <w:rPr/>
      </w:pPr>
      <w:r w:rsidDel="00000000" w:rsidR="00000000" w:rsidRPr="00000000">
        <w:rPr>
          <w:rtl w:val="0"/>
        </w:rPr>
        <w:t xml:space="preserve">The separation is not merely organizational but architectural: the Inference Lane and Anchoring Lane are distinct processing systems with distinct key material, distinct security domains, and distinct physical substrates in Tier 3 deployments. Neither can exercise the other's authority. The Inference Lane cannot authorize its own outputs; the Anchoring Lane cannot generate the AI's outputs. The constitutional separation of powers is expressed in circuit topology and API schema constraints rather than in organizational charts and legislative statutes.</w:t>
      </w:r>
    </w:p>
    <w:p w:rsidR="00000000" w:rsidDel="00000000" w:rsidP="00000000" w:rsidRDefault="00000000" w:rsidRPr="00000000" w14:paraId="00000524">
      <w:pPr>
        <w:pStyle w:val="Heading4"/>
        <w:keepNext w:val="0"/>
        <w:keepLines w:val="0"/>
        <w:spacing w:after="40" w:before="240" w:lineRule="auto"/>
        <w:rPr>
          <w:b w:val="1"/>
          <w:bCs w:val="1"/>
          <w:color w:val="000000"/>
          <w:sz w:val="22"/>
          <w:szCs w:val="22"/>
        </w:rPr>
      </w:pPr>
      <w:bookmarkStart w:colFirst="0" w:colLast="0" w:name="_sr54f845em55" w:id="204"/>
      <w:bookmarkEnd w:id="204"/>
      <w:r w:rsidDel="00000000" w:rsidR="00000000" w:rsidRPr="00000000">
        <w:rPr>
          <w:b w:val="1"/>
          <w:bCs w:val="1"/>
          <w:color w:val="000000"/>
          <w:sz w:val="22"/>
          <w:szCs w:val="22"/>
          <w:rtl w:val="0"/>
        </w:rPr>
        <w:t xml:space="preserve">9.3.3 Constitutional Entrenchment and the Goukassian Promise</w:t>
      </w:r>
    </w:p>
    <w:p w:rsidR="00000000" w:rsidDel="00000000" w:rsidP="00000000" w:rsidRDefault="00000000" w:rsidRPr="00000000" w14:paraId="00000525">
      <w:pPr>
        <w:spacing w:after="240" w:before="240" w:lineRule="auto"/>
        <w:rPr/>
      </w:pPr>
      <w:r w:rsidDel="00000000" w:rsidR="00000000" w:rsidRPr="00000000">
        <w:rPr>
          <w:rtl w:val="0"/>
        </w:rPr>
        <w:t xml:space="preserve">Constitutional entrenchment is the doctrine that certain foundational principles should be protected against simple majority modification: the costs of changing them are deliberately raised above the ordinary legislative threshold to prevent temporary majorities from eliminating protections that the political community has determined should be durable</w:t>
      </w:r>
      <w:hyperlink r:id="rId451">
        <w:r w:rsidDel="00000000" w:rsidR="00000000" w:rsidRPr="00000000">
          <w:rPr>
            <w:rtl w:val="0"/>
          </w:rPr>
          <w:t xml:space="preserve"> </w:t>
        </w:r>
      </w:hyperlink>
      <w:hyperlink r:id="rId452">
        <w:r w:rsidDel="00000000" w:rsidR="00000000" w:rsidRPr="00000000">
          <w:rPr>
            <w:color w:val="1155cc"/>
            <w:u w:val="single"/>
            <w:rtl w:val="0"/>
          </w:rPr>
          <w:t xml:space="preserve">[77]</w:t>
        </w:r>
      </w:hyperlink>
      <w:r w:rsidDel="00000000" w:rsidR="00000000" w:rsidRPr="00000000">
        <w:rPr>
          <w:rtl w:val="0"/>
        </w:rPr>
        <w:t xml:space="preserve">. Entrenched constitutional provisions are not impossible to change; they are much harder to change than ordinary laws, requiring supermajority approval, multi-stage procedures, or referendum.</w:t>
      </w:r>
    </w:p>
    <w:p w:rsidR="00000000" w:rsidDel="00000000" w:rsidP="00000000" w:rsidRDefault="00000000" w:rsidRPr="00000000" w14:paraId="00000526">
      <w:pPr>
        <w:spacing w:after="240" w:before="240" w:lineRule="auto"/>
        <w:rPr/>
      </w:pPr>
      <w:r w:rsidDel="00000000" w:rsidR="00000000" w:rsidRPr="00000000">
        <w:rPr>
          <w:rtl w:val="0"/>
        </w:rPr>
        <w:t xml:space="preserve">The Goukassian Promise implements constitutional entrenchment at the technical layer. The Lantern's smart-contract enforcement of code integrity raises the cost of modifying the Sacred Zero threshold or the Mandate protection vectors above the threshold of casual commercial calculation: modification triggers immediate public visibility through Lantern revocation. The Signature's cryptographic provenance chain raises the cost of claiming TML compliance for a modified system above the threshold of simple rebranding: the modification is demonstrable. The License's legal prohibitions raise the cost of deploying TML-branded systems for prohibited purposes above the threshold of contractual risk tolerance. The combination of these three entrenchment mechanisms ensures that TML's core constitutional protections are durable against the commercial and operational pressures that would otherwise erode them.</w:t>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6q5iizqlf3po" w:id="205"/>
      <w:bookmarkEnd w:id="205"/>
      <w:r w:rsidDel="00000000" w:rsidR="00000000" w:rsidRPr="00000000">
        <w:rPr>
          <w:b w:val="1"/>
          <w:bCs w:val="1"/>
          <w:color w:val="000000"/>
          <w:sz w:val="26"/>
          <w:szCs w:val="26"/>
          <w:rtl w:val="0"/>
        </w:rPr>
        <w:t xml:space="preserve">9.4 Control Theory: The Governance Architecture as a Control System</w:t>
      </w:r>
    </w:p>
    <w:p w:rsidR="00000000" w:rsidDel="00000000" w:rsidP="00000000" w:rsidRDefault="00000000" w:rsidRPr="00000000" w14:paraId="00000528">
      <w:pPr>
        <w:pStyle w:val="Heading4"/>
        <w:keepNext w:val="0"/>
        <w:keepLines w:val="0"/>
        <w:spacing w:after="40" w:before="240" w:lineRule="auto"/>
        <w:rPr>
          <w:b w:val="1"/>
          <w:bCs w:val="1"/>
          <w:color w:val="000000"/>
          <w:sz w:val="22"/>
          <w:szCs w:val="22"/>
        </w:rPr>
      </w:pPr>
      <w:bookmarkStart w:colFirst="0" w:colLast="0" w:name="_m22xv6r6d58s" w:id="206"/>
      <w:bookmarkEnd w:id="206"/>
      <w:r w:rsidDel="00000000" w:rsidR="00000000" w:rsidRPr="00000000">
        <w:rPr>
          <w:b w:val="1"/>
          <w:bCs w:val="1"/>
          <w:color w:val="000000"/>
          <w:sz w:val="22"/>
          <w:szCs w:val="22"/>
          <w:rtl w:val="0"/>
        </w:rPr>
        <w:t xml:space="preserve">9.4.1 The Feedback Control Model</w:t>
      </w:r>
    </w:p>
    <w:p w:rsidR="00000000" w:rsidDel="00000000" w:rsidP="00000000" w:rsidRDefault="00000000" w:rsidRPr="00000000" w14:paraId="00000529">
      <w:pPr>
        <w:spacing w:after="240" w:before="240" w:lineRule="auto"/>
        <w:rPr/>
      </w:pPr>
      <w:r w:rsidDel="00000000" w:rsidR="00000000" w:rsidRPr="00000000">
        <w:rPr>
          <w:rtl w:val="0"/>
        </w:rPr>
        <w:t xml:space="preserve">Control theory provides the engineering framework for analyzing the stability and correctness of systems that must regulate their own behavior against a reference standard under uncertainty and disturbance. The canonical feedback control loop: sensor, comparator, controller, actuator, plant, provides a formal framework for analyzing TML's governance architecture.</w:t>
      </w:r>
    </w:p>
    <w:p w:rsidR="00000000" w:rsidDel="00000000" w:rsidP="00000000" w:rsidRDefault="00000000" w:rsidRPr="00000000" w14:paraId="0000052A">
      <w:pPr>
        <w:spacing w:after="240" w:before="240" w:lineRule="auto"/>
        <w:rPr/>
      </w:pPr>
      <w:r w:rsidDel="00000000" w:rsidR="00000000" w:rsidRPr="00000000">
        <w:rPr>
          <w:rtl w:val="0"/>
        </w:rPr>
        <w:t xml:space="preserve">In the control theory model of TML:</w:t>
      </w:r>
    </w:p>
    <w:p w:rsidR="00000000" w:rsidDel="00000000" w:rsidP="00000000" w:rsidRDefault="00000000" w:rsidRPr="00000000" w14:paraId="0000052B">
      <w:pPr>
        <w:numPr>
          <w:ilvl w:val="0"/>
          <w:numId w:val="1"/>
        </w:numPr>
        <w:spacing w:after="0" w:afterAutospacing="0" w:before="240" w:lineRule="auto"/>
        <w:ind w:left="720" w:hanging="360"/>
      </w:pPr>
      <w:r w:rsidDel="00000000" w:rsidR="00000000" w:rsidRPr="00000000">
        <w:rPr>
          <w:b w:val="1"/>
          <w:bCs w:val="1"/>
          <w:rtl w:val="0"/>
        </w:rPr>
        <w:t xml:space="preserve">The Plant</w:t>
      </w:r>
      <w:r w:rsidDel="00000000" w:rsidR="00000000" w:rsidRPr="00000000">
        <w:rPr>
          <w:rtl w:val="0"/>
        </w:rPr>
        <w:t xml:space="preserve"> is the environment affected by the AI system's actions: the financial markets, healthcare systems, administrative processes, and physical world in which governed decisions produce consequences.</w:t>
      </w:r>
    </w:p>
    <w:p w:rsidR="00000000" w:rsidDel="00000000" w:rsidP="00000000" w:rsidRDefault="00000000" w:rsidRPr="00000000" w14:paraId="0000052C">
      <w:pPr>
        <w:numPr>
          <w:ilvl w:val="0"/>
          <w:numId w:val="1"/>
        </w:numPr>
        <w:spacing w:after="0" w:afterAutospacing="0" w:before="0" w:beforeAutospacing="0" w:lineRule="auto"/>
        <w:ind w:left="720" w:hanging="360"/>
      </w:pPr>
      <w:r w:rsidDel="00000000" w:rsidR="00000000" w:rsidRPr="00000000">
        <w:rPr>
          <w:b w:val="1"/>
          <w:bCs w:val="1"/>
          <w:rtl w:val="0"/>
        </w:rPr>
        <w:t xml:space="preserve">The Actuator</w:t>
      </w:r>
      <w:r w:rsidDel="00000000" w:rsidR="00000000" w:rsidRPr="00000000">
        <w:rPr>
          <w:rtl w:val="0"/>
        </w:rPr>
        <w:t xml:space="preserve"> is the AI system's action execution layer: the mechanisms through which the system's outputs produce effects in the plant.</w:t>
      </w:r>
    </w:p>
    <w:p w:rsidR="00000000" w:rsidDel="00000000" w:rsidP="00000000" w:rsidRDefault="00000000" w:rsidRPr="00000000" w14:paraId="0000052D">
      <w:pPr>
        <w:numPr>
          <w:ilvl w:val="0"/>
          <w:numId w:val="1"/>
        </w:numPr>
        <w:spacing w:after="0" w:afterAutospacing="0" w:before="0" w:beforeAutospacing="0" w:lineRule="auto"/>
        <w:ind w:left="720" w:hanging="360"/>
      </w:pPr>
      <w:r w:rsidDel="00000000" w:rsidR="00000000" w:rsidRPr="00000000">
        <w:rPr>
          <w:b w:val="1"/>
          <w:bCs w:val="1"/>
          <w:rtl w:val="0"/>
        </w:rPr>
        <w:t xml:space="preserve">The Sensor</w:t>
      </w:r>
      <w:r w:rsidDel="00000000" w:rsidR="00000000" w:rsidRPr="00000000">
        <w:rPr>
          <w:rtl w:val="0"/>
        </w:rPr>
        <w:t xml:space="preserve"> is the AI system's perception and inference layer (the Inference Lane): it observes the state of the plant and generates proposed actions.</w:t>
      </w:r>
    </w:p>
    <w:p w:rsidR="00000000" w:rsidDel="00000000" w:rsidP="00000000" w:rsidRDefault="00000000" w:rsidRPr="00000000" w14:paraId="0000052E">
      <w:pPr>
        <w:numPr>
          <w:ilvl w:val="0"/>
          <w:numId w:val="1"/>
        </w:numPr>
        <w:spacing w:after="0" w:afterAutospacing="0" w:before="0" w:beforeAutospacing="0" w:lineRule="auto"/>
        <w:ind w:left="720" w:hanging="360"/>
      </w:pPr>
      <w:r w:rsidDel="00000000" w:rsidR="00000000" w:rsidRPr="00000000">
        <w:rPr>
          <w:b w:val="1"/>
          <w:bCs w:val="1"/>
          <w:rtl w:val="0"/>
        </w:rPr>
        <w:t xml:space="preserve">The Controller</w:t>
      </w:r>
      <w:r w:rsidDel="00000000" w:rsidR="00000000" w:rsidRPr="00000000">
        <w:rPr>
          <w:rtl w:val="0"/>
        </w:rPr>
        <w:t xml:space="preserve"> is the Anchoring Lane: it evaluates proposed actions against the governance reference standard and determines whether they should actuate.</w:t>
      </w:r>
    </w:p>
    <w:p w:rsidR="00000000" w:rsidDel="00000000" w:rsidP="00000000" w:rsidRDefault="00000000" w:rsidRPr="00000000" w14:paraId="0000052F">
      <w:pPr>
        <w:numPr>
          <w:ilvl w:val="0"/>
          <w:numId w:val="1"/>
        </w:numPr>
        <w:spacing w:after="0" w:afterAutospacing="0" w:before="0" w:beforeAutospacing="0" w:lineRule="auto"/>
        <w:ind w:left="720" w:hanging="360"/>
      </w:pPr>
      <w:r w:rsidDel="00000000" w:rsidR="00000000" w:rsidRPr="00000000">
        <w:rPr>
          <w:b w:val="1"/>
          <w:bCs w:val="1"/>
          <w:rtl w:val="0"/>
        </w:rPr>
        <w:t xml:space="preserve">The Comparator</w:t>
      </w:r>
      <w:r w:rsidDel="00000000" w:rsidR="00000000" w:rsidRPr="00000000">
        <w:rPr>
          <w:rtl w:val="0"/>
        </w:rPr>
        <w:t xml:space="preserve"> is the Mandate detection architecture: it compares the proposed action against the constitutional reference vectors and signals when the action approaches protected states.</w:t>
      </w:r>
    </w:p>
    <w:p w:rsidR="00000000" w:rsidDel="00000000" w:rsidP="00000000" w:rsidRDefault="00000000" w:rsidRPr="00000000" w14:paraId="00000530">
      <w:pPr>
        <w:numPr>
          <w:ilvl w:val="0"/>
          <w:numId w:val="1"/>
        </w:numPr>
        <w:spacing w:after="240" w:before="0" w:beforeAutospacing="0" w:lineRule="auto"/>
        <w:ind w:left="720" w:hanging="360"/>
      </w:pPr>
      <w:r w:rsidDel="00000000" w:rsidR="00000000" w:rsidRPr="00000000">
        <w:rPr>
          <w:b w:val="1"/>
          <w:bCs w:val="1"/>
          <w:rtl w:val="0"/>
        </w:rPr>
        <w:t xml:space="preserve">The Reference Standard</w:t>
      </w:r>
      <w:r w:rsidDel="00000000" w:rsidR="00000000" w:rsidRPr="00000000">
        <w:rPr>
          <w:rtl w:val="0"/>
        </w:rPr>
        <w:t xml:space="preserve"> is the Goukassian Vow and the Eight Pillars: the normative specification against which governance decisions are evaluated.</w:t>
      </w:r>
    </w:p>
    <w:p w:rsidR="00000000" w:rsidDel="00000000" w:rsidP="00000000" w:rsidRDefault="00000000" w:rsidRPr="00000000" w14:paraId="00000531">
      <w:pPr>
        <w:spacing w:after="240" w:before="240" w:lineRule="auto"/>
        <w:rPr/>
      </w:pPr>
      <w:r w:rsidDel="00000000" w:rsidR="00000000" w:rsidRPr="00000000">
        <w:rPr>
          <w:rFonts w:ascii="Arial Unicode MS" w:cs="Arial Unicode MS" w:eastAsia="Arial Unicode MS" w:hAnsi="Arial Unicode MS"/>
          <w:rtl w:val="0"/>
        </w:rPr>
        <w:t xml:space="preserve">This control theory framing reveals a property of TML's architecture that is not immediately apparent from the software or hardware descriptions: the Anchoring Lane is a feedback controller that regulates the AI system's behavior against a reference standard, using the Mandate detection signal as error feedback. When the proposed action diverges from the reference standard (approaches a Mandate violation), the controller asserts a corrective response (Sacred Zero or State −1). The system is a closed-loop control system; the governance is feedback-based rather than feedforward.</w:t>
      </w:r>
    </w:p>
    <w:p w:rsidR="00000000" w:rsidDel="00000000" w:rsidP="00000000" w:rsidRDefault="00000000" w:rsidRPr="00000000" w14:paraId="00000532">
      <w:pPr>
        <w:pStyle w:val="Heading4"/>
        <w:keepNext w:val="0"/>
        <w:keepLines w:val="0"/>
        <w:spacing w:after="40" w:before="240" w:lineRule="auto"/>
        <w:rPr>
          <w:b w:val="1"/>
          <w:bCs w:val="1"/>
          <w:color w:val="000000"/>
          <w:sz w:val="22"/>
          <w:szCs w:val="22"/>
        </w:rPr>
      </w:pPr>
      <w:bookmarkStart w:colFirst="0" w:colLast="0" w:name="_ps466zlu7lfm" w:id="207"/>
      <w:bookmarkEnd w:id="207"/>
      <w:r w:rsidDel="00000000" w:rsidR="00000000" w:rsidRPr="00000000">
        <w:rPr>
          <w:b w:val="1"/>
          <w:bCs w:val="1"/>
          <w:color w:val="000000"/>
          <w:sz w:val="22"/>
          <w:szCs w:val="22"/>
          <w:rtl w:val="0"/>
        </w:rPr>
        <w:t xml:space="preserve">9.4.2 Stability Analysis Under Recursive Self-Modification</w:t>
      </w:r>
    </w:p>
    <w:p w:rsidR="00000000" w:rsidDel="00000000" w:rsidP="00000000" w:rsidRDefault="00000000" w:rsidRPr="00000000" w14:paraId="00000533">
      <w:pPr>
        <w:spacing w:after="240" w:before="240" w:lineRule="auto"/>
        <w:rPr/>
      </w:pPr>
      <w:r w:rsidDel="00000000" w:rsidR="00000000" w:rsidRPr="00000000">
        <w:rPr>
          <w:rtl w:val="0"/>
        </w:rPr>
        <w:t xml:space="preserve">Control theory provides formal tools for stability analysis: the determination of whether a feedback control system will converge to a desired state or diverge to an undesirable one. For TML's governance architecture, the relevant stability question is whether the governance constraints remain effective as the system's capability increases through recursive self-modification.</w:t>
      </w:r>
    </w:p>
    <w:p w:rsidR="00000000" w:rsidDel="00000000" w:rsidP="00000000" w:rsidRDefault="00000000" w:rsidRPr="00000000" w14:paraId="00000534">
      <w:pPr>
        <w:spacing w:after="240" w:before="240" w:lineRule="auto"/>
        <w:rPr/>
      </w:pPr>
      <w:r w:rsidDel="00000000" w:rsidR="00000000" w:rsidRPr="00000000">
        <w:rPr>
          <w:rtl w:val="0"/>
        </w:rPr>
        <w:t xml:space="preserve">In the control theory model, recursive self-modification increases the gain of the Inference Lane: the system produces more capable, more confident, and more persuasive proposed actions. A feedback controller whose response does not scale with plant gain will lose effectiveness as the plant gain increases; the control system becomes unstable.</w:t>
      </w:r>
    </w:p>
    <w:p w:rsidR="00000000" w:rsidDel="00000000" w:rsidP="00000000" w:rsidRDefault="00000000" w:rsidRPr="00000000" w14:paraId="00000535">
      <w:pPr>
        <w:spacing w:after="240" w:before="240" w:lineRule="auto"/>
        <w:rPr/>
      </w:pPr>
      <w:r w:rsidDel="00000000" w:rsidR="00000000" w:rsidRPr="00000000">
        <w:rPr>
          <w:rtl w:val="0"/>
        </w:rPr>
        <w:t xml:space="preserve">TML's hardware enforcement layer addresses this stability concern by ensuring that the Anchoring Lane's control authority is independent of the Inference Lane's capability gain. The coprocessor's Mandate detection operates on the semantic content of proposed actions, not on the confidence with which they are proposed; a more capable Inference Lane that proposes more confidently does not thereby reduce the Anchoring Lane's sensitivity to Mandate proximity. The DITL coprocessor's circuit behavior does not change as the Inference Lane's model weights change; the physical enforcement of the Sacred Zero NULL state is independent of the inference capability of the system it governs.</w:t>
      </w:r>
    </w:p>
    <w:p w:rsidR="00000000" w:rsidDel="00000000" w:rsidP="00000000" w:rsidRDefault="00000000" w:rsidRPr="00000000" w14:paraId="00000536">
      <w:pPr>
        <w:spacing w:after="240" w:before="240" w:lineRule="auto"/>
        <w:rPr/>
      </w:pPr>
      <w:r w:rsidDel="00000000" w:rsidR="00000000" w:rsidRPr="00000000">
        <w:rPr>
          <w:rtl w:val="0"/>
        </w:rPr>
        <w:t xml:space="preserve">The governance ratchet identified in Section VII is, in control theory terms, a gain scheduling mechanism: as the Inference Lane's capability increases, the governance thresholds can be tightened (lower Sacred Zero threshold, higher Mandate sensitivity) to maintain the desired control authority. The ratchet's asymmetry, thresholds can be tightened but not loosened by the governed system , ensures that the feedback controller maintains or increases its control authority as the plant gain increases, providing the stability condition required for effective governance of highly capable systems.</w:t>
      </w:r>
    </w:p>
    <w:p w:rsidR="00000000" w:rsidDel="00000000" w:rsidP="00000000" w:rsidRDefault="00000000" w:rsidRPr="00000000" w14:paraId="00000537">
      <w:pPr>
        <w:pStyle w:val="Heading4"/>
        <w:keepNext w:val="0"/>
        <w:keepLines w:val="0"/>
        <w:spacing w:after="40" w:before="240" w:lineRule="auto"/>
        <w:rPr>
          <w:b w:val="1"/>
          <w:bCs w:val="1"/>
          <w:color w:val="000000"/>
          <w:sz w:val="22"/>
          <w:szCs w:val="22"/>
        </w:rPr>
      </w:pPr>
      <w:bookmarkStart w:colFirst="0" w:colLast="0" w:name="_jmc62eqkirze" w:id="208"/>
      <w:bookmarkEnd w:id="208"/>
      <w:r w:rsidDel="00000000" w:rsidR="00000000" w:rsidRPr="00000000">
        <w:rPr>
          <w:b w:val="1"/>
          <w:bCs w:val="1"/>
          <w:color w:val="000000"/>
          <w:sz w:val="22"/>
          <w:szCs w:val="22"/>
          <w:rtl w:val="0"/>
        </w:rPr>
        <w:t xml:space="preserve">9.4.3 Robustness Under Uncertainty</w:t>
      </w:r>
    </w:p>
    <w:p w:rsidR="00000000" w:rsidDel="00000000" w:rsidP="00000000" w:rsidRDefault="00000000" w:rsidRPr="00000000" w14:paraId="00000538">
      <w:pPr>
        <w:spacing w:after="240" w:before="240" w:lineRule="auto"/>
        <w:rPr/>
      </w:pPr>
      <w:r w:rsidDel="00000000" w:rsidR="00000000" w:rsidRPr="00000000">
        <w:rPr>
          <w:rtl w:val="0"/>
        </w:rPr>
        <w:t xml:space="preserve">Robust control theory addresses the design of feedback controllers that maintain stability and performance guarantees despite uncertainty in the plant model and disturbances in the operating environment</w:t>
      </w:r>
      <w:hyperlink r:id="rId453">
        <w:r w:rsidDel="00000000" w:rsidR="00000000" w:rsidRPr="00000000">
          <w:rPr>
            <w:rtl w:val="0"/>
          </w:rPr>
          <w:t xml:space="preserve"> </w:t>
        </w:r>
      </w:hyperlink>
      <w:hyperlink r:id="rId454">
        <w:r w:rsidDel="00000000" w:rsidR="00000000" w:rsidRPr="00000000">
          <w:rPr>
            <w:color w:val="1155cc"/>
            <w:u w:val="single"/>
            <w:rtl w:val="0"/>
          </w:rPr>
          <w:t xml:space="preserve">[78]</w:t>
        </w:r>
      </w:hyperlink>
      <w:r w:rsidDel="00000000" w:rsidR="00000000" w:rsidRPr="00000000">
        <w:rPr>
          <w:rtl w:val="0"/>
        </w:rPr>
        <w:t xml:space="preserve">. The H-infinity framework, in particular, provides formal tools for designing controllers that minimize the worst-case effect of disturbances on system performance.</w:t>
      </w:r>
    </w:p>
    <w:p w:rsidR="00000000" w:rsidDel="00000000" w:rsidP="00000000" w:rsidRDefault="00000000" w:rsidRPr="00000000" w14:paraId="00000539">
      <w:pPr>
        <w:spacing w:after="240" w:before="240" w:lineRule="auto"/>
        <w:rPr/>
      </w:pPr>
      <w:r w:rsidDel="00000000" w:rsidR="00000000" w:rsidRPr="00000000">
        <w:rPr>
          <w:rtl w:val="0"/>
        </w:rPr>
        <w:t xml:space="preserve">TML's Sacred Zero architecture implements a form of H-infinity-inspired robustness: the Sacred Zero threshold is set to activate under the worst-case uncertainty conditions the system is likely to encounter, rather than under the average uncertainty conditions of normal operation. This conservative threshold setting increases the Sacred Zero activation rate above what would be optimal for average-case performance, but provides robustness against the tail-case uncertainty events that average-case optimization would leave unhandled.</w:t>
      </w:r>
    </w:p>
    <w:p w:rsidR="00000000" w:rsidDel="00000000" w:rsidP="00000000" w:rsidRDefault="00000000" w:rsidRPr="00000000" w14:paraId="0000053A">
      <w:pPr>
        <w:spacing w:after="240" w:before="240" w:lineRule="auto"/>
        <w:rPr/>
      </w:pPr>
      <w:r w:rsidDel="00000000" w:rsidR="00000000" w:rsidRPr="00000000">
        <w:rPr>
          <w:rtl w:val="0"/>
        </w:rPr>
        <w:t xml:space="preserve">The Adaptive Throttling Protocol's High Epistemic Load mode is a dynamic threshold adjustment mechanism: when the global Sacred Zero rate indicates that the system is operating in a high-uncertainty environment (Sacred Zero rate exceeding fifteen percent of total inference volume), the thresholds are raised to reduce the Sacred Zero rate toward the operational target. This adaptation maintains system availability while preserving the Sacred Zero's protective function under sustained high-uncertainty conditions.</w:t>
      </w:r>
    </w:p>
    <w:p w:rsidR="00000000" w:rsidDel="00000000" w:rsidP="00000000" w:rsidRDefault="00000000" w:rsidRPr="00000000" w14:paraId="0000053B">
      <w:pPr>
        <w:spacing w:after="240" w:before="240" w:lineRule="auto"/>
        <w:rPr/>
      </w:pPr>
      <w:r w:rsidDel="00000000" w:rsidR="00000000" w:rsidRPr="00000000">
        <w:rPr>
          <w:rtl w:val="0"/>
        </w:rPr>
        <w:t xml:space="preserve">The formal parallel to robust control theory is not exact; the TML system's uncertainty is not the stochastic disturbance model of classical H-infinity theory. But the design philosophy is parallel: design for the worst case, adapt to the operating environment, and maintain guaranteed performance bounds rather than optimizing for average-case performance at the cost of tail-case protection.</w:t>
      </w:r>
    </w:p>
    <w:p w:rsidR="00000000" w:rsidDel="00000000" w:rsidP="00000000" w:rsidRDefault="00000000" w:rsidRPr="00000000" w14:paraId="0000053C">
      <w:pPr>
        <w:pStyle w:val="Heading3"/>
        <w:keepNext w:val="0"/>
        <w:keepLines w:val="0"/>
        <w:spacing w:before="280" w:lineRule="auto"/>
        <w:rPr>
          <w:b w:val="1"/>
          <w:bCs w:val="1"/>
          <w:color w:val="000000"/>
          <w:sz w:val="26"/>
          <w:szCs w:val="26"/>
        </w:rPr>
      </w:pPr>
      <w:bookmarkStart w:colFirst="0" w:colLast="0" w:name="_z21gnf1mgz4" w:id="209"/>
      <w:bookmarkEnd w:id="209"/>
      <w:r w:rsidDel="00000000" w:rsidR="00000000" w:rsidRPr="00000000">
        <w:rPr>
          <w:b w:val="1"/>
          <w:bCs w:val="1"/>
          <w:color w:val="000000"/>
          <w:sz w:val="26"/>
          <w:szCs w:val="26"/>
          <w:rtl w:val="0"/>
        </w:rPr>
        <w:t xml:space="preserve">9.5 The Interdisciplinary Synthesis</w:t>
      </w:r>
    </w:p>
    <w:p w:rsidR="00000000" w:rsidDel="00000000" w:rsidP="00000000" w:rsidRDefault="00000000" w:rsidRPr="00000000" w14:paraId="0000053D">
      <w:pPr>
        <w:spacing w:after="240" w:before="240" w:lineRule="auto"/>
        <w:rPr/>
      </w:pPr>
      <w:r w:rsidDel="00000000" w:rsidR="00000000" w:rsidRPr="00000000">
        <w:rPr>
          <w:rtl w:val="0"/>
        </w:rPr>
        <w:t xml:space="preserve">The four disciplinary foundations analyzed in this section are not independent justifications for the same design choices. They are complementary perspectives on the same deep insight: that intelligence, biological or computational, requires structured mechanisms for the management of uncertainty, and that the consequences of acting without such mechanisms are severe, documented, and preventable.</w:t>
      </w:r>
    </w:p>
    <w:p w:rsidR="00000000" w:rsidDel="00000000" w:rsidP="00000000" w:rsidRDefault="00000000" w:rsidRPr="00000000" w14:paraId="0000053E">
      <w:pPr>
        <w:spacing w:after="240" w:before="240" w:lineRule="auto"/>
        <w:rPr/>
      </w:pPr>
      <w:r w:rsidDel="00000000" w:rsidR="00000000" w:rsidRPr="00000000">
        <w:rPr>
          <w:rtl w:val="0"/>
        </w:rPr>
        <w:t xml:space="preserve">Philosophy identifies the epistemic imperative: intelligence that cannot acknowledge the limits of its knowledge will act on insufficient grounds and cause preventable harm. Cognitive science identifies the psychological mechanism: fast heuristic processing requires deliberate override under the specific conditions where heuristics fail. Jurisprudence identifies the social contract: governance arrangements are legitimate to the extent that they protect all affected parties against the worst outcomes, not merely to the extent that they optimize average-case performance. Control theory identifies the engineering requirement: governance that does not maintain its authority as the governed system's capability increases is not durable governance.</w:t>
      </w:r>
    </w:p>
    <w:p w:rsidR="00000000" w:rsidDel="00000000" w:rsidP="00000000" w:rsidRDefault="00000000" w:rsidRPr="00000000" w14:paraId="0000053F">
      <w:pPr>
        <w:spacing w:after="240" w:before="240" w:lineRule="auto"/>
        <w:rPr/>
      </w:pPr>
      <w:r w:rsidDel="00000000" w:rsidR="00000000" w:rsidRPr="00000000">
        <w:rPr>
          <w:rtl w:val="0"/>
        </w:rPr>
        <w:t xml:space="preserve">TML's constitutional architecture is the engineering artifact that satisfies all four imperatives simultaneously: the Sacred Zero implements philosophical epoché and Kahneman's forced System 2 activation; the Dual-Lane Architecture implements the separation of powers and the feedback control model; the Goukassian Promise implements social contract theory's entrenchment requirement; the hardware substrate implements the robust control theory requirement for governance authority that is independent of plant gain.</w:t>
      </w:r>
    </w:p>
    <w:p w:rsidR="00000000" w:rsidDel="00000000" w:rsidP="00000000" w:rsidRDefault="00000000" w:rsidRPr="00000000" w14:paraId="00000540">
      <w:pPr>
        <w:spacing w:after="240" w:before="240" w:lineRule="auto"/>
        <w:rPr/>
      </w:pPr>
      <w:r w:rsidDel="00000000" w:rsidR="00000000" w:rsidRPr="00000000">
        <w:rPr>
          <w:rtl w:val="0"/>
        </w:rPr>
        <w:t xml:space="preserve">The interdisciplinary foundations do not make TML's design choices inevitable; different design choices satisfying the same imperatives are conceivable. What they establish is that TML's design choices are not arbitrary: each one is the correct translation of established knowledge from multiple independent disciplines into the engineering domain. The framework's normative authority derives not from its creator's preferences but from the convergence of independent intellectual traditions on the same structural requirements for legitimate and durable AI governance.</w:t>
      </w:r>
    </w:p>
    <w:p w:rsidR="00000000" w:rsidDel="00000000" w:rsidP="00000000" w:rsidRDefault="00000000" w:rsidRPr="00000000" w14:paraId="00000541">
      <w:pPr>
        <w:pStyle w:val="Heading2"/>
        <w:keepNext w:val="0"/>
        <w:keepLines w:val="0"/>
        <w:rPr>
          <w:color w:val="000000"/>
          <w:sz w:val="34"/>
          <w:szCs w:val="34"/>
        </w:rPr>
      </w:pPr>
      <w:bookmarkStart w:colFirst="0" w:colLast="0" w:name="_yvgxu6ub94h2" w:id="210"/>
      <w:bookmarkEnd w:id="210"/>
      <w:r w:rsidDel="00000000" w:rsidR="00000000" w:rsidRPr="00000000">
        <w:rPr>
          <w:color w:val="000000"/>
          <w:sz w:val="34"/>
          <w:szCs w:val="34"/>
          <w:rtl w:val="0"/>
        </w:rPr>
        <w:t xml:space="preserve">Section X: The Goukassian Foundation</w:t>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ulgd47u8t3x6" w:id="211"/>
      <w:bookmarkEnd w:id="211"/>
      <w:r w:rsidDel="00000000" w:rsidR="00000000" w:rsidRPr="00000000">
        <w:rPr>
          <w:b w:val="1"/>
          <w:bCs w:val="1"/>
          <w:color w:val="000000"/>
          <w:sz w:val="26"/>
          <w:szCs w:val="26"/>
          <w:rtl w:val="0"/>
        </w:rPr>
        <w:t xml:space="preserve">10.0 Introduction: The Problem of Institutional Perpetuity</w:t>
      </w:r>
    </w:p>
    <w:p w:rsidR="00000000" w:rsidDel="00000000" w:rsidP="00000000" w:rsidRDefault="00000000" w:rsidRPr="00000000" w14:paraId="00000543">
      <w:pPr>
        <w:spacing w:after="240" w:before="240" w:lineRule="auto"/>
        <w:rPr/>
      </w:pPr>
      <w:r w:rsidDel="00000000" w:rsidR="00000000" w:rsidRPr="00000000">
        <w:rPr>
          <w:rtl w:val="0"/>
        </w:rPr>
        <w:t xml:space="preserve">Every governance framework faces a problem that its technical architecture cannot solve: the problem of its own survival. A framework that depends on its creator's continued involvement for its integrity fails when the creator is unavailable. A framework that depends on a single organization's commitment fails when that organization's interests shift. A framework that depends on regulatory goodwill fails when the regulatory environment changes. A framework that depends on commercial adoption fails when commercial incentives diverge from governance imperatives. The technical sophistication of TML's architecture provides no protection against any of these institutional failure modes.</w:t>
      </w:r>
    </w:p>
    <w:p w:rsidR="00000000" w:rsidDel="00000000" w:rsidP="00000000" w:rsidRDefault="00000000" w:rsidRPr="00000000" w14:paraId="00000544">
      <w:pPr>
        <w:spacing w:after="240" w:before="240" w:lineRule="auto"/>
        <w:rPr/>
      </w:pPr>
      <w:r w:rsidDel="00000000" w:rsidR="00000000" w:rsidRPr="00000000">
        <w:rPr>
          <w:rtl w:val="0"/>
        </w:rPr>
        <w:t xml:space="preserve">The Goukassian Foundation is the institutional architecture designed to address this problem. It is a 501(c)(3) nonprofit corporation with a triadic governance board, a certification architecture, a perpetual endowment structure, and succession planning that explicitly anticipates the death or incapacitation of the framework's creator. Its mandate is not to develop TML but to preserve and enforce it: to ensure that the framework's constitutional protections remain intact, that its certification standards remain rigorous, and that its evidentiary infrastructure remains operational, across timescales that substantially exceed any individual's involvement.</w:t>
      </w:r>
    </w:p>
    <w:p w:rsidR="00000000" w:rsidDel="00000000" w:rsidP="00000000" w:rsidRDefault="00000000" w:rsidRPr="00000000" w14:paraId="00000545">
      <w:pPr>
        <w:spacing w:after="240" w:before="240" w:lineRule="auto"/>
        <w:rPr/>
      </w:pPr>
      <w:r w:rsidDel="00000000" w:rsidR="00000000" w:rsidRPr="00000000">
        <w:rPr>
          <w:rtl w:val="0"/>
        </w:rPr>
        <w:t xml:space="preserve">The Foundation's design reflects a specific institutional theory: that the durability of governance frameworks depends on the separation of the framework's stewardship from any single actor's interests, the distribution of authority across institutionally diverse actors whose interests are structurally aligned with the framework's protective function, and the creation of enduring economic incentives for compliance that do not depend on regulatory mandate or commercial goodwill. Each of these requirements is addressed by a specific structural feature of the Foundation's design.</w:t>
      </w:r>
    </w:p>
    <w:p w:rsidR="00000000" w:rsidDel="00000000" w:rsidP="00000000" w:rsidRDefault="00000000" w:rsidRPr="00000000" w14:paraId="00000546">
      <w:pPr>
        <w:pStyle w:val="Heading3"/>
        <w:keepNext w:val="0"/>
        <w:keepLines w:val="0"/>
        <w:spacing w:before="280" w:lineRule="auto"/>
        <w:rPr>
          <w:b w:val="1"/>
          <w:bCs w:val="1"/>
          <w:color w:val="000000"/>
          <w:sz w:val="26"/>
          <w:szCs w:val="26"/>
        </w:rPr>
      </w:pPr>
      <w:bookmarkStart w:colFirst="0" w:colLast="0" w:name="_6yu7xze4d8p9" w:id="212"/>
      <w:bookmarkEnd w:id="212"/>
      <w:r w:rsidDel="00000000" w:rsidR="00000000" w:rsidRPr="00000000">
        <w:rPr>
          <w:b w:val="1"/>
          <w:bCs w:val="1"/>
          <w:color w:val="000000"/>
          <w:sz w:val="26"/>
          <w:szCs w:val="26"/>
          <w:rtl w:val="0"/>
        </w:rPr>
        <w:t xml:space="preserve">10.1 Legal Structure and Nonprofit Architecture</w:t>
      </w:r>
    </w:p>
    <w:p w:rsidR="00000000" w:rsidDel="00000000" w:rsidP="00000000" w:rsidRDefault="00000000" w:rsidRPr="00000000" w14:paraId="00000547">
      <w:pPr>
        <w:pStyle w:val="Heading4"/>
        <w:keepNext w:val="0"/>
        <w:keepLines w:val="0"/>
        <w:spacing w:after="40" w:before="240" w:lineRule="auto"/>
        <w:rPr>
          <w:b w:val="1"/>
          <w:bCs w:val="1"/>
          <w:color w:val="000000"/>
          <w:sz w:val="22"/>
          <w:szCs w:val="22"/>
        </w:rPr>
      </w:pPr>
      <w:bookmarkStart w:colFirst="0" w:colLast="0" w:name="_b6z4lblr8os9" w:id="213"/>
      <w:bookmarkEnd w:id="213"/>
      <w:r w:rsidDel="00000000" w:rsidR="00000000" w:rsidRPr="00000000">
        <w:rPr>
          <w:b w:val="1"/>
          <w:bCs w:val="1"/>
          <w:color w:val="000000"/>
          <w:sz w:val="22"/>
          <w:szCs w:val="22"/>
          <w:rtl w:val="0"/>
        </w:rPr>
        <w:t xml:space="preserve">10.1.1 The 501(c)(3) Structure</w:t>
      </w:r>
    </w:p>
    <w:p w:rsidR="00000000" w:rsidDel="00000000" w:rsidP="00000000" w:rsidRDefault="00000000" w:rsidRPr="00000000" w14:paraId="00000548">
      <w:pPr>
        <w:spacing w:after="240" w:before="240" w:lineRule="auto"/>
        <w:rPr/>
      </w:pPr>
      <w:r w:rsidDel="00000000" w:rsidR="00000000" w:rsidRPr="00000000">
        <w:rPr>
          <w:rtl w:val="0"/>
        </w:rPr>
        <w:t xml:space="preserve">The Goukassian Foundation is chartered as a 501(c)(3) nonprofit corporation under U.S. federal tax law</w:t>
      </w:r>
      <w:hyperlink r:id="rId455">
        <w:r w:rsidDel="00000000" w:rsidR="00000000" w:rsidRPr="00000000">
          <w:rPr>
            <w:rtl w:val="0"/>
          </w:rPr>
          <w:t xml:space="preserve"> </w:t>
        </w:r>
      </w:hyperlink>
      <w:hyperlink r:id="rId456">
        <w:r w:rsidDel="00000000" w:rsidR="00000000" w:rsidRPr="00000000">
          <w:rPr>
            <w:color w:val="1155cc"/>
            <w:u w:val="single"/>
            <w:rtl w:val="0"/>
          </w:rPr>
          <w:t xml:space="preserve">[79]</w:t>
        </w:r>
      </w:hyperlink>
      <w:r w:rsidDel="00000000" w:rsidR="00000000" w:rsidRPr="00000000">
        <w:rPr>
          <w:rtl w:val="0"/>
        </w:rPr>
        <w:t xml:space="preserve">. The 501(c)(3) structure provides three properties essential to the Foundation's governance function.</w:t>
      </w:r>
    </w:p>
    <w:p w:rsidR="00000000" w:rsidDel="00000000" w:rsidP="00000000" w:rsidRDefault="00000000" w:rsidRPr="00000000" w14:paraId="00000549">
      <w:pPr>
        <w:spacing w:after="240" w:before="240" w:lineRule="auto"/>
        <w:rPr/>
      </w:pPr>
      <w:r w:rsidDel="00000000" w:rsidR="00000000" w:rsidRPr="00000000">
        <w:rPr>
          <w:rtl w:val="0"/>
        </w:rPr>
        <w:t xml:space="preserve">First, tax exemption: the Foundation's income from certification fees, licensing revenue, and endowment returns is exempt from federal income tax, enabling the maximum proportion of the Foundation's resources to be directed toward its governance mission rather than tax obligations. This economic efficiency is significant for the perpetuity mandate: a Foundation that must allocate substantial resources to tax obligations cannot maintain the staffing, infrastructure, and evidentiary systems required for effective governance oversight across extended timescales.</w:t>
      </w:r>
    </w:p>
    <w:p w:rsidR="00000000" w:rsidDel="00000000" w:rsidP="00000000" w:rsidRDefault="00000000" w:rsidRPr="00000000" w14:paraId="0000054A">
      <w:pPr>
        <w:spacing w:after="240" w:before="240" w:lineRule="auto"/>
        <w:rPr/>
      </w:pPr>
      <w:r w:rsidDel="00000000" w:rsidR="00000000" w:rsidRPr="00000000">
        <w:rPr>
          <w:rtl w:val="0"/>
        </w:rPr>
        <w:t xml:space="preserve">Second, public charity status: a 501(c)(3) public charity is subject to public disclosure requirements that provide transparency to the community of stakeholders whose interests the Foundation serves. The Foundation's annual Form 990 disclosures make its financial position, governance structure, and programmatic activities publicly verifiable, preventing the Foundation itself from becoming an opaque institution whose internal operations are hidden from the stakeholders whose interests it is designed to protect.</w:t>
      </w:r>
    </w:p>
    <w:p w:rsidR="00000000" w:rsidDel="00000000" w:rsidP="00000000" w:rsidRDefault="00000000" w:rsidRPr="00000000" w14:paraId="0000054B">
      <w:pPr>
        <w:spacing w:after="240" w:before="240" w:lineRule="auto"/>
        <w:rPr/>
      </w:pPr>
      <w:r w:rsidDel="00000000" w:rsidR="00000000" w:rsidRPr="00000000">
        <w:rPr>
          <w:rtl w:val="0"/>
        </w:rPr>
        <w:t xml:space="preserve">Third, governance constraints: 501(c)(3) organizations are subject to restrictions on private benefit, self-dealing, and the use of assets for non-charitable purposes that provide structural protections against the Foundation's governance being captured by commercial interests. Board members cannot use the Foundation's resources or authority for private benefit; decisions that provide improper private benefit to insiders are subject to excise taxes and potential loss of exempt status. These constraints are not merely regulatory; they are built into the Foundation's charter as specific prohibitions that reinforce the structural governance requirements of the triadic board design</w:t>
      </w:r>
      <w:hyperlink r:id="rId457">
        <w:r w:rsidDel="00000000" w:rsidR="00000000" w:rsidRPr="00000000">
          <w:rPr>
            <w:rtl w:val="0"/>
          </w:rPr>
          <w:t xml:space="preserve"> </w:t>
        </w:r>
      </w:hyperlink>
      <w:hyperlink r:id="rId45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4C">
      <w:pPr>
        <w:pStyle w:val="Heading4"/>
        <w:keepNext w:val="0"/>
        <w:keepLines w:val="0"/>
        <w:spacing w:after="40" w:before="240" w:lineRule="auto"/>
        <w:rPr>
          <w:b w:val="1"/>
          <w:bCs w:val="1"/>
          <w:color w:val="000000"/>
          <w:sz w:val="22"/>
          <w:szCs w:val="22"/>
        </w:rPr>
      </w:pPr>
      <w:bookmarkStart w:colFirst="0" w:colLast="0" w:name="_kv7jnlwhxa6s" w:id="214"/>
      <w:bookmarkEnd w:id="214"/>
      <w:r w:rsidDel="00000000" w:rsidR="00000000" w:rsidRPr="00000000">
        <w:rPr>
          <w:b w:val="1"/>
          <w:bCs w:val="1"/>
          <w:color w:val="000000"/>
          <w:sz w:val="22"/>
          <w:szCs w:val="22"/>
          <w:rtl w:val="0"/>
        </w:rPr>
        <w:t xml:space="preserve">10.1.2 Jurisdictional Placement and Multi-Jurisdictional Resilience</w:t>
      </w:r>
    </w:p>
    <w:p w:rsidR="00000000" w:rsidDel="00000000" w:rsidP="00000000" w:rsidRDefault="00000000" w:rsidRPr="00000000" w14:paraId="0000054D">
      <w:pPr>
        <w:spacing w:after="240" w:before="240" w:lineRule="auto"/>
        <w:rPr/>
      </w:pPr>
      <w:r w:rsidDel="00000000" w:rsidR="00000000" w:rsidRPr="00000000">
        <w:rPr>
          <w:rtl w:val="0"/>
        </w:rPr>
        <w:t xml:space="preserve">The Foundation's primary jurisdiction of incorporation is the United States, with operational presence in at least two additional jurisdictions required by the Foundation's charter to ensure that no single jurisdiction's regulatory or political environment can unilaterally compromise the Foundation's governance function.</w:t>
      </w:r>
    </w:p>
    <w:p w:rsidR="00000000" w:rsidDel="00000000" w:rsidP="00000000" w:rsidRDefault="00000000" w:rsidRPr="00000000" w14:paraId="0000054E">
      <w:pPr>
        <w:spacing w:after="240" w:before="240" w:lineRule="auto"/>
        <w:rPr/>
      </w:pPr>
      <w:r w:rsidDel="00000000" w:rsidR="00000000" w:rsidRPr="00000000">
        <w:rPr>
          <w:rtl w:val="0"/>
        </w:rPr>
        <w:t xml:space="preserve">The multi-jurisdictional requirement addresses a specific institutional risk: a government hostile to AI governance accountability could potentially use regulatory pressure, legal compulsion, or political influence to force the Foundation to weaken its certification standards, provide access to governed systems' evidentiary records for unauthorized purposes, or cease enforcement activities against non-compliant operators. Multi-jurisdictional incorporation ensures that such pressure from any single government must overcome legal barriers in multiple independent jurisdictions, raising the cost of capture above what any single government would typically expend for AI governance objectives.</w:t>
      </w:r>
    </w:p>
    <w:p w:rsidR="00000000" w:rsidDel="00000000" w:rsidP="00000000" w:rsidRDefault="00000000" w:rsidRPr="00000000" w14:paraId="0000054F">
      <w:pPr>
        <w:spacing w:after="240" w:before="240" w:lineRule="auto"/>
        <w:rPr/>
      </w:pPr>
      <w:r w:rsidDel="00000000" w:rsidR="00000000" w:rsidRPr="00000000">
        <w:rPr>
          <w:rtl w:val="0"/>
        </w:rPr>
        <w:t xml:space="preserve">The Foundation's HybridShield custodian network, described in Section III, is required by the Foundation's charter to include custodians from at least three independent legal jurisdictions. This requirement connects the Foundation's institutional resilience directly to the technical resilience of the evidentiary infrastructure it oversees.</w:t>
      </w:r>
    </w:p>
    <w:p w:rsidR="00000000" w:rsidDel="00000000" w:rsidP="00000000" w:rsidRDefault="00000000" w:rsidRPr="00000000" w14:paraId="00000550">
      <w:pPr>
        <w:pStyle w:val="Heading3"/>
        <w:keepNext w:val="0"/>
        <w:keepLines w:val="0"/>
        <w:spacing w:before="280" w:lineRule="auto"/>
        <w:rPr>
          <w:b w:val="1"/>
          <w:bCs w:val="1"/>
          <w:color w:val="000000"/>
          <w:sz w:val="26"/>
          <w:szCs w:val="26"/>
        </w:rPr>
      </w:pPr>
      <w:bookmarkStart w:colFirst="0" w:colLast="0" w:name="_8zy6k1mivfga" w:id="215"/>
      <w:bookmarkEnd w:id="215"/>
      <w:r w:rsidDel="00000000" w:rsidR="00000000" w:rsidRPr="00000000">
        <w:rPr>
          <w:b w:val="1"/>
          <w:bCs w:val="1"/>
          <w:color w:val="000000"/>
          <w:sz w:val="26"/>
          <w:szCs w:val="26"/>
          <w:rtl w:val="0"/>
        </w:rPr>
        <w:t xml:space="preserve">10.2 The Tri-Cameral Governance Architecture</w:t>
      </w:r>
    </w:p>
    <w:p w:rsidR="00000000" w:rsidDel="00000000" w:rsidP="00000000" w:rsidRDefault="00000000" w:rsidRPr="00000000" w14:paraId="00000551">
      <w:pPr>
        <w:pStyle w:val="Heading4"/>
        <w:keepNext w:val="0"/>
        <w:keepLines w:val="0"/>
        <w:spacing w:after="40" w:before="240" w:lineRule="auto"/>
        <w:rPr>
          <w:b w:val="1"/>
          <w:bCs w:val="1"/>
          <w:color w:val="000000"/>
          <w:sz w:val="22"/>
          <w:szCs w:val="22"/>
        </w:rPr>
      </w:pPr>
      <w:bookmarkStart w:colFirst="0" w:colLast="0" w:name="_f0v1e4f3vx4t" w:id="216"/>
      <w:bookmarkEnd w:id="216"/>
      <w:r w:rsidDel="00000000" w:rsidR="00000000" w:rsidRPr="00000000">
        <w:rPr>
          <w:b w:val="1"/>
          <w:bCs w:val="1"/>
          <w:color w:val="000000"/>
          <w:sz w:val="22"/>
          <w:szCs w:val="22"/>
          <w:rtl w:val="0"/>
        </w:rPr>
        <w:t xml:space="preserve">10.2.1 Chamber Structure and Composition</w:t>
      </w:r>
    </w:p>
    <w:p w:rsidR="00000000" w:rsidDel="00000000" w:rsidP="00000000" w:rsidRDefault="00000000" w:rsidRPr="00000000" w14:paraId="00000552">
      <w:pPr>
        <w:spacing w:after="240" w:before="240" w:lineRule="auto"/>
        <w:rPr/>
      </w:pPr>
      <w:r w:rsidDel="00000000" w:rsidR="00000000" w:rsidRPr="00000000">
        <w:rPr>
          <w:rtl w:val="0"/>
        </w:rPr>
        <w:t xml:space="preserve">The Foundation's governance is vested in the Tri-Cameral constitutional architecture, whose structure reflects the separation of powers doctrine identified in Section IX as the jurisprudential foundation of TML's architecture. The Tri-Cameral structure comprises three chambers, each with distinct authority, distinct selection mechanisms, and distinct accountability structures. The full operational specification is in</w:t>
      </w:r>
      <w:hyperlink r:id="rId459">
        <w:r w:rsidDel="00000000" w:rsidR="00000000" w:rsidRPr="00000000">
          <w:rPr>
            <w:rtl w:val="0"/>
          </w:rPr>
          <w:t xml:space="preserve"> </w:t>
        </w:r>
      </w:hyperlink>
      <w:hyperlink r:id="rId460">
        <w:r w:rsidDel="00000000" w:rsidR="00000000" w:rsidRPr="00000000">
          <w:rPr>
            <w:rFonts w:ascii="Roboto Mono" w:cs="Roboto Mono" w:eastAsia="Roboto Mono" w:hAnsi="Roboto Mono"/>
            <w:color w:val="0000ee"/>
            <w:u w:val="single"/>
            <w:rtl w:val="0"/>
          </w:rPr>
          <w:t xml:space="preserve">governance/Tri_Cameral_Constitution.md</w:t>
        </w:r>
      </w:hyperlink>
      <w:r w:rsidDel="00000000" w:rsidR="00000000" w:rsidRPr="00000000">
        <w:rPr>
          <w:rtl w:val="0"/>
        </w:rPr>
        <w:t xml:space="preserve">.</w:t>
      </w:r>
    </w:p>
    <w:p w:rsidR="00000000" w:rsidDel="00000000" w:rsidP="00000000" w:rsidRDefault="00000000" w:rsidRPr="00000000" w14:paraId="00000553">
      <w:pPr>
        <w:spacing w:after="240" w:before="240" w:lineRule="auto"/>
        <w:rPr>
          <w:b w:val="1"/>
          <w:bCs w:val="1"/>
        </w:rPr>
      </w:pPr>
      <w:r w:rsidDel="00000000" w:rsidR="00000000" w:rsidRPr="00000000">
        <w:rPr>
          <w:b w:val="1"/>
          <w:bCs w:val="1"/>
          <w:rtl w:val="0"/>
        </w:rPr>
        <w:t xml:space="preserve">Technical Council (9 members, 3-year staggered terms)</w:t>
      </w:r>
    </w:p>
    <w:p w:rsidR="00000000" w:rsidDel="00000000" w:rsidP="00000000" w:rsidRDefault="00000000" w:rsidRPr="00000000" w14:paraId="00000554">
      <w:pPr>
        <w:spacing w:after="240" w:before="240" w:lineRule="auto"/>
        <w:rPr/>
      </w:pPr>
      <w:r w:rsidDel="00000000" w:rsidR="00000000" w:rsidRPr="00000000">
        <w:rPr>
          <w:rtl w:val="0"/>
        </w:rPr>
        <w:t xml:space="preserve">The Technical Council holds proposal rights only. It has exclusive authority to submit constitutional amendments, specification updates, and technical governance proposals. Its members are selected through a peer nomination process requiring confirmation by the Stewardship Custodians, ensuring that Technical Council membership reflects genuine technical expertise rather than political appointment. Seat categories cover cryptographic engineering, smart contract architecture, AI systems engineering, hardware security, distributed systems, API and schema design, privacy engineering, regulatory alignment, and open source governance.</w:t>
      </w:r>
    </w:p>
    <w:p w:rsidR="00000000" w:rsidDel="00000000" w:rsidP="00000000" w:rsidRDefault="00000000" w:rsidRPr="00000000" w14:paraId="00000555">
      <w:pPr>
        <w:spacing w:after="240" w:before="240" w:lineRule="auto"/>
        <w:rPr/>
      </w:pPr>
      <w:r w:rsidDel="00000000" w:rsidR="00000000" w:rsidRPr="00000000">
        <w:rPr>
          <w:rtl w:val="0"/>
        </w:rPr>
        <w:t xml:space="preserve">A Technical Council member who submits a survivability-class proposal -- any proposal modifying the NL=NA enforcement chain, the three-state model, the Eight Pillar definitions, chamber composition, quorum thresholds, or any schema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unevaluatedProperties</w:t>
      </w:r>
      <w:r w:rsidDel="00000000" w:rsidR="00000000" w:rsidRPr="00000000">
        <w:rPr>
          <w:rtl w:val="0"/>
        </w:rPr>
        <w:t xml:space="preserve"> constraint -- exits the chamber automatically upon submission. They retain the right to testify before both chambers during the evaluation windows but may not vote on the proposal they submitted. This proposer exit rule prevents the body that proposes from also ratifying its own proposals.</w:t>
      </w:r>
    </w:p>
    <w:p w:rsidR="00000000" w:rsidDel="00000000" w:rsidP="00000000" w:rsidRDefault="00000000" w:rsidRPr="00000000" w14:paraId="00000556">
      <w:pPr>
        <w:spacing w:after="240" w:before="240" w:lineRule="auto"/>
        <w:rPr>
          <w:b w:val="1"/>
          <w:bCs w:val="1"/>
        </w:rPr>
      </w:pPr>
      <w:r w:rsidDel="00000000" w:rsidR="00000000" w:rsidRPr="00000000">
        <w:rPr>
          <w:b w:val="1"/>
          <w:bCs w:val="1"/>
          <w:rtl w:val="0"/>
        </w:rPr>
        <w:t xml:space="preserve">Stewardship Custodians (11 members, 4-year staggered terms)</w:t>
      </w:r>
    </w:p>
    <w:p w:rsidR="00000000" w:rsidDel="00000000" w:rsidP="00000000" w:rsidRDefault="00000000" w:rsidRPr="00000000" w14:paraId="00000557">
      <w:pPr>
        <w:spacing w:after="240" w:before="240" w:lineRule="auto"/>
        <w:rPr/>
      </w:pPr>
      <w:r w:rsidDel="00000000" w:rsidR="00000000" w:rsidRPr="00000000">
        <w:rPr>
          <w:rtl w:val="0"/>
        </w:rPr>
        <w:t xml:space="preserve">The Stewardship Custodians hold binding veto authority only. They may not submit proposals. Their veto is final, non-appealable, and requires only a single member to exercise -- one </w:t>
      </w:r>
      <w:r w:rsidDel="00000000" w:rsidR="00000000" w:rsidRPr="00000000">
        <w:rPr>
          <w:rFonts w:ascii="Roboto Mono" w:cs="Roboto Mono" w:eastAsia="Roboto Mono" w:hAnsi="Roboto Mono"/>
          <w:color w:val="188038"/>
          <w:rtl w:val="0"/>
        </w:rPr>
        <w:t xml:space="preserve">vetoExercised: true</w:t>
      </w:r>
      <w:r w:rsidDel="00000000" w:rsidR="00000000" w:rsidRPr="00000000">
        <w:rPr>
          <w:rtl w:val="0"/>
        </w:rPr>
        <w:t xml:space="preserve"> submission from any seated active Stewardship Custodian constitutionally blocks any proposal regardless of all vote counts from both chambers. Their mandatory veto obligation covers any proposal creating credible risk of violating the Immutable Mandates: No Switch Off, No Spy, No Weapon, the three-state model, the Goukassian Vow, or the NL=NA enforcement chain.</w:t>
      </w:r>
    </w:p>
    <w:p w:rsidR="00000000" w:rsidDel="00000000" w:rsidP="00000000" w:rsidRDefault="00000000" w:rsidRPr="00000000" w14:paraId="00000558">
      <w:pPr>
        <w:spacing w:after="240" w:before="240" w:lineRule="auto"/>
        <w:rPr/>
      </w:pPr>
      <w:r w:rsidDel="00000000" w:rsidR="00000000" w:rsidRPr="00000000">
        <w:rPr>
          <w:rtl w:val="0"/>
        </w:rPr>
        <w:t xml:space="preserve">Seat categories cover technical infrastructure, human rights enforcement, earth protection, AI ethics research, medical and victim compensation, legal and constitutional expertise, privacy and civil liberties, academic validation, community representation, and two jurisdictional diversity seats requiring domicile outside North America and Europe. No more than two Stewardship Custodians may reside within the same legal jurisdiction.</w:t>
      </w:r>
    </w:p>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Smart Contract Treasury</w:t>
      </w:r>
    </w:p>
    <w:p w:rsidR="00000000" w:rsidDel="00000000" w:rsidP="00000000" w:rsidRDefault="00000000" w:rsidRPr="00000000" w14:paraId="0000055A">
      <w:pPr>
        <w:spacing w:after="240" w:before="240" w:lineRule="auto"/>
        <w:rPr/>
      </w:pPr>
      <w:r w:rsidDel="00000000" w:rsidR="00000000" w:rsidRPr="00000000">
        <w:rPr>
          <w:rtl w:val="0"/>
        </w:rPr>
        <w:t xml:space="preserve">The Smart Contract Treasury is the execution layer. It has no vote rights, no discretion, and no admin key. It executes ratified proposals automatically once both chambers have passed at the required threshold and all Section 7A requirements are satisfied. It cannot be halted, paused, redirected, or shut down by any authority. No admin key exists. No upgrade proxy exists. The Smart Contract Treasury embodies the No Switch Off mandate applied to governance execution itself.</w:t>
      </w:r>
    </w:p>
    <w:p w:rsidR="00000000" w:rsidDel="00000000" w:rsidP="00000000" w:rsidRDefault="00000000" w:rsidRPr="00000000" w14:paraId="0000055B">
      <w:pPr>
        <w:pStyle w:val="Heading4"/>
        <w:keepNext w:val="0"/>
        <w:keepLines w:val="0"/>
        <w:spacing w:after="40" w:before="240" w:lineRule="auto"/>
        <w:rPr>
          <w:b w:val="1"/>
          <w:bCs w:val="1"/>
          <w:color w:val="000000"/>
          <w:sz w:val="22"/>
          <w:szCs w:val="22"/>
        </w:rPr>
      </w:pPr>
      <w:bookmarkStart w:colFirst="0" w:colLast="0" w:name="_psbnzknq5x30" w:id="217"/>
      <w:bookmarkEnd w:id="217"/>
      <w:r w:rsidDel="00000000" w:rsidR="00000000" w:rsidRPr="00000000">
        <w:rPr>
          <w:b w:val="1"/>
          <w:bCs w:val="1"/>
          <w:color w:val="000000"/>
          <w:sz w:val="22"/>
          <w:szCs w:val="22"/>
          <w:rtl w:val="0"/>
        </w:rPr>
        <w:t xml:space="preserve">10.2.2 Constitutional Checks and Veto Rights</w:t>
      </w:r>
    </w:p>
    <w:p w:rsidR="00000000" w:rsidDel="00000000" w:rsidP="00000000" w:rsidRDefault="00000000" w:rsidRPr="00000000" w14:paraId="0000055C">
      <w:pPr>
        <w:spacing w:after="240" w:before="240" w:lineRule="auto"/>
        <w:rPr/>
      </w:pPr>
      <w:r w:rsidDel="00000000" w:rsidR="00000000" w:rsidRPr="00000000">
        <w:rPr>
          <w:rtl w:val="0"/>
        </w:rPr>
        <w:t xml:space="preserve">The Tri-Cameral structure creates a three-body equilibrium in which no single chamber can propose, approve, and execute a change simultaneously. The Technical Council proposes but cannot approve. The Stewardship Custodians approve or veto but cannot propose. The Smart Contract Treasury executes but cannot vote. This structural separation is not merely procedural -- it is physically enforced at the ABI layer: a Technical Council member attempting to submit </w:t>
      </w:r>
      <w:r w:rsidDel="00000000" w:rsidR="00000000" w:rsidRPr="00000000">
        <w:rPr>
          <w:rFonts w:ascii="Roboto Mono" w:cs="Roboto Mono" w:eastAsia="Roboto Mono" w:hAnsi="Roboto Mono"/>
          <w:color w:val="188038"/>
          <w:rtl w:val="0"/>
        </w:rPr>
        <w:t xml:space="preserve">vetoExercised: true</w:t>
      </w:r>
      <w:r w:rsidDel="00000000" w:rsidR="00000000" w:rsidRPr="00000000">
        <w:rPr>
          <w:rtl w:val="0"/>
        </w:rPr>
        <w:t xml:space="preserve"> receives a contract revert. A Stewardship Custodian attempting to submit a proposal receives a contract revert.</w:t>
      </w:r>
    </w:p>
    <w:p w:rsidR="00000000" w:rsidDel="00000000" w:rsidP="00000000" w:rsidRDefault="00000000" w:rsidRPr="00000000" w14:paraId="0000055D">
      <w:pPr>
        <w:spacing w:after="240" w:before="240" w:lineRule="auto"/>
        <w:rPr/>
      </w:pPr>
      <w:r w:rsidDel="00000000" w:rsidR="00000000" w:rsidRPr="00000000">
        <w:rPr>
          <w:rtl w:val="0"/>
        </w:rPr>
        <w:t xml:space="preserve">The veto creates asymmetric constitutional protection: the most consequential governance actions -- weakening the Sacred Zero enforcement chain, reducing Mandate protection thresholds, altering chamber composition -- require a single Stewardship Custodian to act, while the action they prevent would require sustained 75% supermajority approval across two 180-day windows from both chambers. This asymmetry is the governance ratchet at the institutional layer that Section VIII describes at the hardware layer: protections are far easier to strengthen than to weaken.</w:t>
      </w:r>
    </w:p>
    <w:p w:rsidR="00000000" w:rsidDel="00000000" w:rsidP="00000000" w:rsidRDefault="00000000" w:rsidRPr="00000000" w14:paraId="0000055E">
      <w:pPr>
        <w:pStyle w:val="Heading4"/>
        <w:keepNext w:val="0"/>
        <w:keepLines w:val="0"/>
        <w:spacing w:after="40" w:before="240" w:lineRule="auto"/>
        <w:rPr>
          <w:b w:val="1"/>
          <w:bCs w:val="1"/>
          <w:color w:val="000000"/>
          <w:sz w:val="22"/>
          <w:szCs w:val="22"/>
        </w:rPr>
      </w:pPr>
      <w:bookmarkStart w:colFirst="0" w:colLast="0" w:name="_armuxoq57ee6" w:id="218"/>
      <w:bookmarkEnd w:id="218"/>
      <w:r w:rsidDel="00000000" w:rsidR="00000000" w:rsidRPr="00000000">
        <w:rPr>
          <w:b w:val="1"/>
          <w:bCs w:val="1"/>
          <w:color w:val="000000"/>
          <w:sz w:val="22"/>
          <w:szCs w:val="22"/>
          <w:rtl w:val="0"/>
        </w:rPr>
        <w:t xml:space="preserve">10.2.3 Quorum Requirements and Section 7A Survivability Protocol</w:t>
      </w:r>
    </w:p>
    <w:p w:rsidR="00000000" w:rsidDel="00000000" w:rsidP="00000000" w:rsidRDefault="00000000" w:rsidRPr="00000000" w14:paraId="0000055F">
      <w:pPr>
        <w:spacing w:after="240" w:before="240" w:lineRule="auto"/>
        <w:rPr/>
      </w:pPr>
      <w:r w:rsidDel="00000000" w:rsidR="00000000" w:rsidRPr="00000000">
        <w:rPr>
          <w:rtl w:val="0"/>
        </w:rPr>
        <w:t xml:space="preserve">Standard proposals require simple majority of seated active members in both chambers with no Stewardship Custodian veto.</w:t>
      </w:r>
    </w:p>
    <w:p w:rsidR="00000000" w:rsidDel="00000000" w:rsidP="00000000" w:rsidRDefault="00000000" w:rsidRPr="00000000" w14:paraId="00000560">
      <w:pPr>
        <w:spacing w:after="240" w:before="240" w:lineRule="auto"/>
        <w:rPr/>
      </w:pPr>
      <w:r w:rsidDel="00000000" w:rsidR="00000000" w:rsidRPr="00000000">
        <w:rPr>
          <w:rtl w:val="0"/>
        </w:rPr>
        <w:t xml:space="preserve">Survivability-class proposals -- those modifying the NL=NA enforcement chain, the three-state model, the Eight Pillar definitions, chamber composition, quorum thresholds, or any schema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unevaluatedProperties</w:t>
      </w:r>
      <w:r w:rsidDel="00000000" w:rsidR="00000000" w:rsidRPr="00000000">
        <w:rPr>
          <w:rtl w:val="0"/>
        </w:rPr>
        <w:t xml:space="preserve"> constraint -- require the Section 7A dual-vote protocol: the proposer exits the chamber on submission, a 180-day evaluation clock starts at submission regardless of vacancies, Vote 1 requires 75% of </w:t>
      </w:r>
      <w:r w:rsidDel="00000000" w:rsidR="00000000" w:rsidRPr="00000000">
        <w:rPr>
          <w:rFonts w:ascii="Roboto Mono" w:cs="Roboto Mono" w:eastAsia="Roboto Mono" w:hAnsi="Roboto Mono"/>
          <w:color w:val="188038"/>
          <w:rtl w:val="0"/>
        </w:rPr>
        <w:t xml:space="preserve">seatedActiveMembers</w:t>
      </w:r>
      <w:r w:rsidDel="00000000" w:rsidR="00000000" w:rsidRPr="00000000">
        <w:rPr>
          <w:rtl w:val="0"/>
        </w:rPr>
        <w:t xml:space="preserve"> in both chambers, a second 180-day window follows, Vote 2 requires 75% of </w:t>
      </w:r>
      <w:r w:rsidDel="00000000" w:rsidR="00000000" w:rsidRPr="00000000">
        <w:rPr>
          <w:rFonts w:ascii="Roboto Mono" w:cs="Roboto Mono" w:eastAsia="Roboto Mono" w:hAnsi="Roboto Mono"/>
          <w:color w:val="188038"/>
          <w:rtl w:val="0"/>
        </w:rPr>
        <w:t xml:space="preserve">seatedActiveMembers</w:t>
      </w:r>
      <w:r w:rsidDel="00000000" w:rsidR="00000000" w:rsidRPr="00000000">
        <w:rPr>
          <w:rtl w:val="0"/>
        </w:rPr>
        <w:t xml:space="preserve"> in both chambers again, and the proposer's institution is banned from filling the vacated seat for one year. Both votes must pass. A single Stewardship Custodian veto at either vote blocks permanently.</w:t>
      </w:r>
    </w:p>
    <w:p w:rsidR="00000000" w:rsidDel="00000000" w:rsidP="00000000" w:rsidRDefault="00000000" w:rsidRPr="00000000" w14:paraId="00000561">
      <w:pPr>
        <w:spacing w:after="240" w:before="240" w:lineRule="auto"/>
        <w:rPr/>
      </w:pPr>
      <w:r w:rsidDel="00000000" w:rsidR="00000000" w:rsidRPr="00000000">
        <w:rPr>
          <w:rFonts w:ascii="Roboto Mono" w:cs="Roboto Mono" w:eastAsia="Roboto Mono" w:hAnsi="Roboto Mono"/>
          <w:color w:val="188038"/>
          <w:rtl w:val="0"/>
        </w:rPr>
        <w:t xml:space="preserve">seatedActiveMembers</w:t>
      </w:r>
      <w:r w:rsidDel="00000000" w:rsidR="00000000" w:rsidRPr="00000000">
        <w:rPr>
          <w:rtl w:val="0"/>
        </w:rPr>
        <w:t xml:space="preserve"> excludes vacant seats and new appointees quarantined within 90 days of the proposal submission. This prevents a hostile institution from engineering vacancies to lower the effective quorum threshold.</w:t>
      </w:r>
    </w:p>
    <w:p w:rsidR="00000000" w:rsidDel="00000000" w:rsidP="00000000" w:rsidRDefault="00000000" w:rsidRPr="00000000" w14:paraId="00000562">
      <w:pPr>
        <w:spacing w:after="240" w:before="240" w:lineRule="auto"/>
        <w:rPr/>
      </w:pPr>
      <w:r w:rsidDel="00000000" w:rsidR="00000000" w:rsidRPr="00000000">
        <w:rPr>
          <w:rtl w:val="0"/>
        </w:rPr>
        <w:t xml:space="preserve">The triple protection of the Section 7A protocol -- dual-vote across 360 days, proposer exit, institution ban -- implements the highest level of constitutional entrenchment for TML's foundational commitments. The asymmetric amendment procedure makes TML's core protections extremely difficult to weaken and straightforward to strengthen</w:t>
      </w:r>
      <w:hyperlink r:id="rId461">
        <w:r w:rsidDel="00000000" w:rsidR="00000000" w:rsidRPr="00000000">
          <w:rPr>
            <w:rtl w:val="0"/>
          </w:rPr>
          <w:t xml:space="preserve"> </w:t>
        </w:r>
      </w:hyperlink>
      <w:hyperlink r:id="rId46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u3awh0cempcq" w:id="219"/>
      <w:bookmarkEnd w:id="219"/>
      <w:r w:rsidDel="00000000" w:rsidR="00000000" w:rsidRPr="00000000">
        <w:rPr>
          <w:b w:val="1"/>
          <w:bCs w:val="1"/>
          <w:color w:val="000000"/>
          <w:sz w:val="26"/>
          <w:szCs w:val="26"/>
          <w:rtl w:val="0"/>
        </w:rPr>
        <w:t xml:space="preserve">10.3 The Certification Architecture</w:t>
      </w:r>
    </w:p>
    <w:p w:rsidR="00000000" w:rsidDel="00000000" w:rsidP="00000000" w:rsidRDefault="00000000" w:rsidRPr="00000000" w14:paraId="00000564">
      <w:pPr>
        <w:pStyle w:val="Heading4"/>
        <w:keepNext w:val="0"/>
        <w:keepLines w:val="0"/>
        <w:spacing w:after="40" w:before="240" w:lineRule="auto"/>
        <w:rPr>
          <w:b w:val="1"/>
          <w:bCs w:val="1"/>
          <w:color w:val="000000"/>
          <w:sz w:val="22"/>
          <w:szCs w:val="22"/>
        </w:rPr>
      </w:pPr>
      <w:bookmarkStart w:colFirst="0" w:colLast="0" w:name="_m89okpah3h3f" w:id="220"/>
      <w:bookmarkEnd w:id="220"/>
      <w:r w:rsidDel="00000000" w:rsidR="00000000" w:rsidRPr="00000000">
        <w:rPr>
          <w:b w:val="1"/>
          <w:bCs w:val="1"/>
          <w:color w:val="000000"/>
          <w:sz w:val="22"/>
          <w:szCs w:val="22"/>
          <w:rtl w:val="0"/>
        </w:rPr>
        <w:t xml:space="preserve">10.3.1 Certification Levels and Requirements</w:t>
      </w:r>
    </w:p>
    <w:p w:rsidR="00000000" w:rsidDel="00000000" w:rsidP="00000000" w:rsidRDefault="00000000" w:rsidRPr="00000000" w14:paraId="00000565">
      <w:pPr>
        <w:spacing w:after="240" w:before="240" w:lineRule="auto"/>
        <w:rPr/>
      </w:pPr>
      <w:r w:rsidDel="00000000" w:rsidR="00000000" w:rsidRPr="00000000">
        <w:rPr>
          <w:rtl w:val="0"/>
        </w:rPr>
        <w:t xml:space="preserve">The TML Certification Program issues certifications at three levels corresponding to the hardware deployment tiers described in Section VIII:</w:t>
      </w:r>
    </w:p>
    <w:p w:rsidR="00000000" w:rsidDel="00000000" w:rsidP="00000000" w:rsidRDefault="00000000" w:rsidRPr="00000000" w14:paraId="00000566">
      <w:pPr>
        <w:spacing w:after="240" w:before="240" w:lineRule="auto"/>
        <w:rPr/>
      </w:pPr>
      <w:r w:rsidDel="00000000" w:rsidR="00000000" w:rsidRPr="00000000">
        <w:rPr>
          <w:b w:val="1"/>
          <w:bCs w:val="1"/>
          <w:rtl w:val="0"/>
        </w:rPr>
        <w:t xml:space="preserve">TML-S1 Certification (Software Compliance)</w:t>
      </w:r>
      <w:r w:rsidDel="00000000" w:rsidR="00000000" w:rsidRPr="00000000">
        <w:rPr>
          <w:rtl w:val="0"/>
        </w:rPr>
        <w:t xml:space="preserve">: Certifies that an operator's deployment satisfies the complete TML API specification and JSON Schema bundle, implements all Eight Pillars in software, maintains active Goukassian Promise compliance with Lantern status in </w:t>
      </w:r>
      <w:r w:rsidDel="00000000" w:rsidR="00000000" w:rsidRPr="00000000">
        <w:rPr>
          <w:rFonts w:ascii="Roboto Mono" w:cs="Roboto Mono" w:eastAsia="Roboto Mono" w:hAnsi="Roboto Mono"/>
          <w:color w:val="188038"/>
          <w:rtl w:val="0"/>
        </w:rPr>
        <w:t xml:space="preserve">FULLY_COMPLIANT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SACRED_ZERO_ACTIVE</w:t>
      </w:r>
      <w:r w:rsidDel="00000000" w:rsidR="00000000" w:rsidRPr="00000000">
        <w:rPr>
          <w:rtl w:val="0"/>
        </w:rPr>
        <w:t xml:space="preserve">, and demonstrates current public blockchain anchoring of Moral Trace Log batches. TML-S1 certification is achievable using existing computing infrastructure and is the entry-level certification for regulatory compliance purposes.</w:t>
      </w:r>
    </w:p>
    <w:p w:rsidR="00000000" w:rsidDel="00000000" w:rsidP="00000000" w:rsidRDefault="00000000" w:rsidRPr="00000000" w14:paraId="00000567">
      <w:pPr>
        <w:spacing w:after="240" w:before="240" w:lineRule="auto"/>
        <w:rPr/>
      </w:pPr>
      <w:r w:rsidDel="00000000" w:rsidR="00000000" w:rsidRPr="00000000">
        <w:rPr>
          <w:b w:val="1"/>
          <w:bCs w:val="1"/>
          <w:rtl w:val="0"/>
        </w:rPr>
        <w:t xml:space="preserve">TML-S2 Certification (PCIe Coprocessor Compliance)</w:t>
      </w:r>
      <w:r w:rsidDel="00000000" w:rsidR="00000000" w:rsidRPr="00000000">
        <w:rPr>
          <w:rtl w:val="0"/>
        </w:rPr>
        <w:t xml:space="preserve">: Certifies all TML-S1 requirements plus physical deployment of a PCIe-attached DITL coprocessor satisfying the Foundation's hardware specification minimum requirements, demonstrating hardware-enforced Sacred Zero NULL state operation, and passing the Foundation's coprocessor integrity verification protocol. TML-S2 certification is appropriate for high-stakes deployments where software-only governance is insufficient.</w:t>
      </w:r>
    </w:p>
    <w:p w:rsidR="00000000" w:rsidDel="00000000" w:rsidP="00000000" w:rsidRDefault="00000000" w:rsidRPr="00000000" w14:paraId="00000568">
      <w:pPr>
        <w:spacing w:after="240" w:before="240" w:lineRule="auto"/>
        <w:rPr/>
      </w:pPr>
      <w:r w:rsidDel="00000000" w:rsidR="00000000" w:rsidRPr="00000000">
        <w:rPr>
          <w:b w:val="1"/>
          <w:bCs w:val="1"/>
          <w:rtl w:val="0"/>
        </w:rPr>
        <w:t xml:space="preserve">TML-S3 Certification (Full Hardware Compliance)</w:t>
      </w:r>
      <w:r w:rsidDel="00000000" w:rsidR="00000000" w:rsidRPr="00000000">
        <w:rPr>
          <w:rtl w:val="0"/>
        </w:rPr>
        <w:t xml:space="preserve">: Certifies all TML-S2 requirements plus chiplet-integrated DITL coprocessor deployment with independent power, clock, and hardware-protected Mandate vector storage satisfying the TSMC N2 CoWoS baseline specification, FIPS 140-3 Level 3 HSM certification, and 20-year ReRAM retention verification under the Arrhenius model. TML-S3 certification represents the highest level of governance assurance and is required for deployments involving highly capable AI systems or safety-critical applications.</w:t>
      </w:r>
    </w:p>
    <w:p w:rsidR="00000000" w:rsidDel="00000000" w:rsidP="00000000" w:rsidRDefault="00000000" w:rsidRPr="00000000" w14:paraId="00000569">
      <w:pPr>
        <w:pStyle w:val="Heading4"/>
        <w:keepNext w:val="0"/>
        <w:keepLines w:val="0"/>
        <w:spacing w:after="40" w:before="240" w:lineRule="auto"/>
        <w:rPr>
          <w:b w:val="1"/>
          <w:bCs w:val="1"/>
          <w:color w:val="000000"/>
          <w:sz w:val="22"/>
          <w:szCs w:val="22"/>
        </w:rPr>
      </w:pPr>
      <w:bookmarkStart w:colFirst="0" w:colLast="0" w:name="_hjw3dh1vdcbs" w:id="221"/>
      <w:bookmarkEnd w:id="221"/>
      <w:r w:rsidDel="00000000" w:rsidR="00000000" w:rsidRPr="00000000">
        <w:rPr>
          <w:b w:val="1"/>
          <w:bCs w:val="1"/>
          <w:color w:val="000000"/>
          <w:sz w:val="22"/>
          <w:szCs w:val="22"/>
          <w:rtl w:val="0"/>
        </w:rPr>
        <w:t xml:space="preserve">10.3.2 Certification Process and Audit Requirements</w:t>
      </w:r>
    </w:p>
    <w:p w:rsidR="00000000" w:rsidDel="00000000" w:rsidP="00000000" w:rsidRDefault="00000000" w:rsidRPr="00000000" w14:paraId="0000056A">
      <w:pPr>
        <w:spacing w:after="240" w:before="240" w:lineRule="auto"/>
        <w:rPr/>
      </w:pPr>
      <w:r w:rsidDel="00000000" w:rsidR="00000000" w:rsidRPr="00000000">
        <w:rPr>
          <w:rtl w:val="0"/>
        </w:rPr>
        <w:t xml:space="preserve">Certification at all levels requires an initial conformity assessment conducted by Foundation-approved auditors, followed by ongoing surveillance audits at intervals determined by the certification level and deployment risk profile. Initial assessments include both documentary review (API specification conformance testing, schema validation, log sample analysis) and technical testing (Sacred Zero activation testing, Mandate detection sensitivity testing, blockchain anchor verification).</w:t>
      </w:r>
    </w:p>
    <w:p w:rsidR="00000000" w:rsidDel="00000000" w:rsidP="00000000" w:rsidRDefault="00000000" w:rsidRPr="00000000" w14:paraId="0000056B">
      <w:pPr>
        <w:spacing w:after="240" w:before="240" w:lineRule="auto"/>
        <w:rPr/>
      </w:pPr>
      <w:r w:rsidDel="00000000" w:rsidR="00000000" w:rsidRPr="00000000">
        <w:rPr>
          <w:rtl w:val="0"/>
        </w:rPr>
        <w:t xml:space="preserve">Surveillance audits use the regulatory API surface described in Section VI: the Foundation's auditors access </w:t>
      </w:r>
      <w:r w:rsidDel="00000000" w:rsidR="00000000" w:rsidRPr="00000000">
        <w:rPr>
          <w:rFonts w:ascii="Roboto Mono" w:cs="Roboto Mono" w:eastAsia="Roboto Mono" w:hAnsi="Roboto Mono"/>
          <w:color w:val="188038"/>
          <w:rtl w:val="0"/>
        </w:rPr>
        <w:t xml:space="preserve">GET /regulator/audit-trail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directly, without operator intermediation, using regulatory credentials issued by the Foundation. This direct access ensures that surveillance audits reflect the system's actual operational history rather than the operator's curated representation of it.</w:t>
      </w:r>
    </w:p>
    <w:p w:rsidR="00000000" w:rsidDel="00000000" w:rsidP="00000000" w:rsidRDefault="00000000" w:rsidRPr="00000000" w14:paraId="0000056C">
      <w:pPr>
        <w:spacing w:after="240" w:before="240" w:lineRule="auto"/>
        <w:rPr/>
      </w:pPr>
      <w:r w:rsidDel="00000000" w:rsidR="00000000" w:rsidRPr="00000000">
        <w:rPr>
          <w:rtl w:val="0"/>
        </w:rPr>
        <w:t xml:space="preserve">Certification can be suspended or revoked following detection of compliance failures through surveillance audit, Lantern revocation events reported to the Foundation by the Lantern smart contract, or substantiated complaints from affected persons or regulatory authorities. Suspension triggers a remediation period during which the operator must demonstrate correction of the identified failures; revocation follows from failures that cannot be remediated within the suspension period or that reflect deliberate circumvention of the framework's requirements.</w:t>
      </w:r>
    </w:p>
    <w:p w:rsidR="00000000" w:rsidDel="00000000" w:rsidP="00000000" w:rsidRDefault="00000000" w:rsidRPr="00000000" w14:paraId="0000056D">
      <w:pPr>
        <w:pStyle w:val="Heading4"/>
        <w:keepNext w:val="0"/>
        <w:keepLines w:val="0"/>
        <w:spacing w:after="40" w:before="240" w:lineRule="auto"/>
        <w:rPr>
          <w:b w:val="1"/>
          <w:bCs w:val="1"/>
          <w:color w:val="000000"/>
          <w:sz w:val="22"/>
          <w:szCs w:val="22"/>
        </w:rPr>
      </w:pPr>
      <w:bookmarkStart w:colFirst="0" w:colLast="0" w:name="_w1h1b2fvvjv" w:id="222"/>
      <w:bookmarkEnd w:id="222"/>
      <w:r w:rsidDel="00000000" w:rsidR="00000000" w:rsidRPr="00000000">
        <w:rPr>
          <w:b w:val="1"/>
          <w:bCs w:val="1"/>
          <w:color w:val="000000"/>
          <w:sz w:val="22"/>
          <w:szCs w:val="22"/>
          <w:rtl w:val="0"/>
        </w:rPr>
        <w:t xml:space="preserve">10.3.3 The Certification Registry</w:t>
      </w:r>
    </w:p>
    <w:p w:rsidR="00000000" w:rsidDel="00000000" w:rsidP="00000000" w:rsidRDefault="00000000" w:rsidRPr="00000000" w14:paraId="0000056E">
      <w:pPr>
        <w:spacing w:after="240" w:before="240" w:lineRule="auto"/>
        <w:rPr/>
      </w:pPr>
      <w:r w:rsidDel="00000000" w:rsidR="00000000" w:rsidRPr="00000000">
        <w:rPr>
          <w:rtl w:val="0"/>
        </w:rPr>
        <w:t xml:space="preserve">The Foundation maintains a public Certification Registry: a blockchain-anchored record of current and historical certifications, suspensions, and revocations for all operators who have sought TML certification. The Registry is anchored to the same public blockchain infrastructure as operators' Moral Trace Logs, ensuring that the Registry's integrity is independently verifiable without reliance on the Foundation's own assertions.</w:t>
      </w:r>
    </w:p>
    <w:p w:rsidR="00000000" w:rsidDel="00000000" w:rsidP="00000000" w:rsidRDefault="00000000" w:rsidRPr="00000000" w14:paraId="0000056F">
      <w:pPr>
        <w:spacing w:after="240" w:before="240" w:lineRule="auto"/>
        <w:rPr/>
      </w:pPr>
      <w:r w:rsidDel="00000000" w:rsidR="00000000" w:rsidRPr="00000000">
        <w:rPr>
          <w:rtl w:val="0"/>
        </w:rPr>
        <w:t xml:space="preserve">The Registry serves multiple governance functions. It enables regulators to verify operator certification status without requiring operator disclosure. It enables affected persons to determine whether a system that made a decision affecting them was certified at the time of the decision. It enables insurance providers to incorporate certification status into AI liability pricing. And it creates a public accountability record that makes certification revocation consequential: revocation is not a private administrative action but a publicly verifiable event that affects the operator's regulatory compliance posture and insurance eligibility</w:t>
      </w:r>
      <w:hyperlink r:id="rId463">
        <w:r w:rsidDel="00000000" w:rsidR="00000000" w:rsidRPr="00000000">
          <w:rPr>
            <w:rtl w:val="0"/>
          </w:rPr>
          <w:t xml:space="preserve"> </w:t>
        </w:r>
      </w:hyperlink>
      <w:hyperlink r:id="rId46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70">
      <w:pPr>
        <w:pStyle w:val="Heading3"/>
        <w:keepNext w:val="0"/>
        <w:keepLines w:val="0"/>
        <w:spacing w:before="280" w:lineRule="auto"/>
        <w:rPr>
          <w:b w:val="1"/>
          <w:bCs w:val="1"/>
          <w:color w:val="000000"/>
          <w:sz w:val="26"/>
          <w:szCs w:val="26"/>
        </w:rPr>
      </w:pPr>
      <w:bookmarkStart w:colFirst="0" w:colLast="0" w:name="_vw1l655jkppk" w:id="223"/>
      <w:bookmarkEnd w:id="223"/>
      <w:r w:rsidDel="00000000" w:rsidR="00000000" w:rsidRPr="00000000">
        <w:rPr>
          <w:b w:val="1"/>
          <w:bCs w:val="1"/>
          <w:color w:val="000000"/>
          <w:sz w:val="26"/>
          <w:szCs w:val="26"/>
          <w:rtl w:val="0"/>
        </w:rPr>
        <w:t xml:space="preserve">10.4 Succession Planning and Founder Independence</w:t>
      </w:r>
    </w:p>
    <w:p w:rsidR="00000000" w:rsidDel="00000000" w:rsidP="00000000" w:rsidRDefault="00000000" w:rsidRPr="00000000" w14:paraId="00000571">
      <w:pPr>
        <w:pStyle w:val="Heading4"/>
        <w:keepNext w:val="0"/>
        <w:keepLines w:val="0"/>
        <w:spacing w:after="40" w:before="240" w:lineRule="auto"/>
        <w:rPr>
          <w:b w:val="1"/>
          <w:bCs w:val="1"/>
          <w:color w:val="000000"/>
          <w:sz w:val="22"/>
          <w:szCs w:val="22"/>
        </w:rPr>
      </w:pPr>
      <w:bookmarkStart w:colFirst="0" w:colLast="0" w:name="_vn9o5pxpzjsx" w:id="224"/>
      <w:bookmarkEnd w:id="224"/>
      <w:r w:rsidDel="00000000" w:rsidR="00000000" w:rsidRPr="00000000">
        <w:rPr>
          <w:b w:val="1"/>
          <w:bCs w:val="1"/>
          <w:color w:val="000000"/>
          <w:sz w:val="22"/>
          <w:szCs w:val="22"/>
          <w:rtl w:val="0"/>
        </w:rPr>
        <w:t xml:space="preserve">10.4.1 The Founder's Role and Its Constitutional Limits</w:t>
      </w:r>
    </w:p>
    <w:p w:rsidR="00000000" w:rsidDel="00000000" w:rsidP="00000000" w:rsidRDefault="00000000" w:rsidRPr="00000000" w14:paraId="00000572">
      <w:pPr>
        <w:spacing w:after="240" w:before="240" w:lineRule="auto"/>
        <w:rPr/>
      </w:pPr>
      <w:r w:rsidDel="00000000" w:rsidR="00000000" w:rsidRPr="00000000">
        <w:rPr>
          <w:rtl w:val="0"/>
        </w:rPr>
        <w:t xml:space="preserve">The Goukassian Foundation's design addresses explicitly the problem of founder dependency: the institutional vulnerability that arises when a governance framework's integrity depends on its creator's continued involvement. TML's creator, Lev Goukassian (ORCID: 0009-0006-5966-1243), is the source of the framework's conceptual architecture, the author of its specifications, and the holder of the root key material from which the Goukassian Signature derives. The Foundation's succession plan addresses the governance consequences of his death, incapacitation, or voluntary withdrawal from the framework's governance.</w:t>
      </w:r>
    </w:p>
    <w:p w:rsidR="00000000" w:rsidDel="00000000" w:rsidP="00000000" w:rsidRDefault="00000000" w:rsidRPr="00000000" w14:paraId="00000573">
      <w:pPr>
        <w:spacing w:after="240" w:before="240" w:lineRule="auto"/>
        <w:rPr/>
      </w:pPr>
      <w:r w:rsidDel="00000000" w:rsidR="00000000" w:rsidRPr="00000000">
        <w:rPr>
          <w:rtl w:val="0"/>
        </w:rPr>
        <w:t xml:space="preserve">The Founder's formal role in the Foundation is a reserved seat on the Technical Chamber with specific authorities: the right to propose specification amendments, the right to veto specification changes that in the Founder's judgment would compromise the framework's foundational commitments, and the authority to convene an emergency review of the triadic board's composition if the board's conduct indicates systematic capture by interests adverse to the framework's protective function. These are significant authorities; they are not unlimited ones.</w:t>
      </w:r>
    </w:p>
    <w:p w:rsidR="00000000" w:rsidDel="00000000" w:rsidP="00000000" w:rsidRDefault="00000000" w:rsidRPr="00000000" w14:paraId="00000574">
      <w:pPr>
        <w:spacing w:after="240" w:before="240" w:lineRule="auto"/>
        <w:rPr/>
      </w:pPr>
      <w:r w:rsidDel="00000000" w:rsidR="00000000" w:rsidRPr="00000000">
        <w:rPr>
          <w:rtl w:val="0"/>
        </w:rPr>
        <w:t xml:space="preserve">The Founder does not hold unilateral authority over the Foundation's operations, certification decisions, or financial management. The triadic board's cross-chamber checks and veto rights apply equally to Founder-proposed decisions. A specification amendment proposed by the Founder requires the same two-thirds supermajority approval within the Technical Chamber and ratification by the full board that any other amendment requires. The Foundation's governance is not the Founder's governance; the Founder is a participant in a distributed governance structure whose integrity does not depend on any single participant's continued involvement</w:t>
      </w:r>
      <w:hyperlink r:id="rId465">
        <w:r w:rsidDel="00000000" w:rsidR="00000000" w:rsidRPr="00000000">
          <w:rPr>
            <w:rtl w:val="0"/>
          </w:rPr>
          <w:t xml:space="preserve"> </w:t>
        </w:r>
      </w:hyperlink>
      <w:hyperlink r:id="rId46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75">
      <w:pPr>
        <w:pStyle w:val="Heading4"/>
        <w:keepNext w:val="0"/>
        <w:keepLines w:val="0"/>
        <w:spacing w:after="40" w:before="240" w:lineRule="auto"/>
        <w:rPr>
          <w:b w:val="1"/>
          <w:bCs w:val="1"/>
          <w:color w:val="000000"/>
          <w:sz w:val="22"/>
          <w:szCs w:val="22"/>
        </w:rPr>
      </w:pPr>
      <w:bookmarkStart w:colFirst="0" w:colLast="0" w:name="_85i7d4fqsk8q" w:id="225"/>
      <w:bookmarkEnd w:id="225"/>
      <w:r w:rsidDel="00000000" w:rsidR="00000000" w:rsidRPr="00000000">
        <w:rPr>
          <w:b w:val="1"/>
          <w:bCs w:val="1"/>
          <w:color w:val="000000"/>
          <w:sz w:val="22"/>
          <w:szCs w:val="22"/>
          <w:rtl w:val="0"/>
        </w:rPr>
        <w:t xml:space="preserve">10.4.2 Key Material Succession</w:t>
      </w:r>
    </w:p>
    <w:p w:rsidR="00000000" w:rsidDel="00000000" w:rsidP="00000000" w:rsidRDefault="00000000" w:rsidRPr="00000000" w14:paraId="00000576">
      <w:pPr>
        <w:spacing w:after="240" w:before="240" w:lineRule="auto"/>
        <w:rPr/>
      </w:pPr>
      <w:r w:rsidDel="00000000" w:rsidR="00000000" w:rsidRPr="00000000">
        <w:rPr>
          <w:rtl w:val="0"/>
        </w:rPr>
        <w:t xml:space="preserve">The most technically consequential aspect of founder succession is the Goukassian Signature's root key material. The Signature's chain of provenance, which embeds the Founder's ORCID and signs every TML-compliant system's genesis block,derives from a root private key that must be succeeded upon the Founder's death or incapacitation to maintain the Signature's functional continuity.</w:t>
      </w:r>
    </w:p>
    <w:p w:rsidR="00000000" w:rsidDel="00000000" w:rsidP="00000000" w:rsidRDefault="00000000" w:rsidRPr="00000000" w14:paraId="00000577">
      <w:pPr>
        <w:spacing w:after="240" w:before="240" w:lineRule="auto"/>
        <w:rPr/>
      </w:pPr>
      <w:r w:rsidDel="00000000" w:rsidR="00000000" w:rsidRPr="00000000">
        <w:rPr>
          <w:rtl w:val="0"/>
        </w:rPr>
        <w:t xml:space="preserve">The key succession protocol is implemented through a multi-party computation scheme in which the root private key is split using Shamir's Secret Sharing into shares held by the Foundation's three chamber presiding officers and three external key custodians selected by the Founder prior to the succession event. Succession activates when the Foundation's board declares a succession event through the triple supermajority process; the shares are assembled through a formal key ceremony conducted under the oversight of all six share holders, and the reconstituted root key is used to generate the successor key pair, which is certified by the assembled share holders as the legitimate continuation of the Goukassian Signature.</w:t>
      </w:r>
    </w:p>
    <w:p w:rsidR="00000000" w:rsidDel="00000000" w:rsidP="00000000" w:rsidRDefault="00000000" w:rsidRPr="00000000" w14:paraId="00000578">
      <w:pPr>
        <w:spacing w:after="240" w:before="240" w:lineRule="auto"/>
        <w:rPr/>
      </w:pPr>
      <w:r w:rsidDel="00000000" w:rsidR="00000000" w:rsidRPr="00000000">
        <w:rPr>
          <w:rtl w:val="0"/>
        </w:rPr>
        <w:t xml:space="preserve">The succession protocol is documented in the Foundation's charter, notarized with the share holders' signatures, and anchored to the public blockchain as a certified hash of the protocol document, ensuring that the succession procedure cannot be altered retroactively and that any succession event that deviates from the documented protocol is publicly detectable.</w:t>
      </w:r>
    </w:p>
    <w:p w:rsidR="00000000" w:rsidDel="00000000" w:rsidP="00000000" w:rsidRDefault="00000000" w:rsidRPr="00000000" w14:paraId="00000579">
      <w:pPr>
        <w:pStyle w:val="Heading4"/>
        <w:keepNext w:val="0"/>
        <w:keepLines w:val="0"/>
        <w:spacing w:after="40" w:before="240" w:lineRule="auto"/>
        <w:rPr>
          <w:b w:val="1"/>
          <w:bCs w:val="1"/>
          <w:color w:val="000000"/>
          <w:sz w:val="22"/>
          <w:szCs w:val="22"/>
        </w:rPr>
      </w:pPr>
      <w:bookmarkStart w:colFirst="0" w:colLast="0" w:name="_19bwn25qmhtp" w:id="226"/>
      <w:bookmarkEnd w:id="226"/>
      <w:r w:rsidDel="00000000" w:rsidR="00000000" w:rsidRPr="00000000">
        <w:rPr>
          <w:b w:val="1"/>
          <w:bCs w:val="1"/>
          <w:color w:val="000000"/>
          <w:sz w:val="22"/>
          <w:szCs w:val="22"/>
          <w:rtl w:val="0"/>
        </w:rPr>
        <w:t xml:space="preserve">10.4.3 Institutional Memory and Framework Documentation</w:t>
      </w:r>
    </w:p>
    <w:p w:rsidR="00000000" w:rsidDel="00000000" w:rsidP="00000000" w:rsidRDefault="00000000" w:rsidRPr="00000000" w14:paraId="0000057A">
      <w:pPr>
        <w:spacing w:after="240" w:before="240" w:lineRule="auto"/>
        <w:rPr/>
      </w:pPr>
      <w:r w:rsidDel="00000000" w:rsidR="00000000" w:rsidRPr="00000000">
        <w:rPr>
          <w:rtl w:val="0"/>
        </w:rPr>
        <w:t xml:space="preserve">The Foundation maintains the canonical repository of TML documentation, including the full specification history, the rationale for each significant design decision, the record of certification decisions and their bases, and the operational history of the framework's governance. This documentation serves both the Foundation's immediate governance function and its long-term succession planning: future board members, auditors, and regulators must be able to understand not merely what the framework requires but why each requirement exists and what documented failure mode it is designed to prevent.</w:t>
      </w:r>
    </w:p>
    <w:p w:rsidR="00000000" w:rsidDel="00000000" w:rsidP="00000000" w:rsidRDefault="00000000" w:rsidRPr="00000000" w14:paraId="0000057B">
      <w:pPr>
        <w:spacing w:after="240" w:before="240" w:lineRule="auto"/>
        <w:rPr/>
      </w:pPr>
      <w:r w:rsidDel="00000000" w:rsidR="00000000" w:rsidRPr="00000000">
        <w:rPr>
          <w:rtl w:val="0"/>
        </w:rPr>
        <w:t xml:space="preserve">The documentation repository is maintained in multiple independent locations, including at least two academic institutions committed to long-term digital preservation, ensuring that the framework's intellectual history is recoverable even in the event of the Foundation's dissolution.</w:t>
      </w:r>
    </w:p>
    <w:p w:rsidR="00000000" w:rsidDel="00000000" w:rsidP="00000000" w:rsidRDefault="00000000" w:rsidRPr="00000000" w14:paraId="0000057C">
      <w:pPr>
        <w:pStyle w:val="Heading3"/>
        <w:keepNext w:val="0"/>
        <w:keepLines w:val="0"/>
        <w:spacing w:before="280" w:lineRule="auto"/>
        <w:rPr>
          <w:b w:val="1"/>
          <w:bCs w:val="1"/>
          <w:color w:val="000000"/>
          <w:sz w:val="26"/>
          <w:szCs w:val="26"/>
        </w:rPr>
      </w:pPr>
      <w:bookmarkStart w:colFirst="0" w:colLast="0" w:name="_agq6jz5gvjvj" w:id="227"/>
      <w:bookmarkEnd w:id="227"/>
      <w:r w:rsidDel="00000000" w:rsidR="00000000" w:rsidRPr="00000000">
        <w:rPr>
          <w:b w:val="1"/>
          <w:bCs w:val="1"/>
          <w:color w:val="000000"/>
          <w:sz w:val="26"/>
          <w:szCs w:val="26"/>
          <w:rtl w:val="0"/>
        </w:rPr>
        <w:t xml:space="preserve">10.5 The Memorial Fund and Victim Compensation Architecture</w:t>
      </w:r>
    </w:p>
    <w:p w:rsidR="00000000" w:rsidDel="00000000" w:rsidP="00000000" w:rsidRDefault="00000000" w:rsidRPr="00000000" w14:paraId="0000057D">
      <w:pPr>
        <w:pStyle w:val="Heading4"/>
        <w:keepNext w:val="0"/>
        <w:keepLines w:val="0"/>
        <w:spacing w:after="40" w:before="240" w:lineRule="auto"/>
        <w:rPr>
          <w:b w:val="1"/>
          <w:bCs w:val="1"/>
          <w:color w:val="000000"/>
          <w:sz w:val="22"/>
          <w:szCs w:val="22"/>
        </w:rPr>
      </w:pPr>
      <w:bookmarkStart w:colFirst="0" w:colLast="0" w:name="_quo1ou2yvyvo" w:id="228"/>
      <w:bookmarkEnd w:id="228"/>
      <w:r w:rsidDel="00000000" w:rsidR="00000000" w:rsidRPr="00000000">
        <w:rPr>
          <w:b w:val="1"/>
          <w:bCs w:val="1"/>
          <w:color w:val="000000"/>
          <w:sz w:val="22"/>
          <w:szCs w:val="22"/>
          <w:rtl w:val="0"/>
        </w:rPr>
        <w:t xml:space="preserve">10.5.1 Purpose and Funding</w:t>
      </w:r>
    </w:p>
    <w:p w:rsidR="00000000" w:rsidDel="00000000" w:rsidP="00000000" w:rsidRDefault="00000000" w:rsidRPr="00000000" w14:paraId="0000057E">
      <w:pPr>
        <w:spacing w:after="240" w:before="240" w:lineRule="auto"/>
        <w:rPr/>
      </w:pPr>
      <w:r w:rsidDel="00000000" w:rsidR="00000000" w:rsidRPr="00000000">
        <w:rPr>
          <w:rtl w:val="0"/>
        </w:rPr>
        <w:t xml:space="preserve">The Memorial Fund is a dedicated fund within the Foundation's financial structure, maintained separately from the Foundation's operational budget, and restricted to a single purpose: providing financial assistance to persons harmed by AI systems governed under the TML framework who can demonstrate that the harm resulted from a governance failure.</w:t>
      </w:r>
    </w:p>
    <w:p w:rsidR="00000000" w:rsidDel="00000000" w:rsidP="00000000" w:rsidRDefault="00000000" w:rsidRPr="00000000" w14:paraId="0000057F">
      <w:pPr>
        <w:spacing w:after="240" w:before="240" w:lineRule="auto"/>
        <w:rPr/>
      </w:pPr>
      <w:r w:rsidDel="00000000" w:rsidR="00000000" w:rsidRPr="00000000">
        <w:rPr>
          <w:rtl w:val="0"/>
        </w:rPr>
        <w:t xml:space="preserve">The Memorial Fund is capitalized through a mandatory contribution mechanism: TML-certified operators contribute a specified percentage of their AI-related revenue to the Fund as a condition of maintaining certification. The contribution percentage is calibrated to the operator's deployment risk profile and certification level, with higher-risk deployments contributing proportionally more. This funding mechanism creates a collective insurance structure: certified operators share the liability exposure of the framework's governance failures, creating collective economic incentives for operators to maintain genuine compliance rather than merely formal compliance.</w:t>
      </w:r>
    </w:p>
    <w:p w:rsidR="00000000" w:rsidDel="00000000" w:rsidP="00000000" w:rsidRDefault="00000000" w:rsidRPr="00000000" w14:paraId="00000580">
      <w:pPr>
        <w:spacing w:after="240" w:before="240" w:lineRule="auto"/>
        <w:rPr/>
      </w:pPr>
      <w:r w:rsidDel="00000000" w:rsidR="00000000" w:rsidRPr="00000000">
        <w:rPr>
          <w:rtl w:val="0"/>
        </w:rPr>
        <w:t xml:space="preserve">The Memorial Fund contribution mechanism additionally provides an economic signal: operators who repeatedly generate high rates of Sacred Zero activations, Mandate triggers, or escalated human reviews are assessed higher contribution rates, because their operational history indicates higher governance risk. This risk-rated contribution structure creates financial incentives for operators to invest in system quality and governance calibration beyond the minimum required for certification</w:t>
      </w:r>
      <w:hyperlink r:id="rId467">
        <w:r w:rsidDel="00000000" w:rsidR="00000000" w:rsidRPr="00000000">
          <w:rPr>
            <w:rtl w:val="0"/>
          </w:rPr>
          <w:t xml:space="preserve"> </w:t>
        </w:r>
      </w:hyperlink>
      <w:hyperlink r:id="rId46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581">
      <w:pPr>
        <w:pStyle w:val="Heading4"/>
        <w:keepNext w:val="0"/>
        <w:keepLines w:val="0"/>
        <w:spacing w:after="40" w:before="240" w:lineRule="auto"/>
        <w:rPr>
          <w:b w:val="1"/>
          <w:bCs w:val="1"/>
          <w:color w:val="000000"/>
          <w:sz w:val="22"/>
          <w:szCs w:val="22"/>
        </w:rPr>
      </w:pPr>
      <w:bookmarkStart w:colFirst="0" w:colLast="0" w:name="_7zg1npn5j5h7" w:id="229"/>
      <w:bookmarkEnd w:id="229"/>
      <w:r w:rsidDel="00000000" w:rsidR="00000000" w:rsidRPr="00000000">
        <w:rPr>
          <w:b w:val="1"/>
          <w:bCs w:val="1"/>
          <w:color w:val="000000"/>
          <w:sz w:val="22"/>
          <w:szCs w:val="22"/>
          <w:rtl w:val="0"/>
        </w:rPr>
        <w:t xml:space="preserve">10.5.2 Claims Process and Compensation Standards</w:t>
      </w:r>
    </w:p>
    <w:p w:rsidR="00000000" w:rsidDel="00000000" w:rsidP="00000000" w:rsidRDefault="00000000" w:rsidRPr="00000000" w14:paraId="00000582">
      <w:pPr>
        <w:spacing w:after="240" w:before="240" w:lineRule="auto"/>
        <w:rPr/>
      </w:pPr>
      <w:r w:rsidDel="00000000" w:rsidR="00000000" w:rsidRPr="00000000">
        <w:rPr>
          <w:rtl w:val="0"/>
        </w:rPr>
        <w:t xml:space="preserve">Claims against the Memorial Fund are adjudicated by an independent claims panel appointed by the Human Rights and Ethics Chamber, with representation from legal experts, affected community representatives, and technical experts capable of evaluating the governance failure claims. The claims process requires the claimant to demonstrate that a TML-certified system made a decision affecting them, that the decision caused identifiable harm, and that the harm resulted from a governance failure rather than from a decision that was within the system's governance-compliant operational parameters.</w:t>
      </w:r>
    </w:p>
    <w:p w:rsidR="00000000" w:rsidDel="00000000" w:rsidP="00000000" w:rsidRDefault="00000000" w:rsidRPr="00000000" w14:paraId="00000583">
      <w:pPr>
        <w:spacing w:after="240" w:before="240" w:lineRule="auto"/>
        <w:rPr/>
      </w:pPr>
      <w:r w:rsidDel="00000000" w:rsidR="00000000" w:rsidRPr="00000000">
        <w:rPr>
          <w:rtl w:val="0"/>
        </w:rPr>
        <w:t xml:space="preserve">The Memorial Fund is not a substitute for legal remedy; it is a complement to it. Claimants who receive Memorial Fund compensation retain all legal rights against the operator whose system caused the harm. The Fund's compensation is intended to provide immediate financial relief to persons who cannot afford to await the resolution of legal proceedings, and to demonstrate that the TML governance community takes responsibility for the harms that governance failures produce.</w:t>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z1db78c1nmb" w:id="230"/>
      <w:bookmarkEnd w:id="230"/>
      <w:r w:rsidDel="00000000" w:rsidR="00000000" w:rsidRPr="00000000">
        <w:rPr>
          <w:b w:val="1"/>
          <w:bCs w:val="1"/>
          <w:color w:val="000000"/>
          <w:sz w:val="26"/>
          <w:szCs w:val="26"/>
          <w:rtl w:val="0"/>
        </w:rPr>
        <w:t xml:space="preserve">10.6 The Foundation as the Framework's Future</w:t>
      </w:r>
    </w:p>
    <w:p w:rsidR="00000000" w:rsidDel="00000000" w:rsidP="00000000" w:rsidRDefault="00000000" w:rsidRPr="00000000" w14:paraId="00000585">
      <w:pPr>
        <w:spacing w:after="240" w:before="240" w:lineRule="auto"/>
        <w:rPr/>
      </w:pPr>
      <w:r w:rsidDel="00000000" w:rsidR="00000000" w:rsidRPr="00000000">
        <w:rPr>
          <w:rtl w:val="0"/>
        </w:rPr>
        <w:t xml:space="preserve">The Goukassian Foundation is the answer to the question that every governance framework must eventually address: who governs the governors? The Eight Pillars, the Dual-Lane Architecture, and the DITL coprocessor provide governance guarantees for the AI systems they govern. The Foundation provides governance for the framework itself: ensuring that its standards remain rigorous, its certification remains meaningful, its evidentiary infrastructure remains operational, and its protective function survives the passage of time, the shift of commercial interests, and the mortality of its creator.</w:t>
      </w:r>
    </w:p>
    <w:p w:rsidR="00000000" w:rsidDel="00000000" w:rsidP="00000000" w:rsidRDefault="00000000" w:rsidRPr="00000000" w14:paraId="00000586">
      <w:pPr>
        <w:spacing w:after="240" w:before="240" w:lineRule="auto"/>
        <w:rPr/>
      </w:pPr>
      <w:r w:rsidDel="00000000" w:rsidR="00000000" w:rsidRPr="00000000">
        <w:rPr>
          <w:rtl w:val="0"/>
        </w:rPr>
        <w:t xml:space="preserve">The Foundation's design reflects the same architectural principles that TML applies to AI governance: separation of powers preventing capture by any single interest, distributed custody preventing control by any single actor, entrenchment protecting foundational commitments against temporary majorities, and evidentiary transparency making governance failures publicly visible and accountable. The governance principles that TML applies to AI systems are applied with equal rigor to the Foundation that governs TML.</w:t>
      </w:r>
    </w:p>
    <w:p w:rsidR="00000000" w:rsidDel="00000000" w:rsidP="00000000" w:rsidRDefault="00000000" w:rsidRPr="00000000" w14:paraId="00000587">
      <w:pPr>
        <w:spacing w:after="240" w:before="240" w:lineRule="auto"/>
        <w:rPr/>
      </w:pPr>
      <w:r w:rsidDel="00000000" w:rsidR="00000000" w:rsidRPr="00000000">
        <w:rPr>
          <w:rtl w:val="0"/>
        </w:rPr>
        <w:t xml:space="preserve">This recursive application of governance principles is not coincidental. It reflects the framework's foundational insight: that governance without accountability is not governance, and that the accountability requirement applies as much to the institutions that administer governance as to the AI systems they oversee. The Goukassian Foundation is not above the governance framework it administers; it is subject to the same constitutional requirements for transparency, accountability, and separation of powers that the framework imposes on the AI systems it certifies.</w:t>
      </w:r>
    </w:p>
    <w:p w:rsidR="00000000" w:rsidDel="00000000" w:rsidP="00000000" w:rsidRDefault="00000000" w:rsidRPr="00000000" w14:paraId="00000588">
      <w:pPr>
        <w:spacing w:after="240" w:before="240" w:lineRule="auto"/>
        <w:rPr/>
      </w:pPr>
      <w:r w:rsidDel="00000000" w:rsidR="00000000" w:rsidRPr="00000000">
        <w:rPr>
          <w:rtl w:val="0"/>
        </w:rPr>
        <w:t xml:space="preserve">The framework will outlast its creator. That is not a contingency plan; it is the design specification.</w:t>
      </w:r>
    </w:p>
    <w:p w:rsidR="00000000" w:rsidDel="00000000" w:rsidP="00000000" w:rsidRDefault="00000000" w:rsidRPr="00000000" w14:paraId="00000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2"/>
        <w:keepNext w:val="0"/>
        <w:keepLines w:val="0"/>
        <w:rPr>
          <w:color w:val="000000"/>
          <w:sz w:val="34"/>
          <w:szCs w:val="34"/>
        </w:rPr>
      </w:pPr>
      <w:bookmarkStart w:colFirst="0" w:colLast="0" w:name="_2xoaruci2h9v" w:id="231"/>
      <w:bookmarkEnd w:id="231"/>
      <w:r w:rsidDel="00000000" w:rsidR="00000000" w:rsidRPr="00000000">
        <w:rPr>
          <w:color w:val="000000"/>
          <w:sz w:val="34"/>
          <w:szCs w:val="34"/>
          <w:rtl w:val="0"/>
        </w:rPr>
        <w:t xml:space="preserve">Conclusion: The Architecture of Durable Governance</w:t>
      </w:r>
    </w:p>
    <w:p w:rsidR="00000000" w:rsidDel="00000000" w:rsidP="00000000" w:rsidRDefault="00000000" w:rsidRPr="00000000" w14:paraId="0000058B">
      <w:pPr>
        <w:spacing w:after="240" w:before="240" w:lineRule="auto"/>
        <w:rPr/>
      </w:pPr>
      <w:r w:rsidDel="00000000" w:rsidR="00000000" w:rsidRPr="00000000">
        <w:rPr>
          <w:rtl w:val="0"/>
        </w:rPr>
        <w:t xml:space="preserve">This monograph has traced the argument for Ternary Moral Logic from its philosophical origins through its technical implementation to its institutional architecture. The argument has a single spine: that governance which cannot survive the capabilities of the systems it governs, the passage of time, or the shifting interests of the institutions that administer it, is not governance but accommodation.</w:t>
      </w:r>
    </w:p>
    <w:p w:rsidR="00000000" w:rsidDel="00000000" w:rsidP="00000000" w:rsidRDefault="00000000" w:rsidRPr="00000000" w14:paraId="0000058C">
      <w:pPr>
        <w:spacing w:after="240" w:before="240" w:lineRule="auto"/>
        <w:rPr/>
      </w:pPr>
      <w:r w:rsidDel="00000000" w:rsidR="00000000" w:rsidRPr="00000000">
        <w:rPr>
          <w:rtl w:val="0"/>
        </w:rPr>
        <w:t xml:space="preserve">Binary brittleness is not a marginal concern. The Flash Crash, Robodebt, the Kargu-2, the Toeslagenaffaire, the Epic Sepsis Model, the Arkansas Medicaid algorithm, and the dozens of documented failures that follow the same structural pattern are not incidents to be addressed case by case. They are the systematic output of an architectural deficiency that is endemic to the binary paradigm. They will continue, at increasing scale and consequence, until the architectural deficiency is corrected.</w:t>
      </w:r>
    </w:p>
    <w:p w:rsidR="00000000" w:rsidDel="00000000" w:rsidP="00000000" w:rsidRDefault="00000000" w:rsidRPr="00000000" w14:paraId="0000058D">
      <w:pPr>
        <w:spacing w:after="240" w:before="240" w:lineRule="auto"/>
        <w:rPr/>
      </w:pPr>
      <w:r w:rsidDel="00000000" w:rsidR="00000000" w:rsidRPr="00000000">
        <w:rPr>
          <w:rtl w:val="0"/>
        </w:rPr>
        <w:t xml:space="preserve">TML corrects it by introducing the Sacred Zero: the first-class governed state that the binary paradigm lacks, enforced not by policy or by software instruction but by physics. The Goukassian Vow ("Pause when truth is uncertain. Refuse when harm is clear. Proceed where truth is") is not an aspiration. It is a circuit topology. It is the voltage condition at ½Vdd that the actuation gate cannot pass without a valid Permission Token that requires a committed, signed, anchored Moral Trace Log to exist.</w:t>
      </w:r>
    </w:p>
    <w:p w:rsidR="00000000" w:rsidDel="00000000" w:rsidP="00000000" w:rsidRDefault="00000000" w:rsidRPr="00000000" w14:paraId="0000058E">
      <w:pPr>
        <w:spacing w:after="240" w:before="240" w:lineRule="auto"/>
        <w:rPr/>
      </w:pPr>
      <w:r w:rsidDel="00000000" w:rsidR="00000000" w:rsidRPr="00000000">
        <w:rPr>
          <w:rtl w:val="0"/>
        </w:rPr>
        <w:t xml:space="preserve">The coexistence principle ensures that this governance does not require the dismantlement of the binary infrastructure that modern AI depends on. The Inference Lane continues at full speed. The Anchoring Lane governs the execution threshold in parallel. Binary logic proposes. Ternary logic governs. They do not compete; they constitute the complete architecture.</w:t>
      </w:r>
    </w:p>
    <w:p w:rsidR="00000000" w:rsidDel="00000000" w:rsidP="00000000" w:rsidRDefault="00000000" w:rsidRPr="00000000" w14:paraId="0000058F">
      <w:pPr>
        <w:spacing w:after="240" w:before="240" w:lineRule="auto"/>
        <w:rPr/>
      </w:pPr>
      <w:r w:rsidDel="00000000" w:rsidR="00000000" w:rsidRPr="00000000">
        <w:rPr>
          <w:rtl w:val="0"/>
        </w:rPr>
        <w:t xml:space="preserve">The Eight Pillars ensure that governance is not merely claimed but enforced: that the Sacred Zero produces a documented deliberation, that the deliberation produces a permanent record, that the record is held in distributed custody, that the custody is publicly verifiable, and that the entire chain from uncertainty to deliberation to resolution to anchoring is cryptographically authentic and independently auditable.</w:t>
      </w:r>
    </w:p>
    <w:p w:rsidR="00000000" w:rsidDel="00000000" w:rsidP="00000000" w:rsidRDefault="00000000" w:rsidRPr="00000000" w14:paraId="00000590">
      <w:pPr>
        <w:spacing w:after="240" w:before="240" w:lineRule="auto"/>
        <w:rPr/>
      </w:pPr>
      <w:r w:rsidDel="00000000" w:rsidR="00000000" w:rsidRPr="00000000">
        <w:rPr>
          <w:rtl w:val="0"/>
        </w:rPr>
        <w:t xml:space="preserve">The legal compliance framework ensures that organizations adopting TML do not face a trade-off between governance and regulatory compliance: TML generates compliance with the EU AI Act, NIST AI RMF, ISO 42001, the Federal Rules of Evidence, eIDAS, and Basel III/IV as structural byproducts of its operation. Compliance is what constitutional governance produces.</w:t>
      </w:r>
    </w:p>
    <w:p w:rsidR="00000000" w:rsidDel="00000000" w:rsidP="00000000" w:rsidRDefault="00000000" w:rsidRPr="00000000" w14:paraId="00000591">
      <w:pPr>
        <w:spacing w:after="240" w:before="240" w:lineRule="auto"/>
        <w:rPr/>
      </w:pPr>
      <w:r w:rsidDel="00000000" w:rsidR="00000000" w:rsidRPr="00000000">
        <w:rPr>
          <w:rtl w:val="0"/>
        </w:rPr>
        <w:t xml:space="preserve">The hardware substrate ensures that governance survives capability. A recursively self-improving system cannot rewrite the DITL coprocessor. It cannot alter the Mandate vector embeddings in hardware-protected memory. It cannot generate HSM-backed Permission Tokens. The governance constraints exist outside the computational domain of the system they constrain, enforced by electromagnetic law rather than software instruction.</w:t>
      </w:r>
    </w:p>
    <w:p w:rsidR="00000000" w:rsidDel="00000000" w:rsidP="00000000" w:rsidRDefault="00000000" w:rsidRPr="00000000" w14:paraId="00000592">
      <w:pPr>
        <w:spacing w:after="240" w:before="240" w:lineRule="auto"/>
        <w:rPr/>
      </w:pPr>
      <w:r w:rsidDel="00000000" w:rsidR="00000000" w:rsidRPr="00000000">
        <w:rPr>
          <w:rtl w:val="0"/>
        </w:rPr>
        <w:t xml:space="preserve">The Goukassian Foundation ensures that governance survives time. The triadic board, the certification architecture, the Memorial Fund, and the succession protocols create an institutional structure whose durability does not depend on any individual's continued involvement and whose integrity does not depend on any single organization's goodwill.</w:t>
      </w:r>
    </w:p>
    <w:p w:rsidR="00000000" w:rsidDel="00000000" w:rsidP="00000000" w:rsidRDefault="00000000" w:rsidRPr="00000000" w14:paraId="00000593">
      <w:pPr>
        <w:spacing w:after="240" w:before="240" w:lineRule="auto"/>
        <w:rPr/>
      </w:pPr>
      <w:r w:rsidDel="00000000" w:rsidR="00000000" w:rsidRPr="00000000">
        <w:rPr>
          <w:rtl w:val="0"/>
        </w:rPr>
        <w:t xml:space="preserve">Ternary Moral Logic is complete. It is implementable today at the software layer. It is deployable at the hardware layer as the standard cell library matures. It is governable through the Foundation's institutional architecture. It answers every serious question about AI governance from the philosophical to the silicon to the legal to the institutional.</w:t>
      </w:r>
    </w:p>
    <w:p w:rsidR="00000000" w:rsidDel="00000000" w:rsidP="00000000" w:rsidRDefault="00000000" w:rsidRPr="00000000" w14:paraId="00000594">
      <w:pPr>
        <w:spacing w:after="240" w:before="240" w:lineRule="auto"/>
        <w:rPr/>
      </w:pPr>
      <w:r w:rsidDel="00000000" w:rsidR="00000000" w:rsidRPr="00000000">
        <w:rPr>
          <w:rtl w:val="0"/>
        </w:rPr>
        <w:t xml:space="preserve">The question that remains is not whether the framework is adequate. It is whether the industry, the regulatory community, and the society that bears the consequences of ungoverned AI systems will choose to adopt it before the next bill arrives.</w:t>
      </w:r>
    </w:p>
    <w:p w:rsidR="00000000" w:rsidDel="00000000" w:rsidP="00000000" w:rsidRDefault="00000000" w:rsidRPr="00000000" w14:paraId="00000595">
      <w:pPr>
        <w:spacing w:after="240" w:before="240" w:lineRule="auto"/>
        <w:rPr>
          <w:b w:val="1"/>
          <w:bCs w:val="1"/>
        </w:rPr>
      </w:pPr>
      <w:r w:rsidDel="00000000" w:rsidR="00000000" w:rsidRPr="00000000">
        <w:rPr>
          <w:b w:val="1"/>
          <w:bCs w:val="1"/>
          <w:rtl w:val="0"/>
        </w:rPr>
        <w:t xml:space="preserve">Author: Lev Goukassian | ORCID: 0009-0006-5966-1243</w:t>
      </w:r>
    </w:p>
    <w:p w:rsidR="00000000" w:rsidDel="00000000" w:rsidP="00000000" w:rsidRDefault="00000000" w:rsidRPr="00000000" w14:paraId="00000596">
      <w:pPr>
        <w:spacing w:after="240" w:before="240" w:lineRule="auto"/>
        <w:rPr>
          <w:i w:val="1"/>
          <w:iCs w:val="1"/>
        </w:rPr>
      </w:pPr>
      <w:r w:rsidDel="00000000" w:rsidR="00000000" w:rsidRPr="00000000">
        <w:rPr>
          <w:i w:val="1"/>
          <w:iCs w:val="1"/>
          <w:rtl w:val="0"/>
        </w:rPr>
        <w:t xml:space="preserve">A runtime governance kernel: adoption constitutes ratification</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2"/>
        <w:keepNext w:val="0"/>
        <w:keepLines w:val="0"/>
        <w:rPr>
          <w:color w:val="000000"/>
          <w:sz w:val="34"/>
          <w:szCs w:val="34"/>
        </w:rPr>
      </w:pPr>
      <w:bookmarkStart w:colFirst="0" w:colLast="0" w:name="_lizd62vzj3td" w:id="232"/>
      <w:bookmarkEnd w:id="232"/>
      <w:r w:rsidDel="00000000" w:rsidR="00000000" w:rsidRPr="00000000">
        <w:rPr>
          <w:color w:val="000000"/>
          <w:sz w:val="34"/>
          <w:szCs w:val="34"/>
          <w:rtl w:val="0"/>
        </w:rPr>
        <w:t xml:space="preserve">References</w:t>
      </w:r>
    </w:p>
    <w:p w:rsidR="00000000" w:rsidDel="00000000" w:rsidP="00000000" w:rsidRDefault="00000000" w:rsidRPr="00000000" w14:paraId="00000599">
      <w:pPr>
        <w:spacing w:after="240" w:before="240" w:lineRule="auto"/>
        <w:rPr>
          <w:color w:val="1155cc"/>
          <w:u w:val="single"/>
        </w:rPr>
      </w:pPr>
      <w:r w:rsidDel="00000000" w:rsidR="00000000" w:rsidRPr="00000000">
        <w:rPr>
          <w:rtl w:val="0"/>
        </w:rPr>
        <w:t xml:space="preserve">[1] Goukassian, L. (2025). Auditable AI: Tracing the Ethical History of a Model. </w:t>
      </w:r>
      <w:r w:rsidDel="00000000" w:rsidR="00000000" w:rsidRPr="00000000">
        <w:rPr>
          <w:i w:val="1"/>
          <w:iCs w:val="1"/>
          <w:rtl w:val="0"/>
        </w:rPr>
        <w:t xml:space="preserve">AI and Ethics</w:t>
      </w:r>
      <w:r w:rsidDel="00000000" w:rsidR="00000000" w:rsidRPr="00000000">
        <w:rPr>
          <w:rtl w:val="0"/>
        </w:rPr>
        <w:t xml:space="preserve">.</w:t>
      </w:r>
      <w:hyperlink r:id="rId469">
        <w:r w:rsidDel="00000000" w:rsidR="00000000" w:rsidRPr="00000000">
          <w:rPr>
            <w:rtl w:val="0"/>
          </w:rPr>
          <w:t xml:space="preserve"> </w:t>
        </w:r>
      </w:hyperlink>
      <w:hyperlink r:id="rId470">
        <w:r w:rsidDel="00000000" w:rsidR="00000000" w:rsidRPr="00000000">
          <w:rPr>
            <w:color w:val="1155cc"/>
            <w:u w:val="single"/>
            <w:rtl w:val="0"/>
          </w:rPr>
          <w:t xml:space="preserve">https://doi.org/10.1007/s43681-025-00910-6</w:t>
        </w:r>
      </w:hyperlink>
      <w:r w:rsidDel="00000000" w:rsidR="00000000" w:rsidRPr="00000000">
        <w:rPr>
          <w:rtl w:val="0"/>
        </w:rPr>
      </w:r>
    </w:p>
    <w:p w:rsidR="00000000" w:rsidDel="00000000" w:rsidP="00000000" w:rsidRDefault="00000000" w:rsidRPr="00000000" w14:paraId="0000059A">
      <w:pPr>
        <w:spacing w:after="240" w:before="240" w:lineRule="auto"/>
        <w:rPr>
          <w:color w:val="1155cc"/>
          <w:u w:val="single"/>
        </w:rPr>
      </w:pPr>
      <w:r w:rsidDel="00000000" w:rsidR="00000000" w:rsidRPr="00000000">
        <w:rPr>
          <w:rtl w:val="0"/>
        </w:rPr>
        <w:t xml:space="preserve">[2] Ouyang, L., et al. (2022). Training language models to follow instructions with human feedback. </w:t>
      </w:r>
      <w:r w:rsidDel="00000000" w:rsidR="00000000" w:rsidRPr="00000000">
        <w:rPr>
          <w:i w:val="1"/>
          <w:iCs w:val="1"/>
          <w:rtl w:val="0"/>
        </w:rPr>
        <w:t xml:space="preserve">arXiv</w:t>
      </w:r>
      <w:r w:rsidDel="00000000" w:rsidR="00000000" w:rsidRPr="00000000">
        <w:rPr>
          <w:rtl w:val="0"/>
        </w:rPr>
        <w:t xml:space="preserve">.</w:t>
      </w:r>
      <w:hyperlink r:id="rId471">
        <w:r w:rsidDel="00000000" w:rsidR="00000000" w:rsidRPr="00000000">
          <w:rPr>
            <w:rtl w:val="0"/>
          </w:rPr>
          <w:t xml:space="preserve"> </w:t>
        </w:r>
      </w:hyperlink>
      <w:hyperlink r:id="rId472">
        <w:r w:rsidDel="00000000" w:rsidR="00000000" w:rsidRPr="00000000">
          <w:rPr>
            <w:color w:val="1155cc"/>
            <w:u w:val="single"/>
            <w:rtl w:val="0"/>
          </w:rPr>
          <w:t xml:space="preserve">https://arxiv.org/abs/2203.02155</w:t>
        </w:r>
      </w:hyperlink>
      <w:r w:rsidDel="00000000" w:rsidR="00000000" w:rsidRPr="00000000">
        <w:rPr>
          <w:rtl w:val="0"/>
        </w:rPr>
      </w:r>
    </w:p>
    <w:p w:rsidR="00000000" w:rsidDel="00000000" w:rsidP="00000000" w:rsidRDefault="00000000" w:rsidRPr="00000000" w14:paraId="0000059B">
      <w:pPr>
        <w:spacing w:after="240" w:before="240" w:lineRule="auto"/>
        <w:rPr>
          <w:color w:val="1155cc"/>
          <w:u w:val="single"/>
        </w:rPr>
      </w:pPr>
      <w:r w:rsidDel="00000000" w:rsidR="00000000" w:rsidRPr="00000000">
        <w:rPr>
          <w:rtl w:val="0"/>
        </w:rPr>
        <w:t xml:space="preserve">[3] Bai, Y., et al. (2022). Constitutional AI: Harmlessness from AI Feedback. </w:t>
      </w:r>
      <w:r w:rsidDel="00000000" w:rsidR="00000000" w:rsidRPr="00000000">
        <w:rPr>
          <w:i w:val="1"/>
          <w:iCs w:val="1"/>
          <w:rtl w:val="0"/>
        </w:rPr>
        <w:t xml:space="preserve">arXiv</w:t>
      </w:r>
      <w:r w:rsidDel="00000000" w:rsidR="00000000" w:rsidRPr="00000000">
        <w:rPr>
          <w:rtl w:val="0"/>
        </w:rPr>
        <w:t xml:space="preserve">.</w:t>
      </w:r>
      <w:hyperlink r:id="rId473">
        <w:r w:rsidDel="00000000" w:rsidR="00000000" w:rsidRPr="00000000">
          <w:rPr>
            <w:rtl w:val="0"/>
          </w:rPr>
          <w:t xml:space="preserve"> </w:t>
        </w:r>
      </w:hyperlink>
      <w:hyperlink r:id="rId474">
        <w:r w:rsidDel="00000000" w:rsidR="00000000" w:rsidRPr="00000000">
          <w:rPr>
            <w:color w:val="1155cc"/>
            <w:u w:val="single"/>
            <w:rtl w:val="0"/>
          </w:rPr>
          <w:t xml:space="preserve">https://arxiv.org/abs/2212.08073</w:t>
        </w:r>
      </w:hyperlink>
      <w:r w:rsidDel="00000000" w:rsidR="00000000" w:rsidRPr="00000000">
        <w:rPr>
          <w:rtl w:val="0"/>
        </w:rPr>
      </w:r>
    </w:p>
    <w:p w:rsidR="00000000" w:rsidDel="00000000" w:rsidP="00000000" w:rsidRDefault="00000000" w:rsidRPr="00000000" w14:paraId="0000059C">
      <w:pPr>
        <w:spacing w:after="240" w:before="240" w:lineRule="auto"/>
        <w:rPr>
          <w:color w:val="1155cc"/>
          <w:u w:val="single"/>
        </w:rPr>
      </w:pPr>
      <w:r w:rsidDel="00000000" w:rsidR="00000000" w:rsidRPr="00000000">
        <w:rPr>
          <w:rtl w:val="0"/>
        </w:rPr>
        <w:t xml:space="preserve">[4] Perez, F., and Ribeiro, I. (2022). Ignore Previous Prompt: Attack Techniques For Language Models. </w:t>
      </w:r>
      <w:r w:rsidDel="00000000" w:rsidR="00000000" w:rsidRPr="00000000">
        <w:rPr>
          <w:i w:val="1"/>
          <w:iCs w:val="1"/>
          <w:rtl w:val="0"/>
        </w:rPr>
        <w:t xml:space="preserve">arXiv</w:t>
      </w:r>
      <w:r w:rsidDel="00000000" w:rsidR="00000000" w:rsidRPr="00000000">
        <w:rPr>
          <w:rtl w:val="0"/>
        </w:rPr>
        <w:t xml:space="preserve">.</w:t>
      </w:r>
      <w:hyperlink r:id="rId475">
        <w:r w:rsidDel="00000000" w:rsidR="00000000" w:rsidRPr="00000000">
          <w:rPr>
            <w:rtl w:val="0"/>
          </w:rPr>
          <w:t xml:space="preserve"> </w:t>
        </w:r>
      </w:hyperlink>
      <w:hyperlink r:id="rId476">
        <w:r w:rsidDel="00000000" w:rsidR="00000000" w:rsidRPr="00000000">
          <w:rPr>
            <w:color w:val="1155cc"/>
            <w:u w:val="single"/>
            <w:rtl w:val="0"/>
          </w:rPr>
          <w:t xml:space="preserve">https://arxiv.org/abs/2307.15043</w:t>
        </w:r>
      </w:hyperlink>
      <w:r w:rsidDel="00000000" w:rsidR="00000000" w:rsidRPr="00000000">
        <w:rPr>
          <w:rtl w:val="0"/>
        </w:rPr>
      </w:r>
    </w:p>
    <w:p w:rsidR="00000000" w:rsidDel="00000000" w:rsidP="00000000" w:rsidRDefault="00000000" w:rsidRPr="00000000" w14:paraId="0000059D">
      <w:pPr>
        <w:spacing w:after="240" w:before="240" w:lineRule="auto"/>
        <w:rPr>
          <w:color w:val="1155cc"/>
          <w:u w:val="single"/>
        </w:rPr>
      </w:pPr>
      <w:r w:rsidDel="00000000" w:rsidR="00000000" w:rsidRPr="00000000">
        <w:rPr>
          <w:rtl w:val="0"/>
        </w:rPr>
        <w:t xml:space="preserve">[5] Hubinger, E., et al. (2019). Risks from Learned Optimization in Advanced Machine Learning Systems. </w:t>
      </w:r>
      <w:r w:rsidDel="00000000" w:rsidR="00000000" w:rsidRPr="00000000">
        <w:rPr>
          <w:i w:val="1"/>
          <w:iCs w:val="1"/>
          <w:rtl w:val="0"/>
        </w:rPr>
        <w:t xml:space="preserve">arXiv</w:t>
      </w:r>
      <w:r w:rsidDel="00000000" w:rsidR="00000000" w:rsidRPr="00000000">
        <w:rPr>
          <w:rtl w:val="0"/>
        </w:rPr>
        <w:t xml:space="preserve">.</w:t>
      </w:r>
      <w:hyperlink r:id="rId477">
        <w:r w:rsidDel="00000000" w:rsidR="00000000" w:rsidRPr="00000000">
          <w:rPr>
            <w:rtl w:val="0"/>
          </w:rPr>
          <w:t xml:space="preserve"> </w:t>
        </w:r>
      </w:hyperlink>
      <w:hyperlink r:id="rId478">
        <w:r w:rsidDel="00000000" w:rsidR="00000000" w:rsidRPr="00000000">
          <w:rPr>
            <w:color w:val="1155cc"/>
            <w:u w:val="single"/>
            <w:rtl w:val="0"/>
          </w:rPr>
          <w:t xml:space="preserve">https://arxiv.org/abs/1906.01820</w:t>
        </w:r>
      </w:hyperlink>
      <w:r w:rsidDel="00000000" w:rsidR="00000000" w:rsidRPr="00000000">
        <w:rPr>
          <w:rtl w:val="0"/>
        </w:rPr>
      </w:r>
    </w:p>
    <w:p w:rsidR="00000000" w:rsidDel="00000000" w:rsidP="00000000" w:rsidRDefault="00000000" w:rsidRPr="00000000" w14:paraId="0000059E">
      <w:pPr>
        <w:spacing w:after="240" w:before="240" w:lineRule="auto"/>
        <w:rPr>
          <w:color w:val="1155cc"/>
          <w:u w:val="single"/>
        </w:rPr>
      </w:pPr>
      <w:r w:rsidDel="00000000" w:rsidR="00000000" w:rsidRPr="00000000">
        <w:rPr>
          <w:rtl w:val="0"/>
        </w:rPr>
        <w:t xml:space="preserve">[6] Goukassian, L. (2025-2026). TML Specification Architecture. TernaryMoralLogic Repository.</w:t>
      </w:r>
      <w:hyperlink r:id="rId479">
        <w:r w:rsidDel="00000000" w:rsidR="00000000" w:rsidRPr="00000000">
          <w:rPr>
            <w:rtl w:val="0"/>
          </w:rPr>
          <w:t xml:space="preserve"> </w:t>
        </w:r>
      </w:hyperlink>
      <w:hyperlink r:id="rId480">
        <w:r w:rsidDel="00000000" w:rsidR="00000000" w:rsidRPr="00000000">
          <w:rPr>
            <w:color w:val="1155cc"/>
            <w:u w:val="single"/>
            <w:rtl w:val="0"/>
          </w:rPr>
          <w:t xml:space="preserve">https://github.com/FractonicMind/TernaryMoralLogic</w:t>
        </w:r>
      </w:hyperlink>
      <w:r w:rsidDel="00000000" w:rsidR="00000000" w:rsidRPr="00000000">
        <w:rPr>
          <w:rtl w:val="0"/>
        </w:rPr>
      </w:r>
    </w:p>
    <w:p w:rsidR="00000000" w:rsidDel="00000000" w:rsidP="00000000" w:rsidRDefault="00000000" w:rsidRPr="00000000" w14:paraId="0000059F">
      <w:pPr>
        <w:spacing w:after="240" w:before="240" w:lineRule="auto"/>
        <w:rPr>
          <w:color w:val="1155cc"/>
          <w:u w:val="single"/>
        </w:rPr>
      </w:pPr>
      <w:r w:rsidDel="00000000" w:rsidR="00000000" w:rsidRPr="00000000">
        <w:rPr>
          <w:rtl w:val="0"/>
        </w:rPr>
        <w:t xml:space="preserve">[7] Royal Commission into the Robodebt Scheme. (2023). </w:t>
      </w:r>
      <w:r w:rsidDel="00000000" w:rsidR="00000000" w:rsidRPr="00000000">
        <w:rPr>
          <w:i w:val="1"/>
          <w:iCs w:val="1"/>
          <w:rtl w:val="0"/>
        </w:rPr>
        <w:t xml:space="preserve">Report of the Royal Commission into the Robodebt Scheme</w:t>
      </w:r>
      <w:r w:rsidDel="00000000" w:rsidR="00000000" w:rsidRPr="00000000">
        <w:rPr>
          <w:rtl w:val="0"/>
        </w:rPr>
        <w:t xml:space="preserve">. Commonwealth of Australia.</w:t>
      </w:r>
      <w:hyperlink r:id="rId481">
        <w:r w:rsidDel="00000000" w:rsidR="00000000" w:rsidRPr="00000000">
          <w:rPr>
            <w:rtl w:val="0"/>
          </w:rPr>
          <w:t xml:space="preserve"> </w:t>
        </w:r>
      </w:hyperlink>
      <w:hyperlink r:id="rId482">
        <w:r w:rsidDel="00000000" w:rsidR="00000000" w:rsidRPr="00000000">
          <w:rPr>
            <w:color w:val="1155cc"/>
            <w:u w:val="single"/>
            <w:rtl w:val="0"/>
          </w:rPr>
          <w:t xml:space="preserve">https://robodebt.royalcommission.gov.au/publications/report</w:t>
        </w:r>
      </w:hyperlink>
      <w:r w:rsidDel="00000000" w:rsidR="00000000" w:rsidRPr="00000000">
        <w:rPr>
          <w:rtl w:val="0"/>
        </w:rPr>
      </w:r>
    </w:p>
    <w:p w:rsidR="00000000" w:rsidDel="00000000" w:rsidP="00000000" w:rsidRDefault="00000000" w:rsidRPr="00000000" w14:paraId="000005A0">
      <w:pPr>
        <w:spacing w:after="240" w:before="240" w:lineRule="auto"/>
        <w:rPr>
          <w:color w:val="1155cc"/>
          <w:u w:val="single"/>
        </w:rPr>
      </w:pPr>
      <w:r w:rsidDel="00000000" w:rsidR="00000000" w:rsidRPr="00000000">
        <w:rPr>
          <w:rtl w:val="0"/>
        </w:rPr>
        <w:t xml:space="preserve">[8] United Nations Security Council. (2021). </w:t>
      </w:r>
      <w:r w:rsidDel="00000000" w:rsidR="00000000" w:rsidRPr="00000000">
        <w:rPr>
          <w:i w:val="1"/>
          <w:iCs w:val="1"/>
          <w:rtl w:val="0"/>
        </w:rPr>
        <w:t xml:space="preserve">Final Report of the Panel of Experts on Libya Established Pursuant to Security Council Resolution 1973 (2011)</w:t>
      </w:r>
      <w:r w:rsidDel="00000000" w:rsidR="00000000" w:rsidRPr="00000000">
        <w:rPr>
          <w:rtl w:val="0"/>
        </w:rPr>
        <w:t xml:space="preserve">. UN Doc. S/2021/229.</w:t>
      </w:r>
      <w:hyperlink r:id="rId483">
        <w:r w:rsidDel="00000000" w:rsidR="00000000" w:rsidRPr="00000000">
          <w:rPr>
            <w:rtl w:val="0"/>
          </w:rPr>
          <w:t xml:space="preserve"> </w:t>
        </w:r>
      </w:hyperlink>
      <w:hyperlink r:id="rId484">
        <w:r w:rsidDel="00000000" w:rsidR="00000000" w:rsidRPr="00000000">
          <w:rPr>
            <w:color w:val="1155cc"/>
            <w:u w:val="single"/>
            <w:rtl w:val="0"/>
          </w:rPr>
          <w:t xml:space="preserve">https://undocs.org/S/2021/229</w:t>
        </w:r>
      </w:hyperlink>
      <w:r w:rsidDel="00000000" w:rsidR="00000000" w:rsidRPr="00000000">
        <w:rPr>
          <w:rtl w:val="0"/>
        </w:rPr>
      </w:r>
    </w:p>
    <w:p w:rsidR="00000000" w:rsidDel="00000000" w:rsidP="00000000" w:rsidRDefault="00000000" w:rsidRPr="00000000" w14:paraId="000005A1">
      <w:pPr>
        <w:spacing w:after="240" w:before="240" w:lineRule="auto"/>
        <w:rPr>
          <w:color w:val="1155cc"/>
          <w:u w:val="single"/>
        </w:rPr>
      </w:pPr>
      <w:r w:rsidDel="00000000" w:rsidR="00000000" w:rsidRPr="00000000">
        <w:rPr>
          <w:rtl w:val="0"/>
        </w:rPr>
        <w:t xml:space="preserve">[9] Parlementaire Ondervragingscommissie Kinderopvangtoeslag. (2020). </w:t>
      </w:r>
      <w:r w:rsidDel="00000000" w:rsidR="00000000" w:rsidRPr="00000000">
        <w:rPr>
          <w:i w:val="1"/>
          <w:iCs w:val="1"/>
          <w:rtl w:val="0"/>
        </w:rPr>
        <w:t xml:space="preserve">Ongekend onrecht</w:t>
      </w:r>
      <w:r w:rsidDel="00000000" w:rsidR="00000000" w:rsidRPr="00000000">
        <w:rPr>
          <w:rtl w:val="0"/>
        </w:rPr>
        <w:t xml:space="preserve">. Kamerstuk 35 510, nr. 2.</w:t>
      </w:r>
      <w:hyperlink r:id="rId485">
        <w:r w:rsidDel="00000000" w:rsidR="00000000" w:rsidRPr="00000000">
          <w:rPr>
            <w:rtl w:val="0"/>
          </w:rPr>
          <w:t xml:space="preserve"> </w:t>
        </w:r>
      </w:hyperlink>
      <w:hyperlink r:id="rId486">
        <w:r w:rsidDel="00000000" w:rsidR="00000000" w:rsidRPr="00000000">
          <w:rPr>
            <w:color w:val="1155cc"/>
            <w:u w:val="single"/>
            <w:rtl w:val="0"/>
          </w:rPr>
          <w:t xml:space="preserve">https://zoek.officielebekendmakingen.nl/kst-35510-2.html</w:t>
        </w:r>
      </w:hyperlink>
      <w:r w:rsidDel="00000000" w:rsidR="00000000" w:rsidRPr="00000000">
        <w:rPr>
          <w:rtl w:val="0"/>
        </w:rPr>
      </w:r>
    </w:p>
    <w:p w:rsidR="00000000" w:rsidDel="00000000" w:rsidP="00000000" w:rsidRDefault="00000000" w:rsidRPr="00000000" w14:paraId="000005A2">
      <w:pPr>
        <w:spacing w:after="240" w:before="240" w:lineRule="auto"/>
        <w:rPr>
          <w:color w:val="1155cc"/>
          <w:u w:val="single"/>
        </w:rPr>
      </w:pPr>
      <w:r w:rsidDel="00000000" w:rsidR="00000000" w:rsidRPr="00000000">
        <w:rPr>
          <w:rtl w:val="0"/>
        </w:rPr>
        <w:t xml:space="preserve">[10] Autoriteit Persoonsgegevens. (2020). Onderzoek Belastingdienst Kinderopvangtoeslag.</w:t>
      </w:r>
      <w:hyperlink r:id="rId487">
        <w:r w:rsidDel="00000000" w:rsidR="00000000" w:rsidRPr="00000000">
          <w:rPr>
            <w:rtl w:val="0"/>
          </w:rPr>
          <w:t xml:space="preserve"> </w:t>
        </w:r>
      </w:hyperlink>
      <w:hyperlink r:id="rId488">
        <w:r w:rsidDel="00000000" w:rsidR="00000000" w:rsidRPr="00000000">
          <w:rPr>
            <w:color w:val="1155cc"/>
            <w:u w:val="single"/>
            <w:rtl w:val="0"/>
          </w:rPr>
          <w:t xml:space="preserve">https://www.autoriteitpersoonsgegevens.nl/</w:t>
        </w:r>
      </w:hyperlink>
      <w:r w:rsidDel="00000000" w:rsidR="00000000" w:rsidRPr="00000000">
        <w:rPr>
          <w:rtl w:val="0"/>
        </w:rPr>
      </w:r>
    </w:p>
    <w:p w:rsidR="00000000" w:rsidDel="00000000" w:rsidP="00000000" w:rsidRDefault="00000000" w:rsidRPr="00000000" w14:paraId="000005A3">
      <w:pPr>
        <w:spacing w:after="240" w:before="240" w:lineRule="auto"/>
        <w:rPr>
          <w:color w:val="1155cc"/>
          <w:u w:val="single"/>
        </w:rPr>
      </w:pPr>
      <w:r w:rsidDel="00000000" w:rsidR="00000000" w:rsidRPr="00000000">
        <w:rPr>
          <w:rtl w:val="0"/>
        </w:rPr>
        <w:t xml:space="preserve">[11] Parlementaire Enquêtecommissie Fraudebeleid en Dienstverlening. (2024). </w:t>
      </w:r>
      <w:r w:rsidDel="00000000" w:rsidR="00000000" w:rsidRPr="00000000">
        <w:rPr>
          <w:i w:val="1"/>
          <w:iCs w:val="1"/>
          <w:rtl w:val="0"/>
        </w:rPr>
        <w:t xml:space="preserve">Blind voor mens en recht</w:t>
      </w:r>
      <w:r w:rsidDel="00000000" w:rsidR="00000000" w:rsidRPr="00000000">
        <w:rPr>
          <w:rtl w:val="0"/>
        </w:rPr>
        <w:t xml:space="preserve">. Kamerstuk 35 867.</w:t>
      </w:r>
      <w:hyperlink r:id="rId489">
        <w:r w:rsidDel="00000000" w:rsidR="00000000" w:rsidRPr="00000000">
          <w:rPr>
            <w:rtl w:val="0"/>
          </w:rPr>
          <w:t xml:space="preserve"> </w:t>
        </w:r>
      </w:hyperlink>
      <w:hyperlink r:id="rId490">
        <w:r w:rsidDel="00000000" w:rsidR="00000000" w:rsidRPr="00000000">
          <w:rPr>
            <w:color w:val="1155cc"/>
            <w:u w:val="single"/>
            <w:rtl w:val="0"/>
          </w:rPr>
          <w:t xml:space="preserve">https://files.tweedekamer.nl/sites/default/files/2024-02/Rapport%20PEFD%20Blind%20voor%20mens%20en%20recht%2026022024.pdf</w:t>
        </w:r>
      </w:hyperlink>
      <w:r w:rsidDel="00000000" w:rsidR="00000000" w:rsidRPr="00000000">
        <w:rPr>
          <w:rtl w:val="0"/>
        </w:rPr>
      </w:r>
    </w:p>
    <w:p w:rsidR="00000000" w:rsidDel="00000000" w:rsidP="00000000" w:rsidRDefault="00000000" w:rsidRPr="00000000" w14:paraId="000005A4">
      <w:pPr>
        <w:spacing w:after="240" w:before="240" w:lineRule="auto"/>
        <w:rPr>
          <w:color w:val="1155cc"/>
          <w:u w:val="single"/>
        </w:rPr>
      </w:pPr>
      <w:r w:rsidDel="00000000" w:rsidR="00000000" w:rsidRPr="00000000">
        <w:rPr>
          <w:rtl w:val="0"/>
        </w:rPr>
        <w:t xml:space="preserve">[12] Łukasiewicz, J. (1970). Selected Works. North Holland.</w:t>
      </w:r>
      <w:hyperlink r:id="rId491">
        <w:r w:rsidDel="00000000" w:rsidR="00000000" w:rsidRPr="00000000">
          <w:rPr>
            <w:rtl w:val="0"/>
          </w:rPr>
          <w:t xml:space="preserve"> </w:t>
        </w:r>
      </w:hyperlink>
      <w:hyperlink r:id="rId492">
        <w:r w:rsidDel="00000000" w:rsidR="00000000" w:rsidRPr="00000000">
          <w:rPr>
            <w:color w:val="1155cc"/>
            <w:u w:val="single"/>
            <w:rtl w:val="0"/>
          </w:rPr>
          <w:t xml:space="preserve">https://doi.org/10.1007/978-94-010-1161-7_8</w:t>
        </w:r>
      </w:hyperlink>
      <w:r w:rsidDel="00000000" w:rsidR="00000000" w:rsidRPr="00000000">
        <w:rPr>
          <w:rtl w:val="0"/>
        </w:rPr>
      </w:r>
    </w:p>
    <w:p w:rsidR="00000000" w:rsidDel="00000000" w:rsidP="00000000" w:rsidRDefault="00000000" w:rsidRPr="00000000" w14:paraId="000005A5">
      <w:pPr>
        <w:spacing w:after="240" w:before="240" w:lineRule="auto"/>
        <w:rPr>
          <w:color w:val="1155cc"/>
          <w:u w:val="single"/>
        </w:rPr>
      </w:pPr>
      <w:r w:rsidDel="00000000" w:rsidR="00000000" w:rsidRPr="00000000">
        <w:rPr>
          <w:rtl w:val="0"/>
        </w:rPr>
        <w:t xml:space="preserve">[13] Kleene, S.C. (1952). Introduction to Metamathematics. </w:t>
      </w:r>
      <w:r w:rsidDel="00000000" w:rsidR="00000000" w:rsidRPr="00000000">
        <w:rPr>
          <w:i w:val="1"/>
          <w:iCs w:val="1"/>
          <w:rtl w:val="0"/>
        </w:rPr>
        <w:t xml:space="preserve">Journal of Symbolic Logic</w:t>
      </w:r>
      <w:r w:rsidDel="00000000" w:rsidR="00000000" w:rsidRPr="00000000">
        <w:rPr>
          <w:rtl w:val="0"/>
        </w:rPr>
        <w:t xml:space="preserve">.</w:t>
      </w:r>
      <w:hyperlink r:id="rId493">
        <w:r w:rsidDel="00000000" w:rsidR="00000000" w:rsidRPr="00000000">
          <w:rPr>
            <w:rtl w:val="0"/>
          </w:rPr>
          <w:t xml:space="preserve"> </w:t>
        </w:r>
      </w:hyperlink>
      <w:hyperlink r:id="rId494">
        <w:r w:rsidDel="00000000" w:rsidR="00000000" w:rsidRPr="00000000">
          <w:rPr>
            <w:color w:val="1155cc"/>
            <w:u w:val="single"/>
            <w:rtl w:val="0"/>
          </w:rPr>
          <w:t xml:space="preserve">https://doi.org/10.2307/2267292</w:t>
        </w:r>
      </w:hyperlink>
      <w:r w:rsidDel="00000000" w:rsidR="00000000" w:rsidRPr="00000000">
        <w:rPr>
          <w:rtl w:val="0"/>
        </w:rPr>
      </w:r>
    </w:p>
    <w:p w:rsidR="00000000" w:rsidDel="00000000" w:rsidP="00000000" w:rsidRDefault="00000000" w:rsidRPr="00000000" w14:paraId="000005A6">
      <w:pPr>
        <w:spacing w:after="240" w:before="240" w:lineRule="auto"/>
        <w:rPr>
          <w:color w:val="1155cc"/>
          <w:u w:val="single"/>
        </w:rPr>
      </w:pPr>
      <w:r w:rsidDel="00000000" w:rsidR="00000000" w:rsidRPr="00000000">
        <w:rPr>
          <w:rtl w:val="0"/>
        </w:rPr>
        <w:t xml:space="preserve">[14] Post, E.L. (1921). Introduction to a general theory of elementary propositions. </w:t>
      </w:r>
      <w:r w:rsidDel="00000000" w:rsidR="00000000" w:rsidRPr="00000000">
        <w:rPr>
          <w:i w:val="1"/>
          <w:iCs w:val="1"/>
          <w:rtl w:val="0"/>
        </w:rPr>
        <w:t xml:space="preserve">American Journal of Mathematics</w:t>
      </w:r>
      <w:r w:rsidDel="00000000" w:rsidR="00000000" w:rsidRPr="00000000">
        <w:rPr>
          <w:rtl w:val="0"/>
        </w:rPr>
        <w:t xml:space="preserve">.</w:t>
      </w:r>
      <w:hyperlink r:id="rId495">
        <w:r w:rsidDel="00000000" w:rsidR="00000000" w:rsidRPr="00000000">
          <w:rPr>
            <w:rtl w:val="0"/>
          </w:rPr>
          <w:t xml:space="preserve"> </w:t>
        </w:r>
      </w:hyperlink>
      <w:hyperlink r:id="rId496">
        <w:r w:rsidDel="00000000" w:rsidR="00000000" w:rsidRPr="00000000">
          <w:rPr>
            <w:color w:val="1155cc"/>
            <w:u w:val="single"/>
            <w:rtl w:val="0"/>
          </w:rPr>
          <w:t xml:space="preserve">https://doi.org/10.2307/2370324</w:t>
        </w:r>
      </w:hyperlink>
      <w:r w:rsidDel="00000000" w:rsidR="00000000" w:rsidRPr="00000000">
        <w:rPr>
          <w:rtl w:val="0"/>
        </w:rPr>
      </w:r>
    </w:p>
    <w:p w:rsidR="00000000" w:rsidDel="00000000" w:rsidP="00000000" w:rsidRDefault="00000000" w:rsidRPr="00000000" w14:paraId="000005A7">
      <w:pPr>
        <w:spacing w:after="240" w:before="240" w:lineRule="auto"/>
        <w:rPr>
          <w:color w:val="1155cc"/>
          <w:u w:val="single"/>
        </w:rPr>
      </w:pPr>
      <w:r w:rsidDel="00000000" w:rsidR="00000000" w:rsidRPr="00000000">
        <w:rPr>
          <w:rtl w:val="0"/>
        </w:rPr>
        <w:t xml:space="preserve">[15] United Nations. (1948). </w:t>
      </w:r>
      <w:r w:rsidDel="00000000" w:rsidR="00000000" w:rsidRPr="00000000">
        <w:rPr>
          <w:i w:val="1"/>
          <w:iCs w:val="1"/>
          <w:rtl w:val="0"/>
        </w:rPr>
        <w:t xml:space="preserve">Universal Declaration of Human Rights</w:t>
      </w:r>
      <w:r w:rsidDel="00000000" w:rsidR="00000000" w:rsidRPr="00000000">
        <w:rPr>
          <w:rtl w:val="0"/>
        </w:rPr>
        <w:t xml:space="preserve">.</w:t>
      </w:r>
      <w:hyperlink r:id="rId497">
        <w:r w:rsidDel="00000000" w:rsidR="00000000" w:rsidRPr="00000000">
          <w:rPr>
            <w:rtl w:val="0"/>
          </w:rPr>
          <w:t xml:space="preserve"> </w:t>
        </w:r>
      </w:hyperlink>
      <w:hyperlink r:id="rId498">
        <w:r w:rsidDel="00000000" w:rsidR="00000000" w:rsidRPr="00000000">
          <w:rPr>
            <w:color w:val="1155cc"/>
            <w:u w:val="single"/>
            <w:rtl w:val="0"/>
          </w:rPr>
          <w:t xml:space="preserve">https://www.un.org/en/about-us/universal-declaration-of-human-rights</w:t>
        </w:r>
      </w:hyperlink>
      <w:r w:rsidDel="00000000" w:rsidR="00000000" w:rsidRPr="00000000">
        <w:rPr>
          <w:rtl w:val="0"/>
        </w:rPr>
      </w:r>
    </w:p>
    <w:p w:rsidR="00000000" w:rsidDel="00000000" w:rsidP="00000000" w:rsidRDefault="00000000" w:rsidRPr="00000000" w14:paraId="000005A8">
      <w:pPr>
        <w:spacing w:after="240" w:before="240" w:lineRule="auto"/>
        <w:rPr>
          <w:color w:val="1155cc"/>
          <w:u w:val="single"/>
        </w:rPr>
      </w:pPr>
      <w:r w:rsidDel="00000000" w:rsidR="00000000" w:rsidRPr="00000000">
        <w:rPr>
          <w:rtl w:val="0"/>
        </w:rPr>
        <w:t xml:space="preserve">[16] International Committee of the Red Cross. (1949). </w:t>
      </w:r>
      <w:r w:rsidDel="00000000" w:rsidR="00000000" w:rsidRPr="00000000">
        <w:rPr>
          <w:i w:val="1"/>
          <w:iCs w:val="1"/>
          <w:rtl w:val="0"/>
        </w:rPr>
        <w:t xml:space="preserve">Geneva Conventions and Additional Protocols</w:t>
      </w:r>
      <w:r w:rsidDel="00000000" w:rsidR="00000000" w:rsidRPr="00000000">
        <w:rPr>
          <w:rtl w:val="0"/>
        </w:rPr>
        <w:t xml:space="preserve">.</w:t>
      </w:r>
      <w:hyperlink r:id="rId499">
        <w:r w:rsidDel="00000000" w:rsidR="00000000" w:rsidRPr="00000000">
          <w:rPr>
            <w:rtl w:val="0"/>
          </w:rPr>
          <w:t xml:space="preserve"> </w:t>
        </w:r>
      </w:hyperlink>
      <w:hyperlink r:id="rId500">
        <w:r w:rsidDel="00000000" w:rsidR="00000000" w:rsidRPr="00000000">
          <w:rPr>
            <w:color w:val="1155cc"/>
            <w:u w:val="single"/>
            <w:rtl w:val="0"/>
          </w:rPr>
          <w:t xml:space="preserve">https://www.icrc.org/en/war-and-law/treaties-customary-law/geneva-conventions</w:t>
        </w:r>
      </w:hyperlink>
      <w:r w:rsidDel="00000000" w:rsidR="00000000" w:rsidRPr="00000000">
        <w:rPr>
          <w:rtl w:val="0"/>
        </w:rPr>
      </w:r>
    </w:p>
    <w:p w:rsidR="00000000" w:rsidDel="00000000" w:rsidP="00000000" w:rsidRDefault="00000000" w:rsidRPr="00000000" w14:paraId="000005A9">
      <w:pPr>
        <w:spacing w:after="240" w:before="240" w:lineRule="auto"/>
        <w:rPr>
          <w:color w:val="1155cc"/>
          <w:u w:val="single"/>
        </w:rPr>
      </w:pPr>
      <w:r w:rsidDel="00000000" w:rsidR="00000000" w:rsidRPr="00000000">
        <w:rPr>
          <w:rtl w:val="0"/>
        </w:rPr>
        <w:t xml:space="preserve">[17] United Nations Framework Convention on Climate Change. (2015). </w:t>
      </w:r>
      <w:r w:rsidDel="00000000" w:rsidR="00000000" w:rsidRPr="00000000">
        <w:rPr>
          <w:i w:val="1"/>
          <w:iCs w:val="1"/>
          <w:rtl w:val="0"/>
        </w:rPr>
        <w:t xml:space="preserve">The Paris Agreement</w:t>
      </w:r>
      <w:r w:rsidDel="00000000" w:rsidR="00000000" w:rsidRPr="00000000">
        <w:rPr>
          <w:rtl w:val="0"/>
        </w:rPr>
        <w:t xml:space="preserve">.</w:t>
      </w:r>
      <w:hyperlink r:id="rId501">
        <w:r w:rsidDel="00000000" w:rsidR="00000000" w:rsidRPr="00000000">
          <w:rPr>
            <w:rtl w:val="0"/>
          </w:rPr>
          <w:t xml:space="preserve"> </w:t>
        </w:r>
      </w:hyperlink>
      <w:hyperlink r:id="rId502">
        <w:r w:rsidDel="00000000" w:rsidR="00000000" w:rsidRPr="00000000">
          <w:rPr>
            <w:color w:val="1155cc"/>
            <w:u w:val="single"/>
            <w:rtl w:val="0"/>
          </w:rPr>
          <w:t xml:space="preserve">https://unfccc.int/process-and-meetings/the-paris-agreement</w:t>
        </w:r>
      </w:hyperlink>
      <w:r w:rsidDel="00000000" w:rsidR="00000000" w:rsidRPr="00000000">
        <w:rPr>
          <w:rtl w:val="0"/>
        </w:rPr>
      </w:r>
    </w:p>
    <w:p w:rsidR="00000000" w:rsidDel="00000000" w:rsidP="00000000" w:rsidRDefault="00000000" w:rsidRPr="00000000" w14:paraId="000005AA">
      <w:pPr>
        <w:spacing w:after="240" w:before="240" w:lineRule="auto"/>
        <w:rPr>
          <w:color w:val="1155cc"/>
          <w:u w:val="single"/>
        </w:rPr>
      </w:pPr>
      <w:r w:rsidDel="00000000" w:rsidR="00000000" w:rsidRPr="00000000">
        <w:rPr>
          <w:rtl w:val="0"/>
        </w:rPr>
        <w:t xml:space="preserve">[18] European Parliament and Council. (2024). Regulation (EU) 2024/1689 (EU AI Act). </w:t>
      </w:r>
      <w:r w:rsidDel="00000000" w:rsidR="00000000" w:rsidRPr="00000000">
        <w:rPr>
          <w:i w:val="1"/>
          <w:iCs w:val="1"/>
          <w:rtl w:val="0"/>
        </w:rPr>
        <w:t xml:space="preserve">Official Journal of the European Union</w:t>
      </w:r>
      <w:r w:rsidDel="00000000" w:rsidR="00000000" w:rsidRPr="00000000">
        <w:rPr>
          <w:rtl w:val="0"/>
        </w:rPr>
        <w:t xml:space="preserve">.</w:t>
      </w:r>
      <w:hyperlink r:id="rId503">
        <w:r w:rsidDel="00000000" w:rsidR="00000000" w:rsidRPr="00000000">
          <w:rPr>
            <w:rtl w:val="0"/>
          </w:rPr>
          <w:t xml:space="preserve"> </w:t>
        </w:r>
      </w:hyperlink>
      <w:hyperlink r:id="rId504">
        <w:r w:rsidDel="00000000" w:rsidR="00000000" w:rsidRPr="00000000">
          <w:rPr>
            <w:color w:val="1155cc"/>
            <w:u w:val="single"/>
            <w:rtl w:val="0"/>
          </w:rPr>
          <w:t xml:space="preserve">https://eur-lex.europa.eu/legal-content/EN/TXT/?uri=CELEX:32024R1689</w:t>
        </w:r>
      </w:hyperlink>
      <w:r w:rsidDel="00000000" w:rsidR="00000000" w:rsidRPr="00000000">
        <w:rPr>
          <w:rtl w:val="0"/>
        </w:rPr>
      </w:r>
    </w:p>
    <w:p w:rsidR="00000000" w:rsidDel="00000000" w:rsidP="00000000" w:rsidRDefault="00000000" w:rsidRPr="00000000" w14:paraId="000005AB">
      <w:pPr>
        <w:spacing w:after="240" w:before="240" w:lineRule="auto"/>
        <w:rPr>
          <w:color w:val="1155cc"/>
          <w:u w:val="single"/>
        </w:rPr>
      </w:pPr>
      <w:r w:rsidDel="00000000" w:rsidR="00000000" w:rsidRPr="00000000">
        <w:rPr>
          <w:rtl w:val="0"/>
        </w:rPr>
        <w:t xml:space="preserve">[19] Bommasani, R., et al. (2023). Holistic Evaluation of Language Models. </w:t>
      </w:r>
      <w:r w:rsidDel="00000000" w:rsidR="00000000" w:rsidRPr="00000000">
        <w:rPr>
          <w:i w:val="1"/>
          <w:iCs w:val="1"/>
          <w:rtl w:val="0"/>
        </w:rPr>
        <w:t xml:space="preserve">arXiv</w:t>
      </w:r>
      <w:r w:rsidDel="00000000" w:rsidR="00000000" w:rsidRPr="00000000">
        <w:rPr>
          <w:rtl w:val="0"/>
        </w:rPr>
        <w:t xml:space="preserve">.</w:t>
      </w:r>
      <w:hyperlink r:id="rId505">
        <w:r w:rsidDel="00000000" w:rsidR="00000000" w:rsidRPr="00000000">
          <w:rPr>
            <w:rtl w:val="0"/>
          </w:rPr>
          <w:t xml:space="preserve"> </w:t>
        </w:r>
      </w:hyperlink>
      <w:hyperlink r:id="rId506">
        <w:r w:rsidDel="00000000" w:rsidR="00000000" w:rsidRPr="00000000">
          <w:rPr>
            <w:color w:val="1155cc"/>
            <w:u w:val="single"/>
            <w:rtl w:val="0"/>
          </w:rPr>
          <w:t xml:space="preserve">https://arxiv.org/abs/2302.07459</w:t>
        </w:r>
      </w:hyperlink>
      <w:r w:rsidDel="00000000" w:rsidR="00000000" w:rsidRPr="00000000">
        <w:rPr>
          <w:rtl w:val="0"/>
        </w:rPr>
      </w:r>
    </w:p>
    <w:p w:rsidR="00000000" w:rsidDel="00000000" w:rsidP="00000000" w:rsidRDefault="00000000" w:rsidRPr="00000000" w14:paraId="000005AC">
      <w:pPr>
        <w:spacing w:after="240" w:before="240" w:lineRule="auto"/>
        <w:rPr>
          <w:color w:val="1155cc"/>
          <w:u w:val="single"/>
        </w:rPr>
      </w:pPr>
      <w:r w:rsidDel="00000000" w:rsidR="00000000" w:rsidRPr="00000000">
        <w:rPr>
          <w:rtl w:val="0"/>
        </w:rPr>
        <w:t xml:space="preserve">[20] Floridi, L., et al. (2021). An Unified Framework of Five Principles for AI in Society. </w:t>
      </w:r>
      <w:r w:rsidDel="00000000" w:rsidR="00000000" w:rsidRPr="00000000">
        <w:rPr>
          <w:i w:val="1"/>
          <w:iCs w:val="1"/>
          <w:rtl w:val="0"/>
        </w:rPr>
        <w:t xml:space="preserve">AI and Ethics</w:t>
      </w:r>
      <w:r w:rsidDel="00000000" w:rsidR="00000000" w:rsidRPr="00000000">
        <w:rPr>
          <w:rtl w:val="0"/>
        </w:rPr>
        <w:t xml:space="preserve">.</w:t>
      </w:r>
      <w:hyperlink r:id="rId507">
        <w:r w:rsidDel="00000000" w:rsidR="00000000" w:rsidRPr="00000000">
          <w:rPr>
            <w:rtl w:val="0"/>
          </w:rPr>
          <w:t xml:space="preserve"> </w:t>
        </w:r>
      </w:hyperlink>
      <w:hyperlink r:id="rId508">
        <w:r w:rsidDel="00000000" w:rsidR="00000000" w:rsidRPr="00000000">
          <w:rPr>
            <w:color w:val="1155cc"/>
            <w:u w:val="single"/>
            <w:rtl w:val="0"/>
          </w:rPr>
          <w:t xml:space="preserve">https://doi.org/10.1007/s43681-021-00082-3</w:t>
        </w:r>
      </w:hyperlink>
      <w:r w:rsidDel="00000000" w:rsidR="00000000" w:rsidRPr="00000000">
        <w:rPr>
          <w:rtl w:val="0"/>
        </w:rPr>
      </w:r>
    </w:p>
    <w:p w:rsidR="00000000" w:rsidDel="00000000" w:rsidP="00000000" w:rsidRDefault="00000000" w:rsidRPr="00000000" w14:paraId="000005AD">
      <w:pPr>
        <w:spacing w:after="240" w:before="240" w:lineRule="auto"/>
        <w:rPr>
          <w:color w:val="1155cc"/>
          <w:u w:val="single"/>
        </w:rPr>
      </w:pPr>
      <w:r w:rsidDel="00000000" w:rsidR="00000000" w:rsidRPr="00000000">
        <w:rPr>
          <w:rtl w:val="0"/>
        </w:rPr>
        <w:t xml:space="preserve">[21] Husserl, E. (1970). Logical Investigations. Springer.</w:t>
      </w:r>
      <w:hyperlink r:id="rId509">
        <w:r w:rsidDel="00000000" w:rsidR="00000000" w:rsidRPr="00000000">
          <w:rPr>
            <w:rtl w:val="0"/>
          </w:rPr>
          <w:t xml:space="preserve"> </w:t>
        </w:r>
      </w:hyperlink>
      <w:hyperlink r:id="rId510">
        <w:r w:rsidDel="00000000" w:rsidR="00000000" w:rsidRPr="00000000">
          <w:rPr>
            <w:color w:val="1155cc"/>
            <w:u w:val="single"/>
            <w:rtl w:val="0"/>
          </w:rPr>
          <w:t xml:space="preserve">https://doi.org/10.1007/978-94-010-1490-8</w:t>
        </w:r>
      </w:hyperlink>
      <w:r w:rsidDel="00000000" w:rsidR="00000000" w:rsidRPr="00000000">
        <w:rPr>
          <w:rtl w:val="0"/>
        </w:rPr>
      </w:r>
    </w:p>
    <w:p w:rsidR="00000000" w:rsidDel="00000000" w:rsidP="00000000" w:rsidRDefault="00000000" w:rsidRPr="00000000" w14:paraId="000005AE">
      <w:pPr>
        <w:spacing w:after="240" w:before="240" w:lineRule="auto"/>
        <w:rPr>
          <w:color w:val="1155cc"/>
          <w:u w:val="single"/>
        </w:rPr>
      </w:pPr>
      <w:r w:rsidDel="00000000" w:rsidR="00000000" w:rsidRPr="00000000">
        <w:rPr>
          <w:rtl w:val="0"/>
        </w:rPr>
        <w:t xml:space="preserve">[22] Kahneman, D., and Frederick, S. (2002). Representativeness revisited: Attribute substitution in intuitive judgment. </w:t>
      </w:r>
      <w:r w:rsidDel="00000000" w:rsidR="00000000" w:rsidRPr="00000000">
        <w:rPr>
          <w:i w:val="1"/>
          <w:iCs w:val="1"/>
          <w:rtl w:val="0"/>
        </w:rPr>
        <w:t xml:space="preserve">Behavioral and Brain Sciences</w:t>
      </w:r>
      <w:r w:rsidDel="00000000" w:rsidR="00000000" w:rsidRPr="00000000">
        <w:rPr>
          <w:rtl w:val="0"/>
        </w:rPr>
        <w:t xml:space="preserve">.</w:t>
      </w:r>
      <w:hyperlink r:id="rId511">
        <w:r w:rsidDel="00000000" w:rsidR="00000000" w:rsidRPr="00000000">
          <w:rPr>
            <w:rtl w:val="0"/>
          </w:rPr>
          <w:t xml:space="preserve"> </w:t>
        </w:r>
      </w:hyperlink>
      <w:hyperlink r:id="rId512">
        <w:r w:rsidDel="00000000" w:rsidR="00000000" w:rsidRPr="00000000">
          <w:rPr>
            <w:color w:val="1155cc"/>
            <w:u w:val="single"/>
            <w:rtl w:val="0"/>
          </w:rPr>
          <w:t xml:space="preserve">https://doi.org/10.1017/S0140525X00002035</w:t>
        </w:r>
      </w:hyperlink>
      <w:r w:rsidDel="00000000" w:rsidR="00000000" w:rsidRPr="00000000">
        <w:rPr>
          <w:rtl w:val="0"/>
        </w:rPr>
      </w:r>
    </w:p>
    <w:p w:rsidR="00000000" w:rsidDel="00000000" w:rsidP="00000000" w:rsidRDefault="00000000" w:rsidRPr="00000000" w14:paraId="000005AF">
      <w:pPr>
        <w:spacing w:after="240" w:before="240" w:lineRule="auto"/>
        <w:rPr>
          <w:color w:val="1155cc"/>
          <w:u w:val="single"/>
        </w:rPr>
      </w:pPr>
      <w:r w:rsidDel="00000000" w:rsidR="00000000" w:rsidRPr="00000000">
        <w:rPr>
          <w:rtl w:val="0"/>
        </w:rPr>
        <w:t xml:space="preserve">[23] National Institute of Standards and Technology. (2023). </w:t>
      </w:r>
      <w:r w:rsidDel="00000000" w:rsidR="00000000" w:rsidRPr="00000000">
        <w:rPr>
          <w:i w:val="1"/>
          <w:iCs w:val="1"/>
          <w:rtl w:val="0"/>
        </w:rPr>
        <w:t xml:space="preserve">AI Risk Management Framework (AI RMF 1.0)</w:t>
      </w:r>
      <w:r w:rsidDel="00000000" w:rsidR="00000000" w:rsidRPr="00000000">
        <w:rPr>
          <w:rtl w:val="0"/>
        </w:rPr>
        <w:t xml:space="preserve">.</w:t>
      </w:r>
      <w:hyperlink r:id="rId513">
        <w:r w:rsidDel="00000000" w:rsidR="00000000" w:rsidRPr="00000000">
          <w:rPr>
            <w:rtl w:val="0"/>
          </w:rPr>
          <w:t xml:space="preserve"> </w:t>
        </w:r>
      </w:hyperlink>
      <w:hyperlink r:id="rId514">
        <w:r w:rsidDel="00000000" w:rsidR="00000000" w:rsidRPr="00000000">
          <w:rPr>
            <w:color w:val="1155cc"/>
            <w:u w:val="single"/>
            <w:rtl w:val="0"/>
          </w:rPr>
          <w:t xml:space="preserve">https://doi.org/10.6028/NIST.AI.100-1</w:t>
        </w:r>
      </w:hyperlink>
      <w:r w:rsidDel="00000000" w:rsidR="00000000" w:rsidRPr="00000000">
        <w:rPr>
          <w:rtl w:val="0"/>
        </w:rPr>
      </w:r>
    </w:p>
    <w:p w:rsidR="00000000" w:rsidDel="00000000" w:rsidP="00000000" w:rsidRDefault="00000000" w:rsidRPr="00000000" w14:paraId="000005B0">
      <w:pPr>
        <w:spacing w:after="240" w:before="240" w:lineRule="auto"/>
        <w:rPr>
          <w:color w:val="1155cc"/>
          <w:u w:val="single"/>
        </w:rPr>
      </w:pPr>
      <w:r w:rsidDel="00000000" w:rsidR="00000000" w:rsidRPr="00000000">
        <w:rPr>
          <w:rtl w:val="0"/>
        </w:rPr>
        <w:t xml:space="preserve">[24] Wong, A., et al. (2021). External Validation of a Widely Implemented Proprietary Sepsis Prediction Model in Hospitalized Patients. </w:t>
      </w:r>
      <w:r w:rsidDel="00000000" w:rsidR="00000000" w:rsidRPr="00000000">
        <w:rPr>
          <w:i w:val="1"/>
          <w:iCs w:val="1"/>
          <w:rtl w:val="0"/>
        </w:rPr>
        <w:t xml:space="preserve">JAMA Internal Medicine</w:t>
      </w:r>
      <w:r w:rsidDel="00000000" w:rsidR="00000000" w:rsidRPr="00000000">
        <w:rPr>
          <w:rtl w:val="0"/>
        </w:rPr>
        <w:t xml:space="preserve">.</w:t>
      </w:r>
      <w:hyperlink r:id="rId515">
        <w:r w:rsidDel="00000000" w:rsidR="00000000" w:rsidRPr="00000000">
          <w:rPr>
            <w:rtl w:val="0"/>
          </w:rPr>
          <w:t xml:space="preserve"> </w:t>
        </w:r>
      </w:hyperlink>
      <w:hyperlink r:id="rId516">
        <w:r w:rsidDel="00000000" w:rsidR="00000000" w:rsidRPr="00000000">
          <w:rPr>
            <w:color w:val="1155cc"/>
            <w:u w:val="single"/>
            <w:rtl w:val="0"/>
          </w:rPr>
          <w:t xml:space="preserve">https://doi.org/10.1001/jamainternmed.2021.3333</w:t>
        </w:r>
      </w:hyperlink>
      <w:r w:rsidDel="00000000" w:rsidR="00000000" w:rsidRPr="00000000">
        <w:rPr>
          <w:rtl w:val="0"/>
        </w:rPr>
      </w:r>
    </w:p>
    <w:p w:rsidR="00000000" w:rsidDel="00000000" w:rsidP="00000000" w:rsidRDefault="00000000" w:rsidRPr="00000000" w14:paraId="000005B1">
      <w:pPr>
        <w:spacing w:after="240" w:before="240" w:lineRule="auto"/>
        <w:rPr>
          <w:color w:val="1155cc"/>
          <w:u w:val="single"/>
        </w:rPr>
      </w:pPr>
      <w:r w:rsidDel="00000000" w:rsidR="00000000" w:rsidRPr="00000000">
        <w:rPr>
          <w:rtl w:val="0"/>
        </w:rPr>
        <w:t xml:space="preserve">[25] National Institute of Standards and Technology. (2024). </w:t>
      </w:r>
      <w:r w:rsidDel="00000000" w:rsidR="00000000" w:rsidRPr="00000000">
        <w:rPr>
          <w:i w:val="1"/>
          <w:iCs w:val="1"/>
          <w:rtl w:val="0"/>
        </w:rPr>
        <w:t xml:space="preserve">FIPS 205: Stateless Hash-Based Digital Signature Standard</w:t>
      </w:r>
      <w:r w:rsidDel="00000000" w:rsidR="00000000" w:rsidRPr="00000000">
        <w:rPr>
          <w:rtl w:val="0"/>
        </w:rPr>
        <w:t xml:space="preserve">.</w:t>
      </w:r>
      <w:hyperlink r:id="rId517">
        <w:r w:rsidDel="00000000" w:rsidR="00000000" w:rsidRPr="00000000">
          <w:rPr>
            <w:rtl w:val="0"/>
          </w:rPr>
          <w:t xml:space="preserve"> </w:t>
        </w:r>
      </w:hyperlink>
      <w:hyperlink r:id="rId518">
        <w:r w:rsidDel="00000000" w:rsidR="00000000" w:rsidRPr="00000000">
          <w:rPr>
            <w:color w:val="1155cc"/>
            <w:u w:val="single"/>
            <w:rtl w:val="0"/>
          </w:rPr>
          <w:t xml:space="preserve">https://doi.org/10.6028/NIST.FIPS.205</w:t>
        </w:r>
      </w:hyperlink>
      <w:r w:rsidDel="00000000" w:rsidR="00000000" w:rsidRPr="00000000">
        <w:rPr>
          <w:rtl w:val="0"/>
        </w:rPr>
      </w:r>
    </w:p>
    <w:p w:rsidR="00000000" w:rsidDel="00000000" w:rsidP="00000000" w:rsidRDefault="00000000" w:rsidRPr="00000000" w14:paraId="000005B2">
      <w:pPr>
        <w:spacing w:after="240" w:before="240" w:lineRule="auto"/>
        <w:rPr>
          <w:color w:val="1155cc"/>
          <w:u w:val="single"/>
        </w:rPr>
      </w:pPr>
      <w:r w:rsidDel="00000000" w:rsidR="00000000" w:rsidRPr="00000000">
        <w:rPr>
          <w:rtl w:val="0"/>
        </w:rPr>
        <w:t xml:space="preserve">[26] Federal Rules of Evidence, Rule 902.</w:t>
      </w:r>
      <w:hyperlink r:id="rId519">
        <w:r w:rsidDel="00000000" w:rsidR="00000000" w:rsidRPr="00000000">
          <w:rPr>
            <w:rtl w:val="0"/>
          </w:rPr>
          <w:t xml:space="preserve"> </w:t>
        </w:r>
      </w:hyperlink>
      <w:hyperlink r:id="rId520">
        <w:r w:rsidDel="00000000" w:rsidR="00000000" w:rsidRPr="00000000">
          <w:rPr>
            <w:color w:val="1155cc"/>
            <w:u w:val="single"/>
            <w:rtl w:val="0"/>
          </w:rPr>
          <w:t xml:space="preserve">https://www.law.cornell.edu/rules/fre/rule_902</w:t>
        </w:r>
      </w:hyperlink>
      <w:r w:rsidDel="00000000" w:rsidR="00000000" w:rsidRPr="00000000">
        <w:rPr>
          <w:rtl w:val="0"/>
        </w:rPr>
      </w:r>
    </w:p>
    <w:p w:rsidR="00000000" w:rsidDel="00000000" w:rsidP="00000000" w:rsidRDefault="00000000" w:rsidRPr="00000000" w14:paraId="000005B3">
      <w:pPr>
        <w:spacing w:after="240" w:before="240" w:lineRule="auto"/>
        <w:rPr>
          <w:color w:val="1155cc"/>
          <w:u w:val="single"/>
        </w:rPr>
      </w:pPr>
      <w:r w:rsidDel="00000000" w:rsidR="00000000" w:rsidRPr="00000000">
        <w:rPr>
          <w:rtl w:val="0"/>
        </w:rPr>
        <w:t xml:space="preserve">[27] European Parliament and Council. (2014). Regulation (EU) No 910/2014 (eIDAS). </w:t>
      </w:r>
      <w:r w:rsidDel="00000000" w:rsidR="00000000" w:rsidRPr="00000000">
        <w:rPr>
          <w:i w:val="1"/>
          <w:iCs w:val="1"/>
          <w:rtl w:val="0"/>
        </w:rPr>
        <w:t xml:space="preserve">Official Journal of the European Union</w:t>
      </w:r>
      <w:r w:rsidDel="00000000" w:rsidR="00000000" w:rsidRPr="00000000">
        <w:rPr>
          <w:rtl w:val="0"/>
        </w:rPr>
        <w:t xml:space="preserve">.</w:t>
      </w:r>
      <w:hyperlink r:id="rId521">
        <w:r w:rsidDel="00000000" w:rsidR="00000000" w:rsidRPr="00000000">
          <w:rPr>
            <w:rtl w:val="0"/>
          </w:rPr>
          <w:t xml:space="preserve"> </w:t>
        </w:r>
      </w:hyperlink>
      <w:hyperlink r:id="rId522">
        <w:r w:rsidDel="00000000" w:rsidR="00000000" w:rsidRPr="00000000">
          <w:rPr>
            <w:color w:val="1155cc"/>
            <w:u w:val="single"/>
            <w:rtl w:val="0"/>
          </w:rPr>
          <w:t xml:space="preserve">https://eur-lex.europa.eu/legal-content/EN/TXT/?uri=CELEX:32014R0910</w:t>
        </w:r>
      </w:hyperlink>
      <w:r w:rsidDel="00000000" w:rsidR="00000000" w:rsidRPr="00000000">
        <w:rPr>
          <w:rtl w:val="0"/>
        </w:rPr>
      </w:r>
    </w:p>
    <w:p w:rsidR="00000000" w:rsidDel="00000000" w:rsidP="00000000" w:rsidRDefault="00000000" w:rsidRPr="00000000" w14:paraId="000005B4">
      <w:pPr>
        <w:spacing w:after="240" w:before="240" w:lineRule="auto"/>
        <w:rPr>
          <w:color w:val="1155cc"/>
          <w:u w:val="single"/>
        </w:rPr>
      </w:pPr>
      <w:r w:rsidDel="00000000" w:rsidR="00000000" w:rsidRPr="00000000">
        <w:rPr>
          <w:rtl w:val="0"/>
        </w:rPr>
        <w:t xml:space="preserve">[28] Ledgerwood v. Jester, 8th Circuit Court of Appeals, No. 16-3745 (2017).</w:t>
      </w:r>
      <w:hyperlink r:id="rId523">
        <w:r w:rsidDel="00000000" w:rsidR="00000000" w:rsidRPr="00000000">
          <w:rPr>
            <w:rtl w:val="0"/>
          </w:rPr>
          <w:t xml:space="preserve"> </w:t>
        </w:r>
      </w:hyperlink>
      <w:hyperlink r:id="rId524">
        <w:r w:rsidDel="00000000" w:rsidR="00000000" w:rsidRPr="00000000">
          <w:rPr>
            <w:color w:val="1155cc"/>
            <w:u w:val="single"/>
            <w:rtl w:val="0"/>
          </w:rPr>
          <w:t xml:space="preserve">https://law.justia.com/cases/federal/appellate-courts/ca8/16-3745/16-3745-2017-08-09.html</w:t>
        </w:r>
      </w:hyperlink>
      <w:r w:rsidDel="00000000" w:rsidR="00000000" w:rsidRPr="00000000">
        <w:rPr>
          <w:rtl w:val="0"/>
        </w:rPr>
      </w:r>
    </w:p>
    <w:p w:rsidR="00000000" w:rsidDel="00000000" w:rsidP="00000000" w:rsidRDefault="00000000" w:rsidRPr="00000000" w14:paraId="000005B5">
      <w:pPr>
        <w:spacing w:after="240" w:before="240" w:lineRule="auto"/>
        <w:rPr>
          <w:color w:val="1155cc"/>
          <w:u w:val="single"/>
        </w:rPr>
      </w:pPr>
      <w:r w:rsidDel="00000000" w:rsidR="00000000" w:rsidRPr="00000000">
        <w:rPr>
          <w:rtl w:val="0"/>
        </w:rPr>
        <w:t xml:space="preserve">[29] United Nations. (1966). </w:t>
      </w:r>
      <w:r w:rsidDel="00000000" w:rsidR="00000000" w:rsidRPr="00000000">
        <w:rPr>
          <w:i w:val="1"/>
          <w:iCs w:val="1"/>
          <w:rtl w:val="0"/>
        </w:rPr>
        <w:t xml:space="preserve">International Covenant on Civil and Political Rights</w:t>
      </w:r>
      <w:r w:rsidDel="00000000" w:rsidR="00000000" w:rsidRPr="00000000">
        <w:rPr>
          <w:rtl w:val="0"/>
        </w:rPr>
        <w:t xml:space="preserve">.</w:t>
      </w:r>
      <w:hyperlink r:id="rId525">
        <w:r w:rsidDel="00000000" w:rsidR="00000000" w:rsidRPr="00000000">
          <w:rPr>
            <w:rtl w:val="0"/>
          </w:rPr>
          <w:t xml:space="preserve"> </w:t>
        </w:r>
      </w:hyperlink>
      <w:hyperlink r:id="rId526">
        <w:r w:rsidDel="00000000" w:rsidR="00000000" w:rsidRPr="00000000">
          <w:rPr>
            <w:color w:val="1155cc"/>
            <w:u w:val="single"/>
            <w:rtl w:val="0"/>
          </w:rPr>
          <w:t xml:space="preserve">https://www.ohchr.org/en/instruments-mechanisms/instruments/international-covenant-civil-and-political-rights</w:t>
        </w:r>
      </w:hyperlink>
      <w:r w:rsidDel="00000000" w:rsidR="00000000" w:rsidRPr="00000000">
        <w:rPr>
          <w:rtl w:val="0"/>
        </w:rPr>
      </w:r>
    </w:p>
    <w:p w:rsidR="00000000" w:rsidDel="00000000" w:rsidP="00000000" w:rsidRDefault="00000000" w:rsidRPr="00000000" w14:paraId="000005B6">
      <w:pPr>
        <w:spacing w:after="240" w:before="240" w:lineRule="auto"/>
        <w:rPr>
          <w:color w:val="1155cc"/>
          <w:u w:val="single"/>
        </w:rPr>
      </w:pPr>
      <w:r w:rsidDel="00000000" w:rsidR="00000000" w:rsidRPr="00000000">
        <w:rPr>
          <w:rtl w:val="0"/>
        </w:rPr>
        <w:t xml:space="preserve">[30] United Nations. (2015). </w:t>
      </w:r>
      <w:r w:rsidDel="00000000" w:rsidR="00000000" w:rsidRPr="00000000">
        <w:rPr>
          <w:i w:val="1"/>
          <w:iCs w:val="1"/>
          <w:rtl w:val="0"/>
        </w:rPr>
        <w:t xml:space="preserve">The Paris Agreement</w:t>
      </w:r>
      <w:r w:rsidDel="00000000" w:rsidR="00000000" w:rsidRPr="00000000">
        <w:rPr>
          <w:rtl w:val="0"/>
        </w:rPr>
        <w:t xml:space="preserve">.</w:t>
      </w:r>
      <w:hyperlink r:id="rId527">
        <w:r w:rsidDel="00000000" w:rsidR="00000000" w:rsidRPr="00000000">
          <w:rPr>
            <w:rtl w:val="0"/>
          </w:rPr>
          <w:t xml:space="preserve"> </w:t>
        </w:r>
      </w:hyperlink>
      <w:hyperlink r:id="rId528">
        <w:r w:rsidDel="00000000" w:rsidR="00000000" w:rsidRPr="00000000">
          <w:rPr>
            <w:color w:val="1155cc"/>
            <w:u w:val="single"/>
            <w:rtl w:val="0"/>
          </w:rPr>
          <w:t xml:space="preserve">https://unfccc.int/process-and-meetings/the-paris-agreement</w:t>
        </w:r>
      </w:hyperlink>
      <w:r w:rsidDel="00000000" w:rsidR="00000000" w:rsidRPr="00000000">
        <w:rPr>
          <w:rtl w:val="0"/>
        </w:rPr>
      </w:r>
    </w:p>
    <w:p w:rsidR="00000000" w:rsidDel="00000000" w:rsidP="00000000" w:rsidRDefault="00000000" w:rsidRPr="00000000" w14:paraId="000005B7">
      <w:pPr>
        <w:spacing w:after="240" w:before="240" w:lineRule="auto"/>
        <w:rPr>
          <w:color w:val="1155cc"/>
          <w:u w:val="single"/>
        </w:rPr>
      </w:pPr>
      <w:r w:rsidDel="00000000" w:rsidR="00000000" w:rsidRPr="00000000">
        <w:rPr>
          <w:rtl w:val="0"/>
        </w:rPr>
        <w:t xml:space="preserve">[31] United Nations. (1992). </w:t>
      </w:r>
      <w:r w:rsidDel="00000000" w:rsidR="00000000" w:rsidRPr="00000000">
        <w:rPr>
          <w:i w:val="1"/>
          <w:iCs w:val="1"/>
          <w:rtl w:val="0"/>
        </w:rPr>
        <w:t xml:space="preserve">Convention on Biological Diversity</w:t>
      </w:r>
      <w:r w:rsidDel="00000000" w:rsidR="00000000" w:rsidRPr="00000000">
        <w:rPr>
          <w:rtl w:val="0"/>
        </w:rPr>
        <w:t xml:space="preserve">.</w:t>
      </w:r>
      <w:hyperlink r:id="rId529">
        <w:r w:rsidDel="00000000" w:rsidR="00000000" w:rsidRPr="00000000">
          <w:rPr>
            <w:rtl w:val="0"/>
          </w:rPr>
          <w:t xml:space="preserve"> </w:t>
        </w:r>
      </w:hyperlink>
      <w:hyperlink r:id="rId530">
        <w:r w:rsidDel="00000000" w:rsidR="00000000" w:rsidRPr="00000000">
          <w:rPr>
            <w:color w:val="1155cc"/>
            <w:u w:val="single"/>
            <w:rtl w:val="0"/>
          </w:rPr>
          <w:t xml:space="preserve">https://www.cbd.int/convention/text</w:t>
        </w:r>
      </w:hyperlink>
      <w:r w:rsidDel="00000000" w:rsidR="00000000" w:rsidRPr="00000000">
        <w:rPr>
          <w:rtl w:val="0"/>
        </w:rPr>
      </w:r>
    </w:p>
    <w:p w:rsidR="00000000" w:rsidDel="00000000" w:rsidP="00000000" w:rsidRDefault="00000000" w:rsidRPr="00000000" w14:paraId="000005B8">
      <w:pPr>
        <w:spacing w:after="240" w:before="240" w:lineRule="auto"/>
        <w:rPr>
          <w:color w:val="1155cc"/>
          <w:u w:val="single"/>
        </w:rPr>
      </w:pPr>
      <w:r w:rsidDel="00000000" w:rsidR="00000000" w:rsidRPr="00000000">
        <w:rPr>
          <w:rtl w:val="0"/>
        </w:rPr>
        <w:t xml:space="preserve">[32] ElectricityMaps. (2024). Real-time carbon intensity data.</w:t>
      </w:r>
      <w:hyperlink r:id="rId531">
        <w:r w:rsidDel="00000000" w:rsidR="00000000" w:rsidRPr="00000000">
          <w:rPr>
            <w:rtl w:val="0"/>
          </w:rPr>
          <w:t xml:space="preserve"> </w:t>
        </w:r>
      </w:hyperlink>
      <w:hyperlink r:id="rId532">
        <w:r w:rsidDel="00000000" w:rsidR="00000000" w:rsidRPr="00000000">
          <w:rPr>
            <w:color w:val="1155cc"/>
            <w:u w:val="single"/>
            <w:rtl w:val="0"/>
          </w:rPr>
          <w:t xml:space="preserve">https://app.electricitymaps.com</w:t>
        </w:r>
      </w:hyperlink>
      <w:r w:rsidDel="00000000" w:rsidR="00000000" w:rsidRPr="00000000">
        <w:rPr>
          <w:rtl w:val="0"/>
        </w:rPr>
      </w:r>
    </w:p>
    <w:p w:rsidR="00000000" w:rsidDel="00000000" w:rsidP="00000000" w:rsidRDefault="00000000" w:rsidRPr="00000000" w14:paraId="000005B9">
      <w:pPr>
        <w:spacing w:after="240" w:before="240" w:lineRule="auto"/>
        <w:rPr>
          <w:color w:val="1155cc"/>
          <w:u w:val="single"/>
        </w:rPr>
      </w:pPr>
      <w:r w:rsidDel="00000000" w:rsidR="00000000" w:rsidRPr="00000000">
        <w:rPr>
          <w:rtl w:val="0"/>
        </w:rPr>
        <w:t xml:space="preserve">[33] European Parliament and Council. (2022). Directive (EU) 2022/2464 (CSRD). </w:t>
      </w:r>
      <w:r w:rsidDel="00000000" w:rsidR="00000000" w:rsidRPr="00000000">
        <w:rPr>
          <w:i w:val="1"/>
          <w:iCs w:val="1"/>
          <w:rtl w:val="0"/>
        </w:rPr>
        <w:t xml:space="preserve">Official Journal of the European Union</w:t>
      </w:r>
      <w:r w:rsidDel="00000000" w:rsidR="00000000" w:rsidRPr="00000000">
        <w:rPr>
          <w:rtl w:val="0"/>
        </w:rPr>
        <w:t xml:space="preserve">.</w:t>
      </w:r>
      <w:hyperlink r:id="rId533">
        <w:r w:rsidDel="00000000" w:rsidR="00000000" w:rsidRPr="00000000">
          <w:rPr>
            <w:rtl w:val="0"/>
          </w:rPr>
          <w:t xml:space="preserve"> </w:t>
        </w:r>
      </w:hyperlink>
      <w:hyperlink r:id="rId534">
        <w:r w:rsidDel="00000000" w:rsidR="00000000" w:rsidRPr="00000000">
          <w:rPr>
            <w:color w:val="1155cc"/>
            <w:u w:val="single"/>
            <w:rtl w:val="0"/>
          </w:rPr>
          <w:t xml:space="preserve">https://eur-lex.europa.eu/legal-content/EN/TXT/?uri=CELEX:32022L2464</w:t>
        </w:r>
      </w:hyperlink>
      <w:r w:rsidDel="00000000" w:rsidR="00000000" w:rsidRPr="00000000">
        <w:rPr>
          <w:rtl w:val="0"/>
        </w:rPr>
      </w:r>
    </w:p>
    <w:p w:rsidR="00000000" w:rsidDel="00000000" w:rsidP="00000000" w:rsidRDefault="00000000" w:rsidRPr="00000000" w14:paraId="000005BA">
      <w:pPr>
        <w:spacing w:after="240" w:before="240" w:lineRule="auto"/>
        <w:rPr>
          <w:color w:val="1155cc"/>
          <w:u w:val="single"/>
        </w:rPr>
      </w:pPr>
      <w:r w:rsidDel="00000000" w:rsidR="00000000" w:rsidRPr="00000000">
        <w:rPr>
          <w:rtl w:val="0"/>
        </w:rPr>
        <w:t xml:space="preserve">[34] Seymour, C.W., et al. (2016). Assessment of Clinical Criteria for Sepsis. </w:t>
      </w:r>
      <w:r w:rsidDel="00000000" w:rsidR="00000000" w:rsidRPr="00000000">
        <w:rPr>
          <w:i w:val="1"/>
          <w:iCs w:val="1"/>
          <w:rtl w:val="0"/>
        </w:rPr>
        <w:t xml:space="preserve">JAMA</w:t>
      </w:r>
      <w:r w:rsidDel="00000000" w:rsidR="00000000" w:rsidRPr="00000000">
        <w:rPr>
          <w:rtl w:val="0"/>
        </w:rPr>
        <w:t xml:space="preserve">.</w:t>
      </w:r>
      <w:hyperlink r:id="rId535">
        <w:r w:rsidDel="00000000" w:rsidR="00000000" w:rsidRPr="00000000">
          <w:rPr>
            <w:rtl w:val="0"/>
          </w:rPr>
          <w:t xml:space="preserve"> </w:t>
        </w:r>
      </w:hyperlink>
      <w:hyperlink r:id="rId536">
        <w:r w:rsidDel="00000000" w:rsidR="00000000" w:rsidRPr="00000000">
          <w:rPr>
            <w:color w:val="1155cc"/>
            <w:u w:val="single"/>
            <w:rtl w:val="0"/>
          </w:rPr>
          <w:t xml:space="preserve">https://doi.org/10.1001/jama.2016.0287</w:t>
        </w:r>
      </w:hyperlink>
      <w:r w:rsidDel="00000000" w:rsidR="00000000" w:rsidRPr="00000000">
        <w:rPr>
          <w:rtl w:val="0"/>
        </w:rPr>
      </w:r>
    </w:p>
    <w:p w:rsidR="00000000" w:rsidDel="00000000" w:rsidP="00000000" w:rsidRDefault="00000000" w:rsidRPr="00000000" w14:paraId="000005BB">
      <w:pPr>
        <w:spacing w:after="240" w:before="240" w:lineRule="auto"/>
        <w:rPr>
          <w:color w:val="1155cc"/>
          <w:u w:val="single"/>
        </w:rPr>
      </w:pPr>
      <w:r w:rsidDel="00000000" w:rsidR="00000000" w:rsidRPr="00000000">
        <w:rPr>
          <w:rtl w:val="0"/>
        </w:rPr>
        <w:t xml:space="preserve">[35] Elish, M.C. (2019). Moral Crumple Zones: Cautionary Tales in Human-Robot Interaction. </w:t>
      </w:r>
      <w:r w:rsidDel="00000000" w:rsidR="00000000" w:rsidRPr="00000000">
        <w:rPr>
          <w:i w:val="1"/>
          <w:iCs w:val="1"/>
          <w:rtl w:val="0"/>
        </w:rPr>
        <w:t xml:space="preserve">First Monday</w:t>
      </w:r>
      <w:r w:rsidDel="00000000" w:rsidR="00000000" w:rsidRPr="00000000">
        <w:rPr>
          <w:rtl w:val="0"/>
        </w:rPr>
        <w:t xml:space="preserve">.</w:t>
      </w:r>
      <w:hyperlink r:id="rId537">
        <w:r w:rsidDel="00000000" w:rsidR="00000000" w:rsidRPr="00000000">
          <w:rPr>
            <w:rtl w:val="0"/>
          </w:rPr>
          <w:t xml:space="preserve"> </w:t>
        </w:r>
      </w:hyperlink>
      <w:hyperlink r:id="rId538">
        <w:r w:rsidDel="00000000" w:rsidR="00000000" w:rsidRPr="00000000">
          <w:rPr>
            <w:color w:val="1155cc"/>
            <w:u w:val="single"/>
            <w:rtl w:val="0"/>
          </w:rPr>
          <w:t xml:space="preserve">https://doi.org/10.5210/fm.v24i8.10204</w:t>
        </w:r>
      </w:hyperlink>
      <w:r w:rsidDel="00000000" w:rsidR="00000000" w:rsidRPr="00000000">
        <w:rPr>
          <w:rtl w:val="0"/>
        </w:rPr>
      </w:r>
    </w:p>
    <w:p w:rsidR="00000000" w:rsidDel="00000000" w:rsidP="00000000" w:rsidRDefault="00000000" w:rsidRPr="00000000" w14:paraId="000005BC">
      <w:pPr>
        <w:spacing w:after="240" w:before="240" w:lineRule="auto"/>
        <w:rPr>
          <w:color w:val="1155cc"/>
          <w:u w:val="single"/>
        </w:rPr>
      </w:pPr>
      <w:r w:rsidDel="00000000" w:rsidR="00000000" w:rsidRPr="00000000">
        <w:rPr>
          <w:rtl w:val="0"/>
        </w:rPr>
        <w:t xml:space="preserve">[36] U.S. Food and Drug Administration. (2021). Artificial Intelligence and Machine Learning (AI/ML)-Enabled Medical Devices.</w:t>
      </w:r>
      <w:hyperlink r:id="rId539">
        <w:r w:rsidDel="00000000" w:rsidR="00000000" w:rsidRPr="00000000">
          <w:rPr>
            <w:rtl w:val="0"/>
          </w:rPr>
          <w:t xml:space="preserve"> </w:t>
        </w:r>
      </w:hyperlink>
      <w:hyperlink r:id="rId540">
        <w:r w:rsidDel="00000000" w:rsidR="00000000" w:rsidRPr="00000000">
          <w:rPr>
            <w:color w:val="1155cc"/>
            <w:u w:val="single"/>
            <w:rtl w:val="0"/>
          </w:rPr>
          <w:t xml:space="preserve">https://www.fda.gov/medical-devices/software-medical-device-samd/artificial-intelligence-and-machine-learning-aiml-enabled-medical-devices</w:t>
        </w:r>
      </w:hyperlink>
      <w:r w:rsidDel="00000000" w:rsidR="00000000" w:rsidRPr="00000000">
        <w:rPr>
          <w:rtl w:val="0"/>
        </w:rPr>
      </w:r>
    </w:p>
    <w:p w:rsidR="00000000" w:rsidDel="00000000" w:rsidP="00000000" w:rsidRDefault="00000000" w:rsidRPr="00000000" w14:paraId="000005BD">
      <w:pPr>
        <w:spacing w:after="240" w:before="240" w:lineRule="auto"/>
        <w:rPr>
          <w:color w:val="1155cc"/>
          <w:u w:val="single"/>
        </w:rPr>
      </w:pPr>
      <w:r w:rsidDel="00000000" w:rsidR="00000000" w:rsidRPr="00000000">
        <w:rPr>
          <w:rtl w:val="0"/>
        </w:rPr>
        <w:t xml:space="preserve">[37] U.S. Food and Drug Administration. (2021). Artificial Intelligence/Machine Learning-Based Software as a Medical Device Action Plan.</w:t>
      </w:r>
      <w:hyperlink r:id="rId541">
        <w:r w:rsidDel="00000000" w:rsidR="00000000" w:rsidRPr="00000000">
          <w:rPr>
            <w:rtl w:val="0"/>
          </w:rPr>
          <w:t xml:space="preserve"> </w:t>
        </w:r>
      </w:hyperlink>
      <w:hyperlink r:id="rId542">
        <w:r w:rsidDel="00000000" w:rsidR="00000000" w:rsidRPr="00000000">
          <w:rPr>
            <w:color w:val="1155cc"/>
            <w:u w:val="single"/>
            <w:rtl w:val="0"/>
          </w:rPr>
          <w:t xml:space="preserve">https://www.fda.gov/media/145022/download</w:t>
        </w:r>
      </w:hyperlink>
      <w:r w:rsidDel="00000000" w:rsidR="00000000" w:rsidRPr="00000000">
        <w:rPr>
          <w:rtl w:val="0"/>
        </w:rPr>
      </w:r>
    </w:p>
    <w:p w:rsidR="00000000" w:rsidDel="00000000" w:rsidP="00000000" w:rsidRDefault="00000000" w:rsidRPr="00000000" w14:paraId="000005BE">
      <w:pPr>
        <w:spacing w:after="240" w:before="240" w:lineRule="auto"/>
        <w:rPr>
          <w:color w:val="1155cc"/>
          <w:u w:val="single"/>
        </w:rPr>
      </w:pPr>
      <w:r w:rsidDel="00000000" w:rsidR="00000000" w:rsidRPr="00000000">
        <w:rPr>
          <w:rtl w:val="0"/>
        </w:rPr>
        <w:t xml:space="preserve">[38] National Transportation Safety Board. (2019). Collision Between Vehicle Controlled by Developmental Automated Driving System and Pedestrian, Tempe, Arizona. Accident Report NTSB/HAR-19/03.</w:t>
      </w:r>
      <w:hyperlink r:id="rId543">
        <w:r w:rsidDel="00000000" w:rsidR="00000000" w:rsidRPr="00000000">
          <w:rPr>
            <w:rtl w:val="0"/>
          </w:rPr>
          <w:t xml:space="preserve"> </w:t>
        </w:r>
      </w:hyperlink>
      <w:hyperlink r:id="rId544">
        <w:r w:rsidDel="00000000" w:rsidR="00000000" w:rsidRPr="00000000">
          <w:rPr>
            <w:color w:val="1155cc"/>
            <w:u w:val="single"/>
            <w:rtl w:val="0"/>
          </w:rPr>
          <w:t xml:space="preserve">https://www.ntsb.gov/investigations/Pages/HWY18MH010.aspx</w:t>
        </w:r>
      </w:hyperlink>
      <w:r w:rsidDel="00000000" w:rsidR="00000000" w:rsidRPr="00000000">
        <w:rPr>
          <w:rtl w:val="0"/>
        </w:rPr>
      </w:r>
    </w:p>
    <w:p w:rsidR="00000000" w:rsidDel="00000000" w:rsidP="00000000" w:rsidRDefault="00000000" w:rsidRPr="00000000" w14:paraId="000005BF">
      <w:pPr>
        <w:spacing w:after="240" w:before="240" w:lineRule="auto"/>
        <w:rPr>
          <w:color w:val="1155cc"/>
          <w:u w:val="single"/>
        </w:rPr>
      </w:pPr>
      <w:r w:rsidDel="00000000" w:rsidR="00000000" w:rsidRPr="00000000">
        <w:rPr>
          <w:rtl w:val="0"/>
        </w:rPr>
        <w:t xml:space="preserve">[39] SAE International. (2021). Taxonomy and Definitions for Terms Related to Driving Automation Systems for On-Road Motor Vehicles. SAE J3016.</w:t>
      </w:r>
      <w:hyperlink r:id="rId545">
        <w:r w:rsidDel="00000000" w:rsidR="00000000" w:rsidRPr="00000000">
          <w:rPr>
            <w:rtl w:val="0"/>
          </w:rPr>
          <w:t xml:space="preserve"> </w:t>
        </w:r>
      </w:hyperlink>
      <w:hyperlink r:id="rId546">
        <w:r w:rsidDel="00000000" w:rsidR="00000000" w:rsidRPr="00000000">
          <w:rPr>
            <w:color w:val="1155cc"/>
            <w:u w:val="single"/>
            <w:rtl w:val="0"/>
          </w:rPr>
          <w:t xml:space="preserve">https://www.sae.org/standards/content/j3016_202104/</w:t>
        </w:r>
      </w:hyperlink>
      <w:r w:rsidDel="00000000" w:rsidR="00000000" w:rsidRPr="00000000">
        <w:rPr>
          <w:rtl w:val="0"/>
        </w:rPr>
      </w:r>
    </w:p>
    <w:p w:rsidR="00000000" w:rsidDel="00000000" w:rsidP="00000000" w:rsidRDefault="00000000" w:rsidRPr="00000000" w14:paraId="000005C0">
      <w:pPr>
        <w:spacing w:after="240" w:before="240" w:lineRule="auto"/>
        <w:rPr>
          <w:color w:val="1155cc"/>
          <w:u w:val="single"/>
        </w:rPr>
      </w:pPr>
      <w:r w:rsidDel="00000000" w:rsidR="00000000" w:rsidRPr="00000000">
        <w:rPr>
          <w:rtl w:val="0"/>
        </w:rPr>
        <w:t xml:space="preserve">[40] Louw, T., et al. (2018). From the track to the road: Does industry readiness for automated driving match driver expectations? </w:t>
      </w:r>
      <w:r w:rsidDel="00000000" w:rsidR="00000000" w:rsidRPr="00000000">
        <w:rPr>
          <w:i w:val="1"/>
          <w:iCs w:val="1"/>
          <w:rtl w:val="0"/>
        </w:rPr>
        <w:t xml:space="preserve">Transportation Research Part C</w:t>
      </w:r>
      <w:r w:rsidDel="00000000" w:rsidR="00000000" w:rsidRPr="00000000">
        <w:rPr>
          <w:rtl w:val="0"/>
        </w:rPr>
        <w:t xml:space="preserve">.</w:t>
      </w:r>
      <w:hyperlink r:id="rId547">
        <w:r w:rsidDel="00000000" w:rsidR="00000000" w:rsidRPr="00000000">
          <w:rPr>
            <w:rtl w:val="0"/>
          </w:rPr>
          <w:t xml:space="preserve"> </w:t>
        </w:r>
      </w:hyperlink>
      <w:hyperlink r:id="rId548">
        <w:r w:rsidDel="00000000" w:rsidR="00000000" w:rsidRPr="00000000">
          <w:rPr>
            <w:color w:val="1155cc"/>
            <w:u w:val="single"/>
            <w:rtl w:val="0"/>
          </w:rPr>
          <w:t xml:space="preserve">https://doi.org/10.1016/j.trc.2018.07.007</w:t>
        </w:r>
      </w:hyperlink>
      <w:r w:rsidDel="00000000" w:rsidR="00000000" w:rsidRPr="00000000">
        <w:rPr>
          <w:rtl w:val="0"/>
        </w:rPr>
      </w:r>
    </w:p>
    <w:p w:rsidR="00000000" w:rsidDel="00000000" w:rsidP="00000000" w:rsidRDefault="00000000" w:rsidRPr="00000000" w14:paraId="000005C1">
      <w:pPr>
        <w:spacing w:after="240" w:before="240" w:lineRule="auto"/>
        <w:rPr>
          <w:color w:val="1155cc"/>
          <w:u w:val="single"/>
        </w:rPr>
      </w:pPr>
      <w:r w:rsidDel="00000000" w:rsidR="00000000" w:rsidRPr="00000000">
        <w:rPr>
          <w:rtl w:val="0"/>
        </w:rPr>
        <w:t xml:space="preserve">[41] National Highway Traffic Safety Administration. (2021). Standing General Order 2021-01, Crash Reporting for Automated Driving Systems.</w:t>
      </w:r>
      <w:hyperlink r:id="rId549">
        <w:r w:rsidDel="00000000" w:rsidR="00000000" w:rsidRPr="00000000">
          <w:rPr>
            <w:rtl w:val="0"/>
          </w:rPr>
          <w:t xml:space="preserve"> </w:t>
        </w:r>
      </w:hyperlink>
      <w:hyperlink r:id="rId550">
        <w:r w:rsidDel="00000000" w:rsidR="00000000" w:rsidRPr="00000000">
          <w:rPr>
            <w:color w:val="1155cc"/>
            <w:u w:val="single"/>
            <w:rtl w:val="0"/>
          </w:rPr>
          <w:t xml:space="preserve">https://www.nhtsa.gov/press-releases/nhtsa-issues-standing-general-order-crash-reporting-automated-driving-systems</w:t>
        </w:r>
      </w:hyperlink>
      <w:r w:rsidDel="00000000" w:rsidR="00000000" w:rsidRPr="00000000">
        <w:rPr>
          <w:rtl w:val="0"/>
        </w:rPr>
      </w:r>
    </w:p>
    <w:p w:rsidR="00000000" w:rsidDel="00000000" w:rsidP="00000000" w:rsidRDefault="00000000" w:rsidRPr="00000000" w14:paraId="000005C2">
      <w:pPr>
        <w:spacing w:after="240" w:before="240" w:lineRule="auto"/>
        <w:rPr>
          <w:color w:val="1155cc"/>
          <w:u w:val="single"/>
        </w:rPr>
      </w:pPr>
      <w:r w:rsidDel="00000000" w:rsidR="00000000" w:rsidRPr="00000000">
        <w:rPr>
          <w:rtl w:val="0"/>
        </w:rPr>
        <w:t xml:space="preserve">[42] Financial Conduct Authority. (2023). FCA fines Citigroup Global Markets Limited £61.6 million for systems and controls failures.</w:t>
      </w:r>
      <w:hyperlink r:id="rId551">
        <w:r w:rsidDel="00000000" w:rsidR="00000000" w:rsidRPr="00000000">
          <w:rPr>
            <w:rtl w:val="0"/>
          </w:rPr>
          <w:t xml:space="preserve"> </w:t>
        </w:r>
      </w:hyperlink>
      <w:hyperlink r:id="rId552">
        <w:r w:rsidDel="00000000" w:rsidR="00000000" w:rsidRPr="00000000">
          <w:rPr>
            <w:color w:val="1155cc"/>
            <w:u w:val="single"/>
            <w:rtl w:val="0"/>
          </w:rPr>
          <w:t xml:space="preserve">https://www.fca.org.uk/news/press-releases/fca-fines-citigroup-global-markets-limited-61-6m-system-controls-failures</w:t>
        </w:r>
      </w:hyperlink>
      <w:r w:rsidDel="00000000" w:rsidR="00000000" w:rsidRPr="00000000">
        <w:rPr>
          <w:rtl w:val="0"/>
        </w:rPr>
      </w:r>
    </w:p>
    <w:p w:rsidR="00000000" w:rsidDel="00000000" w:rsidP="00000000" w:rsidRDefault="00000000" w:rsidRPr="00000000" w14:paraId="000005C3">
      <w:pPr>
        <w:spacing w:after="240" w:before="240" w:lineRule="auto"/>
        <w:rPr>
          <w:color w:val="1155cc"/>
          <w:u w:val="single"/>
        </w:rPr>
      </w:pPr>
      <w:r w:rsidDel="00000000" w:rsidR="00000000" w:rsidRPr="00000000">
        <w:rPr>
          <w:rtl w:val="0"/>
        </w:rPr>
        <w:t xml:space="preserve">[43] Consumer Financial Protection Bureau. Regulation B (Equal Credit Opportunity Act).</w:t>
      </w:r>
      <w:hyperlink r:id="rId553">
        <w:r w:rsidDel="00000000" w:rsidR="00000000" w:rsidRPr="00000000">
          <w:rPr>
            <w:rtl w:val="0"/>
          </w:rPr>
          <w:t xml:space="preserve"> </w:t>
        </w:r>
      </w:hyperlink>
      <w:hyperlink r:id="rId554">
        <w:r w:rsidDel="00000000" w:rsidR="00000000" w:rsidRPr="00000000">
          <w:rPr>
            <w:color w:val="1155cc"/>
            <w:u w:val="single"/>
            <w:rtl w:val="0"/>
          </w:rPr>
          <w:t xml:space="preserve">https://www.consumerfinance.gov/rules-policy/regulations/1002/</w:t>
        </w:r>
      </w:hyperlink>
      <w:r w:rsidDel="00000000" w:rsidR="00000000" w:rsidRPr="00000000">
        <w:rPr>
          <w:rtl w:val="0"/>
        </w:rPr>
      </w:r>
    </w:p>
    <w:p w:rsidR="00000000" w:rsidDel="00000000" w:rsidP="00000000" w:rsidRDefault="00000000" w:rsidRPr="00000000" w14:paraId="000005C4">
      <w:pPr>
        <w:spacing w:after="240" w:before="240" w:lineRule="auto"/>
        <w:rPr>
          <w:color w:val="1155cc"/>
          <w:u w:val="single"/>
        </w:rPr>
      </w:pPr>
      <w:r w:rsidDel="00000000" w:rsidR="00000000" w:rsidRPr="00000000">
        <w:rPr>
          <w:rtl w:val="0"/>
        </w:rPr>
        <w:t xml:space="preserve">[44] Roff, H.M., and Moyes, R. (2016). Meaningful Human Control, Artificial Intelligence and Autonomous Weapons. </w:t>
      </w:r>
      <w:r w:rsidDel="00000000" w:rsidR="00000000" w:rsidRPr="00000000">
        <w:rPr>
          <w:i w:val="1"/>
          <w:iCs w:val="1"/>
          <w:rtl w:val="0"/>
        </w:rPr>
        <w:t xml:space="preserve">International Humanitarian Law</w:t>
      </w:r>
      <w:r w:rsidDel="00000000" w:rsidR="00000000" w:rsidRPr="00000000">
        <w:rPr>
          <w:rtl w:val="0"/>
        </w:rPr>
        <w:t xml:space="preserve">.</w:t>
      </w:r>
      <w:hyperlink r:id="rId555">
        <w:r w:rsidDel="00000000" w:rsidR="00000000" w:rsidRPr="00000000">
          <w:rPr>
            <w:rtl w:val="0"/>
          </w:rPr>
          <w:t xml:space="preserve"> </w:t>
        </w:r>
      </w:hyperlink>
      <w:hyperlink r:id="rId556">
        <w:r w:rsidDel="00000000" w:rsidR="00000000" w:rsidRPr="00000000">
          <w:rPr>
            <w:color w:val="1155cc"/>
            <w:u w:val="single"/>
            <w:rtl w:val="0"/>
          </w:rPr>
          <w:t xml:space="preserve">https://doi.org/10.1017/S002070391400003X</w:t>
        </w:r>
      </w:hyperlink>
      <w:r w:rsidDel="00000000" w:rsidR="00000000" w:rsidRPr="00000000">
        <w:rPr>
          <w:rtl w:val="0"/>
        </w:rPr>
      </w:r>
    </w:p>
    <w:p w:rsidR="00000000" w:rsidDel="00000000" w:rsidP="00000000" w:rsidRDefault="00000000" w:rsidRPr="00000000" w14:paraId="000005C5">
      <w:pPr>
        <w:spacing w:after="240" w:before="240" w:lineRule="auto"/>
        <w:rPr>
          <w:color w:val="1155cc"/>
          <w:u w:val="single"/>
        </w:rPr>
      </w:pPr>
      <w:r w:rsidDel="00000000" w:rsidR="00000000" w:rsidRPr="00000000">
        <w:rPr>
          <w:rtl w:val="0"/>
        </w:rPr>
        <w:t xml:space="preserve">[45] U.S. Department of Defense. (2023). DoD Directive 3000.09, Autonomous Weapon Systems.</w:t>
      </w:r>
      <w:hyperlink r:id="rId557">
        <w:r w:rsidDel="00000000" w:rsidR="00000000" w:rsidRPr="00000000">
          <w:rPr>
            <w:rtl w:val="0"/>
          </w:rPr>
          <w:t xml:space="preserve"> </w:t>
        </w:r>
      </w:hyperlink>
      <w:hyperlink r:id="rId558">
        <w:r w:rsidDel="00000000" w:rsidR="00000000" w:rsidRPr="00000000">
          <w:rPr>
            <w:color w:val="1155cc"/>
            <w:u w:val="single"/>
            <w:rtl w:val="0"/>
          </w:rPr>
          <w:t xml:space="preserve">https://www.esd.whs.mil/Portals/54/Documents/DD/issuances/dodd/300009p.pdf</w:t>
        </w:r>
      </w:hyperlink>
      <w:r w:rsidDel="00000000" w:rsidR="00000000" w:rsidRPr="00000000">
        <w:rPr>
          <w:rtl w:val="0"/>
        </w:rPr>
      </w:r>
    </w:p>
    <w:p w:rsidR="00000000" w:rsidDel="00000000" w:rsidP="00000000" w:rsidRDefault="00000000" w:rsidRPr="00000000" w14:paraId="000005C6">
      <w:pPr>
        <w:spacing w:after="240" w:before="240" w:lineRule="auto"/>
        <w:rPr>
          <w:color w:val="1155cc"/>
          <w:u w:val="single"/>
        </w:rPr>
      </w:pPr>
      <w:r w:rsidDel="00000000" w:rsidR="00000000" w:rsidRPr="00000000">
        <w:rPr>
          <w:rtl w:val="0"/>
        </w:rPr>
        <w:t xml:space="preserve">[46] International Organization for Standardization. (2023). ISO/IEC 42001: Artificial Intelligence Management System.</w:t>
      </w:r>
      <w:hyperlink r:id="rId559">
        <w:r w:rsidDel="00000000" w:rsidR="00000000" w:rsidRPr="00000000">
          <w:rPr>
            <w:rtl w:val="0"/>
          </w:rPr>
          <w:t xml:space="preserve"> </w:t>
        </w:r>
      </w:hyperlink>
      <w:hyperlink r:id="rId560">
        <w:r w:rsidDel="00000000" w:rsidR="00000000" w:rsidRPr="00000000">
          <w:rPr>
            <w:color w:val="1155cc"/>
            <w:u w:val="single"/>
            <w:rtl w:val="0"/>
          </w:rPr>
          <w:t xml:space="preserve">https://www.iso.org/standard/81230.html</w:t>
        </w:r>
      </w:hyperlink>
      <w:r w:rsidDel="00000000" w:rsidR="00000000" w:rsidRPr="00000000">
        <w:rPr>
          <w:rtl w:val="0"/>
        </w:rPr>
      </w:r>
    </w:p>
    <w:p w:rsidR="00000000" w:rsidDel="00000000" w:rsidP="00000000" w:rsidRDefault="00000000" w:rsidRPr="00000000" w14:paraId="000005C7">
      <w:pPr>
        <w:spacing w:after="240" w:before="240" w:lineRule="auto"/>
        <w:rPr>
          <w:color w:val="1155cc"/>
          <w:u w:val="single"/>
        </w:rPr>
      </w:pPr>
      <w:r w:rsidDel="00000000" w:rsidR="00000000" w:rsidRPr="00000000">
        <w:rPr>
          <w:rtl w:val="0"/>
        </w:rPr>
        <w:t xml:space="preserve">[47] Federal Reserve. (2011). SR 11-7: Guidance on Model Risk Management.</w:t>
      </w:r>
      <w:hyperlink r:id="rId561">
        <w:r w:rsidDel="00000000" w:rsidR="00000000" w:rsidRPr="00000000">
          <w:rPr>
            <w:rtl w:val="0"/>
          </w:rPr>
          <w:t xml:space="preserve"> </w:t>
        </w:r>
      </w:hyperlink>
      <w:hyperlink r:id="rId562">
        <w:r w:rsidDel="00000000" w:rsidR="00000000" w:rsidRPr="00000000">
          <w:rPr>
            <w:color w:val="1155cc"/>
            <w:u w:val="single"/>
            <w:rtl w:val="0"/>
          </w:rPr>
          <w:t xml:space="preserve">https://www.federalreserve.gov/supervisionreg/srletters/sr1107.htm</w:t>
        </w:r>
      </w:hyperlink>
      <w:r w:rsidDel="00000000" w:rsidR="00000000" w:rsidRPr="00000000">
        <w:rPr>
          <w:rtl w:val="0"/>
        </w:rPr>
      </w:r>
    </w:p>
    <w:p w:rsidR="00000000" w:rsidDel="00000000" w:rsidP="00000000" w:rsidRDefault="00000000" w:rsidRPr="00000000" w14:paraId="000005C8">
      <w:pPr>
        <w:spacing w:after="240" w:before="240" w:lineRule="auto"/>
        <w:rPr>
          <w:color w:val="1155cc"/>
          <w:u w:val="single"/>
        </w:rPr>
      </w:pPr>
      <w:r w:rsidDel="00000000" w:rsidR="00000000" w:rsidRPr="00000000">
        <w:rPr>
          <w:rtl w:val="0"/>
        </w:rPr>
        <w:t xml:space="preserve">[48] Government of Brazil. (2018). Lei Geral de Proteção de Dados (LGPD), Lei No. 13.709.</w:t>
      </w:r>
      <w:hyperlink r:id="rId563">
        <w:r w:rsidDel="00000000" w:rsidR="00000000" w:rsidRPr="00000000">
          <w:rPr>
            <w:rtl w:val="0"/>
          </w:rPr>
          <w:t xml:space="preserve"> </w:t>
        </w:r>
      </w:hyperlink>
      <w:hyperlink r:id="rId564">
        <w:r w:rsidDel="00000000" w:rsidR="00000000" w:rsidRPr="00000000">
          <w:rPr>
            <w:color w:val="1155cc"/>
            <w:u w:val="single"/>
            <w:rtl w:val="0"/>
          </w:rPr>
          <w:t xml:space="preserve">http://www.planalto.gov.br/ccivil_03/_ato2018-2022/2018/lei/L13709.htm</w:t>
        </w:r>
      </w:hyperlink>
      <w:r w:rsidDel="00000000" w:rsidR="00000000" w:rsidRPr="00000000">
        <w:rPr>
          <w:rtl w:val="0"/>
        </w:rPr>
      </w:r>
    </w:p>
    <w:p w:rsidR="00000000" w:rsidDel="00000000" w:rsidP="00000000" w:rsidRDefault="00000000" w:rsidRPr="00000000" w14:paraId="000005C9">
      <w:pPr>
        <w:spacing w:after="240" w:before="240" w:lineRule="auto"/>
        <w:rPr>
          <w:color w:val="1155cc"/>
          <w:u w:val="single"/>
        </w:rPr>
      </w:pPr>
      <w:r w:rsidDel="00000000" w:rsidR="00000000" w:rsidRPr="00000000">
        <w:rPr>
          <w:rtl w:val="0"/>
        </w:rPr>
        <w:t xml:space="preserve">[49] Treasury Board of Canada Secretariat. (2019). Directive on Automated Decision-Making.</w:t>
      </w:r>
      <w:hyperlink r:id="rId565">
        <w:r w:rsidDel="00000000" w:rsidR="00000000" w:rsidRPr="00000000">
          <w:rPr>
            <w:rtl w:val="0"/>
          </w:rPr>
          <w:t xml:space="preserve"> </w:t>
        </w:r>
      </w:hyperlink>
      <w:hyperlink r:id="rId566">
        <w:r w:rsidDel="00000000" w:rsidR="00000000" w:rsidRPr="00000000">
          <w:rPr>
            <w:color w:val="1155cc"/>
            <w:u w:val="single"/>
            <w:rtl w:val="0"/>
          </w:rPr>
          <w:t xml:space="preserve">https://www.tbs-sct.canada.ca/pol/doc-eng.aspx?id=32592</w:t>
        </w:r>
      </w:hyperlink>
      <w:r w:rsidDel="00000000" w:rsidR="00000000" w:rsidRPr="00000000">
        <w:rPr>
          <w:rtl w:val="0"/>
        </w:rPr>
      </w:r>
    </w:p>
    <w:p w:rsidR="00000000" w:rsidDel="00000000" w:rsidP="00000000" w:rsidRDefault="00000000" w:rsidRPr="00000000" w14:paraId="000005CA">
      <w:pPr>
        <w:spacing w:after="240" w:before="240" w:lineRule="auto"/>
        <w:rPr>
          <w:color w:val="1155cc"/>
          <w:u w:val="single"/>
        </w:rPr>
      </w:pPr>
      <w:r w:rsidDel="00000000" w:rsidR="00000000" w:rsidRPr="00000000">
        <w:rPr>
          <w:rtl w:val="0"/>
        </w:rPr>
        <w:t xml:space="preserve">[50] Personal Data Protection Commission Singapore. (2020). Model AI Governance Framework, Second Edition.</w:t>
      </w:r>
      <w:hyperlink r:id="rId567">
        <w:r w:rsidDel="00000000" w:rsidR="00000000" w:rsidRPr="00000000">
          <w:rPr>
            <w:rtl w:val="0"/>
          </w:rPr>
          <w:t xml:space="preserve"> </w:t>
        </w:r>
      </w:hyperlink>
      <w:hyperlink r:id="rId568">
        <w:r w:rsidDel="00000000" w:rsidR="00000000" w:rsidRPr="00000000">
          <w:rPr>
            <w:color w:val="1155cc"/>
            <w:u w:val="single"/>
            <w:rtl w:val="0"/>
          </w:rPr>
          <w:t xml:space="preserve">https://www.pdpc.gov.sg/help-and-resources/2020/01/model-ai-governance-framework</w:t>
        </w:r>
      </w:hyperlink>
      <w:r w:rsidDel="00000000" w:rsidR="00000000" w:rsidRPr="00000000">
        <w:rPr>
          <w:rtl w:val="0"/>
        </w:rPr>
      </w:r>
    </w:p>
    <w:p w:rsidR="00000000" w:rsidDel="00000000" w:rsidP="00000000" w:rsidRDefault="00000000" w:rsidRPr="00000000" w14:paraId="000005CB">
      <w:pPr>
        <w:spacing w:after="240" w:before="240" w:lineRule="auto"/>
        <w:rPr>
          <w:color w:val="1155cc"/>
          <w:u w:val="single"/>
        </w:rPr>
      </w:pPr>
      <w:r w:rsidDel="00000000" w:rsidR="00000000" w:rsidRPr="00000000">
        <w:rPr>
          <w:rtl w:val="0"/>
        </w:rPr>
        <w:t xml:space="preserve">[51] National Institute of Standards and Technology. (2024). </w:t>
      </w:r>
      <w:r w:rsidDel="00000000" w:rsidR="00000000" w:rsidRPr="00000000">
        <w:rPr>
          <w:i w:val="1"/>
          <w:iCs w:val="1"/>
          <w:rtl w:val="0"/>
        </w:rPr>
        <w:t xml:space="preserve">FIPS 203: Module-Lattice-Based Key-Encapsulation Mechanism Standard</w:t>
      </w:r>
      <w:r w:rsidDel="00000000" w:rsidR="00000000" w:rsidRPr="00000000">
        <w:rPr>
          <w:rtl w:val="0"/>
        </w:rPr>
        <w:t xml:space="preserve">.</w:t>
      </w:r>
      <w:hyperlink r:id="rId569">
        <w:r w:rsidDel="00000000" w:rsidR="00000000" w:rsidRPr="00000000">
          <w:rPr>
            <w:rtl w:val="0"/>
          </w:rPr>
          <w:t xml:space="preserve"> </w:t>
        </w:r>
      </w:hyperlink>
      <w:hyperlink r:id="rId570">
        <w:r w:rsidDel="00000000" w:rsidR="00000000" w:rsidRPr="00000000">
          <w:rPr>
            <w:color w:val="1155cc"/>
            <w:u w:val="single"/>
            <w:rtl w:val="0"/>
          </w:rPr>
          <w:t xml:space="preserve">https://doi.org/10.6028/NIST.FIPS.203</w:t>
        </w:r>
      </w:hyperlink>
      <w:r w:rsidDel="00000000" w:rsidR="00000000" w:rsidRPr="00000000">
        <w:rPr>
          <w:rtl w:val="0"/>
        </w:rPr>
      </w:r>
    </w:p>
    <w:p w:rsidR="00000000" w:rsidDel="00000000" w:rsidP="00000000" w:rsidRDefault="00000000" w:rsidRPr="00000000" w14:paraId="000005CC">
      <w:pPr>
        <w:spacing w:after="240" w:before="240" w:lineRule="auto"/>
        <w:rPr>
          <w:color w:val="1155cc"/>
          <w:u w:val="single"/>
        </w:rPr>
      </w:pPr>
      <w:r w:rsidDel="00000000" w:rsidR="00000000" w:rsidRPr="00000000">
        <w:rPr>
          <w:rtl w:val="0"/>
        </w:rPr>
        <w:t xml:space="preserve">[52] Kaplan, J., et al. (2020). Scaling Laws for Neural Language Models. </w:t>
      </w:r>
      <w:r w:rsidDel="00000000" w:rsidR="00000000" w:rsidRPr="00000000">
        <w:rPr>
          <w:i w:val="1"/>
          <w:iCs w:val="1"/>
          <w:rtl w:val="0"/>
        </w:rPr>
        <w:t xml:space="preserve">arXiv</w:t>
      </w:r>
      <w:r w:rsidDel="00000000" w:rsidR="00000000" w:rsidRPr="00000000">
        <w:rPr>
          <w:rtl w:val="0"/>
        </w:rPr>
        <w:t xml:space="preserve">.</w:t>
      </w:r>
      <w:hyperlink r:id="rId571">
        <w:r w:rsidDel="00000000" w:rsidR="00000000" w:rsidRPr="00000000">
          <w:rPr>
            <w:rtl w:val="0"/>
          </w:rPr>
          <w:t xml:space="preserve"> </w:t>
        </w:r>
      </w:hyperlink>
      <w:hyperlink r:id="rId572">
        <w:r w:rsidDel="00000000" w:rsidR="00000000" w:rsidRPr="00000000">
          <w:rPr>
            <w:color w:val="1155cc"/>
            <w:u w:val="single"/>
            <w:rtl w:val="0"/>
          </w:rPr>
          <w:t xml:space="preserve">https://arxiv.org/abs/2001.08361</w:t>
        </w:r>
      </w:hyperlink>
      <w:r w:rsidDel="00000000" w:rsidR="00000000" w:rsidRPr="00000000">
        <w:rPr>
          <w:rtl w:val="0"/>
        </w:rPr>
      </w:r>
    </w:p>
    <w:p w:rsidR="00000000" w:rsidDel="00000000" w:rsidP="00000000" w:rsidRDefault="00000000" w:rsidRPr="00000000" w14:paraId="000005CD">
      <w:pPr>
        <w:spacing w:after="240" w:before="240" w:lineRule="auto"/>
        <w:rPr>
          <w:color w:val="1155cc"/>
          <w:u w:val="single"/>
        </w:rPr>
      </w:pPr>
      <w:r w:rsidDel="00000000" w:rsidR="00000000" w:rsidRPr="00000000">
        <w:rPr>
          <w:rtl w:val="0"/>
        </w:rPr>
        <w:t xml:space="preserve">[53] Wei, J., et al. (2022). Emergent Abilities of Large Language Models. </w:t>
      </w:r>
      <w:r w:rsidDel="00000000" w:rsidR="00000000" w:rsidRPr="00000000">
        <w:rPr>
          <w:i w:val="1"/>
          <w:iCs w:val="1"/>
          <w:rtl w:val="0"/>
        </w:rPr>
        <w:t xml:space="preserve">arXiv</w:t>
      </w:r>
      <w:r w:rsidDel="00000000" w:rsidR="00000000" w:rsidRPr="00000000">
        <w:rPr>
          <w:rtl w:val="0"/>
        </w:rPr>
        <w:t xml:space="preserve">.</w:t>
      </w:r>
      <w:hyperlink r:id="rId573">
        <w:r w:rsidDel="00000000" w:rsidR="00000000" w:rsidRPr="00000000">
          <w:rPr>
            <w:rtl w:val="0"/>
          </w:rPr>
          <w:t xml:space="preserve"> </w:t>
        </w:r>
      </w:hyperlink>
      <w:hyperlink r:id="rId574">
        <w:r w:rsidDel="00000000" w:rsidR="00000000" w:rsidRPr="00000000">
          <w:rPr>
            <w:color w:val="1155cc"/>
            <w:u w:val="single"/>
            <w:rtl w:val="0"/>
          </w:rPr>
          <w:t xml:space="preserve">https://arxiv.org/abs/2206.07682</w:t>
        </w:r>
      </w:hyperlink>
      <w:r w:rsidDel="00000000" w:rsidR="00000000" w:rsidRPr="00000000">
        <w:rPr>
          <w:rtl w:val="0"/>
        </w:rPr>
      </w:r>
    </w:p>
    <w:p w:rsidR="00000000" w:rsidDel="00000000" w:rsidP="00000000" w:rsidRDefault="00000000" w:rsidRPr="00000000" w14:paraId="000005CE">
      <w:pPr>
        <w:spacing w:after="240" w:before="240" w:lineRule="auto"/>
        <w:rPr>
          <w:color w:val="1155cc"/>
          <w:u w:val="single"/>
        </w:rPr>
      </w:pPr>
      <w:r w:rsidDel="00000000" w:rsidR="00000000" w:rsidRPr="00000000">
        <w:rPr>
          <w:rtl w:val="0"/>
        </w:rPr>
        <w:t xml:space="preserve">[54] Bostrom, N. (2014). </w:t>
      </w:r>
      <w:r w:rsidDel="00000000" w:rsidR="00000000" w:rsidRPr="00000000">
        <w:rPr>
          <w:i w:val="1"/>
          <w:iCs w:val="1"/>
          <w:rtl w:val="0"/>
        </w:rPr>
        <w:t xml:space="preserve">Superintelligence: Paths, Dangers, Strategies</w:t>
      </w:r>
      <w:r w:rsidDel="00000000" w:rsidR="00000000" w:rsidRPr="00000000">
        <w:rPr>
          <w:rtl w:val="0"/>
        </w:rPr>
        <w:t xml:space="preserve">. Oxford University Press.</w:t>
      </w:r>
      <w:hyperlink r:id="rId575">
        <w:r w:rsidDel="00000000" w:rsidR="00000000" w:rsidRPr="00000000">
          <w:rPr>
            <w:rtl w:val="0"/>
          </w:rPr>
          <w:t xml:space="preserve"> </w:t>
        </w:r>
      </w:hyperlink>
      <w:hyperlink r:id="rId576">
        <w:r w:rsidDel="00000000" w:rsidR="00000000" w:rsidRPr="00000000">
          <w:rPr>
            <w:color w:val="1155cc"/>
            <w:u w:val="single"/>
            <w:rtl w:val="0"/>
          </w:rPr>
          <w:t xml:space="preserve">https://doi.org/10.1093/acprof:oso/9780199678112.001.0001</w:t>
        </w:r>
      </w:hyperlink>
      <w:r w:rsidDel="00000000" w:rsidR="00000000" w:rsidRPr="00000000">
        <w:rPr>
          <w:rtl w:val="0"/>
        </w:rPr>
      </w:r>
    </w:p>
    <w:p w:rsidR="00000000" w:rsidDel="00000000" w:rsidP="00000000" w:rsidRDefault="00000000" w:rsidRPr="00000000" w14:paraId="000005CF">
      <w:pPr>
        <w:spacing w:after="240" w:before="240" w:lineRule="auto"/>
        <w:rPr>
          <w:color w:val="1155cc"/>
          <w:u w:val="single"/>
        </w:rPr>
      </w:pPr>
      <w:r w:rsidDel="00000000" w:rsidR="00000000" w:rsidRPr="00000000">
        <w:rPr>
          <w:rtl w:val="0"/>
        </w:rPr>
        <w:t xml:space="preserve">[55] Hubinger, E., et al. (2019). Risks from Learned Optimization in Advanced Machine Learning Systems. </w:t>
      </w:r>
      <w:r w:rsidDel="00000000" w:rsidR="00000000" w:rsidRPr="00000000">
        <w:rPr>
          <w:i w:val="1"/>
          <w:iCs w:val="1"/>
          <w:rtl w:val="0"/>
        </w:rPr>
        <w:t xml:space="preserve">arXiv</w:t>
      </w:r>
      <w:r w:rsidDel="00000000" w:rsidR="00000000" w:rsidRPr="00000000">
        <w:rPr>
          <w:rtl w:val="0"/>
        </w:rPr>
        <w:t xml:space="preserve">.</w:t>
      </w:r>
      <w:hyperlink r:id="rId577">
        <w:r w:rsidDel="00000000" w:rsidR="00000000" w:rsidRPr="00000000">
          <w:rPr>
            <w:rtl w:val="0"/>
          </w:rPr>
          <w:t xml:space="preserve"> </w:t>
        </w:r>
      </w:hyperlink>
      <w:hyperlink r:id="rId578">
        <w:r w:rsidDel="00000000" w:rsidR="00000000" w:rsidRPr="00000000">
          <w:rPr>
            <w:color w:val="1155cc"/>
            <w:u w:val="single"/>
            <w:rtl w:val="0"/>
          </w:rPr>
          <w:t xml:space="preserve">https://arxiv.org/abs/1906.01820</w:t>
        </w:r>
      </w:hyperlink>
      <w:r w:rsidDel="00000000" w:rsidR="00000000" w:rsidRPr="00000000">
        <w:rPr>
          <w:rtl w:val="0"/>
        </w:rPr>
      </w:r>
    </w:p>
    <w:p w:rsidR="00000000" w:rsidDel="00000000" w:rsidP="00000000" w:rsidRDefault="00000000" w:rsidRPr="00000000" w14:paraId="000005D0">
      <w:pPr>
        <w:spacing w:after="240" w:before="240" w:lineRule="auto"/>
        <w:rPr>
          <w:color w:val="1155cc"/>
          <w:u w:val="single"/>
        </w:rPr>
      </w:pPr>
      <w:r w:rsidDel="00000000" w:rsidR="00000000" w:rsidRPr="00000000">
        <w:rPr>
          <w:rtl w:val="0"/>
        </w:rPr>
        <w:t xml:space="preserve">[56] Cimatti, A., et al. (2002). NuSMV 2: An OpenSource Tool for Symbolic Model Checking. </w:t>
      </w:r>
      <w:r w:rsidDel="00000000" w:rsidR="00000000" w:rsidRPr="00000000">
        <w:rPr>
          <w:i w:val="1"/>
          <w:iCs w:val="1"/>
          <w:rtl w:val="0"/>
        </w:rPr>
        <w:t xml:space="preserve">Computer Aided Verification</w:t>
      </w:r>
      <w:r w:rsidDel="00000000" w:rsidR="00000000" w:rsidRPr="00000000">
        <w:rPr>
          <w:rtl w:val="0"/>
        </w:rPr>
        <w:t xml:space="preserve">.</w:t>
      </w:r>
      <w:hyperlink r:id="rId579">
        <w:r w:rsidDel="00000000" w:rsidR="00000000" w:rsidRPr="00000000">
          <w:rPr>
            <w:rtl w:val="0"/>
          </w:rPr>
          <w:t xml:space="preserve"> </w:t>
        </w:r>
      </w:hyperlink>
      <w:hyperlink r:id="rId580">
        <w:r w:rsidDel="00000000" w:rsidR="00000000" w:rsidRPr="00000000">
          <w:rPr>
            <w:color w:val="1155cc"/>
            <w:u w:val="single"/>
            <w:rtl w:val="0"/>
          </w:rPr>
          <w:t xml:space="preserve">https://nusmv.fbk.eu/</w:t>
        </w:r>
      </w:hyperlink>
      <w:r w:rsidDel="00000000" w:rsidR="00000000" w:rsidRPr="00000000">
        <w:rPr>
          <w:rtl w:val="0"/>
        </w:rPr>
      </w:r>
    </w:p>
    <w:p w:rsidR="00000000" w:rsidDel="00000000" w:rsidP="00000000" w:rsidRDefault="00000000" w:rsidRPr="00000000" w14:paraId="000005D1">
      <w:pPr>
        <w:spacing w:after="240" w:before="240" w:lineRule="auto"/>
        <w:rPr>
          <w:color w:val="1155cc"/>
          <w:u w:val="single"/>
        </w:rPr>
      </w:pPr>
      <w:r w:rsidDel="00000000" w:rsidR="00000000" w:rsidRPr="00000000">
        <w:rPr>
          <w:rtl w:val="0"/>
        </w:rPr>
        <w:t xml:space="preserve">[57] Holzmann, G.J. (1997). The model checker SPIN. </w:t>
      </w:r>
      <w:r w:rsidDel="00000000" w:rsidR="00000000" w:rsidRPr="00000000">
        <w:rPr>
          <w:i w:val="1"/>
          <w:iCs w:val="1"/>
          <w:rtl w:val="0"/>
        </w:rPr>
        <w:t xml:space="preserve">IEEE Transactions on Software Engineering</w:t>
      </w:r>
      <w:r w:rsidDel="00000000" w:rsidR="00000000" w:rsidRPr="00000000">
        <w:rPr>
          <w:rtl w:val="0"/>
        </w:rPr>
        <w:t xml:space="preserve">.</w:t>
      </w:r>
      <w:hyperlink r:id="rId581">
        <w:r w:rsidDel="00000000" w:rsidR="00000000" w:rsidRPr="00000000">
          <w:rPr>
            <w:rtl w:val="0"/>
          </w:rPr>
          <w:t xml:space="preserve"> </w:t>
        </w:r>
      </w:hyperlink>
      <w:hyperlink r:id="rId582">
        <w:r w:rsidDel="00000000" w:rsidR="00000000" w:rsidRPr="00000000">
          <w:rPr>
            <w:color w:val="1155cc"/>
            <w:u w:val="single"/>
            <w:rtl w:val="0"/>
          </w:rPr>
          <w:t xml:space="preserve">http://spinroot.com/</w:t>
        </w:r>
      </w:hyperlink>
      <w:r w:rsidDel="00000000" w:rsidR="00000000" w:rsidRPr="00000000">
        <w:rPr>
          <w:rtl w:val="0"/>
        </w:rPr>
      </w:r>
    </w:p>
    <w:p w:rsidR="00000000" w:rsidDel="00000000" w:rsidP="00000000" w:rsidRDefault="00000000" w:rsidRPr="00000000" w14:paraId="000005D2">
      <w:pPr>
        <w:spacing w:after="240" w:before="240" w:lineRule="auto"/>
        <w:rPr>
          <w:color w:val="1155cc"/>
          <w:u w:val="single"/>
        </w:rPr>
      </w:pPr>
      <w:r w:rsidDel="00000000" w:rsidR="00000000" w:rsidRPr="00000000">
        <w:rPr>
          <w:rtl w:val="0"/>
        </w:rPr>
        <w:t xml:space="preserve">[58] Frieder, G. (1973). Computer Arithmetic with Ternary Logic. </w:t>
      </w:r>
      <w:r w:rsidDel="00000000" w:rsidR="00000000" w:rsidRPr="00000000">
        <w:rPr>
          <w:i w:val="1"/>
          <w:iCs w:val="1"/>
          <w:rtl w:val="0"/>
        </w:rPr>
        <w:t xml:space="preserve">IEEE Transactions on Computers</w:t>
      </w:r>
      <w:r w:rsidDel="00000000" w:rsidR="00000000" w:rsidRPr="00000000">
        <w:rPr>
          <w:rtl w:val="0"/>
        </w:rPr>
        <w:t xml:space="preserve">.</w:t>
      </w:r>
      <w:hyperlink r:id="rId583">
        <w:r w:rsidDel="00000000" w:rsidR="00000000" w:rsidRPr="00000000">
          <w:rPr>
            <w:rtl w:val="0"/>
          </w:rPr>
          <w:t xml:space="preserve"> </w:t>
        </w:r>
      </w:hyperlink>
      <w:hyperlink r:id="rId584">
        <w:r w:rsidDel="00000000" w:rsidR="00000000" w:rsidRPr="00000000">
          <w:rPr>
            <w:color w:val="1155cc"/>
            <w:u w:val="single"/>
            <w:rtl w:val="0"/>
          </w:rPr>
          <w:t xml:space="preserve">https://doi.org/10.1109/TC.1973.5009051</w:t>
        </w:r>
      </w:hyperlink>
      <w:r w:rsidDel="00000000" w:rsidR="00000000" w:rsidRPr="00000000">
        <w:rPr>
          <w:rtl w:val="0"/>
        </w:rPr>
      </w:r>
    </w:p>
    <w:p w:rsidR="00000000" w:rsidDel="00000000" w:rsidP="00000000" w:rsidRDefault="00000000" w:rsidRPr="00000000" w14:paraId="000005D3">
      <w:pPr>
        <w:spacing w:after="240" w:before="240" w:lineRule="auto"/>
        <w:rPr>
          <w:color w:val="1155cc"/>
          <w:u w:val="single"/>
        </w:rPr>
      </w:pPr>
      <w:r w:rsidDel="00000000" w:rsidR="00000000" w:rsidRPr="00000000">
        <w:rPr>
          <w:rtl w:val="0"/>
        </w:rPr>
        <w:t xml:space="preserve">[59] Seitz, C.L. (1980). System Timing. In C.A. Mead and L. Conway, </w:t>
      </w:r>
      <w:r w:rsidDel="00000000" w:rsidR="00000000" w:rsidRPr="00000000">
        <w:rPr>
          <w:i w:val="1"/>
          <w:iCs w:val="1"/>
          <w:rtl w:val="0"/>
        </w:rPr>
        <w:t xml:space="preserve">Introduction to VLSI Systems</w:t>
      </w:r>
      <w:r w:rsidDel="00000000" w:rsidR="00000000" w:rsidRPr="00000000">
        <w:rPr>
          <w:rtl w:val="0"/>
        </w:rPr>
        <w:t xml:space="preserve">.</w:t>
      </w:r>
      <w:hyperlink r:id="rId585">
        <w:r w:rsidDel="00000000" w:rsidR="00000000" w:rsidRPr="00000000">
          <w:rPr>
            <w:rtl w:val="0"/>
          </w:rPr>
          <w:t xml:space="preserve"> </w:t>
        </w:r>
      </w:hyperlink>
      <w:hyperlink r:id="rId586">
        <w:r w:rsidDel="00000000" w:rsidR="00000000" w:rsidRPr="00000000">
          <w:rPr>
            <w:color w:val="1155cc"/>
            <w:u w:val="single"/>
            <w:rtl w:val="0"/>
          </w:rPr>
          <w:t xml:space="preserve">https://doi.org/10.1109/12.144622</w:t>
        </w:r>
      </w:hyperlink>
      <w:r w:rsidDel="00000000" w:rsidR="00000000" w:rsidRPr="00000000">
        <w:rPr>
          <w:rtl w:val="0"/>
        </w:rPr>
      </w:r>
    </w:p>
    <w:p w:rsidR="00000000" w:rsidDel="00000000" w:rsidP="00000000" w:rsidRDefault="00000000" w:rsidRPr="00000000" w14:paraId="000005D4">
      <w:pPr>
        <w:spacing w:after="240" w:before="240" w:lineRule="auto"/>
        <w:rPr>
          <w:color w:val="1155cc"/>
          <w:u w:val="single"/>
        </w:rPr>
      </w:pPr>
      <w:r w:rsidDel="00000000" w:rsidR="00000000" w:rsidRPr="00000000">
        <w:rPr>
          <w:rtl w:val="0"/>
        </w:rPr>
        <w:t xml:space="preserve">[60] Lin, J., et al. (2016). A Low Power Ternary Content-Addressable Memory Design Using Resistive RAM. </w:t>
      </w:r>
      <w:r w:rsidDel="00000000" w:rsidR="00000000" w:rsidRPr="00000000">
        <w:rPr>
          <w:i w:val="1"/>
          <w:iCs w:val="1"/>
          <w:rtl w:val="0"/>
        </w:rPr>
        <w:t xml:space="preserve">IEEE Transactions on Very Large Scale Integration Systems</w:t>
      </w:r>
      <w:r w:rsidDel="00000000" w:rsidR="00000000" w:rsidRPr="00000000">
        <w:rPr>
          <w:rtl w:val="0"/>
        </w:rPr>
        <w:t xml:space="preserve">.</w:t>
      </w:r>
      <w:hyperlink r:id="rId587">
        <w:r w:rsidDel="00000000" w:rsidR="00000000" w:rsidRPr="00000000">
          <w:rPr>
            <w:rtl w:val="0"/>
          </w:rPr>
          <w:t xml:space="preserve"> </w:t>
        </w:r>
      </w:hyperlink>
      <w:hyperlink r:id="rId588">
        <w:r w:rsidDel="00000000" w:rsidR="00000000" w:rsidRPr="00000000">
          <w:rPr>
            <w:color w:val="1155cc"/>
            <w:u w:val="single"/>
            <w:rtl w:val="0"/>
          </w:rPr>
          <w:t xml:space="preserve">https://doi.org/10.1109/TVLSI.2016.2638433</w:t>
        </w:r>
      </w:hyperlink>
      <w:r w:rsidDel="00000000" w:rsidR="00000000" w:rsidRPr="00000000">
        <w:rPr>
          <w:rtl w:val="0"/>
        </w:rPr>
      </w:r>
    </w:p>
    <w:p w:rsidR="00000000" w:rsidDel="00000000" w:rsidP="00000000" w:rsidRDefault="00000000" w:rsidRPr="00000000" w14:paraId="000005D5">
      <w:pPr>
        <w:spacing w:after="240" w:before="240" w:lineRule="auto"/>
        <w:rPr>
          <w:color w:val="1155cc"/>
          <w:u w:val="single"/>
        </w:rPr>
      </w:pPr>
      <w:r w:rsidDel="00000000" w:rsidR="00000000" w:rsidRPr="00000000">
        <w:rPr>
          <w:rtl w:val="0"/>
        </w:rPr>
        <w:t xml:space="preserve">[61] Yu, D., et al. (2012). Through-Silicon Via (TSV) Aware Design Methodology in the 3DIC Technology Era. </w:t>
      </w:r>
      <w:r w:rsidDel="00000000" w:rsidR="00000000" w:rsidRPr="00000000">
        <w:rPr>
          <w:i w:val="1"/>
          <w:iCs w:val="1"/>
          <w:rtl w:val="0"/>
        </w:rPr>
        <w:t xml:space="preserve">IEEE 62nd Electronic Components and Technology Conference</w:t>
      </w:r>
      <w:r w:rsidDel="00000000" w:rsidR="00000000" w:rsidRPr="00000000">
        <w:rPr>
          <w:rtl w:val="0"/>
        </w:rPr>
        <w:t xml:space="preserve">.</w:t>
      </w:r>
      <w:hyperlink r:id="rId589">
        <w:r w:rsidDel="00000000" w:rsidR="00000000" w:rsidRPr="00000000">
          <w:rPr>
            <w:rtl w:val="0"/>
          </w:rPr>
          <w:t xml:space="preserve"> </w:t>
        </w:r>
      </w:hyperlink>
      <w:hyperlink r:id="rId590">
        <w:r w:rsidDel="00000000" w:rsidR="00000000" w:rsidRPr="00000000">
          <w:rPr>
            <w:color w:val="1155cc"/>
            <w:u w:val="single"/>
            <w:rtl w:val="0"/>
          </w:rPr>
          <w:t xml:space="preserve">https://doi.org/10.1109/ECTC.2012.6248524</w:t>
        </w:r>
      </w:hyperlink>
      <w:r w:rsidDel="00000000" w:rsidR="00000000" w:rsidRPr="00000000">
        <w:rPr>
          <w:rtl w:val="0"/>
        </w:rPr>
      </w:r>
    </w:p>
    <w:p w:rsidR="00000000" w:rsidDel="00000000" w:rsidP="00000000" w:rsidRDefault="00000000" w:rsidRPr="00000000" w14:paraId="000005D6">
      <w:pPr>
        <w:spacing w:after="240" w:before="240" w:lineRule="auto"/>
        <w:rPr>
          <w:color w:val="1155cc"/>
          <w:u w:val="single"/>
        </w:rPr>
      </w:pPr>
      <w:r w:rsidDel="00000000" w:rsidR="00000000" w:rsidRPr="00000000">
        <w:rPr>
          <w:rtl w:val="0"/>
        </w:rPr>
        <w:t xml:space="preserve">[62] Yao, P., et al. (2020). Fully hardware-implemented memristor convolutional neural network. </w:t>
      </w:r>
      <w:r w:rsidDel="00000000" w:rsidR="00000000" w:rsidRPr="00000000">
        <w:rPr>
          <w:i w:val="1"/>
          <w:iCs w:val="1"/>
          <w:rtl w:val="0"/>
        </w:rPr>
        <w:t xml:space="preserve">Nature</w:t>
      </w:r>
      <w:r w:rsidDel="00000000" w:rsidR="00000000" w:rsidRPr="00000000">
        <w:rPr>
          <w:rtl w:val="0"/>
        </w:rPr>
        <w:t xml:space="preserve">.</w:t>
      </w:r>
      <w:hyperlink r:id="rId591">
        <w:r w:rsidDel="00000000" w:rsidR="00000000" w:rsidRPr="00000000">
          <w:rPr>
            <w:rtl w:val="0"/>
          </w:rPr>
          <w:t xml:space="preserve"> </w:t>
        </w:r>
      </w:hyperlink>
      <w:hyperlink r:id="rId592">
        <w:r w:rsidDel="00000000" w:rsidR="00000000" w:rsidRPr="00000000">
          <w:rPr>
            <w:color w:val="1155cc"/>
            <w:u w:val="single"/>
            <w:rtl w:val="0"/>
          </w:rPr>
          <w:t xml:space="preserve">https://doi.org/10.1038/s41586-020-2388-3</w:t>
        </w:r>
      </w:hyperlink>
      <w:r w:rsidDel="00000000" w:rsidR="00000000" w:rsidRPr="00000000">
        <w:rPr>
          <w:rtl w:val="0"/>
        </w:rPr>
      </w:r>
    </w:p>
    <w:p w:rsidR="00000000" w:rsidDel="00000000" w:rsidP="00000000" w:rsidRDefault="00000000" w:rsidRPr="00000000" w14:paraId="000005D7">
      <w:pPr>
        <w:spacing w:after="240" w:before="240" w:lineRule="auto"/>
        <w:rPr>
          <w:color w:val="1155cc"/>
          <w:u w:val="single"/>
        </w:rPr>
      </w:pPr>
      <w:r w:rsidDel="00000000" w:rsidR="00000000" w:rsidRPr="00000000">
        <w:rPr>
          <w:rtl w:val="0"/>
        </w:rPr>
        <w:t xml:space="preserve">[63] National Institute of Standards and Technology. (2019). FIPS 140-3: Security Requirements for Cryptographic Modules.</w:t>
      </w:r>
      <w:hyperlink r:id="rId593">
        <w:r w:rsidDel="00000000" w:rsidR="00000000" w:rsidRPr="00000000">
          <w:rPr>
            <w:rtl w:val="0"/>
          </w:rPr>
          <w:t xml:space="preserve"> </w:t>
        </w:r>
      </w:hyperlink>
      <w:hyperlink r:id="rId594">
        <w:r w:rsidDel="00000000" w:rsidR="00000000" w:rsidRPr="00000000">
          <w:rPr>
            <w:color w:val="1155cc"/>
            <w:u w:val="single"/>
            <w:rtl w:val="0"/>
          </w:rPr>
          <w:t xml:space="preserve">https://csrc.nist.gov/publications/detail/fips/140/3/final</w:t>
        </w:r>
      </w:hyperlink>
      <w:r w:rsidDel="00000000" w:rsidR="00000000" w:rsidRPr="00000000">
        <w:rPr>
          <w:rtl w:val="0"/>
        </w:rPr>
      </w:r>
    </w:p>
    <w:p w:rsidR="00000000" w:rsidDel="00000000" w:rsidP="00000000" w:rsidRDefault="00000000" w:rsidRPr="00000000" w14:paraId="000005D8">
      <w:pPr>
        <w:spacing w:after="240" w:before="240" w:lineRule="auto"/>
        <w:rPr>
          <w:color w:val="1155cc"/>
          <w:u w:val="single"/>
        </w:rPr>
      </w:pPr>
      <w:r w:rsidDel="00000000" w:rsidR="00000000" w:rsidRPr="00000000">
        <w:rPr>
          <w:rtl w:val="0"/>
        </w:rPr>
        <w:t xml:space="preserve">[64] Plato. </w:t>
      </w:r>
      <w:r w:rsidDel="00000000" w:rsidR="00000000" w:rsidRPr="00000000">
        <w:rPr>
          <w:i w:val="1"/>
          <w:iCs w:val="1"/>
          <w:rtl w:val="0"/>
        </w:rPr>
        <w:t xml:space="preserve">Apology</w:t>
      </w:r>
      <w:r w:rsidDel="00000000" w:rsidR="00000000" w:rsidRPr="00000000">
        <w:rPr>
          <w:rtl w:val="0"/>
        </w:rPr>
        <w:t xml:space="preserve">. In J. Cooper (Ed.), </w:t>
      </w:r>
      <w:r w:rsidDel="00000000" w:rsidR="00000000" w:rsidRPr="00000000">
        <w:rPr>
          <w:i w:val="1"/>
          <w:iCs w:val="1"/>
          <w:rtl w:val="0"/>
        </w:rPr>
        <w:t xml:space="preserve">Plato: Complete Works</w:t>
      </w:r>
      <w:r w:rsidDel="00000000" w:rsidR="00000000" w:rsidRPr="00000000">
        <w:rPr>
          <w:rtl w:val="0"/>
        </w:rPr>
        <w:t xml:space="preserve">. Hackett.</w:t>
      </w:r>
      <w:hyperlink r:id="rId595">
        <w:r w:rsidDel="00000000" w:rsidR="00000000" w:rsidRPr="00000000">
          <w:rPr>
            <w:rtl w:val="0"/>
          </w:rPr>
          <w:t xml:space="preserve"> </w:t>
        </w:r>
      </w:hyperlink>
      <w:hyperlink r:id="rId596">
        <w:r w:rsidDel="00000000" w:rsidR="00000000" w:rsidRPr="00000000">
          <w:rPr>
            <w:color w:val="1155cc"/>
            <w:u w:val="single"/>
            <w:rtl w:val="0"/>
          </w:rPr>
          <w:t xml:space="preserve">https://doi.org/10.1093/oseo/instance.00258879</w:t>
        </w:r>
      </w:hyperlink>
      <w:r w:rsidDel="00000000" w:rsidR="00000000" w:rsidRPr="00000000">
        <w:rPr>
          <w:rtl w:val="0"/>
        </w:rPr>
      </w:r>
    </w:p>
    <w:p w:rsidR="00000000" w:rsidDel="00000000" w:rsidP="00000000" w:rsidRDefault="00000000" w:rsidRPr="00000000" w14:paraId="000005D9">
      <w:pPr>
        <w:spacing w:after="240" w:before="240" w:lineRule="auto"/>
        <w:rPr>
          <w:color w:val="1155cc"/>
          <w:u w:val="single"/>
        </w:rPr>
      </w:pPr>
      <w:r w:rsidDel="00000000" w:rsidR="00000000" w:rsidRPr="00000000">
        <w:rPr>
          <w:rtl w:val="0"/>
        </w:rPr>
        <w:t xml:space="preserve">[65] Husserl, E. (1900/1970). </w:t>
      </w:r>
      <w:r w:rsidDel="00000000" w:rsidR="00000000" w:rsidRPr="00000000">
        <w:rPr>
          <w:i w:val="1"/>
          <w:iCs w:val="1"/>
          <w:rtl w:val="0"/>
        </w:rPr>
        <w:t xml:space="preserve">Logical Investigations</w:t>
      </w:r>
      <w:r w:rsidDel="00000000" w:rsidR="00000000" w:rsidRPr="00000000">
        <w:rPr>
          <w:rtl w:val="0"/>
        </w:rPr>
        <w:t xml:space="preserve"> (J.N. Findlay, Trans.). Springer.</w:t>
      </w:r>
      <w:hyperlink r:id="rId597">
        <w:r w:rsidDel="00000000" w:rsidR="00000000" w:rsidRPr="00000000">
          <w:rPr>
            <w:rtl w:val="0"/>
          </w:rPr>
          <w:t xml:space="preserve"> </w:t>
        </w:r>
      </w:hyperlink>
      <w:hyperlink r:id="rId598">
        <w:r w:rsidDel="00000000" w:rsidR="00000000" w:rsidRPr="00000000">
          <w:rPr>
            <w:color w:val="1155cc"/>
            <w:u w:val="single"/>
            <w:rtl w:val="0"/>
          </w:rPr>
          <w:t xml:space="preserve">https://doi.org/10.1007/978-94-010-1490-8</w:t>
        </w:r>
      </w:hyperlink>
      <w:r w:rsidDel="00000000" w:rsidR="00000000" w:rsidRPr="00000000">
        <w:rPr>
          <w:rtl w:val="0"/>
        </w:rPr>
      </w:r>
    </w:p>
    <w:p w:rsidR="00000000" w:rsidDel="00000000" w:rsidP="00000000" w:rsidRDefault="00000000" w:rsidRPr="00000000" w14:paraId="000005DA">
      <w:pPr>
        <w:spacing w:after="240" w:before="240" w:lineRule="auto"/>
        <w:rPr>
          <w:color w:val="1155cc"/>
          <w:u w:val="single"/>
        </w:rPr>
      </w:pPr>
      <w:r w:rsidDel="00000000" w:rsidR="00000000" w:rsidRPr="00000000">
        <w:rPr>
          <w:rtl w:val="0"/>
        </w:rPr>
        <w:t xml:space="preserve">[66] Husserl, E. (1913/1983). </w:t>
      </w:r>
      <w:r w:rsidDel="00000000" w:rsidR="00000000" w:rsidRPr="00000000">
        <w:rPr>
          <w:i w:val="1"/>
          <w:iCs w:val="1"/>
          <w:rtl w:val="0"/>
        </w:rPr>
        <w:t xml:space="preserve">Ideas: General Introduction to Pure Phenomenology</w:t>
      </w:r>
      <w:r w:rsidDel="00000000" w:rsidR="00000000" w:rsidRPr="00000000">
        <w:rPr>
          <w:rtl w:val="0"/>
        </w:rPr>
        <w:t xml:space="preserve"> (F. Kersten, Trans.). Springer.</w:t>
      </w:r>
      <w:hyperlink r:id="rId599">
        <w:r w:rsidDel="00000000" w:rsidR="00000000" w:rsidRPr="00000000">
          <w:rPr>
            <w:rtl w:val="0"/>
          </w:rPr>
          <w:t xml:space="preserve"> </w:t>
        </w:r>
      </w:hyperlink>
      <w:hyperlink r:id="rId600">
        <w:r w:rsidDel="00000000" w:rsidR="00000000" w:rsidRPr="00000000">
          <w:rPr>
            <w:color w:val="1155cc"/>
            <w:u w:val="single"/>
            <w:rtl w:val="0"/>
          </w:rPr>
          <w:t xml:space="preserve">https://doi.org/10.1007/978-94-009-9223-5</w:t>
        </w:r>
      </w:hyperlink>
      <w:r w:rsidDel="00000000" w:rsidR="00000000" w:rsidRPr="00000000">
        <w:rPr>
          <w:rtl w:val="0"/>
        </w:rPr>
      </w:r>
    </w:p>
    <w:p w:rsidR="00000000" w:rsidDel="00000000" w:rsidP="00000000" w:rsidRDefault="00000000" w:rsidRPr="00000000" w14:paraId="000005DB">
      <w:pPr>
        <w:spacing w:after="240" w:before="240" w:lineRule="auto"/>
        <w:rPr>
          <w:color w:val="1155cc"/>
          <w:u w:val="single"/>
        </w:rPr>
      </w:pPr>
      <w:r w:rsidDel="00000000" w:rsidR="00000000" w:rsidRPr="00000000">
        <w:rPr>
          <w:rtl w:val="0"/>
        </w:rPr>
        <w:t xml:space="preserve">[67] Fricker, M. (2007). </w:t>
      </w:r>
      <w:r w:rsidDel="00000000" w:rsidR="00000000" w:rsidRPr="00000000">
        <w:rPr>
          <w:i w:val="1"/>
          <w:iCs w:val="1"/>
          <w:rtl w:val="0"/>
        </w:rPr>
        <w:t xml:space="preserve">Epistemic Injustice: Power and the Ethics of Knowing</w:t>
      </w:r>
      <w:r w:rsidDel="00000000" w:rsidR="00000000" w:rsidRPr="00000000">
        <w:rPr>
          <w:rtl w:val="0"/>
        </w:rPr>
        <w:t xml:space="preserve">. Oxford University Press.</w:t>
      </w:r>
      <w:hyperlink r:id="rId601">
        <w:r w:rsidDel="00000000" w:rsidR="00000000" w:rsidRPr="00000000">
          <w:rPr>
            <w:rtl w:val="0"/>
          </w:rPr>
          <w:t xml:space="preserve"> </w:t>
        </w:r>
      </w:hyperlink>
      <w:hyperlink r:id="rId602">
        <w:r w:rsidDel="00000000" w:rsidR="00000000" w:rsidRPr="00000000">
          <w:rPr>
            <w:color w:val="1155cc"/>
            <w:u w:val="single"/>
            <w:rtl w:val="0"/>
          </w:rPr>
          <w:t xml:space="preserve">https://doi.org/10.1093/acprof:oso/9780198237907.001.0001</w:t>
        </w:r>
      </w:hyperlink>
      <w:r w:rsidDel="00000000" w:rsidR="00000000" w:rsidRPr="00000000">
        <w:rPr>
          <w:rtl w:val="0"/>
        </w:rPr>
      </w:r>
    </w:p>
    <w:p w:rsidR="00000000" w:rsidDel="00000000" w:rsidP="00000000" w:rsidRDefault="00000000" w:rsidRPr="00000000" w14:paraId="000005DC">
      <w:pPr>
        <w:spacing w:after="240" w:before="240" w:lineRule="auto"/>
        <w:rPr>
          <w:color w:val="1155cc"/>
          <w:u w:val="single"/>
        </w:rPr>
      </w:pPr>
      <w:r w:rsidDel="00000000" w:rsidR="00000000" w:rsidRPr="00000000">
        <w:rPr>
          <w:rtl w:val="0"/>
        </w:rPr>
        <w:t xml:space="preserve">[68] MacAskill, W., and Ord, T. (2020). </w:t>
      </w:r>
      <w:r w:rsidDel="00000000" w:rsidR="00000000" w:rsidRPr="00000000">
        <w:rPr>
          <w:i w:val="1"/>
          <w:iCs w:val="1"/>
          <w:rtl w:val="0"/>
        </w:rPr>
        <w:t xml:space="preserve">Moral Uncertainty</w:t>
      </w:r>
      <w:r w:rsidDel="00000000" w:rsidR="00000000" w:rsidRPr="00000000">
        <w:rPr>
          <w:rtl w:val="0"/>
        </w:rPr>
        <w:t xml:space="preserve">. Oxford University Press.</w:t>
      </w:r>
      <w:hyperlink r:id="rId603">
        <w:r w:rsidDel="00000000" w:rsidR="00000000" w:rsidRPr="00000000">
          <w:rPr>
            <w:rtl w:val="0"/>
          </w:rPr>
          <w:t xml:space="preserve"> </w:t>
        </w:r>
      </w:hyperlink>
      <w:hyperlink r:id="rId604">
        <w:r w:rsidDel="00000000" w:rsidR="00000000" w:rsidRPr="00000000">
          <w:rPr>
            <w:color w:val="1155cc"/>
            <w:u w:val="single"/>
            <w:rtl w:val="0"/>
          </w:rPr>
          <w:t xml:space="preserve">https://doi.org/10.1093/oso/9780198722274.001.0001</w:t>
        </w:r>
      </w:hyperlink>
      <w:r w:rsidDel="00000000" w:rsidR="00000000" w:rsidRPr="00000000">
        <w:rPr>
          <w:rtl w:val="0"/>
        </w:rPr>
      </w:r>
    </w:p>
    <w:p w:rsidR="00000000" w:rsidDel="00000000" w:rsidP="00000000" w:rsidRDefault="00000000" w:rsidRPr="00000000" w14:paraId="000005DD">
      <w:pPr>
        <w:spacing w:after="240" w:before="240" w:lineRule="auto"/>
        <w:rPr>
          <w:color w:val="1155cc"/>
          <w:u w:val="single"/>
        </w:rPr>
      </w:pPr>
      <w:r w:rsidDel="00000000" w:rsidR="00000000" w:rsidRPr="00000000">
        <w:rPr>
          <w:rtl w:val="0"/>
        </w:rPr>
        <w:t xml:space="preserve">[69] Parasuraman, R., and Riley, V. (1997). Humans and Automation: Use, Misuse, Disuse, Abuse. </w:t>
      </w:r>
      <w:r w:rsidDel="00000000" w:rsidR="00000000" w:rsidRPr="00000000">
        <w:rPr>
          <w:i w:val="1"/>
          <w:iCs w:val="1"/>
          <w:rtl w:val="0"/>
        </w:rPr>
        <w:t xml:space="preserve">Human Factors</w:t>
      </w:r>
      <w:r w:rsidDel="00000000" w:rsidR="00000000" w:rsidRPr="00000000">
        <w:rPr>
          <w:rtl w:val="0"/>
        </w:rPr>
        <w:t xml:space="preserve">.</w:t>
      </w:r>
      <w:hyperlink r:id="rId605">
        <w:r w:rsidDel="00000000" w:rsidR="00000000" w:rsidRPr="00000000">
          <w:rPr>
            <w:rtl w:val="0"/>
          </w:rPr>
          <w:t xml:space="preserve"> </w:t>
        </w:r>
      </w:hyperlink>
      <w:hyperlink r:id="rId606">
        <w:r w:rsidDel="00000000" w:rsidR="00000000" w:rsidRPr="00000000">
          <w:rPr>
            <w:color w:val="1155cc"/>
            <w:u w:val="single"/>
            <w:rtl w:val="0"/>
          </w:rPr>
          <w:t xml:space="preserve">https://doi.org/10.1080/00140139508925174</w:t>
        </w:r>
      </w:hyperlink>
      <w:r w:rsidDel="00000000" w:rsidR="00000000" w:rsidRPr="00000000">
        <w:rPr>
          <w:rtl w:val="0"/>
        </w:rPr>
      </w:r>
    </w:p>
    <w:p w:rsidR="00000000" w:rsidDel="00000000" w:rsidP="00000000" w:rsidRDefault="00000000" w:rsidRPr="00000000" w14:paraId="000005DE">
      <w:pPr>
        <w:spacing w:after="240" w:before="240" w:lineRule="auto"/>
        <w:rPr>
          <w:color w:val="1155cc"/>
          <w:u w:val="single"/>
        </w:rPr>
      </w:pPr>
      <w:r w:rsidDel="00000000" w:rsidR="00000000" w:rsidRPr="00000000">
        <w:rPr>
          <w:rtl w:val="0"/>
        </w:rPr>
        <w:t xml:space="preserve">[70] Greene, J.D., et al. (2004). How (and where) does moral judgment work? </w:t>
      </w:r>
      <w:r w:rsidDel="00000000" w:rsidR="00000000" w:rsidRPr="00000000">
        <w:rPr>
          <w:i w:val="1"/>
          <w:iCs w:val="1"/>
          <w:rtl w:val="0"/>
        </w:rPr>
        <w:t xml:space="preserve">Science</w:t>
      </w:r>
      <w:r w:rsidDel="00000000" w:rsidR="00000000" w:rsidRPr="00000000">
        <w:rPr>
          <w:rtl w:val="0"/>
        </w:rPr>
        <w:t xml:space="preserve">.</w:t>
      </w:r>
      <w:hyperlink r:id="rId607">
        <w:r w:rsidDel="00000000" w:rsidR="00000000" w:rsidRPr="00000000">
          <w:rPr>
            <w:rtl w:val="0"/>
          </w:rPr>
          <w:t xml:space="preserve"> </w:t>
        </w:r>
      </w:hyperlink>
      <w:hyperlink r:id="rId608">
        <w:r w:rsidDel="00000000" w:rsidR="00000000" w:rsidRPr="00000000">
          <w:rPr>
            <w:color w:val="1155cc"/>
            <w:u w:val="single"/>
            <w:rtl w:val="0"/>
          </w:rPr>
          <w:t xml:space="preserve">https://doi.org/10.1126/science.1092408</w:t>
        </w:r>
      </w:hyperlink>
      <w:r w:rsidDel="00000000" w:rsidR="00000000" w:rsidRPr="00000000">
        <w:rPr>
          <w:rtl w:val="0"/>
        </w:rPr>
      </w:r>
    </w:p>
    <w:p w:rsidR="00000000" w:rsidDel="00000000" w:rsidP="00000000" w:rsidRDefault="00000000" w:rsidRPr="00000000" w14:paraId="000005DF">
      <w:pPr>
        <w:spacing w:after="240" w:before="240" w:lineRule="auto"/>
        <w:rPr>
          <w:color w:val="1155cc"/>
          <w:u w:val="single"/>
        </w:rPr>
      </w:pPr>
      <w:r w:rsidDel="00000000" w:rsidR="00000000" w:rsidRPr="00000000">
        <w:rPr>
          <w:rtl w:val="0"/>
        </w:rPr>
        <w:t xml:space="preserve">[71] Hobbes, T. (1651/1994). </w:t>
      </w:r>
      <w:r w:rsidDel="00000000" w:rsidR="00000000" w:rsidRPr="00000000">
        <w:rPr>
          <w:i w:val="1"/>
          <w:iCs w:val="1"/>
          <w:rtl w:val="0"/>
        </w:rPr>
        <w:t xml:space="preserve">Leviathan</w:t>
      </w:r>
      <w:r w:rsidDel="00000000" w:rsidR="00000000" w:rsidRPr="00000000">
        <w:rPr>
          <w:rtl w:val="0"/>
        </w:rPr>
        <w:t xml:space="preserve">. In </w:t>
      </w:r>
      <w:r w:rsidDel="00000000" w:rsidR="00000000" w:rsidRPr="00000000">
        <w:rPr>
          <w:i w:val="1"/>
          <w:iCs w:val="1"/>
          <w:rtl w:val="0"/>
        </w:rPr>
        <w:t xml:space="preserve">The Oxford Works of Thomas Hobbes</w:t>
      </w:r>
      <w:r w:rsidDel="00000000" w:rsidR="00000000" w:rsidRPr="00000000">
        <w:rPr>
          <w:rtl w:val="0"/>
        </w:rPr>
        <w:t xml:space="preserve">.</w:t>
      </w:r>
      <w:hyperlink r:id="rId609">
        <w:r w:rsidDel="00000000" w:rsidR="00000000" w:rsidRPr="00000000">
          <w:rPr>
            <w:rtl w:val="0"/>
          </w:rPr>
          <w:t xml:space="preserve"> </w:t>
        </w:r>
      </w:hyperlink>
      <w:hyperlink r:id="rId610">
        <w:r w:rsidDel="00000000" w:rsidR="00000000" w:rsidRPr="00000000">
          <w:rPr>
            <w:color w:val="1155cc"/>
            <w:u w:val="single"/>
            <w:rtl w:val="0"/>
          </w:rPr>
          <w:t xml:space="preserve">https://doi.org/10.1093/oseo/instance.00258891</w:t>
        </w:r>
      </w:hyperlink>
      <w:r w:rsidDel="00000000" w:rsidR="00000000" w:rsidRPr="00000000">
        <w:rPr>
          <w:rtl w:val="0"/>
        </w:rPr>
      </w:r>
    </w:p>
    <w:p w:rsidR="00000000" w:rsidDel="00000000" w:rsidP="00000000" w:rsidRDefault="00000000" w:rsidRPr="00000000" w14:paraId="000005E0">
      <w:pPr>
        <w:spacing w:after="240" w:before="240" w:lineRule="auto"/>
        <w:rPr>
          <w:color w:val="1155cc"/>
          <w:u w:val="single"/>
        </w:rPr>
      </w:pPr>
      <w:r w:rsidDel="00000000" w:rsidR="00000000" w:rsidRPr="00000000">
        <w:rPr>
          <w:rtl w:val="0"/>
        </w:rPr>
        <w:t xml:space="preserve">[72] Locke, J. (1689/1988). </w:t>
      </w:r>
      <w:r w:rsidDel="00000000" w:rsidR="00000000" w:rsidRPr="00000000">
        <w:rPr>
          <w:i w:val="1"/>
          <w:iCs w:val="1"/>
          <w:rtl w:val="0"/>
        </w:rPr>
        <w:t xml:space="preserve">Two Treatises of Government</w:t>
      </w:r>
      <w:r w:rsidDel="00000000" w:rsidR="00000000" w:rsidRPr="00000000">
        <w:rPr>
          <w:rtl w:val="0"/>
        </w:rPr>
        <w:t xml:space="preserve">. In </w:t>
      </w:r>
      <w:r w:rsidDel="00000000" w:rsidR="00000000" w:rsidRPr="00000000">
        <w:rPr>
          <w:i w:val="1"/>
          <w:iCs w:val="1"/>
          <w:rtl w:val="0"/>
        </w:rPr>
        <w:t xml:space="preserve">The Oxford Works of John Locke</w:t>
      </w:r>
      <w:r w:rsidDel="00000000" w:rsidR="00000000" w:rsidRPr="00000000">
        <w:rPr>
          <w:rtl w:val="0"/>
        </w:rPr>
        <w:t xml:space="preserve">.</w:t>
      </w:r>
      <w:hyperlink r:id="rId611">
        <w:r w:rsidDel="00000000" w:rsidR="00000000" w:rsidRPr="00000000">
          <w:rPr>
            <w:rtl w:val="0"/>
          </w:rPr>
          <w:t xml:space="preserve"> </w:t>
        </w:r>
      </w:hyperlink>
      <w:hyperlink r:id="rId612">
        <w:r w:rsidDel="00000000" w:rsidR="00000000" w:rsidRPr="00000000">
          <w:rPr>
            <w:color w:val="1155cc"/>
            <w:u w:val="single"/>
            <w:rtl w:val="0"/>
          </w:rPr>
          <w:t xml:space="preserve">https://doi.org/10.1093/oseo/instance.00258895</w:t>
        </w:r>
      </w:hyperlink>
      <w:r w:rsidDel="00000000" w:rsidR="00000000" w:rsidRPr="00000000">
        <w:rPr>
          <w:rtl w:val="0"/>
        </w:rPr>
      </w:r>
    </w:p>
    <w:p w:rsidR="00000000" w:rsidDel="00000000" w:rsidP="00000000" w:rsidRDefault="00000000" w:rsidRPr="00000000" w14:paraId="000005E1">
      <w:pPr>
        <w:spacing w:after="240" w:before="240" w:lineRule="auto"/>
        <w:rPr>
          <w:color w:val="1155cc"/>
          <w:u w:val="single"/>
        </w:rPr>
      </w:pPr>
      <w:r w:rsidDel="00000000" w:rsidR="00000000" w:rsidRPr="00000000">
        <w:rPr>
          <w:rtl w:val="0"/>
        </w:rPr>
        <w:t xml:space="preserve">[73] Rousseau, J.J. (1762/1994). </w:t>
      </w:r>
      <w:r w:rsidDel="00000000" w:rsidR="00000000" w:rsidRPr="00000000">
        <w:rPr>
          <w:i w:val="1"/>
          <w:iCs w:val="1"/>
          <w:rtl w:val="0"/>
        </w:rPr>
        <w:t xml:space="preserve">The Social Contract</w:t>
      </w:r>
      <w:r w:rsidDel="00000000" w:rsidR="00000000" w:rsidRPr="00000000">
        <w:rPr>
          <w:rtl w:val="0"/>
        </w:rPr>
        <w:t xml:space="preserve">. In </w:t>
      </w:r>
      <w:r w:rsidDel="00000000" w:rsidR="00000000" w:rsidRPr="00000000">
        <w:rPr>
          <w:i w:val="1"/>
          <w:iCs w:val="1"/>
          <w:rtl w:val="0"/>
        </w:rPr>
        <w:t xml:space="preserve">The Oxford Works of Jean-Jacques Rousseau</w:t>
      </w:r>
      <w:r w:rsidDel="00000000" w:rsidR="00000000" w:rsidRPr="00000000">
        <w:rPr>
          <w:rtl w:val="0"/>
        </w:rPr>
        <w:t xml:space="preserve">.</w:t>
      </w:r>
      <w:hyperlink r:id="rId613">
        <w:r w:rsidDel="00000000" w:rsidR="00000000" w:rsidRPr="00000000">
          <w:rPr>
            <w:rtl w:val="0"/>
          </w:rPr>
          <w:t xml:space="preserve"> </w:t>
        </w:r>
      </w:hyperlink>
      <w:hyperlink r:id="rId614">
        <w:r w:rsidDel="00000000" w:rsidR="00000000" w:rsidRPr="00000000">
          <w:rPr>
            <w:color w:val="1155cc"/>
            <w:u w:val="single"/>
            <w:rtl w:val="0"/>
          </w:rPr>
          <w:t xml:space="preserve">https://doi.org/10.1093/oseo/instance.00258929</w:t>
        </w:r>
      </w:hyperlink>
      <w:r w:rsidDel="00000000" w:rsidR="00000000" w:rsidRPr="00000000">
        <w:rPr>
          <w:rtl w:val="0"/>
        </w:rPr>
      </w:r>
    </w:p>
    <w:p w:rsidR="00000000" w:rsidDel="00000000" w:rsidP="00000000" w:rsidRDefault="00000000" w:rsidRPr="00000000" w14:paraId="000005E2">
      <w:pPr>
        <w:spacing w:after="240" w:before="240" w:lineRule="auto"/>
        <w:rPr>
          <w:color w:val="1155cc"/>
          <w:u w:val="single"/>
        </w:rPr>
      </w:pPr>
      <w:r w:rsidDel="00000000" w:rsidR="00000000" w:rsidRPr="00000000">
        <w:rPr>
          <w:rtl w:val="0"/>
        </w:rPr>
        <w:t xml:space="preserve">[74] Rawls, J. (1971). </w:t>
      </w:r>
      <w:r w:rsidDel="00000000" w:rsidR="00000000" w:rsidRPr="00000000">
        <w:rPr>
          <w:i w:val="1"/>
          <w:iCs w:val="1"/>
          <w:rtl w:val="0"/>
        </w:rPr>
        <w:t xml:space="preserve">A Theory of Justice</w:t>
      </w:r>
      <w:r w:rsidDel="00000000" w:rsidR="00000000" w:rsidRPr="00000000">
        <w:rPr>
          <w:rtl w:val="0"/>
        </w:rPr>
        <w:t xml:space="preserve">. Harvard University Press.</w:t>
      </w:r>
      <w:hyperlink r:id="rId615">
        <w:r w:rsidDel="00000000" w:rsidR="00000000" w:rsidRPr="00000000">
          <w:rPr>
            <w:rtl w:val="0"/>
          </w:rPr>
          <w:t xml:space="preserve"> </w:t>
        </w:r>
      </w:hyperlink>
      <w:hyperlink r:id="rId616">
        <w:r w:rsidDel="00000000" w:rsidR="00000000" w:rsidRPr="00000000">
          <w:rPr>
            <w:color w:val="1155cc"/>
            <w:u w:val="single"/>
            <w:rtl w:val="0"/>
          </w:rPr>
          <w:t xml:space="preserve">https://doi.org/10.2307/j.ctvkjb25m</w:t>
        </w:r>
      </w:hyperlink>
      <w:r w:rsidDel="00000000" w:rsidR="00000000" w:rsidRPr="00000000">
        <w:rPr>
          <w:rtl w:val="0"/>
        </w:rPr>
      </w:r>
    </w:p>
    <w:p w:rsidR="00000000" w:rsidDel="00000000" w:rsidP="00000000" w:rsidRDefault="00000000" w:rsidRPr="00000000" w14:paraId="000005E3">
      <w:pPr>
        <w:spacing w:after="240" w:before="240" w:lineRule="auto"/>
        <w:rPr>
          <w:color w:val="1155cc"/>
          <w:u w:val="single"/>
        </w:rPr>
      </w:pPr>
      <w:r w:rsidDel="00000000" w:rsidR="00000000" w:rsidRPr="00000000">
        <w:rPr>
          <w:rtl w:val="0"/>
        </w:rPr>
        <w:t xml:space="preserve">[75] Montesquieu, C. (1748/1989). </w:t>
      </w:r>
      <w:r w:rsidDel="00000000" w:rsidR="00000000" w:rsidRPr="00000000">
        <w:rPr>
          <w:i w:val="1"/>
          <w:iCs w:val="1"/>
          <w:rtl w:val="0"/>
        </w:rPr>
        <w:t xml:space="preserve">The Spirit of the Laws</w:t>
      </w:r>
      <w:r w:rsidDel="00000000" w:rsidR="00000000" w:rsidRPr="00000000">
        <w:rPr>
          <w:rtl w:val="0"/>
        </w:rPr>
        <w:t xml:space="preserve">. Cambridge University Press.</w:t>
      </w:r>
      <w:hyperlink r:id="rId617">
        <w:r w:rsidDel="00000000" w:rsidR="00000000" w:rsidRPr="00000000">
          <w:rPr>
            <w:rtl w:val="0"/>
          </w:rPr>
          <w:t xml:space="preserve"> </w:t>
        </w:r>
      </w:hyperlink>
      <w:hyperlink r:id="rId618">
        <w:r w:rsidDel="00000000" w:rsidR="00000000" w:rsidRPr="00000000">
          <w:rPr>
            <w:color w:val="1155cc"/>
            <w:u w:val="single"/>
            <w:rtl w:val="0"/>
          </w:rPr>
          <w:t xml:space="preserve">https://doi.org/10.1017/CBO9781139163828</w:t>
        </w:r>
      </w:hyperlink>
      <w:r w:rsidDel="00000000" w:rsidR="00000000" w:rsidRPr="00000000">
        <w:rPr>
          <w:rtl w:val="0"/>
        </w:rPr>
      </w:r>
    </w:p>
    <w:p w:rsidR="00000000" w:rsidDel="00000000" w:rsidP="00000000" w:rsidRDefault="00000000" w:rsidRPr="00000000" w14:paraId="000005E4">
      <w:pPr>
        <w:spacing w:after="240" w:before="240" w:lineRule="auto"/>
        <w:rPr>
          <w:color w:val="1155cc"/>
          <w:u w:val="single"/>
        </w:rPr>
      </w:pPr>
      <w:r w:rsidDel="00000000" w:rsidR="00000000" w:rsidRPr="00000000">
        <w:rPr>
          <w:rtl w:val="0"/>
        </w:rPr>
        <w:t xml:space="preserve">[76] Hamilton, A., Madison, J., and Jay, J. (1788/2003). </w:t>
      </w:r>
      <w:r w:rsidDel="00000000" w:rsidR="00000000" w:rsidRPr="00000000">
        <w:rPr>
          <w:i w:val="1"/>
          <w:iCs w:val="1"/>
          <w:rtl w:val="0"/>
        </w:rPr>
        <w:t xml:space="preserve">The Federalist Papers</w:t>
      </w:r>
      <w:r w:rsidDel="00000000" w:rsidR="00000000" w:rsidRPr="00000000">
        <w:rPr>
          <w:rtl w:val="0"/>
        </w:rPr>
        <w:t xml:space="preserve">. Cambridge University Press.</w:t>
      </w:r>
      <w:hyperlink r:id="rId619">
        <w:r w:rsidDel="00000000" w:rsidR="00000000" w:rsidRPr="00000000">
          <w:rPr>
            <w:rtl w:val="0"/>
          </w:rPr>
          <w:t xml:space="preserve"> </w:t>
        </w:r>
      </w:hyperlink>
      <w:hyperlink r:id="rId620">
        <w:r w:rsidDel="00000000" w:rsidR="00000000" w:rsidRPr="00000000">
          <w:rPr>
            <w:color w:val="1155cc"/>
            <w:u w:val="single"/>
            <w:rtl w:val="0"/>
          </w:rPr>
          <w:t xml:space="preserve">https://doi.org/10.1017/CBO9780511814600</w:t>
        </w:r>
      </w:hyperlink>
      <w:r w:rsidDel="00000000" w:rsidR="00000000" w:rsidRPr="00000000">
        <w:rPr>
          <w:rtl w:val="0"/>
        </w:rPr>
      </w:r>
    </w:p>
    <w:p w:rsidR="00000000" w:rsidDel="00000000" w:rsidP="00000000" w:rsidRDefault="00000000" w:rsidRPr="00000000" w14:paraId="000005E5">
      <w:pPr>
        <w:spacing w:after="240" w:before="240" w:lineRule="auto"/>
        <w:rPr>
          <w:color w:val="1155cc"/>
          <w:u w:val="single"/>
        </w:rPr>
      </w:pPr>
      <w:r w:rsidDel="00000000" w:rsidR="00000000" w:rsidRPr="00000000">
        <w:rPr>
          <w:rtl w:val="0"/>
        </w:rPr>
        <w:t xml:space="preserve">[77] Elster, J. (2000). </w:t>
      </w:r>
      <w:r w:rsidDel="00000000" w:rsidR="00000000" w:rsidRPr="00000000">
        <w:rPr>
          <w:i w:val="1"/>
          <w:iCs w:val="1"/>
          <w:rtl w:val="0"/>
        </w:rPr>
        <w:t xml:space="preserve">Ulysses Unbound: Studies in Rationality, Precommitment, and Constraints</w:t>
      </w:r>
      <w:r w:rsidDel="00000000" w:rsidR="00000000" w:rsidRPr="00000000">
        <w:rPr>
          <w:rtl w:val="0"/>
        </w:rPr>
        <w:t xml:space="preserve">. Cambridge University Press.</w:t>
      </w:r>
      <w:hyperlink r:id="rId621">
        <w:r w:rsidDel="00000000" w:rsidR="00000000" w:rsidRPr="00000000">
          <w:rPr>
            <w:rtl w:val="0"/>
          </w:rPr>
          <w:t xml:space="preserve"> </w:t>
        </w:r>
      </w:hyperlink>
      <w:hyperlink r:id="rId622">
        <w:r w:rsidDel="00000000" w:rsidR="00000000" w:rsidRPr="00000000">
          <w:rPr>
            <w:color w:val="1155cc"/>
            <w:u w:val="single"/>
            <w:rtl w:val="0"/>
          </w:rPr>
          <w:t xml:space="preserve">https://doi.org/10.1093/acprof:oso/9780199231492.001.0001</w:t>
        </w:r>
      </w:hyperlink>
      <w:r w:rsidDel="00000000" w:rsidR="00000000" w:rsidRPr="00000000">
        <w:rPr>
          <w:rtl w:val="0"/>
        </w:rPr>
      </w:r>
    </w:p>
    <w:p w:rsidR="00000000" w:rsidDel="00000000" w:rsidP="00000000" w:rsidRDefault="00000000" w:rsidRPr="00000000" w14:paraId="000005E6">
      <w:pPr>
        <w:spacing w:after="240" w:before="240" w:lineRule="auto"/>
        <w:rPr>
          <w:color w:val="1155cc"/>
          <w:u w:val="single"/>
        </w:rPr>
      </w:pPr>
      <w:r w:rsidDel="00000000" w:rsidR="00000000" w:rsidRPr="00000000">
        <w:rPr>
          <w:rtl w:val="0"/>
        </w:rPr>
        <w:t xml:space="preserve">[78] Zhou, K., Doyle, J.C., and Glover, K. (1996). </w:t>
      </w:r>
      <w:r w:rsidDel="00000000" w:rsidR="00000000" w:rsidRPr="00000000">
        <w:rPr>
          <w:i w:val="1"/>
          <w:iCs w:val="1"/>
          <w:rtl w:val="0"/>
        </w:rPr>
        <w:t xml:space="preserve">Robust and Optimal Control</w:t>
      </w:r>
      <w:r w:rsidDel="00000000" w:rsidR="00000000" w:rsidRPr="00000000">
        <w:rPr>
          <w:rtl w:val="0"/>
        </w:rPr>
        <w:t xml:space="preserve">. Prentice Hall.</w:t>
      </w:r>
      <w:hyperlink r:id="rId623">
        <w:r w:rsidDel="00000000" w:rsidR="00000000" w:rsidRPr="00000000">
          <w:rPr>
            <w:rtl w:val="0"/>
          </w:rPr>
          <w:t xml:space="preserve"> </w:t>
        </w:r>
      </w:hyperlink>
      <w:hyperlink r:id="rId624">
        <w:r w:rsidDel="00000000" w:rsidR="00000000" w:rsidRPr="00000000">
          <w:rPr>
            <w:color w:val="1155cc"/>
            <w:u w:val="single"/>
            <w:rtl w:val="0"/>
          </w:rPr>
          <w:t xml:space="preserve">https://doi.org/10.1007/978-1-4612-0555-8</w:t>
        </w:r>
      </w:hyperlink>
      <w:r w:rsidDel="00000000" w:rsidR="00000000" w:rsidRPr="00000000">
        <w:rPr>
          <w:rtl w:val="0"/>
        </w:rPr>
      </w:r>
    </w:p>
    <w:p w:rsidR="00000000" w:rsidDel="00000000" w:rsidP="00000000" w:rsidRDefault="00000000" w:rsidRPr="00000000" w14:paraId="000005E7">
      <w:pPr>
        <w:spacing w:after="240" w:before="240" w:lineRule="auto"/>
        <w:rPr>
          <w:color w:val="1155cc"/>
          <w:u w:val="single"/>
        </w:rPr>
      </w:pPr>
      <w:r w:rsidDel="00000000" w:rsidR="00000000" w:rsidRPr="00000000">
        <w:rPr>
          <w:rtl w:val="0"/>
        </w:rPr>
        <w:t xml:space="preserve">[79] Internal Revenue Service. (2024). Exemption Requirements: 501(c)(3) Organizations.</w:t>
      </w:r>
      <w:hyperlink r:id="rId625">
        <w:r w:rsidDel="00000000" w:rsidR="00000000" w:rsidRPr="00000000">
          <w:rPr>
            <w:rtl w:val="0"/>
          </w:rPr>
          <w:t xml:space="preserve"> </w:t>
        </w:r>
      </w:hyperlink>
      <w:hyperlink r:id="rId626">
        <w:r w:rsidDel="00000000" w:rsidR="00000000" w:rsidRPr="00000000">
          <w:rPr>
            <w:color w:val="1155cc"/>
            <w:u w:val="single"/>
            <w:rtl w:val="0"/>
          </w:rPr>
          <w:t xml:space="preserve">https://www.irs.gov/charities-non-profits/charitable-organizations/exemption-requirements-501c3-organizations</w:t>
        </w:r>
      </w:hyperlink>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bCs w:val="1"/>
      <w:color w:val="2c5f8a"/>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hyperlink" Target="https://github.com/FractonicMind/TernaryMoralLogic" TargetMode="External"/><Relationship Id="rId194" Type="http://schemas.openxmlformats.org/officeDocument/2006/relationships/hyperlink" Target="https://github.com/FractonicMind/TernaryMoralLogic" TargetMode="External"/><Relationship Id="rId193" Type="http://schemas.openxmlformats.org/officeDocument/2006/relationships/hyperlink" Target="https://github.com/FractonicMind/TernaryMoralLogic" TargetMode="External"/><Relationship Id="rId192" Type="http://schemas.openxmlformats.org/officeDocument/2006/relationships/hyperlink" Target="https://robodebt.royalcommission.gov.au/publications/report" TargetMode="External"/><Relationship Id="rId191" Type="http://schemas.openxmlformats.org/officeDocument/2006/relationships/hyperlink" Target="https://robodebt.royalcommission.gov.au/publications/report" TargetMode="External"/><Relationship Id="rId187" Type="http://schemas.openxmlformats.org/officeDocument/2006/relationships/hyperlink" Target="https://eur-lex.europa.eu/legal-content/EN/TXT/?uri=CELEX:32022L2464" TargetMode="External"/><Relationship Id="rId186" Type="http://schemas.openxmlformats.org/officeDocument/2006/relationships/hyperlink" Target="https://app.electricitymaps.com" TargetMode="External"/><Relationship Id="rId185" Type="http://schemas.openxmlformats.org/officeDocument/2006/relationships/hyperlink" Target="https://app.electricitymaps.com" TargetMode="External"/><Relationship Id="rId184" Type="http://schemas.openxmlformats.org/officeDocument/2006/relationships/hyperlink" Target="https://www.cbd.int/convention/text" TargetMode="External"/><Relationship Id="rId189" Type="http://schemas.openxmlformats.org/officeDocument/2006/relationships/hyperlink" Target="https://github.com/FractonicMind/TernaryMoralLogic" TargetMode="External"/><Relationship Id="rId188" Type="http://schemas.openxmlformats.org/officeDocument/2006/relationships/hyperlink" Target="https://eur-lex.europa.eu/legal-content/EN/TXT/?uri=CELEX:32022L2464" TargetMode="External"/><Relationship Id="rId183" Type="http://schemas.openxmlformats.org/officeDocument/2006/relationships/hyperlink" Target="https://www.cbd.int/convention/text" TargetMode="External"/><Relationship Id="rId182" Type="http://schemas.openxmlformats.org/officeDocument/2006/relationships/hyperlink" Target="https://unfccc.int/process-and-meetings/the-paris-agreement" TargetMode="External"/><Relationship Id="rId181" Type="http://schemas.openxmlformats.org/officeDocument/2006/relationships/hyperlink" Target="https://unfccc.int/process-and-meetings/the-paris-agreement" TargetMode="External"/><Relationship Id="rId180" Type="http://schemas.openxmlformats.org/officeDocument/2006/relationships/hyperlink" Target="https://unfccc.int/process-and-meetings/the-paris-agreement" TargetMode="External"/><Relationship Id="rId176" Type="http://schemas.openxmlformats.org/officeDocument/2006/relationships/hyperlink" Target="https://www.ohchr.org/en/instruments-mechanisms/instruments/international-covenant-civil-and-political-rights" TargetMode="External"/><Relationship Id="rId297" Type="http://schemas.openxmlformats.org/officeDocument/2006/relationships/hyperlink" Target="https://github.com/FractonicMind/TernaryMoralLogic" TargetMode="External"/><Relationship Id="rId175" Type="http://schemas.openxmlformats.org/officeDocument/2006/relationships/hyperlink" Target="https://www.ohchr.org/en/instruments-mechanisms/instruments/international-covenant-civil-and-political-rights" TargetMode="External"/><Relationship Id="rId296" Type="http://schemas.openxmlformats.org/officeDocument/2006/relationships/hyperlink" Target="https://github.com/FractonicMind/TernaryMoralLogic" TargetMode="External"/><Relationship Id="rId174" Type="http://schemas.openxmlformats.org/officeDocument/2006/relationships/hyperlink" Target="https://eur-lex.europa.eu/legal-content/EN/TXT/?uri=CELEX:32024R1689" TargetMode="External"/><Relationship Id="rId295" Type="http://schemas.openxmlformats.org/officeDocument/2006/relationships/hyperlink" Target="https://github.com/FractonicMind/TernaryMoralLogic" TargetMode="External"/><Relationship Id="rId173" Type="http://schemas.openxmlformats.org/officeDocument/2006/relationships/hyperlink" Target="https://eur-lex.europa.eu/legal-content/EN/TXT/?uri=CELEX:32024R1689" TargetMode="External"/><Relationship Id="rId294" Type="http://schemas.openxmlformats.org/officeDocument/2006/relationships/hyperlink" Target="https://www.pdpc.gov.sg/help-and-resources/2020/01/model-ai-governance-framework" TargetMode="External"/><Relationship Id="rId179" Type="http://schemas.openxmlformats.org/officeDocument/2006/relationships/hyperlink" Target="https://unfccc.int/process-and-meetings/the-paris-agreement" TargetMode="External"/><Relationship Id="rId178" Type="http://schemas.openxmlformats.org/officeDocument/2006/relationships/hyperlink" Target="https://zoek.officielebekendmakingen.nl/kst-35510-2.html" TargetMode="External"/><Relationship Id="rId299" Type="http://schemas.openxmlformats.org/officeDocument/2006/relationships/hyperlink" Target="https://github.com/FractonicMind/TernaryMoralLogic" TargetMode="External"/><Relationship Id="rId177" Type="http://schemas.openxmlformats.org/officeDocument/2006/relationships/hyperlink" Target="https://zoek.officielebekendmakingen.nl/kst-35510-2.html" TargetMode="External"/><Relationship Id="rId298" Type="http://schemas.openxmlformats.org/officeDocument/2006/relationships/hyperlink" Target="https://github.com/FractonicMind/TernaryMoralLogic" TargetMode="External"/><Relationship Id="rId198" Type="http://schemas.openxmlformats.org/officeDocument/2006/relationships/hyperlink" Target="https://eur-lex.europa.eu/legal-content/EN/TXT/?uri=CELEX:32014R0910" TargetMode="External"/><Relationship Id="rId197" Type="http://schemas.openxmlformats.org/officeDocument/2006/relationships/hyperlink" Target="https://eur-lex.europa.eu/legal-content/EN/TXT/?uri=CELEX:32014R0910" TargetMode="External"/><Relationship Id="rId196" Type="http://schemas.openxmlformats.org/officeDocument/2006/relationships/hyperlink" Target="https://github.com/FractonicMind/TernaryMoralLogic" TargetMode="External"/><Relationship Id="rId195" Type="http://schemas.openxmlformats.org/officeDocument/2006/relationships/hyperlink" Target="https://github.com/FractonicMind/TernaryMoralLogic" TargetMode="External"/><Relationship Id="rId199" Type="http://schemas.openxmlformats.org/officeDocument/2006/relationships/hyperlink" Target="https://www.law.cornell.edu/rules/fre/rule_902" TargetMode="External"/><Relationship Id="rId150" Type="http://schemas.openxmlformats.org/officeDocument/2006/relationships/hyperlink" Target="https://github.com/FractonicMind/TernaryMoralLogic" TargetMode="External"/><Relationship Id="rId271" Type="http://schemas.openxmlformats.org/officeDocument/2006/relationships/hyperlink" Target="https://eur-lex.europa.eu/legal-content/EN/TXT/?uri=CELEX:32024R1689" TargetMode="External"/><Relationship Id="rId392" Type="http://schemas.openxmlformats.org/officeDocument/2006/relationships/hyperlink" Target="https://doi.org/10.1109/TVLSI.2016.2638433" TargetMode="External"/><Relationship Id="rId270" Type="http://schemas.openxmlformats.org/officeDocument/2006/relationships/hyperlink" Target="https://eur-lex.europa.eu/legal-content/EN/TXT/?uri=CELEX:32024R1689" TargetMode="External"/><Relationship Id="rId391" Type="http://schemas.openxmlformats.org/officeDocument/2006/relationships/hyperlink" Target="https://doi.org/10.1109/TVLSI.2016.2638433" TargetMode="External"/><Relationship Id="rId390" Type="http://schemas.openxmlformats.org/officeDocument/2006/relationships/hyperlink" Target="https://github.com/FractonicMind/TernaryMoralLogi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github.com/FractonicMind/TernaryMoralLogic" TargetMode="External"/><Relationship Id="rId4" Type="http://schemas.openxmlformats.org/officeDocument/2006/relationships/numbering" Target="numbering.xml"/><Relationship Id="rId148" Type="http://schemas.openxmlformats.org/officeDocument/2006/relationships/hyperlink" Target="https://github.com/FractonicMind/TernaryMoralLogic" TargetMode="External"/><Relationship Id="rId269" Type="http://schemas.openxmlformats.org/officeDocument/2006/relationships/hyperlink" Target="https://eur-lex.europa.eu/legal-content/EN/TXT/?uri=CELEX:32024R1689" TargetMode="External"/><Relationship Id="rId9" Type="http://schemas.openxmlformats.org/officeDocument/2006/relationships/hyperlink" Target="https://doi.org/10.1007/s43681-025-00910-6" TargetMode="External"/><Relationship Id="rId143" Type="http://schemas.openxmlformats.org/officeDocument/2006/relationships/hyperlink" Target="https://github.com/FractonicMind/TernaryMoralLogic" TargetMode="External"/><Relationship Id="rId264" Type="http://schemas.openxmlformats.org/officeDocument/2006/relationships/hyperlink" Target="https://eur-lex.europa.eu/legal-content/EN/TXT/?uri=CELEX:32024R1689" TargetMode="External"/><Relationship Id="rId385" Type="http://schemas.openxmlformats.org/officeDocument/2006/relationships/hyperlink" Target="https://doi.org/10.1109/12.144622" TargetMode="External"/><Relationship Id="rId142" Type="http://schemas.openxmlformats.org/officeDocument/2006/relationships/hyperlink" Target="https://github.com/FractonicMind/TernaryMoralLogic" TargetMode="External"/><Relationship Id="rId263" Type="http://schemas.openxmlformats.org/officeDocument/2006/relationships/hyperlink" Target="https://eur-lex.europa.eu/legal-content/EN/TXT/?uri=CELEX:32024R1689" TargetMode="External"/><Relationship Id="rId384" Type="http://schemas.openxmlformats.org/officeDocument/2006/relationships/hyperlink" Target="https://doi.org/10.1109/TC.1973.5009051" TargetMode="External"/><Relationship Id="rId141" Type="http://schemas.openxmlformats.org/officeDocument/2006/relationships/hyperlink" Target="https://github.com/FractonicMind/TernaryMoralLogic" TargetMode="External"/><Relationship Id="rId262" Type="http://schemas.openxmlformats.org/officeDocument/2006/relationships/hyperlink" Target="https://eur-lex.europa.eu/legal-content/EN/TXT/?uri=CELEX:32024R1689" TargetMode="External"/><Relationship Id="rId383" Type="http://schemas.openxmlformats.org/officeDocument/2006/relationships/hyperlink" Target="https://doi.org/10.1109/TC.1973.5009051" TargetMode="External"/><Relationship Id="rId140" Type="http://schemas.openxmlformats.org/officeDocument/2006/relationships/hyperlink" Target="https://doi.org/10.6028/NIST.FIPS.205" TargetMode="External"/><Relationship Id="rId261" Type="http://schemas.openxmlformats.org/officeDocument/2006/relationships/hyperlink" Target="https://eur-lex.europa.eu/legal-content/EN/TXT/?uri=CELEX:32024R1689" TargetMode="External"/><Relationship Id="rId382" Type="http://schemas.openxmlformats.org/officeDocument/2006/relationships/hyperlink" Target="http://spinroot.com/" TargetMode="External"/><Relationship Id="rId5" Type="http://schemas.openxmlformats.org/officeDocument/2006/relationships/styles" Target="styles.xml"/><Relationship Id="rId147" Type="http://schemas.openxmlformats.org/officeDocument/2006/relationships/hyperlink" Target="https://github.com/FractonicMind/TernaryMoralLogic" TargetMode="External"/><Relationship Id="rId268" Type="http://schemas.openxmlformats.org/officeDocument/2006/relationships/hyperlink" Target="https://eur-lex.europa.eu/legal-content/EN/TXT/?uri=CELEX:32024R1689" TargetMode="External"/><Relationship Id="rId389" Type="http://schemas.openxmlformats.org/officeDocument/2006/relationships/hyperlink" Target="https://github.com/FractonicMind/TernaryMoralLogic" TargetMode="External"/><Relationship Id="rId6" Type="http://schemas.openxmlformats.org/officeDocument/2006/relationships/hyperlink" Target="https://github.com/FractonicMind/TernaryMoralLogic/tree/main" TargetMode="External"/><Relationship Id="rId146" Type="http://schemas.openxmlformats.org/officeDocument/2006/relationships/hyperlink" Target="https://doi.org/10.1007/s43681-025-00910-6" TargetMode="External"/><Relationship Id="rId267" Type="http://schemas.openxmlformats.org/officeDocument/2006/relationships/hyperlink" Target="https://eur-lex.europa.eu/legal-content/EN/TXT/?uri=CELEX:32024R1689" TargetMode="External"/><Relationship Id="rId388" Type="http://schemas.openxmlformats.org/officeDocument/2006/relationships/hyperlink" Target="https://github.com/FractonicMind/TernaryMoralLogic" TargetMode="External"/><Relationship Id="rId7" Type="http://schemas.openxmlformats.org/officeDocument/2006/relationships/hyperlink" Target="https://doi.org/10.1007/s43681-025-00910-6" TargetMode="External"/><Relationship Id="rId145" Type="http://schemas.openxmlformats.org/officeDocument/2006/relationships/hyperlink" Target="https://doi.org/10.1007/s43681-025-00910-6" TargetMode="External"/><Relationship Id="rId266" Type="http://schemas.openxmlformats.org/officeDocument/2006/relationships/hyperlink" Target="https://eur-lex.europa.eu/legal-content/EN/TXT/?uri=CELEX:32024R1689" TargetMode="External"/><Relationship Id="rId387" Type="http://schemas.openxmlformats.org/officeDocument/2006/relationships/hyperlink" Target="https://github.com/FractonicMind/TernaryMoralLogic" TargetMode="External"/><Relationship Id="rId8" Type="http://schemas.openxmlformats.org/officeDocument/2006/relationships/hyperlink" Target="https://doi.org/10.1007/s43681-026-01124-0" TargetMode="External"/><Relationship Id="rId144" Type="http://schemas.openxmlformats.org/officeDocument/2006/relationships/hyperlink" Target="https://github.com/FractonicMind/TernaryMoralLogic" TargetMode="External"/><Relationship Id="rId265" Type="http://schemas.openxmlformats.org/officeDocument/2006/relationships/hyperlink" Target="https://eur-lex.europa.eu/legal-content/EN/TXT/?uri=CELEX:32024R1689" TargetMode="External"/><Relationship Id="rId386" Type="http://schemas.openxmlformats.org/officeDocument/2006/relationships/hyperlink" Target="https://doi.org/10.1109/12.144622" TargetMode="External"/><Relationship Id="rId260" Type="http://schemas.openxmlformats.org/officeDocument/2006/relationships/hyperlink" Target="https://www.iso.org/standard/81230.html" TargetMode="External"/><Relationship Id="rId381" Type="http://schemas.openxmlformats.org/officeDocument/2006/relationships/hyperlink" Target="http://spinroot.com/" TargetMode="External"/><Relationship Id="rId380" Type="http://schemas.openxmlformats.org/officeDocument/2006/relationships/hyperlink" Target="https://nusmv.fbk.eu/" TargetMode="External"/><Relationship Id="rId139" Type="http://schemas.openxmlformats.org/officeDocument/2006/relationships/hyperlink" Target="https://doi.org/10.6028/NIST.FIPS.205" TargetMode="External"/><Relationship Id="rId138" Type="http://schemas.openxmlformats.org/officeDocument/2006/relationships/hyperlink" Target="https://github.com/FractonicMind/TernaryMoralLogic" TargetMode="External"/><Relationship Id="rId259" Type="http://schemas.openxmlformats.org/officeDocument/2006/relationships/hyperlink" Target="https://www.iso.org/standard/81230.html" TargetMode="External"/><Relationship Id="rId137" Type="http://schemas.openxmlformats.org/officeDocument/2006/relationships/hyperlink" Target="https://github.com/FractonicMind/TernaryMoralLogic" TargetMode="External"/><Relationship Id="rId258" Type="http://schemas.openxmlformats.org/officeDocument/2006/relationships/hyperlink" Target="https://doi.org/10.6028/NIST.AI.100-1" TargetMode="External"/><Relationship Id="rId379" Type="http://schemas.openxmlformats.org/officeDocument/2006/relationships/hyperlink" Target="https://nusmv.fbk.eu/" TargetMode="External"/><Relationship Id="rId132" Type="http://schemas.openxmlformats.org/officeDocument/2006/relationships/hyperlink" Target="https://www.sec.gov/news/studies/2010/marketevents-report.pdf" TargetMode="External"/><Relationship Id="rId253" Type="http://schemas.openxmlformats.org/officeDocument/2006/relationships/hyperlink" Target="https://github.com/FractonicMind/TernaryMoralLogic" TargetMode="External"/><Relationship Id="rId374" Type="http://schemas.openxmlformats.org/officeDocument/2006/relationships/hyperlink" Target="https://github.com/FractonicMind/TernaryMoralLogic" TargetMode="External"/><Relationship Id="rId495" Type="http://schemas.openxmlformats.org/officeDocument/2006/relationships/hyperlink" Target="https://doi.org/10.2307/2370324" TargetMode="External"/><Relationship Id="rId131" Type="http://schemas.openxmlformats.org/officeDocument/2006/relationships/hyperlink" Target="https://www.sec.gov/news/studies/2010/marketevents-report.pdf" TargetMode="External"/><Relationship Id="rId252" Type="http://schemas.openxmlformats.org/officeDocument/2006/relationships/hyperlink" Target="https://www.esd.whs.mil/Portals/54/Documents/DD/issuances/dodd/300009p.pdf" TargetMode="External"/><Relationship Id="rId373" Type="http://schemas.openxmlformats.org/officeDocument/2006/relationships/hyperlink" Target="https://github.com/FractonicMind/TernaryMoralLogic" TargetMode="External"/><Relationship Id="rId494" Type="http://schemas.openxmlformats.org/officeDocument/2006/relationships/hyperlink" Target="https://doi.org/10.2307/2267292" TargetMode="External"/><Relationship Id="rId130" Type="http://schemas.openxmlformats.org/officeDocument/2006/relationships/hyperlink" Target="https://github.com/FractonicMind/TernaryMoralLogic" TargetMode="External"/><Relationship Id="rId251" Type="http://schemas.openxmlformats.org/officeDocument/2006/relationships/hyperlink" Target="https://www.esd.whs.mil/Portals/54/Documents/DD/issuances/dodd/300009p.pdf" TargetMode="External"/><Relationship Id="rId372" Type="http://schemas.openxmlformats.org/officeDocument/2006/relationships/hyperlink" Target="https://github.com/FractonicMind/TernaryMoralLogic" TargetMode="External"/><Relationship Id="rId493" Type="http://schemas.openxmlformats.org/officeDocument/2006/relationships/hyperlink" Target="https://doi.org/10.2307/2267292" TargetMode="External"/><Relationship Id="rId250" Type="http://schemas.openxmlformats.org/officeDocument/2006/relationships/hyperlink" Target="https://github.com/FractonicMind/TernaryMoralLogic" TargetMode="External"/><Relationship Id="rId371" Type="http://schemas.openxmlformats.org/officeDocument/2006/relationships/hyperlink" Target="https://github.com/FractonicMind/TernaryMoralLogic" TargetMode="External"/><Relationship Id="rId492" Type="http://schemas.openxmlformats.org/officeDocument/2006/relationships/hyperlink" Target="https://doi.org/10.1007/978-94-010-1161-7_8" TargetMode="External"/><Relationship Id="rId136" Type="http://schemas.openxmlformats.org/officeDocument/2006/relationships/hyperlink" Target="https://github.com/FractonicMind/TernaryMoralLogic" TargetMode="External"/><Relationship Id="rId257" Type="http://schemas.openxmlformats.org/officeDocument/2006/relationships/hyperlink" Target="https://doi.org/10.6028/NIST.AI.100-1" TargetMode="External"/><Relationship Id="rId378" Type="http://schemas.openxmlformats.org/officeDocument/2006/relationships/hyperlink" Target="https://github.com/FractonicMind/TernaryMoralLogic" TargetMode="External"/><Relationship Id="rId499" Type="http://schemas.openxmlformats.org/officeDocument/2006/relationships/hyperlink" Target="https://www.icrc.org/en/war-and-law/treaties-customary-law/geneva-conventions" TargetMode="External"/><Relationship Id="rId135" Type="http://schemas.openxmlformats.org/officeDocument/2006/relationships/hyperlink" Target="https://github.com/FractonicMind/TernaryMoralLogic" TargetMode="External"/><Relationship Id="rId256" Type="http://schemas.openxmlformats.org/officeDocument/2006/relationships/hyperlink" Target="https://eur-lex.europa.eu/legal-content/EN/TXT/?uri=CELEX:32024R1689" TargetMode="External"/><Relationship Id="rId377" Type="http://schemas.openxmlformats.org/officeDocument/2006/relationships/hyperlink" Target="https://github.com/FractonicMind/TernaryMoralLogic" TargetMode="External"/><Relationship Id="rId498" Type="http://schemas.openxmlformats.org/officeDocument/2006/relationships/hyperlink" Target="https://www.un.org/en/about-us/universal-declaration-of-human-rights" TargetMode="External"/><Relationship Id="rId134" Type="http://schemas.openxmlformats.org/officeDocument/2006/relationships/hyperlink" Target="https://doi.org/10.1007/s43681-021-00082-3" TargetMode="External"/><Relationship Id="rId255" Type="http://schemas.openxmlformats.org/officeDocument/2006/relationships/hyperlink" Target="https://eur-lex.europa.eu/legal-content/EN/TXT/?uri=CELEX:32024R1689" TargetMode="External"/><Relationship Id="rId376" Type="http://schemas.openxmlformats.org/officeDocument/2006/relationships/hyperlink" Target="https://github.com/FractonicMind/TernaryMoralLogic" TargetMode="External"/><Relationship Id="rId497" Type="http://schemas.openxmlformats.org/officeDocument/2006/relationships/hyperlink" Target="https://www.un.org/en/about-us/universal-declaration-of-human-rights" TargetMode="External"/><Relationship Id="rId133" Type="http://schemas.openxmlformats.org/officeDocument/2006/relationships/hyperlink" Target="https://doi.org/10.1007/s43681-021-00082-3" TargetMode="External"/><Relationship Id="rId254" Type="http://schemas.openxmlformats.org/officeDocument/2006/relationships/hyperlink" Target="https://github.com/FractonicMind/TernaryMoralLogic" TargetMode="External"/><Relationship Id="rId375" Type="http://schemas.openxmlformats.org/officeDocument/2006/relationships/hyperlink" Target="https://github.com/FractonicMind/TernaryMoralLogic" TargetMode="External"/><Relationship Id="rId496" Type="http://schemas.openxmlformats.org/officeDocument/2006/relationships/hyperlink" Target="https://doi.org/10.2307/2370324" TargetMode="External"/><Relationship Id="rId172" Type="http://schemas.openxmlformats.org/officeDocument/2006/relationships/hyperlink" Target="https://github.com/FractonicMind/TernaryMoralLogic" TargetMode="External"/><Relationship Id="rId293" Type="http://schemas.openxmlformats.org/officeDocument/2006/relationships/hyperlink" Target="https://www.pdpc.gov.sg/help-and-resources/2020/01/model-ai-governance-framework" TargetMode="External"/><Relationship Id="rId171" Type="http://schemas.openxmlformats.org/officeDocument/2006/relationships/hyperlink" Target="https://github.com/FractonicMind/TernaryMoralLogic" TargetMode="External"/><Relationship Id="rId292" Type="http://schemas.openxmlformats.org/officeDocument/2006/relationships/hyperlink" Target="https://www.tbs-sct.canada.ca/pol/doc-eng.aspx?id=32592" TargetMode="External"/><Relationship Id="rId170" Type="http://schemas.openxmlformats.org/officeDocument/2006/relationships/hyperlink" Target="https://github.com/FractonicMind/TernaryMoralLogic" TargetMode="External"/><Relationship Id="rId291" Type="http://schemas.openxmlformats.org/officeDocument/2006/relationships/hyperlink" Target="https://www.tbs-sct.canada.ca/pol/doc-eng.aspx?id=32592" TargetMode="External"/><Relationship Id="rId290" Type="http://schemas.openxmlformats.org/officeDocument/2006/relationships/hyperlink" Target="http://www.planalto.gov.br/ccivil_03/_ato2018-2022/2018/lei/L13709.htm" TargetMode="External"/><Relationship Id="rId165" Type="http://schemas.openxmlformats.org/officeDocument/2006/relationships/hyperlink" Target="https://www.ohchr.org/en/instruments-mechanisms/instruments/international-covenant-civil-and-political-rights" TargetMode="External"/><Relationship Id="rId286" Type="http://schemas.openxmlformats.org/officeDocument/2006/relationships/hyperlink" Target="https://eur-lex.europa.eu/legal-content/EN/TXT/?uri=CELEX:32014R0910" TargetMode="External"/><Relationship Id="rId164" Type="http://schemas.openxmlformats.org/officeDocument/2006/relationships/hyperlink" Target="https://www.un.org/en/about-us/universal-declaration-of-human-rights" TargetMode="External"/><Relationship Id="rId285" Type="http://schemas.openxmlformats.org/officeDocument/2006/relationships/hyperlink" Target="https://eur-lex.europa.eu/legal-content/EN/TXT/?uri=CELEX:32014R0910" TargetMode="External"/><Relationship Id="rId163" Type="http://schemas.openxmlformats.org/officeDocument/2006/relationships/hyperlink" Target="https://www.un.org/en/about-us/universal-declaration-of-human-rights" TargetMode="External"/><Relationship Id="rId284" Type="http://schemas.openxmlformats.org/officeDocument/2006/relationships/hyperlink" Target="https://www.law.cornell.edu/rules/fre/rule_902" TargetMode="External"/><Relationship Id="rId162" Type="http://schemas.openxmlformats.org/officeDocument/2006/relationships/hyperlink" Target="https://www.ohchr.org/en/instruments-mechanisms/instruments/international-covenant-civil-and-political-rights" TargetMode="External"/><Relationship Id="rId283" Type="http://schemas.openxmlformats.org/officeDocument/2006/relationships/hyperlink" Target="https://www.law.cornell.edu/rules/fre/rule_902" TargetMode="External"/><Relationship Id="rId169" Type="http://schemas.openxmlformats.org/officeDocument/2006/relationships/hyperlink" Target="https://github.com/FractonicMind/TernaryMoralLogic" TargetMode="External"/><Relationship Id="rId168" Type="http://schemas.openxmlformats.org/officeDocument/2006/relationships/hyperlink" Target="https://www.icrc.org/en/war-and-law/treaties-customary-law/geneva-conventions" TargetMode="External"/><Relationship Id="rId289" Type="http://schemas.openxmlformats.org/officeDocument/2006/relationships/hyperlink" Target="http://www.planalto.gov.br/ccivil_03/_ato2018-2022/2018/lei/L13709.htm" TargetMode="External"/><Relationship Id="rId167" Type="http://schemas.openxmlformats.org/officeDocument/2006/relationships/hyperlink" Target="https://www.icrc.org/en/war-and-law/treaties-customary-law/geneva-conventions" TargetMode="External"/><Relationship Id="rId288" Type="http://schemas.openxmlformats.org/officeDocument/2006/relationships/hyperlink" Target="https://www.federalreserve.gov/supervisionreg/srletters/sr1107.htm" TargetMode="External"/><Relationship Id="rId166" Type="http://schemas.openxmlformats.org/officeDocument/2006/relationships/hyperlink" Target="https://www.ohchr.org/en/instruments-mechanisms/instruments/international-covenant-civil-and-political-rights" TargetMode="External"/><Relationship Id="rId287" Type="http://schemas.openxmlformats.org/officeDocument/2006/relationships/hyperlink" Target="https://www.federalreserve.gov/supervisionreg/srletters/sr1107.htm" TargetMode="External"/><Relationship Id="rId161" Type="http://schemas.openxmlformats.org/officeDocument/2006/relationships/hyperlink" Target="https://www.ohchr.org/en/instruments-mechanisms/instruments/international-covenant-civil-and-political-rights" TargetMode="External"/><Relationship Id="rId282" Type="http://schemas.openxmlformats.org/officeDocument/2006/relationships/hyperlink" Target="https://www.iso.org/standard/81230.html" TargetMode="External"/><Relationship Id="rId160" Type="http://schemas.openxmlformats.org/officeDocument/2006/relationships/hyperlink" Target="https://law.justia.com/cases/federal/appellate-courts/ca8/16-3745/16-3745-2017-08-09.html" TargetMode="External"/><Relationship Id="rId281" Type="http://schemas.openxmlformats.org/officeDocument/2006/relationships/hyperlink" Target="https://www.iso.org/standard/81230.html" TargetMode="External"/><Relationship Id="rId280" Type="http://schemas.openxmlformats.org/officeDocument/2006/relationships/hyperlink" Target="https://doi.org/10.6028/NIST.AI.100-1" TargetMode="External"/><Relationship Id="rId159" Type="http://schemas.openxmlformats.org/officeDocument/2006/relationships/hyperlink" Target="https://law.justia.com/cases/federal/appellate-courts/ca8/16-3745/16-3745-2017-08-09.html" TargetMode="External"/><Relationship Id="rId154" Type="http://schemas.openxmlformats.org/officeDocument/2006/relationships/hyperlink" Target="https://www.law.cornell.edu/rules/fre/rule_902" TargetMode="External"/><Relationship Id="rId275" Type="http://schemas.openxmlformats.org/officeDocument/2006/relationships/hyperlink" Target="https://eur-lex.europa.eu/legal-content/EN/TXT/?uri=CELEX:32024R1689" TargetMode="External"/><Relationship Id="rId396" Type="http://schemas.openxmlformats.org/officeDocument/2006/relationships/hyperlink" Target="https://github.com/FractonicMind/TernaryMoralLogic" TargetMode="External"/><Relationship Id="rId153" Type="http://schemas.openxmlformats.org/officeDocument/2006/relationships/hyperlink" Target="https://www.law.cornell.edu/rules/fre/rule_902" TargetMode="External"/><Relationship Id="rId274" Type="http://schemas.openxmlformats.org/officeDocument/2006/relationships/hyperlink" Target="https://eur-lex.europa.eu/legal-content/EN/TXT/?uri=CELEX:32024R1689" TargetMode="External"/><Relationship Id="rId395" Type="http://schemas.openxmlformats.org/officeDocument/2006/relationships/hyperlink" Target="https://github.com/FractonicMind/TernaryMoralLogic" TargetMode="External"/><Relationship Id="rId152" Type="http://schemas.openxmlformats.org/officeDocument/2006/relationships/hyperlink" Target="https://github.com/FractonicMind/TernaryMoralLogic" TargetMode="External"/><Relationship Id="rId273" Type="http://schemas.openxmlformats.org/officeDocument/2006/relationships/hyperlink" Target="https://eur-lex.europa.eu/legal-content/EN/TXT/?uri=CELEX:32024R1689" TargetMode="External"/><Relationship Id="rId394" Type="http://schemas.openxmlformats.org/officeDocument/2006/relationships/hyperlink" Target="https://github.com/FractonicMind/TernaryMoralLogic" TargetMode="External"/><Relationship Id="rId151" Type="http://schemas.openxmlformats.org/officeDocument/2006/relationships/hyperlink" Target="https://github.com/FractonicMind/TernaryMoralLogic" TargetMode="External"/><Relationship Id="rId272" Type="http://schemas.openxmlformats.org/officeDocument/2006/relationships/hyperlink" Target="https://eur-lex.europa.eu/legal-content/EN/TXT/?uri=CELEX:32024R1689" TargetMode="External"/><Relationship Id="rId393" Type="http://schemas.openxmlformats.org/officeDocument/2006/relationships/hyperlink" Target="https://github.com/FractonicMind/TernaryMoralLogic" TargetMode="External"/><Relationship Id="rId158" Type="http://schemas.openxmlformats.org/officeDocument/2006/relationships/hyperlink" Target="https://eur-lex.europa.eu/legal-content/EN/TXT/?uri=CELEX:32024R1689" TargetMode="External"/><Relationship Id="rId279" Type="http://schemas.openxmlformats.org/officeDocument/2006/relationships/hyperlink" Target="https://doi.org/10.6028/NIST.AI.100-1" TargetMode="External"/><Relationship Id="rId157" Type="http://schemas.openxmlformats.org/officeDocument/2006/relationships/hyperlink" Target="https://eur-lex.europa.eu/legal-content/EN/TXT/?uri=CELEX:32024R1689" TargetMode="External"/><Relationship Id="rId278" Type="http://schemas.openxmlformats.org/officeDocument/2006/relationships/hyperlink" Target="https://eur-lex.europa.eu/legal-content/EN/TXT/?uri=CELEX:32024R1689" TargetMode="External"/><Relationship Id="rId399" Type="http://schemas.openxmlformats.org/officeDocument/2006/relationships/hyperlink" Target="https://github.com/FractonicMind/TernaryMoralLogic" TargetMode="External"/><Relationship Id="rId156" Type="http://schemas.openxmlformats.org/officeDocument/2006/relationships/hyperlink" Target="https://eur-lex.europa.eu/legal-content/EN/TXT/?uri=CELEX:32014R0910" TargetMode="External"/><Relationship Id="rId277" Type="http://schemas.openxmlformats.org/officeDocument/2006/relationships/hyperlink" Target="https://eur-lex.europa.eu/legal-content/EN/TXT/?uri=CELEX:32024R1689" TargetMode="External"/><Relationship Id="rId398" Type="http://schemas.openxmlformats.org/officeDocument/2006/relationships/hyperlink" Target="https://doi.org/10.1109/ECTC.2012.6248524" TargetMode="External"/><Relationship Id="rId155" Type="http://schemas.openxmlformats.org/officeDocument/2006/relationships/hyperlink" Target="https://eur-lex.europa.eu/legal-content/EN/TXT/?uri=CELEX:32014R0910" TargetMode="External"/><Relationship Id="rId276" Type="http://schemas.openxmlformats.org/officeDocument/2006/relationships/hyperlink" Target="https://eur-lex.europa.eu/legal-content/EN/TXT/?uri=CELEX:32024R1689" TargetMode="External"/><Relationship Id="rId397" Type="http://schemas.openxmlformats.org/officeDocument/2006/relationships/hyperlink" Target="https://doi.org/10.1109/ECTC.2012.6248524" TargetMode="External"/><Relationship Id="rId40" Type="http://schemas.openxmlformats.org/officeDocument/2006/relationships/hyperlink" Target="https://www.autoriteitpersoonsgegevens.nl/" TargetMode="External"/><Relationship Id="rId42" Type="http://schemas.openxmlformats.org/officeDocument/2006/relationships/hyperlink" Target="https://files.tweedekamer.nl/sites/default/files/2024-02/Rapport%20PEFD%20Blind%20voor%20mens%20en%20recht%2026022024.pdf" TargetMode="External"/><Relationship Id="rId41" Type="http://schemas.openxmlformats.org/officeDocument/2006/relationships/hyperlink" Target="https://files.tweedekamer.nl/sites/default/files/2024-02/Rapport%20PEFD%20Blind%20voor%20mens%20en%20recht%2026022024.pdf" TargetMode="External"/><Relationship Id="rId44" Type="http://schemas.openxmlformats.org/officeDocument/2006/relationships/hyperlink" Target="https://arxiv.org/abs/1606.06565" TargetMode="External"/><Relationship Id="rId43" Type="http://schemas.openxmlformats.org/officeDocument/2006/relationships/hyperlink" Target="https://arxiv.org/abs/1606.06565" TargetMode="External"/><Relationship Id="rId46" Type="http://schemas.openxmlformats.org/officeDocument/2006/relationships/hyperlink" Target="https://arxiv.org/abs/1803.03453" TargetMode="External"/><Relationship Id="rId45" Type="http://schemas.openxmlformats.org/officeDocument/2006/relationships/hyperlink" Target="https://arxiv.org/abs/1803.03453" TargetMode="External"/><Relationship Id="rId509" Type="http://schemas.openxmlformats.org/officeDocument/2006/relationships/hyperlink" Target="https://doi.org/10.1007/978-94-010-1490-8" TargetMode="External"/><Relationship Id="rId508" Type="http://schemas.openxmlformats.org/officeDocument/2006/relationships/hyperlink" Target="https://doi.org/10.1007/s43681-021-00082-3" TargetMode="External"/><Relationship Id="rId503" Type="http://schemas.openxmlformats.org/officeDocument/2006/relationships/hyperlink" Target="https://eur-lex.europa.eu/legal-content/EN/TXT/?uri=CELEX:32024R1689" TargetMode="External"/><Relationship Id="rId624" Type="http://schemas.openxmlformats.org/officeDocument/2006/relationships/hyperlink" Target="https://doi.org/10.1007/978-1-4612-0555-8" TargetMode="External"/><Relationship Id="rId502" Type="http://schemas.openxmlformats.org/officeDocument/2006/relationships/hyperlink" Target="https://unfccc.int/process-and-meetings/the-paris-agreement" TargetMode="External"/><Relationship Id="rId623" Type="http://schemas.openxmlformats.org/officeDocument/2006/relationships/hyperlink" Target="https://doi.org/10.1007/978-1-4612-0555-8" TargetMode="External"/><Relationship Id="rId501" Type="http://schemas.openxmlformats.org/officeDocument/2006/relationships/hyperlink" Target="https://unfccc.int/process-and-meetings/the-paris-agreement" TargetMode="External"/><Relationship Id="rId622" Type="http://schemas.openxmlformats.org/officeDocument/2006/relationships/hyperlink" Target="https://doi.org/10.1093/acprof:oso/9780199231492.001.0001" TargetMode="External"/><Relationship Id="rId500" Type="http://schemas.openxmlformats.org/officeDocument/2006/relationships/hyperlink" Target="https://www.icrc.org/en/war-and-law/treaties-customary-law/geneva-conventions" TargetMode="External"/><Relationship Id="rId621" Type="http://schemas.openxmlformats.org/officeDocument/2006/relationships/hyperlink" Target="https://doi.org/10.1093/acprof:oso/9780199231492.001.0001" TargetMode="External"/><Relationship Id="rId507" Type="http://schemas.openxmlformats.org/officeDocument/2006/relationships/hyperlink" Target="https://doi.org/10.1007/s43681-021-00082-3" TargetMode="External"/><Relationship Id="rId506" Type="http://schemas.openxmlformats.org/officeDocument/2006/relationships/hyperlink" Target="https://arxiv.org/abs/2302.07459" TargetMode="External"/><Relationship Id="rId505" Type="http://schemas.openxmlformats.org/officeDocument/2006/relationships/hyperlink" Target="https://arxiv.org/abs/2302.07459" TargetMode="External"/><Relationship Id="rId626" Type="http://schemas.openxmlformats.org/officeDocument/2006/relationships/hyperlink" Target="https://www.irs.gov/charities-non-profits/charitable-organizations/exemption-requirements-501c3-organizations" TargetMode="External"/><Relationship Id="rId504" Type="http://schemas.openxmlformats.org/officeDocument/2006/relationships/hyperlink" Target="https://eur-lex.europa.eu/legal-content/EN/TXT/?uri=CELEX:32024R1689" TargetMode="External"/><Relationship Id="rId625" Type="http://schemas.openxmlformats.org/officeDocument/2006/relationships/hyperlink" Target="https://www.irs.gov/charities-non-profits/charitable-organizations/exemption-requirements-501c3-organizations" TargetMode="External"/><Relationship Id="rId48" Type="http://schemas.openxmlformats.org/officeDocument/2006/relationships/hyperlink" Target="https://doi.org/10.1007/978-94-010-1161-7_8" TargetMode="External"/><Relationship Id="rId47" Type="http://schemas.openxmlformats.org/officeDocument/2006/relationships/hyperlink" Target="https://doi.org/10.1007/978-94-010-1161-7_8" TargetMode="External"/><Relationship Id="rId49" Type="http://schemas.openxmlformats.org/officeDocument/2006/relationships/hyperlink" Target="https://doi.org/10.2307/2267292" TargetMode="External"/><Relationship Id="rId620" Type="http://schemas.openxmlformats.org/officeDocument/2006/relationships/hyperlink" Target="https://doi.org/10.1017/CBO9780511814600" TargetMode="External"/><Relationship Id="rId31" Type="http://schemas.openxmlformats.org/officeDocument/2006/relationships/hyperlink" Target="https://undocs.org/S/2021/229" TargetMode="External"/><Relationship Id="rId30" Type="http://schemas.openxmlformats.org/officeDocument/2006/relationships/hyperlink" Target="https://undocs.org/S/2021/229" TargetMode="External"/><Relationship Id="rId33" Type="http://schemas.openxmlformats.org/officeDocument/2006/relationships/hyperlink" Target="https://zoek.officielebekendmakingen.nl/kst-35510-2.html" TargetMode="External"/><Relationship Id="rId32" Type="http://schemas.openxmlformats.org/officeDocument/2006/relationships/hyperlink" Target="https://undocs.org/S/2021/229" TargetMode="External"/><Relationship Id="rId35" Type="http://schemas.openxmlformats.org/officeDocument/2006/relationships/hyperlink" Target="https://zoek.officielebekendmakingen.nl/kst-35510-2.html" TargetMode="External"/><Relationship Id="rId34" Type="http://schemas.openxmlformats.org/officeDocument/2006/relationships/hyperlink" Target="https://zoek.officielebekendmakingen.nl/kst-35510-2.html" TargetMode="External"/><Relationship Id="rId619" Type="http://schemas.openxmlformats.org/officeDocument/2006/relationships/hyperlink" Target="https://doi.org/10.1017/CBO9780511814600" TargetMode="External"/><Relationship Id="rId618" Type="http://schemas.openxmlformats.org/officeDocument/2006/relationships/hyperlink" Target="https://doi.org/10.1017/CBO9781139163828" TargetMode="External"/><Relationship Id="rId613" Type="http://schemas.openxmlformats.org/officeDocument/2006/relationships/hyperlink" Target="https://doi.org/10.1093/oseo/instance.00258929" TargetMode="External"/><Relationship Id="rId612" Type="http://schemas.openxmlformats.org/officeDocument/2006/relationships/hyperlink" Target="https://doi.org/10.1093/oseo/instance.00258895" TargetMode="External"/><Relationship Id="rId611" Type="http://schemas.openxmlformats.org/officeDocument/2006/relationships/hyperlink" Target="https://doi.org/10.1093/oseo/instance.00258895" TargetMode="External"/><Relationship Id="rId610" Type="http://schemas.openxmlformats.org/officeDocument/2006/relationships/hyperlink" Target="https://doi.org/10.1093/oseo/instance.00258891" TargetMode="External"/><Relationship Id="rId617" Type="http://schemas.openxmlformats.org/officeDocument/2006/relationships/hyperlink" Target="https://doi.org/10.1017/CBO9781139163828" TargetMode="External"/><Relationship Id="rId616" Type="http://schemas.openxmlformats.org/officeDocument/2006/relationships/hyperlink" Target="https://doi.org/10.2307/j.ctvkjb25m" TargetMode="External"/><Relationship Id="rId615" Type="http://schemas.openxmlformats.org/officeDocument/2006/relationships/hyperlink" Target="https://doi.org/10.2307/j.ctvkjb25m" TargetMode="External"/><Relationship Id="rId614" Type="http://schemas.openxmlformats.org/officeDocument/2006/relationships/hyperlink" Target="https://doi.org/10.1093/oseo/instance.00258929" TargetMode="External"/><Relationship Id="rId37" Type="http://schemas.openxmlformats.org/officeDocument/2006/relationships/hyperlink" Target="https://zoek.officielebekendmakingen.nl/kst-35510-2.html" TargetMode="External"/><Relationship Id="rId36" Type="http://schemas.openxmlformats.org/officeDocument/2006/relationships/hyperlink" Target="https://zoek.officielebekendmakingen.nl/kst-35510-2.html" TargetMode="External"/><Relationship Id="rId39" Type="http://schemas.openxmlformats.org/officeDocument/2006/relationships/hyperlink" Target="https://www.autoriteitpersoonsgegevens.nl/" TargetMode="External"/><Relationship Id="rId38" Type="http://schemas.openxmlformats.org/officeDocument/2006/relationships/hyperlink" Target="https://zoek.officielebekendmakingen.nl/kst-35510-2.html" TargetMode="External"/><Relationship Id="rId20" Type="http://schemas.openxmlformats.org/officeDocument/2006/relationships/hyperlink" Target="https://arxiv.org/abs/1906.01820" TargetMode="External"/><Relationship Id="rId22" Type="http://schemas.openxmlformats.org/officeDocument/2006/relationships/hyperlink" Target="https://www.sec.gov/news/studies/2010/marketevents-report.pdf" TargetMode="External"/><Relationship Id="rId21" Type="http://schemas.openxmlformats.org/officeDocument/2006/relationships/hyperlink" Target="https://www.sec.gov/news/studies/2010/marketevents-report.pdf" TargetMode="External"/><Relationship Id="rId24" Type="http://schemas.openxmlformats.org/officeDocument/2006/relationships/hyperlink" Target="https://www.sec.gov/news/studies/2010/marketevents-report.pdf" TargetMode="External"/><Relationship Id="rId23" Type="http://schemas.openxmlformats.org/officeDocument/2006/relationships/hyperlink" Target="https://www.sec.gov/news/studies/2010/marketevents-report.pdf" TargetMode="External"/><Relationship Id="rId409" Type="http://schemas.openxmlformats.org/officeDocument/2006/relationships/hyperlink" Target="https://github.com/FractonicMind/TernaryMoralLogic" TargetMode="External"/><Relationship Id="rId404" Type="http://schemas.openxmlformats.org/officeDocument/2006/relationships/hyperlink" Target="https://doi.org/10.1038/s41586-020-2388-3" TargetMode="External"/><Relationship Id="rId525" Type="http://schemas.openxmlformats.org/officeDocument/2006/relationships/hyperlink" Target="https://www.ohchr.org/en/instruments-mechanisms/instruments/international-covenant-civil-and-political-rights" TargetMode="External"/><Relationship Id="rId403" Type="http://schemas.openxmlformats.org/officeDocument/2006/relationships/hyperlink" Target="https://doi.org/10.1038/s41586-020-2388-3" TargetMode="External"/><Relationship Id="rId524" Type="http://schemas.openxmlformats.org/officeDocument/2006/relationships/hyperlink" Target="https://law.justia.com/cases/federal/appellate-courts/ca8/16-3745/16-3745-2017-08-09.html" TargetMode="External"/><Relationship Id="rId402" Type="http://schemas.openxmlformats.org/officeDocument/2006/relationships/hyperlink" Target="https://github.com/FractonicMind/TernaryMoralLogic" TargetMode="External"/><Relationship Id="rId523" Type="http://schemas.openxmlformats.org/officeDocument/2006/relationships/hyperlink" Target="https://law.justia.com/cases/federal/appellate-courts/ca8/16-3745/16-3745-2017-08-09.html" TargetMode="External"/><Relationship Id="rId401" Type="http://schemas.openxmlformats.org/officeDocument/2006/relationships/hyperlink" Target="https://github.com/FractonicMind/TernaryMoralLogic" TargetMode="External"/><Relationship Id="rId522" Type="http://schemas.openxmlformats.org/officeDocument/2006/relationships/hyperlink" Target="https://eur-lex.europa.eu/legal-content/EN/TXT/?uri=CELEX:32014R0910" TargetMode="External"/><Relationship Id="rId408" Type="http://schemas.openxmlformats.org/officeDocument/2006/relationships/hyperlink" Target="https://github.com/FractonicMind/TernaryMoralLogic" TargetMode="External"/><Relationship Id="rId529" Type="http://schemas.openxmlformats.org/officeDocument/2006/relationships/hyperlink" Target="https://www.cbd.int/convention/text" TargetMode="External"/><Relationship Id="rId407" Type="http://schemas.openxmlformats.org/officeDocument/2006/relationships/hyperlink" Target="https://github.com/FractonicMind/TernaryMoralLogic" TargetMode="External"/><Relationship Id="rId528" Type="http://schemas.openxmlformats.org/officeDocument/2006/relationships/hyperlink" Target="https://unfccc.int/process-and-meetings/the-paris-agreement" TargetMode="External"/><Relationship Id="rId406" Type="http://schemas.openxmlformats.org/officeDocument/2006/relationships/hyperlink" Target="https://github.com/FractonicMind/TernaryMoralLogic" TargetMode="External"/><Relationship Id="rId527" Type="http://schemas.openxmlformats.org/officeDocument/2006/relationships/hyperlink" Target="https://unfccc.int/process-and-meetings/the-paris-agreement" TargetMode="External"/><Relationship Id="rId405" Type="http://schemas.openxmlformats.org/officeDocument/2006/relationships/hyperlink" Target="https://github.com/FractonicMind/TernaryMoralLogic" TargetMode="External"/><Relationship Id="rId526" Type="http://schemas.openxmlformats.org/officeDocument/2006/relationships/hyperlink" Target="https://www.ohchr.org/en/instruments-mechanisms/instruments/international-covenant-civil-and-political-rights" TargetMode="External"/><Relationship Id="rId26" Type="http://schemas.openxmlformats.org/officeDocument/2006/relationships/hyperlink" Target="https://robodebt.royalcommission.gov.au/publications/report" TargetMode="External"/><Relationship Id="rId25" Type="http://schemas.openxmlformats.org/officeDocument/2006/relationships/hyperlink" Target="https://robodebt.royalcommission.gov.au/publications/report" TargetMode="External"/><Relationship Id="rId28" Type="http://schemas.openxmlformats.org/officeDocument/2006/relationships/hyperlink" Target="https://robodebt.royalcommission.gov.au/publications/report" TargetMode="External"/><Relationship Id="rId27" Type="http://schemas.openxmlformats.org/officeDocument/2006/relationships/hyperlink" Target="https://robodebt.royalcommission.gov.au/publications/report" TargetMode="External"/><Relationship Id="rId400" Type="http://schemas.openxmlformats.org/officeDocument/2006/relationships/hyperlink" Target="https://github.com/FractonicMind/TernaryMoralLogic" TargetMode="External"/><Relationship Id="rId521" Type="http://schemas.openxmlformats.org/officeDocument/2006/relationships/hyperlink" Target="https://eur-lex.europa.eu/legal-content/EN/TXT/?uri=CELEX:32014R0910" TargetMode="External"/><Relationship Id="rId29" Type="http://schemas.openxmlformats.org/officeDocument/2006/relationships/hyperlink" Target="https://undocs.org/S/2021/229" TargetMode="External"/><Relationship Id="rId520" Type="http://schemas.openxmlformats.org/officeDocument/2006/relationships/hyperlink" Target="https://www.law.cornell.edu/rules/fre/rule_902" TargetMode="External"/><Relationship Id="rId11" Type="http://schemas.openxmlformats.org/officeDocument/2006/relationships/hyperlink" Target="https://doi.org/10.1007/s43681-025-00910-6" TargetMode="External"/><Relationship Id="rId10" Type="http://schemas.openxmlformats.org/officeDocument/2006/relationships/hyperlink" Target="https://doi.org/10.1007/s43681-025-00910-6" TargetMode="External"/><Relationship Id="rId13" Type="http://schemas.openxmlformats.org/officeDocument/2006/relationships/hyperlink" Target="https://arxiv.org/abs/2203.02155" TargetMode="External"/><Relationship Id="rId12" Type="http://schemas.openxmlformats.org/officeDocument/2006/relationships/hyperlink" Target="https://doi.org/10.1007/s43681-025-00910-6" TargetMode="External"/><Relationship Id="rId519" Type="http://schemas.openxmlformats.org/officeDocument/2006/relationships/hyperlink" Target="https://www.law.cornell.edu/rules/fre/rule_902" TargetMode="External"/><Relationship Id="rId514" Type="http://schemas.openxmlformats.org/officeDocument/2006/relationships/hyperlink" Target="https://doi.org/10.6028/NIST.AI.100-1" TargetMode="External"/><Relationship Id="rId513" Type="http://schemas.openxmlformats.org/officeDocument/2006/relationships/hyperlink" Target="https://doi.org/10.6028/NIST.AI.100-1" TargetMode="External"/><Relationship Id="rId512" Type="http://schemas.openxmlformats.org/officeDocument/2006/relationships/hyperlink" Target="https://doi.org/10.1017/S0140525X00002035" TargetMode="External"/><Relationship Id="rId511" Type="http://schemas.openxmlformats.org/officeDocument/2006/relationships/hyperlink" Target="https://doi.org/10.1017/S0140525X00002035" TargetMode="External"/><Relationship Id="rId518" Type="http://schemas.openxmlformats.org/officeDocument/2006/relationships/hyperlink" Target="https://doi.org/10.6028/NIST.FIPS.205" TargetMode="External"/><Relationship Id="rId517" Type="http://schemas.openxmlformats.org/officeDocument/2006/relationships/hyperlink" Target="https://doi.org/10.6028/NIST.FIPS.205" TargetMode="External"/><Relationship Id="rId516" Type="http://schemas.openxmlformats.org/officeDocument/2006/relationships/hyperlink" Target="https://doi.org/10.1001/jamainternmed.2021.3333" TargetMode="External"/><Relationship Id="rId515" Type="http://schemas.openxmlformats.org/officeDocument/2006/relationships/hyperlink" Target="https://doi.org/10.1001/jamainternmed.2021.3333" TargetMode="External"/><Relationship Id="rId15" Type="http://schemas.openxmlformats.org/officeDocument/2006/relationships/hyperlink" Target="https://arxiv.org/abs/2212.08073" TargetMode="External"/><Relationship Id="rId14" Type="http://schemas.openxmlformats.org/officeDocument/2006/relationships/hyperlink" Target="https://arxiv.org/abs/2203.02155" TargetMode="External"/><Relationship Id="rId17" Type="http://schemas.openxmlformats.org/officeDocument/2006/relationships/hyperlink" Target="https://arxiv.org/abs/2307.15043" TargetMode="External"/><Relationship Id="rId16" Type="http://schemas.openxmlformats.org/officeDocument/2006/relationships/hyperlink" Target="https://arxiv.org/abs/2212.08073" TargetMode="External"/><Relationship Id="rId19" Type="http://schemas.openxmlformats.org/officeDocument/2006/relationships/hyperlink" Target="https://arxiv.org/abs/1906.01820" TargetMode="External"/><Relationship Id="rId510" Type="http://schemas.openxmlformats.org/officeDocument/2006/relationships/hyperlink" Target="https://doi.org/10.1007/978-94-010-1490-8" TargetMode="External"/><Relationship Id="rId18" Type="http://schemas.openxmlformats.org/officeDocument/2006/relationships/hyperlink" Target="https://arxiv.org/abs/2307.15043" TargetMode="External"/><Relationship Id="rId84" Type="http://schemas.openxmlformats.org/officeDocument/2006/relationships/hyperlink" Target="https://github.com/FractonicMind/TernaryMoralLogic" TargetMode="External"/><Relationship Id="rId83" Type="http://schemas.openxmlformats.org/officeDocument/2006/relationships/hyperlink" Target="https://github.com/FractonicMind/TernaryMoralLogic" TargetMode="External"/><Relationship Id="rId86" Type="http://schemas.openxmlformats.org/officeDocument/2006/relationships/hyperlink" Target="https://github.com/FractonicMind/TernaryMoralLogic" TargetMode="External"/><Relationship Id="rId85" Type="http://schemas.openxmlformats.org/officeDocument/2006/relationships/hyperlink" Target="https://github.com/FractonicMind/TernaryMoralLogic" TargetMode="External"/><Relationship Id="rId88" Type="http://schemas.openxmlformats.org/officeDocument/2006/relationships/hyperlink" Target="https://github.com/FractonicMind/TernaryMoralLogic" TargetMode="External"/><Relationship Id="rId87" Type="http://schemas.openxmlformats.org/officeDocument/2006/relationships/hyperlink" Target="https://github.com/FractonicMind/TernaryMoralLogic" TargetMode="External"/><Relationship Id="rId89" Type="http://schemas.openxmlformats.org/officeDocument/2006/relationships/hyperlink" Target="https://github.com/FractonicMind/TernaryMoralLogic" TargetMode="External"/><Relationship Id="rId80" Type="http://schemas.openxmlformats.org/officeDocument/2006/relationships/hyperlink" Target="https://github.com/FractonicMind/TernaryMoralLogic" TargetMode="External"/><Relationship Id="rId82" Type="http://schemas.openxmlformats.org/officeDocument/2006/relationships/hyperlink" Target="https://github.com/FractonicMind/TernaryMoralLogic" TargetMode="External"/><Relationship Id="rId81" Type="http://schemas.openxmlformats.org/officeDocument/2006/relationships/hyperlink" Target="https://github.com/FractonicMind/TernaryMoralLogic" TargetMode="External"/><Relationship Id="rId73" Type="http://schemas.openxmlformats.org/officeDocument/2006/relationships/hyperlink" Target="https://eur-lex.europa.eu/legal-content/EN/TXT/?uri=CELEX:32024R1689" TargetMode="External"/><Relationship Id="rId72" Type="http://schemas.openxmlformats.org/officeDocument/2006/relationships/hyperlink" Target="https://github.com/FractonicMind/TernaryMoralLogic" TargetMode="External"/><Relationship Id="rId75" Type="http://schemas.openxmlformats.org/officeDocument/2006/relationships/hyperlink" Target="https://github.com/FractonicMind/TernaryMoralLogic" TargetMode="External"/><Relationship Id="rId74" Type="http://schemas.openxmlformats.org/officeDocument/2006/relationships/hyperlink" Target="https://eur-lex.europa.eu/legal-content/EN/TXT/?uri=CELEX:32024R1689" TargetMode="External"/><Relationship Id="rId77" Type="http://schemas.openxmlformats.org/officeDocument/2006/relationships/hyperlink" Target="https://github.com/FractonicMind/TernaryMoralLogic" TargetMode="External"/><Relationship Id="rId76" Type="http://schemas.openxmlformats.org/officeDocument/2006/relationships/hyperlink" Target="https://github.com/FractonicMind/TernaryMoralLogic" TargetMode="External"/><Relationship Id="rId79" Type="http://schemas.openxmlformats.org/officeDocument/2006/relationships/hyperlink" Target="https://github.com/FractonicMind/TernaryMoralLogic" TargetMode="External"/><Relationship Id="rId78" Type="http://schemas.openxmlformats.org/officeDocument/2006/relationships/hyperlink" Target="https://github.com/FractonicMind/TernaryMoralLogic" TargetMode="External"/><Relationship Id="rId71" Type="http://schemas.openxmlformats.org/officeDocument/2006/relationships/hyperlink" Target="https://github.com/FractonicMind/TernaryMoralLogic" TargetMode="External"/><Relationship Id="rId70" Type="http://schemas.openxmlformats.org/officeDocument/2006/relationships/hyperlink" Target="https://github.com/FractonicMind/TernaryMoralLogic" TargetMode="External"/><Relationship Id="rId62" Type="http://schemas.openxmlformats.org/officeDocument/2006/relationships/hyperlink" Target="https://unfccc.int/process-and-meetings/the-paris-agreement" TargetMode="External"/><Relationship Id="rId61" Type="http://schemas.openxmlformats.org/officeDocument/2006/relationships/hyperlink" Target="https://unfccc.int/process-and-meetings/the-paris-agreement" TargetMode="External"/><Relationship Id="rId64" Type="http://schemas.openxmlformats.org/officeDocument/2006/relationships/hyperlink" Target="https://github.com/FractonicMind/TernaryMoralLogic" TargetMode="External"/><Relationship Id="rId63" Type="http://schemas.openxmlformats.org/officeDocument/2006/relationships/hyperlink" Target="https://github.com/FractonicMind/TernaryMoralLogic" TargetMode="External"/><Relationship Id="rId66" Type="http://schemas.openxmlformats.org/officeDocument/2006/relationships/hyperlink" Target="https://github.com/FractonicMind/TernaryMoralLogic" TargetMode="External"/><Relationship Id="rId65" Type="http://schemas.openxmlformats.org/officeDocument/2006/relationships/hyperlink" Target="https://github.com/FractonicMind/TernaryMoralLogic" TargetMode="External"/><Relationship Id="rId68" Type="http://schemas.openxmlformats.org/officeDocument/2006/relationships/hyperlink" Target="https://github.com/FractonicMind/TernaryMoralLogic" TargetMode="External"/><Relationship Id="rId67" Type="http://schemas.openxmlformats.org/officeDocument/2006/relationships/hyperlink" Target="https://github.com/FractonicMind/TernaryMoralLogic" TargetMode="External"/><Relationship Id="rId609" Type="http://schemas.openxmlformats.org/officeDocument/2006/relationships/hyperlink" Target="https://doi.org/10.1093/oseo/instance.00258891" TargetMode="External"/><Relationship Id="rId608" Type="http://schemas.openxmlformats.org/officeDocument/2006/relationships/hyperlink" Target="https://doi.org/10.1126/science.1092408" TargetMode="External"/><Relationship Id="rId607" Type="http://schemas.openxmlformats.org/officeDocument/2006/relationships/hyperlink" Target="https://doi.org/10.1126/science.1092408" TargetMode="External"/><Relationship Id="rId60" Type="http://schemas.openxmlformats.org/officeDocument/2006/relationships/hyperlink" Target="https://www.icrc.org/en/war-and-law/treaties-customary-law/geneva-conventions" TargetMode="External"/><Relationship Id="rId602" Type="http://schemas.openxmlformats.org/officeDocument/2006/relationships/hyperlink" Target="https://doi.org/10.1093/acprof:oso/9780198237907.001.0001" TargetMode="External"/><Relationship Id="rId601" Type="http://schemas.openxmlformats.org/officeDocument/2006/relationships/hyperlink" Target="https://doi.org/10.1093/acprof:oso/9780198237907.001.0001" TargetMode="External"/><Relationship Id="rId600" Type="http://schemas.openxmlformats.org/officeDocument/2006/relationships/hyperlink" Target="https://doi.org/10.1007/978-94-009-9223-5" TargetMode="External"/><Relationship Id="rId606" Type="http://schemas.openxmlformats.org/officeDocument/2006/relationships/hyperlink" Target="https://doi.org/10.1080/00140139508925174" TargetMode="External"/><Relationship Id="rId605" Type="http://schemas.openxmlformats.org/officeDocument/2006/relationships/hyperlink" Target="https://doi.org/10.1080/00140139508925174" TargetMode="External"/><Relationship Id="rId604" Type="http://schemas.openxmlformats.org/officeDocument/2006/relationships/hyperlink" Target="https://doi.org/10.1093/oso/9780198722274.001.0001" TargetMode="External"/><Relationship Id="rId603" Type="http://schemas.openxmlformats.org/officeDocument/2006/relationships/hyperlink" Target="https://doi.org/10.1093/oso/9780198722274.001.0001" TargetMode="External"/><Relationship Id="rId69" Type="http://schemas.openxmlformats.org/officeDocument/2006/relationships/hyperlink" Target="https://github.com/FractonicMind/TernaryMoralLogic" TargetMode="External"/><Relationship Id="rId51" Type="http://schemas.openxmlformats.org/officeDocument/2006/relationships/hyperlink" Target="https://doi.org/10.2307/2370324" TargetMode="External"/><Relationship Id="rId50" Type="http://schemas.openxmlformats.org/officeDocument/2006/relationships/hyperlink" Target="https://doi.org/10.2307/2267292" TargetMode="External"/><Relationship Id="rId53" Type="http://schemas.openxmlformats.org/officeDocument/2006/relationships/hyperlink" Target="https://github.com/FractonicMind/TernaryMoralLogic" TargetMode="External"/><Relationship Id="rId52" Type="http://schemas.openxmlformats.org/officeDocument/2006/relationships/hyperlink" Target="https://doi.org/10.2307/2370324" TargetMode="External"/><Relationship Id="rId55" Type="http://schemas.openxmlformats.org/officeDocument/2006/relationships/hyperlink" Target="https://arxiv.org/abs/2307.15043" TargetMode="External"/><Relationship Id="rId54" Type="http://schemas.openxmlformats.org/officeDocument/2006/relationships/hyperlink" Target="https://github.com/FractonicMind/TernaryMoralLogic" TargetMode="External"/><Relationship Id="rId57" Type="http://schemas.openxmlformats.org/officeDocument/2006/relationships/hyperlink" Target="https://www.un.org/en/about-us/universal-declaration-of-human-rights" TargetMode="External"/><Relationship Id="rId56" Type="http://schemas.openxmlformats.org/officeDocument/2006/relationships/hyperlink" Target="https://arxiv.org/abs/2307.15043" TargetMode="External"/><Relationship Id="rId59" Type="http://schemas.openxmlformats.org/officeDocument/2006/relationships/hyperlink" Target="https://www.icrc.org/en/war-and-law/treaties-customary-law/geneva-conventions" TargetMode="External"/><Relationship Id="rId58" Type="http://schemas.openxmlformats.org/officeDocument/2006/relationships/hyperlink" Target="https://www.un.org/en/about-us/universal-declaration-of-human-rights" TargetMode="External"/><Relationship Id="rId590" Type="http://schemas.openxmlformats.org/officeDocument/2006/relationships/hyperlink" Target="https://doi.org/10.1109/ECTC.2012.6248524" TargetMode="External"/><Relationship Id="rId107" Type="http://schemas.openxmlformats.org/officeDocument/2006/relationships/hyperlink" Target="https://doi.org/10.1007/s43681-021-00082-3" TargetMode="External"/><Relationship Id="rId228" Type="http://schemas.openxmlformats.org/officeDocument/2006/relationships/hyperlink" Target="https://github.com/FractonicMind/TernaryMoralLogic" TargetMode="External"/><Relationship Id="rId349" Type="http://schemas.openxmlformats.org/officeDocument/2006/relationships/hyperlink" Target="https://github.com/FractonicMind/TernaryMoralLogic" TargetMode="External"/><Relationship Id="rId106" Type="http://schemas.openxmlformats.org/officeDocument/2006/relationships/hyperlink" Target="https://doi.org/10.1007/s43681-025-00910-6" TargetMode="External"/><Relationship Id="rId227" Type="http://schemas.openxmlformats.org/officeDocument/2006/relationships/hyperlink" Target="https://github.com/FractonicMind/TernaryMoralLogic" TargetMode="External"/><Relationship Id="rId348" Type="http://schemas.openxmlformats.org/officeDocument/2006/relationships/hyperlink" Target="https://github.com/FractonicMind/TernaryMoralLogic" TargetMode="External"/><Relationship Id="rId469" Type="http://schemas.openxmlformats.org/officeDocument/2006/relationships/hyperlink" Target="https://doi.org/10.1007/s43681-025-00910-6" TargetMode="External"/><Relationship Id="rId105" Type="http://schemas.openxmlformats.org/officeDocument/2006/relationships/hyperlink" Target="https://doi.org/10.1007/s43681-025-00910-6" TargetMode="External"/><Relationship Id="rId226" Type="http://schemas.openxmlformats.org/officeDocument/2006/relationships/hyperlink" Target="https://www.sec.gov/news/studies/2010/marketevents-report.pdf" TargetMode="External"/><Relationship Id="rId347" Type="http://schemas.openxmlformats.org/officeDocument/2006/relationships/hyperlink" Target="https://github.com/FractonicMind/TernaryMoralLogic" TargetMode="External"/><Relationship Id="rId468" Type="http://schemas.openxmlformats.org/officeDocument/2006/relationships/hyperlink" Target="https://github.com/FractonicMind/TernaryMoralLogic" TargetMode="External"/><Relationship Id="rId589" Type="http://schemas.openxmlformats.org/officeDocument/2006/relationships/hyperlink" Target="https://doi.org/10.1109/ECTC.2012.6248524" TargetMode="External"/><Relationship Id="rId104" Type="http://schemas.openxmlformats.org/officeDocument/2006/relationships/hyperlink" Target="https://zoek.officielebekendmakingen.nl/kst-35510-2.html" TargetMode="External"/><Relationship Id="rId225" Type="http://schemas.openxmlformats.org/officeDocument/2006/relationships/hyperlink" Target="https://www.sec.gov/news/studies/2010/marketevents-report.pdf" TargetMode="External"/><Relationship Id="rId346" Type="http://schemas.openxmlformats.org/officeDocument/2006/relationships/hyperlink" Target="https://github.com/FractonicMind/TernaryMoralLogic" TargetMode="External"/><Relationship Id="rId467" Type="http://schemas.openxmlformats.org/officeDocument/2006/relationships/hyperlink" Target="https://github.com/FractonicMind/TernaryMoralLogic" TargetMode="External"/><Relationship Id="rId588" Type="http://schemas.openxmlformats.org/officeDocument/2006/relationships/hyperlink" Target="https://doi.org/10.1109/TVLSI.2016.2638433" TargetMode="External"/><Relationship Id="rId109" Type="http://schemas.openxmlformats.org/officeDocument/2006/relationships/hyperlink" Target="https://doi.org/10.1007/s43681-025-00910-6" TargetMode="External"/><Relationship Id="rId108" Type="http://schemas.openxmlformats.org/officeDocument/2006/relationships/hyperlink" Target="https://doi.org/10.1007/s43681-021-00082-3" TargetMode="External"/><Relationship Id="rId229" Type="http://schemas.openxmlformats.org/officeDocument/2006/relationships/hyperlink" Target="https://www.fca.org.uk/news/press-releases/fca-fines-citigroup-global-markets-limited-61-6m-system-controls-failures" TargetMode="External"/><Relationship Id="rId220" Type="http://schemas.openxmlformats.org/officeDocument/2006/relationships/hyperlink" Target="https://www.sae.org/standards/content/j3016_202104/" TargetMode="External"/><Relationship Id="rId341" Type="http://schemas.openxmlformats.org/officeDocument/2006/relationships/hyperlink" Target="https://doi.org/10.1093/acprof:oso/9780199678112.001.0001" TargetMode="External"/><Relationship Id="rId462" Type="http://schemas.openxmlformats.org/officeDocument/2006/relationships/hyperlink" Target="https://github.com/FractonicMind/TernaryMoralLogic" TargetMode="External"/><Relationship Id="rId583" Type="http://schemas.openxmlformats.org/officeDocument/2006/relationships/hyperlink" Target="https://doi.org/10.1109/TC.1973.5009051" TargetMode="External"/><Relationship Id="rId340" Type="http://schemas.openxmlformats.org/officeDocument/2006/relationships/hyperlink" Target="https://arxiv.org/abs/2206.07682" TargetMode="External"/><Relationship Id="rId461" Type="http://schemas.openxmlformats.org/officeDocument/2006/relationships/hyperlink" Target="https://github.com/FractonicMind/TernaryMoralLogic" TargetMode="External"/><Relationship Id="rId582" Type="http://schemas.openxmlformats.org/officeDocument/2006/relationships/hyperlink" Target="http://spinroot.com/" TargetMode="External"/><Relationship Id="rId460" Type="http://schemas.openxmlformats.org/officeDocument/2006/relationships/hyperlink" Target="https://github.com/FractonicMind/TernaryMoralLogic/blob/main/governance/Tri_Cameral_Constitution.md" TargetMode="External"/><Relationship Id="rId581" Type="http://schemas.openxmlformats.org/officeDocument/2006/relationships/hyperlink" Target="http://spinroot.com/" TargetMode="External"/><Relationship Id="rId580" Type="http://schemas.openxmlformats.org/officeDocument/2006/relationships/hyperlink" Target="https://nusmv.fbk.eu/" TargetMode="External"/><Relationship Id="rId103" Type="http://schemas.openxmlformats.org/officeDocument/2006/relationships/hyperlink" Target="https://zoek.officielebekendmakingen.nl/kst-35510-2.html" TargetMode="External"/><Relationship Id="rId224" Type="http://schemas.openxmlformats.org/officeDocument/2006/relationships/hyperlink" Target="https://www.nhtsa.gov/press-releases/nhtsa-issues-standing-general-order-crash-reporting-automated-driving-systems" TargetMode="External"/><Relationship Id="rId345" Type="http://schemas.openxmlformats.org/officeDocument/2006/relationships/hyperlink" Target="https://github.com/FractonicMind/TernaryMoralLogic" TargetMode="External"/><Relationship Id="rId466" Type="http://schemas.openxmlformats.org/officeDocument/2006/relationships/hyperlink" Target="https://github.com/FractonicMind/TernaryMoralLogic" TargetMode="External"/><Relationship Id="rId587" Type="http://schemas.openxmlformats.org/officeDocument/2006/relationships/hyperlink" Target="https://doi.org/10.1109/TVLSI.2016.2638433" TargetMode="External"/><Relationship Id="rId102" Type="http://schemas.openxmlformats.org/officeDocument/2006/relationships/hyperlink" Target="https://robodebt.royalcommission.gov.au/publications/report" TargetMode="External"/><Relationship Id="rId223" Type="http://schemas.openxmlformats.org/officeDocument/2006/relationships/hyperlink" Target="https://www.nhtsa.gov/press-releases/nhtsa-issues-standing-general-order-crash-reporting-automated-driving-systems" TargetMode="External"/><Relationship Id="rId344" Type="http://schemas.openxmlformats.org/officeDocument/2006/relationships/hyperlink" Target="https://arxiv.org/abs/2307.15043" TargetMode="External"/><Relationship Id="rId465" Type="http://schemas.openxmlformats.org/officeDocument/2006/relationships/hyperlink" Target="https://github.com/FractonicMind/TernaryMoralLogic" TargetMode="External"/><Relationship Id="rId586" Type="http://schemas.openxmlformats.org/officeDocument/2006/relationships/hyperlink" Target="https://doi.org/10.1109/12.144622" TargetMode="External"/><Relationship Id="rId101" Type="http://schemas.openxmlformats.org/officeDocument/2006/relationships/hyperlink" Target="https://robodebt.royalcommission.gov.au/publications/report" TargetMode="External"/><Relationship Id="rId222" Type="http://schemas.openxmlformats.org/officeDocument/2006/relationships/hyperlink" Target="https://doi.org/10.1016/j.trc.2018.07.007" TargetMode="External"/><Relationship Id="rId343" Type="http://schemas.openxmlformats.org/officeDocument/2006/relationships/hyperlink" Target="https://arxiv.org/abs/2307.15043" TargetMode="External"/><Relationship Id="rId464" Type="http://schemas.openxmlformats.org/officeDocument/2006/relationships/hyperlink" Target="https://github.com/FractonicMind/TernaryMoralLogic" TargetMode="External"/><Relationship Id="rId585" Type="http://schemas.openxmlformats.org/officeDocument/2006/relationships/hyperlink" Target="https://doi.org/10.1109/12.144622" TargetMode="External"/><Relationship Id="rId100" Type="http://schemas.openxmlformats.org/officeDocument/2006/relationships/hyperlink" Target="https://www.sec.gov/news/studies/2010/marketevents-report.pdf" TargetMode="External"/><Relationship Id="rId221" Type="http://schemas.openxmlformats.org/officeDocument/2006/relationships/hyperlink" Target="https://doi.org/10.1016/j.trc.2018.07.007" TargetMode="External"/><Relationship Id="rId342" Type="http://schemas.openxmlformats.org/officeDocument/2006/relationships/hyperlink" Target="https://doi.org/10.1093/acprof:oso/9780199678112.001.0001" TargetMode="External"/><Relationship Id="rId463" Type="http://schemas.openxmlformats.org/officeDocument/2006/relationships/hyperlink" Target="https://github.com/FractonicMind/TernaryMoralLogic" TargetMode="External"/><Relationship Id="rId584" Type="http://schemas.openxmlformats.org/officeDocument/2006/relationships/hyperlink" Target="https://doi.org/10.1109/TC.1973.5009051" TargetMode="External"/><Relationship Id="rId217" Type="http://schemas.openxmlformats.org/officeDocument/2006/relationships/hyperlink" Target="https://www.ntsb.gov/investigations/Pages/HWY18MH010.aspx" TargetMode="External"/><Relationship Id="rId338" Type="http://schemas.openxmlformats.org/officeDocument/2006/relationships/hyperlink" Target="https://arxiv.org/abs/2001.08361" TargetMode="External"/><Relationship Id="rId459" Type="http://schemas.openxmlformats.org/officeDocument/2006/relationships/hyperlink" Target="https://github.com/FractonicMind/TernaryMoralLogic/blob/main/governance/Tri_Cameral_Constitution.md" TargetMode="External"/><Relationship Id="rId216" Type="http://schemas.openxmlformats.org/officeDocument/2006/relationships/hyperlink" Target="https://www.ntsb.gov/investigations/Pages/HWY18MH010.aspx" TargetMode="External"/><Relationship Id="rId337" Type="http://schemas.openxmlformats.org/officeDocument/2006/relationships/hyperlink" Target="https://arxiv.org/abs/2001.08361" TargetMode="External"/><Relationship Id="rId458" Type="http://schemas.openxmlformats.org/officeDocument/2006/relationships/hyperlink" Target="https://github.com/FractonicMind/TernaryMoralLogic" TargetMode="External"/><Relationship Id="rId579" Type="http://schemas.openxmlformats.org/officeDocument/2006/relationships/hyperlink" Target="https://nusmv.fbk.eu/" TargetMode="External"/><Relationship Id="rId215" Type="http://schemas.openxmlformats.org/officeDocument/2006/relationships/hyperlink" Target="https://www.ntsb.gov/investigations/Pages/HWY18MH010.aspx" TargetMode="External"/><Relationship Id="rId336" Type="http://schemas.openxmlformats.org/officeDocument/2006/relationships/hyperlink" Target="https://doi.org/10.6028/NIST.FIPS.203" TargetMode="External"/><Relationship Id="rId457" Type="http://schemas.openxmlformats.org/officeDocument/2006/relationships/hyperlink" Target="https://github.com/FractonicMind/TernaryMoralLogic" TargetMode="External"/><Relationship Id="rId578" Type="http://schemas.openxmlformats.org/officeDocument/2006/relationships/hyperlink" Target="https://arxiv.org/abs/1906.01820" TargetMode="External"/><Relationship Id="rId214" Type="http://schemas.openxmlformats.org/officeDocument/2006/relationships/hyperlink" Target="https://www.ntsb.gov/investigations/Pages/HWY18MH010.aspx" TargetMode="External"/><Relationship Id="rId335" Type="http://schemas.openxmlformats.org/officeDocument/2006/relationships/hyperlink" Target="https://doi.org/10.6028/NIST.FIPS.203" TargetMode="External"/><Relationship Id="rId456" Type="http://schemas.openxmlformats.org/officeDocument/2006/relationships/hyperlink" Target="https://www.irs.gov/charities-non-profits/charitable-organizations/exemption-requirements-501c3-organizations" TargetMode="External"/><Relationship Id="rId577" Type="http://schemas.openxmlformats.org/officeDocument/2006/relationships/hyperlink" Target="https://arxiv.org/abs/1906.01820" TargetMode="External"/><Relationship Id="rId219" Type="http://schemas.openxmlformats.org/officeDocument/2006/relationships/hyperlink" Target="https://www.sae.org/standards/content/j3016_202104/" TargetMode="External"/><Relationship Id="rId218" Type="http://schemas.openxmlformats.org/officeDocument/2006/relationships/hyperlink" Target="https://www.ntsb.gov/investigations/Pages/HWY18MH010.aspx" TargetMode="External"/><Relationship Id="rId339" Type="http://schemas.openxmlformats.org/officeDocument/2006/relationships/hyperlink" Target="https://arxiv.org/abs/2206.07682" TargetMode="External"/><Relationship Id="rId330" Type="http://schemas.openxmlformats.org/officeDocument/2006/relationships/hyperlink" Target="https://github.com/FractonicMind/TernaryMoralLogic" TargetMode="External"/><Relationship Id="rId451" Type="http://schemas.openxmlformats.org/officeDocument/2006/relationships/hyperlink" Target="https://doi.org/10.1093/acprof:oso/9780199231492.001.0001" TargetMode="External"/><Relationship Id="rId572" Type="http://schemas.openxmlformats.org/officeDocument/2006/relationships/hyperlink" Target="https://arxiv.org/abs/2001.08361" TargetMode="External"/><Relationship Id="rId450" Type="http://schemas.openxmlformats.org/officeDocument/2006/relationships/hyperlink" Target="https://doi.org/10.1017/CBO9780511814600" TargetMode="External"/><Relationship Id="rId571" Type="http://schemas.openxmlformats.org/officeDocument/2006/relationships/hyperlink" Target="https://arxiv.org/abs/2001.08361" TargetMode="External"/><Relationship Id="rId570" Type="http://schemas.openxmlformats.org/officeDocument/2006/relationships/hyperlink" Target="https://doi.org/10.6028/NIST.FIPS.203" TargetMode="External"/><Relationship Id="rId213" Type="http://schemas.openxmlformats.org/officeDocument/2006/relationships/hyperlink" Target="https://www.ntsb.gov/investigations/Pages/HWY18MH010.aspx" TargetMode="External"/><Relationship Id="rId334" Type="http://schemas.openxmlformats.org/officeDocument/2006/relationships/hyperlink" Target="https://doi.org/10.6028/NIST.FIPS.205" TargetMode="External"/><Relationship Id="rId455" Type="http://schemas.openxmlformats.org/officeDocument/2006/relationships/hyperlink" Target="https://www.irs.gov/charities-non-profits/charitable-organizations/exemption-requirements-501c3-organizations" TargetMode="External"/><Relationship Id="rId576" Type="http://schemas.openxmlformats.org/officeDocument/2006/relationships/hyperlink" Target="https://doi.org/10.1093/acprof:oso/9780199678112.001.0001" TargetMode="External"/><Relationship Id="rId212" Type="http://schemas.openxmlformats.org/officeDocument/2006/relationships/hyperlink" Target="https://www.fda.gov/media/145022/download" TargetMode="External"/><Relationship Id="rId333" Type="http://schemas.openxmlformats.org/officeDocument/2006/relationships/hyperlink" Target="https://doi.org/10.6028/NIST.FIPS.205" TargetMode="External"/><Relationship Id="rId454" Type="http://schemas.openxmlformats.org/officeDocument/2006/relationships/hyperlink" Target="https://doi.org/10.1007/978-1-4612-0555-8" TargetMode="External"/><Relationship Id="rId575" Type="http://schemas.openxmlformats.org/officeDocument/2006/relationships/hyperlink" Target="https://doi.org/10.1093/acprof:oso/9780199678112.001.0001" TargetMode="External"/><Relationship Id="rId211" Type="http://schemas.openxmlformats.org/officeDocument/2006/relationships/hyperlink" Target="https://www.fda.gov/media/145022/download" TargetMode="External"/><Relationship Id="rId332" Type="http://schemas.openxmlformats.org/officeDocument/2006/relationships/hyperlink" Target="https://github.com/FractonicMind/TernaryMoralLogic" TargetMode="External"/><Relationship Id="rId453" Type="http://schemas.openxmlformats.org/officeDocument/2006/relationships/hyperlink" Target="https://doi.org/10.1007/978-1-4612-0555-8" TargetMode="External"/><Relationship Id="rId574" Type="http://schemas.openxmlformats.org/officeDocument/2006/relationships/hyperlink" Target="https://arxiv.org/abs/2206.07682" TargetMode="External"/><Relationship Id="rId210" Type="http://schemas.openxmlformats.org/officeDocument/2006/relationships/hyperlink" Target="https://www.fda.gov/medical-devices/software-medical-device-samd/artificial-intelligence-and-machine-learning-aiml-enabled-medical-devices" TargetMode="External"/><Relationship Id="rId331" Type="http://schemas.openxmlformats.org/officeDocument/2006/relationships/hyperlink" Target="https://github.com/FractonicMind/TernaryMoralLogic" TargetMode="External"/><Relationship Id="rId452" Type="http://schemas.openxmlformats.org/officeDocument/2006/relationships/hyperlink" Target="https://doi.org/10.1093/acprof:oso/9780199231492.001.0001" TargetMode="External"/><Relationship Id="rId573" Type="http://schemas.openxmlformats.org/officeDocument/2006/relationships/hyperlink" Target="https://arxiv.org/abs/2206.07682" TargetMode="External"/><Relationship Id="rId370" Type="http://schemas.openxmlformats.org/officeDocument/2006/relationships/hyperlink" Target="https://github.com/FractonicMind/TernaryMoralLogic" TargetMode="External"/><Relationship Id="rId491" Type="http://schemas.openxmlformats.org/officeDocument/2006/relationships/hyperlink" Target="https://doi.org/10.1007/978-94-010-1161-7_8" TargetMode="External"/><Relationship Id="rId490" Type="http://schemas.openxmlformats.org/officeDocument/2006/relationships/hyperlink" Target="https://files.tweedekamer.nl/sites/default/files/2024-02/Rapport%20PEFD%20Blind%20voor%20mens%20en%20recht%2026022024.pdf" TargetMode="External"/><Relationship Id="rId129" Type="http://schemas.openxmlformats.org/officeDocument/2006/relationships/hyperlink" Target="https://github.com/FractonicMind/TernaryMoralLogic" TargetMode="External"/><Relationship Id="rId128" Type="http://schemas.openxmlformats.org/officeDocument/2006/relationships/hyperlink" Target="https://github.com/FractonicMind/TernaryMoralLogic" TargetMode="External"/><Relationship Id="rId249" Type="http://schemas.openxmlformats.org/officeDocument/2006/relationships/hyperlink" Target="https://github.com/FractonicMind/TernaryMoralLogic" TargetMode="External"/><Relationship Id="rId127" Type="http://schemas.openxmlformats.org/officeDocument/2006/relationships/hyperlink" Target="https://github.com/FractonicMind/TernaryMoralLogic" TargetMode="External"/><Relationship Id="rId248" Type="http://schemas.openxmlformats.org/officeDocument/2006/relationships/hyperlink" Target="https://doi.org/10.1017/S002070391400003X" TargetMode="External"/><Relationship Id="rId369" Type="http://schemas.openxmlformats.org/officeDocument/2006/relationships/hyperlink" Target="https://github.com/FractonicMind/TernaryMoralLogic" TargetMode="External"/><Relationship Id="rId126" Type="http://schemas.openxmlformats.org/officeDocument/2006/relationships/hyperlink" Target="https://github.com/FractonicMind/TernaryMoralLogic" TargetMode="External"/><Relationship Id="rId247" Type="http://schemas.openxmlformats.org/officeDocument/2006/relationships/hyperlink" Target="https://doi.org/10.1017/S002070391400003X" TargetMode="External"/><Relationship Id="rId368" Type="http://schemas.openxmlformats.org/officeDocument/2006/relationships/hyperlink" Target="https://github.com/FractonicMind/TernaryMoralLogic" TargetMode="External"/><Relationship Id="rId489" Type="http://schemas.openxmlformats.org/officeDocument/2006/relationships/hyperlink" Target="https://files.tweedekamer.nl/sites/default/files/2024-02/Rapport%20PEFD%20Blind%20voor%20mens%20en%20recht%2026022024.pdf" TargetMode="External"/><Relationship Id="rId121" Type="http://schemas.openxmlformats.org/officeDocument/2006/relationships/hyperlink" Target="https://doi.org/10.1001/jamainternmed.2021.3333" TargetMode="External"/><Relationship Id="rId242" Type="http://schemas.openxmlformats.org/officeDocument/2006/relationships/hyperlink" Target="https://robodebt.royalcommission.gov.au/publications/report" TargetMode="External"/><Relationship Id="rId363" Type="http://schemas.openxmlformats.org/officeDocument/2006/relationships/hyperlink" Target="https://github.com/FractonicMind/TernaryMoralLogic" TargetMode="External"/><Relationship Id="rId484" Type="http://schemas.openxmlformats.org/officeDocument/2006/relationships/hyperlink" Target="https://undocs.org/S/2021/229" TargetMode="External"/><Relationship Id="rId120" Type="http://schemas.openxmlformats.org/officeDocument/2006/relationships/hyperlink" Target="https://doi.org/10.6028/NIST.AI.100-1" TargetMode="External"/><Relationship Id="rId241" Type="http://schemas.openxmlformats.org/officeDocument/2006/relationships/hyperlink" Target="https://robodebt.royalcommission.gov.au/publications/report" TargetMode="External"/><Relationship Id="rId362" Type="http://schemas.openxmlformats.org/officeDocument/2006/relationships/hyperlink" Target="https://arxiv.org/abs/1906.01820" TargetMode="External"/><Relationship Id="rId483" Type="http://schemas.openxmlformats.org/officeDocument/2006/relationships/hyperlink" Target="https://undocs.org/S/2021/229" TargetMode="External"/><Relationship Id="rId240" Type="http://schemas.openxmlformats.org/officeDocument/2006/relationships/hyperlink" Target="https://robodebt.royalcommission.gov.au/publications/report" TargetMode="External"/><Relationship Id="rId361" Type="http://schemas.openxmlformats.org/officeDocument/2006/relationships/hyperlink" Target="https://arxiv.org/abs/1906.01820" TargetMode="External"/><Relationship Id="rId482" Type="http://schemas.openxmlformats.org/officeDocument/2006/relationships/hyperlink" Target="https://robodebt.royalcommission.gov.au/publications/report" TargetMode="External"/><Relationship Id="rId360" Type="http://schemas.openxmlformats.org/officeDocument/2006/relationships/hyperlink" Target="https://github.com/FractonicMind/TernaryMoralLogic" TargetMode="External"/><Relationship Id="rId481" Type="http://schemas.openxmlformats.org/officeDocument/2006/relationships/hyperlink" Target="https://robodebt.royalcommission.gov.au/publications/report" TargetMode="External"/><Relationship Id="rId125" Type="http://schemas.openxmlformats.org/officeDocument/2006/relationships/hyperlink" Target="https://github.com/FractonicMind/TernaryMoralLogic" TargetMode="External"/><Relationship Id="rId246" Type="http://schemas.openxmlformats.org/officeDocument/2006/relationships/hyperlink" Target="https://undocs.org/S/2021/229" TargetMode="External"/><Relationship Id="rId367" Type="http://schemas.openxmlformats.org/officeDocument/2006/relationships/hyperlink" Target="https://github.com/FractonicMind/TernaryMoralLogic" TargetMode="External"/><Relationship Id="rId488" Type="http://schemas.openxmlformats.org/officeDocument/2006/relationships/hyperlink" Target="https://www.autoriteitpersoonsgegevens.nl/" TargetMode="External"/><Relationship Id="rId124" Type="http://schemas.openxmlformats.org/officeDocument/2006/relationships/hyperlink" Target="https://github.com/FractonicMind/TernaryMoralLogic" TargetMode="External"/><Relationship Id="rId245" Type="http://schemas.openxmlformats.org/officeDocument/2006/relationships/hyperlink" Target="https://undocs.org/S/2021/229" TargetMode="External"/><Relationship Id="rId366" Type="http://schemas.openxmlformats.org/officeDocument/2006/relationships/hyperlink" Target="https://github.com/FractonicMind/TernaryMoralLogic" TargetMode="External"/><Relationship Id="rId487" Type="http://schemas.openxmlformats.org/officeDocument/2006/relationships/hyperlink" Target="https://www.autoriteitpersoonsgegevens.nl/" TargetMode="External"/><Relationship Id="rId123" Type="http://schemas.openxmlformats.org/officeDocument/2006/relationships/hyperlink" Target="https://github.com/FractonicMind/TernaryMoralLogic" TargetMode="External"/><Relationship Id="rId244" Type="http://schemas.openxmlformats.org/officeDocument/2006/relationships/hyperlink" Target="https://law.justia.com/cases/federal/appellate-courts/ca8/16-3745/16-3745-2017-08-09.html" TargetMode="External"/><Relationship Id="rId365" Type="http://schemas.openxmlformats.org/officeDocument/2006/relationships/hyperlink" Target="https://github.com/FractonicMind/TernaryMoralLogic" TargetMode="External"/><Relationship Id="rId486" Type="http://schemas.openxmlformats.org/officeDocument/2006/relationships/hyperlink" Target="https://zoek.officielebekendmakingen.nl/kst-35510-2.html" TargetMode="External"/><Relationship Id="rId122" Type="http://schemas.openxmlformats.org/officeDocument/2006/relationships/hyperlink" Target="https://doi.org/10.1001/jamainternmed.2021.3333" TargetMode="External"/><Relationship Id="rId243" Type="http://schemas.openxmlformats.org/officeDocument/2006/relationships/hyperlink" Target="https://law.justia.com/cases/federal/appellate-courts/ca8/16-3745/16-3745-2017-08-09.html" TargetMode="External"/><Relationship Id="rId364" Type="http://schemas.openxmlformats.org/officeDocument/2006/relationships/hyperlink" Target="https://github.com/FractonicMind/TernaryMoralLogic" TargetMode="External"/><Relationship Id="rId485" Type="http://schemas.openxmlformats.org/officeDocument/2006/relationships/hyperlink" Target="https://zoek.officielebekendmakingen.nl/kst-35510-2.html" TargetMode="External"/><Relationship Id="rId95" Type="http://schemas.openxmlformats.org/officeDocument/2006/relationships/hyperlink" Target="https://github.com/FractonicMind/TernaryMoralLogic" TargetMode="External"/><Relationship Id="rId94" Type="http://schemas.openxmlformats.org/officeDocument/2006/relationships/hyperlink" Target="https://github.com/FractonicMind/TernaryMoralLogic" TargetMode="External"/><Relationship Id="rId97" Type="http://schemas.openxmlformats.org/officeDocument/2006/relationships/hyperlink" Target="https://arxiv.org/abs/2302.07459" TargetMode="External"/><Relationship Id="rId96" Type="http://schemas.openxmlformats.org/officeDocument/2006/relationships/hyperlink" Target="https://github.com/FractonicMind/TernaryMoralLogic" TargetMode="External"/><Relationship Id="rId99" Type="http://schemas.openxmlformats.org/officeDocument/2006/relationships/hyperlink" Target="https://www.sec.gov/news/studies/2010/marketevents-report.pdf" TargetMode="External"/><Relationship Id="rId480" Type="http://schemas.openxmlformats.org/officeDocument/2006/relationships/hyperlink" Target="https://github.com/FractonicMind/TernaryMoralLogic" TargetMode="External"/><Relationship Id="rId98" Type="http://schemas.openxmlformats.org/officeDocument/2006/relationships/hyperlink" Target="https://arxiv.org/abs/2302.07459" TargetMode="External"/><Relationship Id="rId91" Type="http://schemas.openxmlformats.org/officeDocument/2006/relationships/hyperlink" Target="https://github.com/FractonicMind/TernaryMoralLogic" TargetMode="External"/><Relationship Id="rId90" Type="http://schemas.openxmlformats.org/officeDocument/2006/relationships/hyperlink" Target="https://github.com/FractonicMind/TernaryMoralLogic" TargetMode="External"/><Relationship Id="rId93" Type="http://schemas.openxmlformats.org/officeDocument/2006/relationships/hyperlink" Target="https://github.com/FractonicMind/TernaryMoralLogic" TargetMode="External"/><Relationship Id="rId92" Type="http://schemas.openxmlformats.org/officeDocument/2006/relationships/hyperlink" Target="https://github.com/FractonicMind/TernaryMoralLogic" TargetMode="External"/><Relationship Id="rId118" Type="http://schemas.openxmlformats.org/officeDocument/2006/relationships/hyperlink" Target="https://eur-lex.europa.eu/legal-content/EN/TXT/?uri=CELEX:32024R1689" TargetMode="External"/><Relationship Id="rId239" Type="http://schemas.openxmlformats.org/officeDocument/2006/relationships/hyperlink" Target="https://robodebt.royalcommission.gov.au/publications/report" TargetMode="External"/><Relationship Id="rId117" Type="http://schemas.openxmlformats.org/officeDocument/2006/relationships/hyperlink" Target="https://eur-lex.europa.eu/legal-content/EN/TXT/?uri=CELEX:32024R1689" TargetMode="External"/><Relationship Id="rId238" Type="http://schemas.openxmlformats.org/officeDocument/2006/relationships/hyperlink" Target="https://files.tweedekamer.nl/sites/default/files/2024-02/Rapport%20PEFD%20Blind%20voor%20mens%20en%20recht%2026022024.pdf" TargetMode="External"/><Relationship Id="rId359" Type="http://schemas.openxmlformats.org/officeDocument/2006/relationships/hyperlink" Target="https://github.com/FractonicMind/TernaryMoralLogic" TargetMode="External"/><Relationship Id="rId116" Type="http://schemas.openxmlformats.org/officeDocument/2006/relationships/hyperlink" Target="https://github.com/FractonicMind/TernaryMoralLogic" TargetMode="External"/><Relationship Id="rId237" Type="http://schemas.openxmlformats.org/officeDocument/2006/relationships/hyperlink" Target="https://files.tweedekamer.nl/sites/default/files/2024-02/Rapport%20PEFD%20Blind%20voor%20mens%20en%20recht%2026022024.pdf" TargetMode="External"/><Relationship Id="rId358" Type="http://schemas.openxmlformats.org/officeDocument/2006/relationships/hyperlink" Target="https://arxiv.org/abs/1906.01820" TargetMode="External"/><Relationship Id="rId479" Type="http://schemas.openxmlformats.org/officeDocument/2006/relationships/hyperlink" Target="https://github.com/FractonicMind/TernaryMoralLogic" TargetMode="External"/><Relationship Id="rId115" Type="http://schemas.openxmlformats.org/officeDocument/2006/relationships/hyperlink" Target="https://github.com/FractonicMind/TernaryMoralLogic" TargetMode="External"/><Relationship Id="rId236" Type="http://schemas.openxmlformats.org/officeDocument/2006/relationships/hyperlink" Target="https://zoek.officielebekendmakingen.nl/kst-35510-2.html" TargetMode="External"/><Relationship Id="rId357" Type="http://schemas.openxmlformats.org/officeDocument/2006/relationships/hyperlink" Target="https://arxiv.org/abs/1906.01820" TargetMode="External"/><Relationship Id="rId478" Type="http://schemas.openxmlformats.org/officeDocument/2006/relationships/hyperlink" Target="https://arxiv.org/abs/1906.01820" TargetMode="External"/><Relationship Id="rId599" Type="http://schemas.openxmlformats.org/officeDocument/2006/relationships/hyperlink" Target="https://doi.org/10.1007/978-94-009-9223-5" TargetMode="External"/><Relationship Id="rId119" Type="http://schemas.openxmlformats.org/officeDocument/2006/relationships/hyperlink" Target="https://doi.org/10.6028/NIST.AI.100-1" TargetMode="External"/><Relationship Id="rId110" Type="http://schemas.openxmlformats.org/officeDocument/2006/relationships/hyperlink" Target="https://doi.org/10.1007/s43681-025-00910-6" TargetMode="External"/><Relationship Id="rId231" Type="http://schemas.openxmlformats.org/officeDocument/2006/relationships/hyperlink" Target="https://www.consumerfinance.gov/rules-policy/regulations/1002/" TargetMode="External"/><Relationship Id="rId352" Type="http://schemas.openxmlformats.org/officeDocument/2006/relationships/hyperlink" Target="https://github.com/FractonicMind/TernaryMoralLogic" TargetMode="External"/><Relationship Id="rId473" Type="http://schemas.openxmlformats.org/officeDocument/2006/relationships/hyperlink" Target="https://arxiv.org/abs/2212.08073" TargetMode="External"/><Relationship Id="rId594" Type="http://schemas.openxmlformats.org/officeDocument/2006/relationships/hyperlink" Target="https://csrc.nist.gov/publications/detail/fips/140/3/final" TargetMode="External"/><Relationship Id="rId230" Type="http://schemas.openxmlformats.org/officeDocument/2006/relationships/hyperlink" Target="https://www.fca.org.uk/news/press-releases/fca-fines-citigroup-global-markets-limited-61-6m-system-controls-failures" TargetMode="External"/><Relationship Id="rId351" Type="http://schemas.openxmlformats.org/officeDocument/2006/relationships/hyperlink" Target="https://github.com/FractonicMind/TernaryMoralLogic" TargetMode="External"/><Relationship Id="rId472" Type="http://schemas.openxmlformats.org/officeDocument/2006/relationships/hyperlink" Target="https://arxiv.org/abs/2203.02155" TargetMode="External"/><Relationship Id="rId593" Type="http://schemas.openxmlformats.org/officeDocument/2006/relationships/hyperlink" Target="https://csrc.nist.gov/publications/detail/fips/140/3/final" TargetMode="External"/><Relationship Id="rId350" Type="http://schemas.openxmlformats.org/officeDocument/2006/relationships/hyperlink" Target="https://github.com/FractonicMind/TernaryMoralLogic" TargetMode="External"/><Relationship Id="rId471" Type="http://schemas.openxmlformats.org/officeDocument/2006/relationships/hyperlink" Target="https://arxiv.org/abs/2203.02155" TargetMode="External"/><Relationship Id="rId592" Type="http://schemas.openxmlformats.org/officeDocument/2006/relationships/hyperlink" Target="https://doi.org/10.1038/s41586-020-2388-3" TargetMode="External"/><Relationship Id="rId470" Type="http://schemas.openxmlformats.org/officeDocument/2006/relationships/hyperlink" Target="https://doi.org/10.1007/s43681-025-00910-6" TargetMode="External"/><Relationship Id="rId591" Type="http://schemas.openxmlformats.org/officeDocument/2006/relationships/hyperlink" Target="https://doi.org/10.1038/s41586-020-2388-3" TargetMode="External"/><Relationship Id="rId114" Type="http://schemas.openxmlformats.org/officeDocument/2006/relationships/hyperlink" Target="https://doi.org/10.1017/S0140525X00002035" TargetMode="External"/><Relationship Id="rId235" Type="http://schemas.openxmlformats.org/officeDocument/2006/relationships/hyperlink" Target="https://zoek.officielebekendmakingen.nl/kst-35510-2.html" TargetMode="External"/><Relationship Id="rId356" Type="http://schemas.openxmlformats.org/officeDocument/2006/relationships/hyperlink" Target="https://github.com/FractonicMind/TernaryMoralLogic" TargetMode="External"/><Relationship Id="rId477" Type="http://schemas.openxmlformats.org/officeDocument/2006/relationships/hyperlink" Target="https://arxiv.org/abs/1906.01820" TargetMode="External"/><Relationship Id="rId598" Type="http://schemas.openxmlformats.org/officeDocument/2006/relationships/hyperlink" Target="https://doi.org/10.1007/978-94-010-1490-8" TargetMode="External"/><Relationship Id="rId113" Type="http://schemas.openxmlformats.org/officeDocument/2006/relationships/hyperlink" Target="https://doi.org/10.1017/S0140525X00002035" TargetMode="External"/><Relationship Id="rId234" Type="http://schemas.openxmlformats.org/officeDocument/2006/relationships/hyperlink" Target="https://www.consumerfinance.gov/rules-policy/regulations/1002/" TargetMode="External"/><Relationship Id="rId355" Type="http://schemas.openxmlformats.org/officeDocument/2006/relationships/hyperlink" Target="https://github.com/FractonicMind/TernaryMoralLogic" TargetMode="External"/><Relationship Id="rId476" Type="http://schemas.openxmlformats.org/officeDocument/2006/relationships/hyperlink" Target="https://arxiv.org/abs/2307.15043" TargetMode="External"/><Relationship Id="rId597" Type="http://schemas.openxmlformats.org/officeDocument/2006/relationships/hyperlink" Target="https://doi.org/10.1007/978-94-010-1490-8" TargetMode="External"/><Relationship Id="rId112" Type="http://schemas.openxmlformats.org/officeDocument/2006/relationships/hyperlink" Target="https://doi.org/10.1007/978-94-010-1490-8" TargetMode="External"/><Relationship Id="rId233" Type="http://schemas.openxmlformats.org/officeDocument/2006/relationships/hyperlink" Target="https://www.consumerfinance.gov/rules-policy/regulations/1002/" TargetMode="External"/><Relationship Id="rId354" Type="http://schemas.openxmlformats.org/officeDocument/2006/relationships/hyperlink" Target="https://arxiv.org/abs/1803.03453" TargetMode="External"/><Relationship Id="rId475" Type="http://schemas.openxmlformats.org/officeDocument/2006/relationships/hyperlink" Target="https://arxiv.org/abs/2307.15043" TargetMode="External"/><Relationship Id="rId596" Type="http://schemas.openxmlformats.org/officeDocument/2006/relationships/hyperlink" Target="https://doi.org/10.1093/oseo/instance.00258879" TargetMode="External"/><Relationship Id="rId111" Type="http://schemas.openxmlformats.org/officeDocument/2006/relationships/hyperlink" Target="https://doi.org/10.1007/978-94-010-1490-8" TargetMode="External"/><Relationship Id="rId232" Type="http://schemas.openxmlformats.org/officeDocument/2006/relationships/hyperlink" Target="https://www.consumerfinance.gov/rules-policy/regulations/1002/" TargetMode="External"/><Relationship Id="rId353" Type="http://schemas.openxmlformats.org/officeDocument/2006/relationships/hyperlink" Target="https://arxiv.org/abs/1803.03453" TargetMode="External"/><Relationship Id="rId474" Type="http://schemas.openxmlformats.org/officeDocument/2006/relationships/hyperlink" Target="https://arxiv.org/abs/2212.08073" TargetMode="External"/><Relationship Id="rId595" Type="http://schemas.openxmlformats.org/officeDocument/2006/relationships/hyperlink" Target="https://doi.org/10.1093/oseo/instance.00258879" TargetMode="External"/><Relationship Id="rId305" Type="http://schemas.openxmlformats.org/officeDocument/2006/relationships/hyperlink" Target="https://github.com/FractonicMind/TernaryMoralLogic" TargetMode="External"/><Relationship Id="rId426" Type="http://schemas.openxmlformats.org/officeDocument/2006/relationships/hyperlink" Target="https://doi.org/10.1007/978-94-010-1490-8" TargetMode="External"/><Relationship Id="rId547" Type="http://schemas.openxmlformats.org/officeDocument/2006/relationships/hyperlink" Target="https://doi.org/10.1016/j.trc.2018.07.007" TargetMode="External"/><Relationship Id="rId304" Type="http://schemas.openxmlformats.org/officeDocument/2006/relationships/hyperlink" Target="https://github.com/FractonicMind/TernaryMoralLogic" TargetMode="External"/><Relationship Id="rId425" Type="http://schemas.openxmlformats.org/officeDocument/2006/relationships/hyperlink" Target="https://doi.org/10.1007/978-94-010-1490-8" TargetMode="External"/><Relationship Id="rId546" Type="http://schemas.openxmlformats.org/officeDocument/2006/relationships/hyperlink" Target="https://www.sae.org/standards/content/j3016_202104/" TargetMode="External"/><Relationship Id="rId303" Type="http://schemas.openxmlformats.org/officeDocument/2006/relationships/hyperlink" Target="https://github.com/FractonicMind/TernaryMoralLogic" TargetMode="External"/><Relationship Id="rId424" Type="http://schemas.openxmlformats.org/officeDocument/2006/relationships/hyperlink" Target="https://doi.org/10.1093/oseo/instance.00258879" TargetMode="External"/><Relationship Id="rId545" Type="http://schemas.openxmlformats.org/officeDocument/2006/relationships/hyperlink" Target="https://www.sae.org/standards/content/j3016_202104/" TargetMode="External"/><Relationship Id="rId302" Type="http://schemas.openxmlformats.org/officeDocument/2006/relationships/hyperlink" Target="https://github.com/FractonicMind/TernaryMoralLogic" TargetMode="External"/><Relationship Id="rId423" Type="http://schemas.openxmlformats.org/officeDocument/2006/relationships/hyperlink" Target="https://doi.org/10.1093/oseo/instance.00258879" TargetMode="External"/><Relationship Id="rId544" Type="http://schemas.openxmlformats.org/officeDocument/2006/relationships/hyperlink" Target="https://www.ntsb.gov/investigations/Pages/HWY18MH010.aspx" TargetMode="External"/><Relationship Id="rId309" Type="http://schemas.openxmlformats.org/officeDocument/2006/relationships/hyperlink" Target="https://github.com/FractonicMind/TernaryMoralLogic" TargetMode="External"/><Relationship Id="rId308" Type="http://schemas.openxmlformats.org/officeDocument/2006/relationships/hyperlink" Target="https://github.com/FractonicMind/TernaryMoralLogic" TargetMode="External"/><Relationship Id="rId429" Type="http://schemas.openxmlformats.org/officeDocument/2006/relationships/hyperlink" Target="https://doi.org/10.1093/acprof:oso/9780198237907.001.0001" TargetMode="External"/><Relationship Id="rId307" Type="http://schemas.openxmlformats.org/officeDocument/2006/relationships/hyperlink" Target="https://github.com/FractonicMind/TernaryMoralLogic" TargetMode="External"/><Relationship Id="rId428" Type="http://schemas.openxmlformats.org/officeDocument/2006/relationships/hyperlink" Target="https://doi.org/10.1007/978-94-009-9223-5" TargetMode="External"/><Relationship Id="rId549" Type="http://schemas.openxmlformats.org/officeDocument/2006/relationships/hyperlink" Target="https://www.nhtsa.gov/press-releases/nhtsa-issues-standing-general-order-crash-reporting-automated-driving-systems" TargetMode="External"/><Relationship Id="rId306" Type="http://schemas.openxmlformats.org/officeDocument/2006/relationships/hyperlink" Target="https://github.com/FractonicMind/TernaryMoralLogic" TargetMode="External"/><Relationship Id="rId427" Type="http://schemas.openxmlformats.org/officeDocument/2006/relationships/hyperlink" Target="https://doi.org/10.1007/978-94-009-9223-5" TargetMode="External"/><Relationship Id="rId548" Type="http://schemas.openxmlformats.org/officeDocument/2006/relationships/hyperlink" Target="https://doi.org/10.1016/j.trc.2018.07.007" TargetMode="External"/><Relationship Id="rId301" Type="http://schemas.openxmlformats.org/officeDocument/2006/relationships/hyperlink" Target="https://github.com/FractonicMind/TernaryMoralLogic" TargetMode="External"/><Relationship Id="rId422" Type="http://schemas.openxmlformats.org/officeDocument/2006/relationships/hyperlink" Target="https://github.com/FractonicMind/TernaryMoralLogic" TargetMode="External"/><Relationship Id="rId543" Type="http://schemas.openxmlformats.org/officeDocument/2006/relationships/hyperlink" Target="https://www.ntsb.gov/investigations/Pages/HWY18MH010.aspx" TargetMode="External"/><Relationship Id="rId300" Type="http://schemas.openxmlformats.org/officeDocument/2006/relationships/hyperlink" Target="https://github.com/FractonicMind/TernaryMoralLogic" TargetMode="External"/><Relationship Id="rId421" Type="http://schemas.openxmlformats.org/officeDocument/2006/relationships/hyperlink" Target="https://github.com/FractonicMind/TernaryMoralLogic" TargetMode="External"/><Relationship Id="rId542" Type="http://schemas.openxmlformats.org/officeDocument/2006/relationships/hyperlink" Target="https://www.fda.gov/media/145022/download" TargetMode="External"/><Relationship Id="rId420" Type="http://schemas.openxmlformats.org/officeDocument/2006/relationships/hyperlink" Target="https://github.com/FractonicMind/TernaryMoralLogic" TargetMode="External"/><Relationship Id="rId541" Type="http://schemas.openxmlformats.org/officeDocument/2006/relationships/hyperlink" Target="https://www.fda.gov/media/145022/download" TargetMode="External"/><Relationship Id="rId540" Type="http://schemas.openxmlformats.org/officeDocument/2006/relationships/hyperlink" Target="https://www.fda.gov/medical-devices/software-medical-device-samd/artificial-intelligence-and-machine-learning-aiml-enabled-medical-devices" TargetMode="External"/><Relationship Id="rId415" Type="http://schemas.openxmlformats.org/officeDocument/2006/relationships/hyperlink" Target="https://github.com/FractonicMind/TernaryMoralLogic" TargetMode="External"/><Relationship Id="rId536" Type="http://schemas.openxmlformats.org/officeDocument/2006/relationships/hyperlink" Target="https://doi.org/10.1001/jama.2016.0287" TargetMode="External"/><Relationship Id="rId414" Type="http://schemas.openxmlformats.org/officeDocument/2006/relationships/hyperlink" Target="https://github.com/FractonicMind/TernaryMoralLogic" TargetMode="External"/><Relationship Id="rId535" Type="http://schemas.openxmlformats.org/officeDocument/2006/relationships/hyperlink" Target="https://doi.org/10.1001/jama.2016.0287" TargetMode="External"/><Relationship Id="rId413" Type="http://schemas.openxmlformats.org/officeDocument/2006/relationships/hyperlink" Target="https://github.com/FractonicMind/TernaryMoralLogic" TargetMode="External"/><Relationship Id="rId534" Type="http://schemas.openxmlformats.org/officeDocument/2006/relationships/hyperlink" Target="https://eur-lex.europa.eu/legal-content/EN/TXT/?uri=CELEX:32022L2464" TargetMode="External"/><Relationship Id="rId412" Type="http://schemas.openxmlformats.org/officeDocument/2006/relationships/hyperlink" Target="https://csrc.nist.gov/publications/detail/fips/140/3/final" TargetMode="External"/><Relationship Id="rId533" Type="http://schemas.openxmlformats.org/officeDocument/2006/relationships/hyperlink" Target="https://eur-lex.europa.eu/legal-content/EN/TXT/?uri=CELEX:32022L2464" TargetMode="External"/><Relationship Id="rId419" Type="http://schemas.openxmlformats.org/officeDocument/2006/relationships/hyperlink" Target="https://github.com/FractonicMind/TernaryMoralLogic" TargetMode="External"/><Relationship Id="rId418" Type="http://schemas.openxmlformats.org/officeDocument/2006/relationships/hyperlink" Target="https://doi.org/10.1038/s41586-020-2388-3" TargetMode="External"/><Relationship Id="rId539" Type="http://schemas.openxmlformats.org/officeDocument/2006/relationships/hyperlink" Target="https://www.fda.gov/medical-devices/software-medical-device-samd/artificial-intelligence-and-machine-learning-aiml-enabled-medical-devices" TargetMode="External"/><Relationship Id="rId417" Type="http://schemas.openxmlformats.org/officeDocument/2006/relationships/hyperlink" Target="https://doi.org/10.1038/s41586-020-2388-3" TargetMode="External"/><Relationship Id="rId538" Type="http://schemas.openxmlformats.org/officeDocument/2006/relationships/hyperlink" Target="https://doi.org/10.5210/fm.v24i8.10204" TargetMode="External"/><Relationship Id="rId416" Type="http://schemas.openxmlformats.org/officeDocument/2006/relationships/hyperlink" Target="https://github.com/FractonicMind/TernaryMoralLogic" TargetMode="External"/><Relationship Id="rId537" Type="http://schemas.openxmlformats.org/officeDocument/2006/relationships/hyperlink" Target="https://doi.org/10.5210/fm.v24i8.10204" TargetMode="External"/><Relationship Id="rId411" Type="http://schemas.openxmlformats.org/officeDocument/2006/relationships/hyperlink" Target="https://csrc.nist.gov/publications/detail/fips/140/3/final" TargetMode="External"/><Relationship Id="rId532" Type="http://schemas.openxmlformats.org/officeDocument/2006/relationships/hyperlink" Target="https://app.electricitymaps.com" TargetMode="External"/><Relationship Id="rId410" Type="http://schemas.openxmlformats.org/officeDocument/2006/relationships/hyperlink" Target="https://github.com/FractonicMind/TernaryMoralLogic" TargetMode="External"/><Relationship Id="rId531" Type="http://schemas.openxmlformats.org/officeDocument/2006/relationships/hyperlink" Target="https://app.electricitymaps.com" TargetMode="External"/><Relationship Id="rId530" Type="http://schemas.openxmlformats.org/officeDocument/2006/relationships/hyperlink" Target="https://www.cbd.int/convention/text" TargetMode="External"/><Relationship Id="rId206" Type="http://schemas.openxmlformats.org/officeDocument/2006/relationships/hyperlink" Target="https://doi.org/10.5210/fm.v24i8.10204" TargetMode="External"/><Relationship Id="rId327" Type="http://schemas.openxmlformats.org/officeDocument/2006/relationships/hyperlink" Target="https://github.com/FractonicMind/TernaryMoralLogic" TargetMode="External"/><Relationship Id="rId448" Type="http://schemas.openxmlformats.org/officeDocument/2006/relationships/hyperlink" Target="https://doi.org/10.1017/CBO9781139163828" TargetMode="External"/><Relationship Id="rId569" Type="http://schemas.openxmlformats.org/officeDocument/2006/relationships/hyperlink" Target="https://doi.org/10.6028/NIST.FIPS.203" TargetMode="External"/><Relationship Id="rId205" Type="http://schemas.openxmlformats.org/officeDocument/2006/relationships/hyperlink" Target="https://doi.org/10.5210/fm.v24i8.10204" TargetMode="External"/><Relationship Id="rId326" Type="http://schemas.openxmlformats.org/officeDocument/2006/relationships/hyperlink" Target="https://github.com/FractonicMind/TernaryMoralLogic" TargetMode="External"/><Relationship Id="rId447" Type="http://schemas.openxmlformats.org/officeDocument/2006/relationships/hyperlink" Target="https://doi.org/10.1017/CBO9781139163828" TargetMode="External"/><Relationship Id="rId568" Type="http://schemas.openxmlformats.org/officeDocument/2006/relationships/hyperlink" Target="https://www.pdpc.gov.sg/help-and-resources/2020/01/model-ai-governance-framework" TargetMode="External"/><Relationship Id="rId204" Type="http://schemas.openxmlformats.org/officeDocument/2006/relationships/hyperlink" Target="https://doi.org/10.1001/jamainternmed.2021.3333" TargetMode="External"/><Relationship Id="rId325" Type="http://schemas.openxmlformats.org/officeDocument/2006/relationships/hyperlink" Target="https://github.com/FractonicMind/TernaryMoralLogic" TargetMode="External"/><Relationship Id="rId446" Type="http://schemas.openxmlformats.org/officeDocument/2006/relationships/hyperlink" Target="https://doi.org/10.2307/j.ctvkjb25m" TargetMode="External"/><Relationship Id="rId567" Type="http://schemas.openxmlformats.org/officeDocument/2006/relationships/hyperlink" Target="https://www.pdpc.gov.sg/help-and-resources/2020/01/model-ai-governance-framework" TargetMode="External"/><Relationship Id="rId203" Type="http://schemas.openxmlformats.org/officeDocument/2006/relationships/hyperlink" Target="https://doi.org/10.1001/jamainternmed.2021.3333" TargetMode="External"/><Relationship Id="rId324" Type="http://schemas.openxmlformats.org/officeDocument/2006/relationships/hyperlink" Target="https://github.com/FractonicMind/TernaryMoralLogic" TargetMode="External"/><Relationship Id="rId445" Type="http://schemas.openxmlformats.org/officeDocument/2006/relationships/hyperlink" Target="https://doi.org/10.2307/j.ctvkjb25m" TargetMode="External"/><Relationship Id="rId566" Type="http://schemas.openxmlformats.org/officeDocument/2006/relationships/hyperlink" Target="https://www.tbs-sct.canada.ca/pol/doc-eng.aspx?id=32592" TargetMode="External"/><Relationship Id="rId209" Type="http://schemas.openxmlformats.org/officeDocument/2006/relationships/hyperlink" Target="https://www.fda.gov/medical-devices/software-medical-device-samd/artificial-intelligence-and-machine-learning-aiml-enabled-medical-devices" TargetMode="External"/><Relationship Id="rId208" Type="http://schemas.openxmlformats.org/officeDocument/2006/relationships/hyperlink" Target="https://eur-lex.europa.eu/legal-content/EN/TXT/?uri=CELEX:32024R1689" TargetMode="External"/><Relationship Id="rId329" Type="http://schemas.openxmlformats.org/officeDocument/2006/relationships/hyperlink" Target="https://github.com/FractonicMind/TernaryMoralLogic" TargetMode="External"/><Relationship Id="rId207" Type="http://schemas.openxmlformats.org/officeDocument/2006/relationships/hyperlink" Target="https://eur-lex.europa.eu/legal-content/EN/TXT/?uri=CELEX:32024R1689" TargetMode="External"/><Relationship Id="rId328" Type="http://schemas.openxmlformats.org/officeDocument/2006/relationships/hyperlink" Target="https://github.com/FractonicMind/TernaryMoralLogic" TargetMode="External"/><Relationship Id="rId449" Type="http://schemas.openxmlformats.org/officeDocument/2006/relationships/hyperlink" Target="https://doi.org/10.1017/CBO9780511814600" TargetMode="External"/><Relationship Id="rId440" Type="http://schemas.openxmlformats.org/officeDocument/2006/relationships/hyperlink" Target="https://doi.org/10.1093/oseo/instance.00258891" TargetMode="External"/><Relationship Id="rId561" Type="http://schemas.openxmlformats.org/officeDocument/2006/relationships/hyperlink" Target="https://www.federalreserve.gov/supervisionreg/srletters/sr1107.htm" TargetMode="External"/><Relationship Id="rId560" Type="http://schemas.openxmlformats.org/officeDocument/2006/relationships/hyperlink" Target="https://www.iso.org/standard/81230.html" TargetMode="External"/><Relationship Id="rId202" Type="http://schemas.openxmlformats.org/officeDocument/2006/relationships/hyperlink" Target="https://doi.org/10.1001/jama.2016.0287" TargetMode="External"/><Relationship Id="rId323" Type="http://schemas.openxmlformats.org/officeDocument/2006/relationships/hyperlink" Target="https://github.com/FractonicMind/TernaryMoralLogic" TargetMode="External"/><Relationship Id="rId444" Type="http://schemas.openxmlformats.org/officeDocument/2006/relationships/hyperlink" Target="https://doi.org/10.1093/oseo/instance.00258929" TargetMode="External"/><Relationship Id="rId565" Type="http://schemas.openxmlformats.org/officeDocument/2006/relationships/hyperlink" Target="https://www.tbs-sct.canada.ca/pol/doc-eng.aspx?id=32592" TargetMode="External"/><Relationship Id="rId201" Type="http://schemas.openxmlformats.org/officeDocument/2006/relationships/hyperlink" Target="https://doi.org/10.1001/jama.2016.0287" TargetMode="External"/><Relationship Id="rId322" Type="http://schemas.openxmlformats.org/officeDocument/2006/relationships/hyperlink" Target="https://github.com/FractonicMind/TernaryMoralLogic" TargetMode="External"/><Relationship Id="rId443" Type="http://schemas.openxmlformats.org/officeDocument/2006/relationships/hyperlink" Target="https://doi.org/10.1093/oseo/instance.00258929" TargetMode="External"/><Relationship Id="rId564" Type="http://schemas.openxmlformats.org/officeDocument/2006/relationships/hyperlink" Target="http://www.planalto.gov.br/ccivil_03/_ato2018-2022/2018/lei/L13709.htm" TargetMode="External"/><Relationship Id="rId200" Type="http://schemas.openxmlformats.org/officeDocument/2006/relationships/hyperlink" Target="https://www.law.cornell.edu/rules/fre/rule_902" TargetMode="External"/><Relationship Id="rId321" Type="http://schemas.openxmlformats.org/officeDocument/2006/relationships/hyperlink" Target="https://github.com/FractonicMind/TernaryMoralLogic" TargetMode="External"/><Relationship Id="rId442" Type="http://schemas.openxmlformats.org/officeDocument/2006/relationships/hyperlink" Target="https://doi.org/10.1093/oseo/instance.00258895" TargetMode="External"/><Relationship Id="rId563" Type="http://schemas.openxmlformats.org/officeDocument/2006/relationships/hyperlink" Target="http://www.planalto.gov.br/ccivil_03/_ato2018-2022/2018/lei/L13709.htm" TargetMode="External"/><Relationship Id="rId320" Type="http://schemas.openxmlformats.org/officeDocument/2006/relationships/hyperlink" Target="https://github.com/FractonicMind/TernaryMoralLogic" TargetMode="External"/><Relationship Id="rId441" Type="http://schemas.openxmlformats.org/officeDocument/2006/relationships/hyperlink" Target="https://doi.org/10.1093/oseo/instance.00258895" TargetMode="External"/><Relationship Id="rId562" Type="http://schemas.openxmlformats.org/officeDocument/2006/relationships/hyperlink" Target="https://www.federalreserve.gov/supervisionreg/srletters/sr1107.htm" TargetMode="External"/><Relationship Id="rId316" Type="http://schemas.openxmlformats.org/officeDocument/2006/relationships/hyperlink" Target="https://github.com/FractonicMind/TernaryMoralLogic" TargetMode="External"/><Relationship Id="rId437" Type="http://schemas.openxmlformats.org/officeDocument/2006/relationships/hyperlink" Target="https://doi.org/10.1126/science.1092408" TargetMode="External"/><Relationship Id="rId558" Type="http://schemas.openxmlformats.org/officeDocument/2006/relationships/hyperlink" Target="https://www.esd.whs.mil/Portals/54/Documents/DD/issuances/dodd/300009p.pdf" TargetMode="External"/><Relationship Id="rId315" Type="http://schemas.openxmlformats.org/officeDocument/2006/relationships/hyperlink" Target="https://github.com/FractonicMind/TernaryMoralLogic" TargetMode="External"/><Relationship Id="rId436" Type="http://schemas.openxmlformats.org/officeDocument/2006/relationships/hyperlink" Target="https://doi.org/10.1080/00140139508925174" TargetMode="External"/><Relationship Id="rId557" Type="http://schemas.openxmlformats.org/officeDocument/2006/relationships/hyperlink" Target="https://www.esd.whs.mil/Portals/54/Documents/DD/issuances/dodd/300009p.pdf" TargetMode="External"/><Relationship Id="rId314" Type="http://schemas.openxmlformats.org/officeDocument/2006/relationships/hyperlink" Target="https://github.com/FractonicMind/TernaryMoralLogic" TargetMode="External"/><Relationship Id="rId435" Type="http://schemas.openxmlformats.org/officeDocument/2006/relationships/hyperlink" Target="https://doi.org/10.1080/00140139508925174" TargetMode="External"/><Relationship Id="rId556" Type="http://schemas.openxmlformats.org/officeDocument/2006/relationships/hyperlink" Target="https://doi.org/10.1017/S002070391400003X" TargetMode="External"/><Relationship Id="rId313" Type="http://schemas.openxmlformats.org/officeDocument/2006/relationships/hyperlink" Target="https://github.com/FractonicMind/TernaryMoralLogic" TargetMode="External"/><Relationship Id="rId434" Type="http://schemas.openxmlformats.org/officeDocument/2006/relationships/hyperlink" Target="https://doi.org/10.1017/S0140525X00002035" TargetMode="External"/><Relationship Id="rId555" Type="http://schemas.openxmlformats.org/officeDocument/2006/relationships/hyperlink" Target="https://doi.org/10.1017/S002070391400003X" TargetMode="External"/><Relationship Id="rId319" Type="http://schemas.openxmlformats.org/officeDocument/2006/relationships/hyperlink" Target="https://github.com/FractonicMind/TernaryMoralLogic" TargetMode="External"/><Relationship Id="rId318" Type="http://schemas.openxmlformats.org/officeDocument/2006/relationships/hyperlink" Target="https://github.com/FractonicMind/TernaryMoralLogic" TargetMode="External"/><Relationship Id="rId439" Type="http://schemas.openxmlformats.org/officeDocument/2006/relationships/hyperlink" Target="https://doi.org/10.1093/oseo/instance.00258891" TargetMode="External"/><Relationship Id="rId317" Type="http://schemas.openxmlformats.org/officeDocument/2006/relationships/hyperlink" Target="https://github.com/FractonicMind/TernaryMoralLogic" TargetMode="External"/><Relationship Id="rId438" Type="http://schemas.openxmlformats.org/officeDocument/2006/relationships/hyperlink" Target="https://doi.org/10.1126/science.1092408" TargetMode="External"/><Relationship Id="rId559" Type="http://schemas.openxmlformats.org/officeDocument/2006/relationships/hyperlink" Target="https://www.iso.org/standard/81230.html" TargetMode="External"/><Relationship Id="rId550" Type="http://schemas.openxmlformats.org/officeDocument/2006/relationships/hyperlink" Target="https://www.nhtsa.gov/press-releases/nhtsa-issues-standing-general-order-crash-reporting-automated-driving-systems" TargetMode="External"/><Relationship Id="rId312" Type="http://schemas.openxmlformats.org/officeDocument/2006/relationships/hyperlink" Target="https://github.com/FractonicMind/TernaryMoralLogic" TargetMode="External"/><Relationship Id="rId433" Type="http://schemas.openxmlformats.org/officeDocument/2006/relationships/hyperlink" Target="https://doi.org/10.1017/S0140525X00002035" TargetMode="External"/><Relationship Id="rId554" Type="http://schemas.openxmlformats.org/officeDocument/2006/relationships/hyperlink" Target="https://www.consumerfinance.gov/rules-policy/regulations/1002/" TargetMode="External"/><Relationship Id="rId311" Type="http://schemas.openxmlformats.org/officeDocument/2006/relationships/hyperlink" Target="https://github.com/FractonicMind/TernaryMoralLogic" TargetMode="External"/><Relationship Id="rId432" Type="http://schemas.openxmlformats.org/officeDocument/2006/relationships/hyperlink" Target="https://doi.org/10.1093/oso/9780198722274.001.0001" TargetMode="External"/><Relationship Id="rId553" Type="http://schemas.openxmlformats.org/officeDocument/2006/relationships/hyperlink" Target="https://www.consumerfinance.gov/rules-policy/regulations/1002/" TargetMode="External"/><Relationship Id="rId310" Type="http://schemas.openxmlformats.org/officeDocument/2006/relationships/hyperlink" Target="https://github.com/FractonicMind/TernaryMoralLogic" TargetMode="External"/><Relationship Id="rId431" Type="http://schemas.openxmlformats.org/officeDocument/2006/relationships/hyperlink" Target="https://doi.org/10.1093/oso/9780198722274.001.0001" TargetMode="External"/><Relationship Id="rId552" Type="http://schemas.openxmlformats.org/officeDocument/2006/relationships/hyperlink" Target="https://www.fca.org.uk/news/press-releases/fca-fines-citigroup-global-markets-limited-61-6m-system-controls-failures" TargetMode="External"/><Relationship Id="rId430" Type="http://schemas.openxmlformats.org/officeDocument/2006/relationships/hyperlink" Target="https://doi.org/10.1093/acprof:oso/9780198237907.001.0001" TargetMode="External"/><Relationship Id="rId551" Type="http://schemas.openxmlformats.org/officeDocument/2006/relationships/hyperlink" Target="https://www.fca.org.uk/news/press-releases/fca-fines-citigroup-global-markets-limited-61-6m-system-controls-failur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