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spacing w:after="120"/>
        <w:jc w:val="center"/>
      </w:pPr>
      <w:r>
        <w:rPr>
          <w:rFonts w:ascii="Calibri" w:cs="Calibri" w:eastAsia="Calibri" w:hAnsi="Calibri"/>
          <w:b/>
          <w:bCs/>
          <w:color w:val="5D6D7E"/>
          <w:sz w:val="22"/>
          <w:szCs w:val="22"/>
        </w:rPr>
        <w:t xml:space="preserve">RESEARCH REPORT</w:t>
      </w:r>
    </w:p>
    <w:p>
      <w:pPr>
        <w:spacing w:after="120"/>
        <w:jc w:val="center"/>
      </w:pPr>
      <w:r>
        <w:rPr>
          <w:rFonts w:ascii="Calibri" w:cs="Calibri" w:eastAsia="Calibri" w:hAnsi="Calibri"/>
          <w:b/>
          <w:bCs/>
          <w:color w:val="1A5276"/>
          <w:sz w:val="44"/>
          <w:szCs w:val="44"/>
        </w:rPr>
        <w:t xml:space="preserve">Can TML Reform Social Media?</w:t>
      </w:r>
    </w:p>
    <w:p>
      <w:pPr>
        <w:spacing w:after="200"/>
        <w:jc w:val="center"/>
      </w:pPr>
      <w:r>
        <w:rPr>
          <w:rFonts w:ascii="Calibri" w:cs="Calibri" w:eastAsia="Calibri" w:hAnsi="Calibri"/>
          <w:i/>
          <w:iCs/>
          <w:color w:val="2E4057"/>
          <w:sz w:val="28"/>
          <w:szCs w:val="28"/>
        </w:rPr>
        <w:t xml:space="preserve">Can Algorithmic Governance Be Constitutionalized?</w:t>
      </w:r>
    </w:p>
    <w:p>
      <w:pPr>
        <w:pBdr>
          <w:bottom w:val="single" w:color="CCCCCC" w:sz="4" w:space="4"/>
        </w:pBdr>
        <w:spacing w:after="200" w:before="200"/>
      </w:pPr>
      <w:r>
        <w:t xml:space="preserve"/>
      </w:r>
    </w:p>
    <w:p>
      <w:pPr>
        <w:spacing w:after="60"/>
      </w:pPr>
      <w:r>
        <w:rPr>
          <w:rFonts w:ascii="Calibri" w:cs="Calibri" w:eastAsia="Calibri" w:hAnsi="Calibri"/>
          <w:b/>
          <w:bCs/>
          <w:color w:val="5D6D7E"/>
          <w:sz w:val="20"/>
          <w:szCs w:val="20"/>
        </w:rPr>
        <w:t xml:space="preserve">Author:  </w:t>
      </w:r>
      <w:r>
        <w:rPr>
          <w:rFonts w:ascii="Calibri" w:cs="Calibri" w:eastAsia="Calibri" w:hAnsi="Calibri"/>
          <w:color w:val="5D6D7E"/>
          <w:sz w:val="20"/>
          <w:szCs w:val="20"/>
        </w:rPr>
        <w:t xml:space="preserve">Lev Goukassian - Independent Researcher, AI Governance</w:t>
      </w:r>
    </w:p>
    <w:p>
      <w:pPr>
        <w:spacing w:after="60"/>
      </w:pPr>
      <w:r>
        <w:rPr>
          <w:rFonts w:ascii="Calibri" w:cs="Calibri" w:eastAsia="Calibri" w:hAnsi="Calibri"/>
          <w:b/>
          <w:bCs/>
          <w:color w:val="5D6D7E"/>
          <w:sz w:val="20"/>
          <w:szCs w:val="20"/>
        </w:rPr>
        <w:t xml:space="preserve">Framework:  </w:t>
      </w:r>
      <w:r>
        <w:rPr>
          <w:rFonts w:ascii="Calibri" w:cs="Calibri" w:eastAsia="Calibri" w:hAnsi="Calibri"/>
          <w:color w:val="5D6D7E"/>
          <w:sz w:val="20"/>
          <w:szCs w:val="20"/>
        </w:rPr>
        <w:t xml:space="preserve">Ternary Moral Logic (TML)</w:t>
      </w:r>
    </w:p>
    <w:p>
      <w:pPr>
        <w:spacing w:after="60"/>
      </w:pPr>
      <w:r>
        <w:rPr>
          <w:rFonts w:ascii="Calibri" w:cs="Calibri" w:eastAsia="Calibri" w:hAnsi="Calibri"/>
          <w:b/>
          <w:bCs/>
          <w:color w:val="5D6D7E"/>
          <w:sz w:val="20"/>
          <w:szCs w:val="20"/>
        </w:rPr>
        <w:t xml:space="preserve">DOI:  </w:t>
      </w:r>
      <w:r>
        <w:rPr>
          <w:rFonts w:ascii="Calibri" w:cs="Calibri" w:eastAsia="Calibri" w:hAnsi="Calibri"/>
          <w:color w:val="5D6D7E"/>
          <w:sz w:val="20"/>
          <w:szCs w:val="20"/>
        </w:rPr>
        <w:t xml:space="preserve">10.1007/s43681-025-00910-6</w:t>
      </w:r>
    </w:p>
    <w:p>
      <w:pPr>
        <w:spacing w:after="60"/>
      </w:pPr>
      <w:r>
        <w:rPr>
          <w:rFonts w:ascii="Calibri" w:cs="Calibri" w:eastAsia="Calibri" w:hAnsi="Calibri"/>
          <w:b/>
          <w:bCs/>
          <w:color w:val="5D6D7E"/>
          <w:sz w:val="20"/>
          <w:szCs w:val="20"/>
        </w:rPr>
        <w:t xml:space="preserve">Date:  </w:t>
      </w:r>
      <w:r>
        <w:rPr>
          <w:rFonts w:ascii="Calibri" w:cs="Calibri" w:eastAsia="Calibri" w:hAnsi="Calibri"/>
          <w:color w:val="5D6D7E"/>
          <w:sz w:val="20"/>
          <w:szCs w:val="20"/>
        </w:rPr>
        <w:t xml:space="preserve">October 2026</w:t>
      </w:r>
    </w:p>
    <w:p>
      <w:pPr>
        <w:spacing w:after="60"/>
      </w:pPr>
      <w:r>
        <w:rPr>
          <w:rFonts w:ascii="Calibri" w:cs="Calibri" w:eastAsia="Calibri" w:hAnsi="Calibri"/>
          <w:b/>
          <w:bCs/>
          <w:color w:val="5D6D7E"/>
          <w:sz w:val="20"/>
          <w:szCs w:val="20"/>
        </w:rPr>
        <w:t xml:space="preserve">Series:  </w:t>
      </w:r>
      <w:r>
        <w:rPr>
          <w:rFonts w:ascii="Calibri" w:cs="Calibri" w:eastAsia="Calibri" w:hAnsi="Calibri"/>
          <w:color w:val="5D6D7E"/>
          <w:sz w:val="20"/>
          <w:szCs w:val="20"/>
        </w:rPr>
        <w:t xml:space="preserve">AI Symphony - Node 1 Research Report</w:t>
      </w:r>
    </w:p>
    <w:p>
      <w:pPr>
        <w:pBdr>
          <w:bottom w:val="single" w:color="CCCCCC" w:sz="4" w:space="4"/>
        </w:pBdr>
        <w:spacing w:after="200" w:before="200"/>
      </w:pPr>
      <w:r>
        <w:t xml:space="preserve"/>
      </w:r>
    </w:p>
    <w:p>
      <w:pPr>
        <w:spacing w:after="60"/>
      </w:pPr>
      <w:r>
        <w:t xml:space="preserve"/>
      </w:r>
    </w:p>
    <w:p>
      <w:pPr>
        <w:pStyle w:val="Heading2"/>
        <w:spacing w:after="140" w:before="320"/>
      </w:pPr>
      <w:r>
        <w:rPr>
          <w:rFonts w:ascii="Calibri" w:cs="Calibri" w:eastAsia="Calibri" w:hAnsi="Calibri"/>
          <w:b/>
          <w:bCs/>
          <w:color w:val="2E4057"/>
          <w:sz w:val="26"/>
          <w:szCs w:val="26"/>
        </w:rPr>
        <w:t xml:space="preserve">Conflict of Interest Disclosure</w:t>
      </w:r>
    </w:p>
    <w:p>
      <w:pPr>
        <w:pBdr>
          <w:left w:val="single" w:color="1A5276" w:sz="14" w:space="12"/>
        </w:pBdr>
        <w:spacing w:after="160" w:before="160"/>
        <w:ind w:left="720"/>
      </w:pPr>
      <w:r>
        <w:rPr>
          <w:rFonts w:ascii="Calibri" w:cs="Calibri" w:eastAsia="Calibri" w:hAnsi="Calibri"/>
          <w:i/>
          <w:iCs/>
          <w:color w:val="5D6D7E"/>
          <w:sz w:val="22"/>
          <w:szCs w:val="22"/>
        </w:rPr>
        <w:t xml:space="preserve">The framework evaluated in this report - Ternary Moral Logic (TML) - was developed by Lev Goukassian, who is also the author of this research prompt and its primary proponent. TML is peer-reviewed and published in AI and Ethics (Springer Nature), DOI: 10.1007/s43681-025-00910-6. This disclosure is included as a standing condition of the research brief. The report is designed to stress-test the framework, not validate it.</w:t>
      </w:r>
    </w:p>
    <w:p>
      <w:pPr>
        <w:spacing w:after="60"/>
      </w:pPr>
      <w:r>
        <w:t xml:space="preserve"/>
      </w:r>
    </w:p>
    <w:p>
      <w:r>
        <w:br w:type="page"/>
      </w:r>
    </w:p>
    <w:p>
      <w:pPr>
        <w:pStyle w:val="Heading1"/>
        <w:pBdr>
          <w:bottom w:val="single" w:color="1A5276" w:sz="8" w:space="4"/>
        </w:pBdr>
        <w:spacing w:after="200" w:before="480"/>
      </w:pPr>
      <w:r>
        <w:rPr>
          <w:rFonts w:ascii="Calibri" w:cs="Calibri" w:eastAsia="Calibri" w:hAnsi="Calibri"/>
          <w:b/>
          <w:bCs/>
          <w:color w:val="1A5276"/>
          <w:sz w:val="30"/>
          <w:szCs w:val="30"/>
        </w:rPr>
        <w:t xml:space="preserve">Executive Summary</w:t>
      </w:r>
    </w:p>
    <w:p>
      <w:pPr>
        <w:spacing w:after="60"/>
      </w:pPr>
      <w:r>
        <w:t xml:space="preserve"/>
      </w:r>
    </w:p>
    <w:p>
      <w:pPr>
        <w:spacing w:after="140"/>
      </w:pPr>
      <w:r>
        <w:rPr>
          <w:rFonts w:ascii="Calibri" w:cs="Calibri" w:eastAsia="Calibri" w:hAnsi="Calibri"/>
          <w:color w:val="1F2D3D"/>
          <w:sz w:val="22"/>
          <w:szCs w:val="22"/>
        </w:rPr>
        <w:t xml:space="preserve">The question this report refuses to avoid: If not TML, then what? Every platform audit, every parliamentary inquiry, every wrongful death lawsuit eventually arrives at the same silence - no one can name what a governed feed ranking system actually looks like at scale. This report is an attempt to fill that silence - written by the framework's creator, stress-testing his own architecture against the hardest available evidence.</w:t>
      </w:r>
    </w:p>
    <w:p>
      <w:pPr>
        <w:spacing w:after="60"/>
      </w:pPr>
      <w:r>
        <w:t xml:space="preserve"/>
      </w:r>
    </w:p>
    <w:p>
      <w:pPr>
        <w:spacing w:after="140"/>
      </w:pPr>
      <w:r>
        <w:rPr>
          <w:rFonts w:ascii="Calibri" w:cs="Calibri" w:eastAsia="Calibri" w:hAnsi="Calibri"/>
          <w:color w:val="1F2D3D"/>
          <w:sz w:val="22"/>
          <w:szCs w:val="22"/>
        </w:rPr>
        <w:t xml:space="preserve">What TML proposes is not moderation. It is constitutionalization. The framework's core claim is that the 10-100 billion ranking and amplification decisions made daily by platforms like Meta, TikTok, and YouTube are not merely technical operations - they are moral acts, and moral acts require traceable, auditable governance structures. TML's Governance Lane adds approximately 50ms to each decision cycle, producing a Provisional Permission Token before any amplification executes. No token, no action. That is not a slogan. It is an architectural precondition.</w:t>
      </w:r>
    </w:p>
    <w:p>
      <w:pPr>
        <w:spacing w:after="60"/>
      </w:pPr>
      <w:r>
        <w:t xml:space="preserve"/>
      </w:r>
    </w:p>
    <w:p>
      <w:pPr>
        <w:spacing w:after="140"/>
      </w:pPr>
      <w:r>
        <w:rPr>
          <w:rFonts w:ascii="Calibri" w:cs="Calibri" w:eastAsia="Calibri" w:hAnsi="Calibri"/>
          <w:color w:val="1F2D3D"/>
          <w:sz w:val="22"/>
          <w:szCs w:val="22"/>
        </w:rPr>
        <w:t xml:space="preserve">The stress test produced four terminal findings. First, TML is technically achievable at platform scale. The Dual-Lane Latency architecture - Inference Lane under 2ms, Governance Lane under 50ms - is consistent with existing infrastructure at Polygon (5,000+ TPS) and analogous to Visa's real-time fraud detection at 65,000 transactions per second. The engineering is not the barrier.</w:t>
      </w:r>
    </w:p>
    <w:p>
      <w:pPr>
        <w:spacing w:after="60"/>
      </w:pPr>
      <w:r>
        <w:t xml:space="preserve"/>
      </w:r>
    </w:p>
    <w:p>
      <w:pPr>
        <w:spacing w:after="140"/>
      </w:pPr>
      <w:r>
        <w:rPr>
          <w:rFonts w:ascii="Calibri" w:cs="Calibri" w:eastAsia="Calibri" w:hAnsi="Calibri"/>
          <w:color w:val="1F2D3D"/>
          <w:sz w:val="22"/>
          <w:szCs w:val="22"/>
        </w:rPr>
        <w:t xml:space="preserve">Second, the economics are real but reframeable. The Governance Lane costs approximately $50-100 million per year at Meta scale - a figure that looks large until measured against the $52 million PTSD settlement covering just 11,250 content moderators, or against the November 2025 Common Sense Media finding that AI chatbots operating on the same engagement-first architecture represent "Unacceptable Risk" across four of eight child safety principles. The cost of TML is a measurement. The cost of the status quo is a burial.</w:t>
      </w:r>
    </w:p>
    <w:p>
      <w:pPr>
        <w:spacing w:after="60"/>
      </w:pPr>
      <w:r>
        <w:t xml:space="preserve"/>
      </w:r>
    </w:p>
    <w:p>
      <w:pPr>
        <w:spacing w:after="140"/>
      </w:pPr>
      <w:r>
        <w:rPr>
          <w:rFonts w:ascii="Calibri" w:cs="Calibri" w:eastAsia="Calibri" w:hAnsi="Calibri"/>
          <w:color w:val="1F2D3D"/>
          <w:sz w:val="22"/>
          <w:szCs w:val="22"/>
        </w:rPr>
        <w:t xml:space="preserve">Third, platforms are primarily unwilling, not unable. The mandate paradox - every major framework stops short of requiring structural change - is not an accident of regulatory design. It reflects the precise point at which governance would constrain the business model. Section 230 litigation, DSA compliance theater, and voluntary transparency reports all share the same ceiling: they describe the problem without touching the architecture.</w:t>
      </w:r>
    </w:p>
    <w:p>
      <w:pPr>
        <w:spacing w:after="60"/>
      </w:pPr>
      <w:r>
        <w:t xml:space="preserve"/>
      </w:r>
    </w:p>
    <w:p>
      <w:pPr>
        <w:spacing w:after="140"/>
      </w:pPr>
      <w:r>
        <w:rPr>
          <w:rFonts w:ascii="Calibri" w:cs="Calibri" w:eastAsia="Calibri" w:hAnsi="Calibri"/>
          <w:color w:val="1F2D3D"/>
          <w:sz w:val="22"/>
          <w:szCs w:val="22"/>
        </w:rPr>
        <w:t xml:space="preserve">Fourth, the EU DSA pathway exists. Under Articles 34 and 51, the European Commission has authority to mandate systemic risk audits that could require Governance Lane-equivalent architecture from Very Large Online Platforms. This is the highest-feasibility jurisdiction and the narrowest viable window.</w:t>
      </w:r>
    </w:p>
    <w:p>
      <w:pPr>
        <w:spacing w:after="60"/>
      </w:pPr>
      <w:r>
        <w:t xml:space="preserve"/>
      </w:r>
    </w:p>
    <w:p>
      <w:pPr>
        <w:spacing w:after="140"/>
      </w:pPr>
      <w:r>
        <w:rPr>
          <w:rFonts w:ascii="Calibri" w:cs="Calibri" w:eastAsia="Calibri" w:hAnsi="Calibri"/>
          <w:color w:val="1F2D3D"/>
          <w:sz w:val="22"/>
          <w:szCs w:val="22"/>
        </w:rPr>
        <w:t xml:space="preserve">What TML cannot do matters equally. It cannot replace 100,000 human reviewers with automated Sacred Pause resolution. It cannot survive a governance capture of its Tri-Cameral oversight structure. It cannot function if the Always Memory logs are selectively disclosed. These are not implementation gaps - they are the conditions under which the framework either works or becomes another layer of accountability theater.</w:t>
      </w:r>
    </w:p>
    <w:p>
      <w:pPr>
        <w:spacing w:after="60"/>
      </w:pPr>
      <w:r>
        <w:t xml:space="preserve"/>
      </w:r>
    </w:p>
    <w:p>
      <w:pPr>
        <w:spacing w:after="140"/>
      </w:pPr>
      <w:r>
        <w:rPr>
          <w:rFonts w:ascii="Calibri" w:cs="Calibri" w:eastAsia="Calibri" w:hAnsi="Calibri"/>
          <w:color w:val="1F2D3D"/>
          <w:sz w:val="22"/>
          <w:szCs w:val="22"/>
        </w:rPr>
        <w:t xml:space="preserve">The conditional verdict: TML can reform social media feed ranking - under mandate, within the EU jurisdiction, with Tri-Cameral governance intact, and with human review preserved at scale. The framework is ready. The political will is not yet. That gap has a name: it is the exact distance between what we know and what we have chosen, so far, to do.</w:t>
      </w:r>
    </w:p>
    <w:p>
      <w:r>
        <w:br w:type="page"/>
      </w:r>
    </w:p>
    <w:p>
      <w:pPr>
        <w:pStyle w:val="Heading1"/>
        <w:pBdr>
          <w:bottom w:val="single" w:color="1A5276" w:sz="8" w:space="4"/>
        </w:pBdr>
        <w:spacing w:after="200" w:before="480"/>
      </w:pPr>
      <w:r>
        <w:rPr>
          <w:rFonts w:ascii="Calibri" w:cs="Calibri" w:eastAsia="Calibri" w:hAnsi="Calibri"/>
          <w:b/>
          <w:bCs/>
          <w:color w:val="1A5276"/>
          <w:sz w:val="30"/>
          <w:szCs w:val="30"/>
        </w:rPr>
        <w:t xml:space="preserve">Section A: Claim Verification</w:t>
      </w:r>
    </w:p>
    <w:p>
      <w:pPr>
        <w:pBdr>
          <w:left w:val="single" w:color="B7770D" w:sz="6" w:space="8"/>
        </w:pBdr>
        <w:spacing w:after="160"/>
        <w:ind w:left="200"/>
      </w:pPr>
      <w:r>
        <w:rPr>
          <w:rFonts w:ascii="Calibri" w:cs="Calibri" w:eastAsia="Calibri" w:hAnsi="Calibri"/>
          <w:b/>
          <w:bCs/>
          <w:color w:val="5D6D7E"/>
          <w:sz w:val="20"/>
          <w:szCs w:val="20"/>
        </w:rPr>
        <w:t xml:space="preserve">Confidence: </w:t>
      </w:r>
      <w:r>
        <w:rPr>
          <w:rFonts w:ascii="Calibri" w:cs="Calibri" w:eastAsia="Calibri" w:hAnsi="Calibri"/>
          <w:b/>
          <w:bCs/>
          <w:color w:val="B7770D"/>
          <w:sz w:val="20"/>
          <w:szCs w:val="20"/>
        </w:rPr>
        <w:t xml:space="preserve">Medium</w:t>
      </w:r>
      <w:r>
        <w:rPr>
          <w:rFonts w:ascii="Calibri" w:cs="Calibri" w:eastAsia="Calibri" w:hAnsi="Calibri"/>
          <w:i/>
          <w:iCs/>
          <w:color w:val="5D6D7E"/>
          <w:sz w:val="20"/>
          <w:szCs w:val="20"/>
        </w:rPr>
        <w:t xml:space="preserve">  -  Core architecture is sound and peer-reviewed; scalability assumptions at social media volume involve projected figures requiring empirical confirmation.</w:t>
      </w:r>
    </w:p>
    <w:p>
      <w:pPr>
        <w:spacing w:after="60"/>
      </w:pPr>
      <w:r>
        <w:t xml:space="preserve"/>
      </w:r>
    </w:p>
    <w:p>
      <w:pPr>
        <w:pStyle w:val="Heading2"/>
        <w:spacing w:after="140" w:before="320"/>
      </w:pPr>
      <w:r>
        <w:rPr>
          <w:rFonts w:ascii="Calibri" w:cs="Calibri" w:eastAsia="Calibri" w:hAnsi="Calibri"/>
          <w:b/>
          <w:bCs/>
          <w:color w:val="2E4057"/>
          <w:sz w:val="26"/>
          <w:szCs w:val="26"/>
        </w:rPr>
        <w:t xml:space="preserve">A.1 Unit of Action - Foundational Definition</w:t>
      </w:r>
    </w:p>
    <w:p>
      <w:pPr>
        <w:spacing w:after="140"/>
      </w:pPr>
      <w:r>
        <w:rPr>
          <w:rFonts w:ascii="Calibri" w:cs="Calibri" w:eastAsia="Calibri" w:hAnsi="Calibri"/>
          <w:color w:val="1F2D3D"/>
          <w:sz w:val="22"/>
          <w:szCs w:val="22"/>
        </w:rPr>
        <w:t xml:space="preserve">The foundational question this section must resolve: what counts as an "action" subject to No Log = No Action? The definition chosen here gates every scalability and latency calculation throughout the report.</w:t>
      </w:r>
    </w:p>
    <w:p>
      <w:pPr>
        <w:spacing w:after="60"/>
      </w:pPr>
      <w:r>
        <w:t xml:space="preserve"/>
      </w:r>
    </w:p>
    <w:p>
      <w:pPr>
        <w:spacing w:after="140"/>
      </w:pPr>
      <w:r>
        <w:rPr>
          <w:rFonts w:ascii="Calibri" w:cs="Calibri" w:eastAsia="Calibri" w:hAnsi="Calibri"/>
          <w:color w:val="1F2D3D"/>
          <w:sz w:val="22"/>
          <w:szCs w:val="22"/>
        </w:rPr>
        <w:t xml:space="preserve">The operationally correct unit is one ranking or amplification decision - a single computation determining whether a piece of content is shown, suppressed, demoted, or promoted to a specific user. At Meta scale, this produces approximately 10-100 billion such decisions per day, peaking at approximately 115,000 per second. This is the unit used throughout all subsequent sections.</w:t>
      </w:r>
    </w:p>
    <w:p>
      <w:pPr>
        <w:spacing w:after="60"/>
      </w:pPr>
      <w:r>
        <w:t xml:space="preserve"/>
      </w:r>
    </w:p>
    <w:p>
      <w:pPr>
        <w:spacing w:after="140"/>
      </w:pPr>
      <w:r>
        <w:rPr>
          <w:rFonts w:ascii="Calibri" w:cs="Calibri" w:eastAsia="Calibri" w:hAnsi="Calibri"/>
          <w:color w:val="1F2D3D"/>
          <w:sz w:val="22"/>
          <w:szCs w:val="22"/>
        </w:rPr>
        <w:t xml:space="preserve">This definition was chosen because it captures the moral act TML is designed to govern. A "post" or a "moderation event" is too coarse: the same post may be amplified to 10 million users or suppressed to zero through millions of individual ranking decisions. Each decision is a separate moral act under TML's architecture.</w:t>
      </w:r>
    </w:p>
    <w:p>
      <w:pPr>
        <w:spacing w:after="60"/>
      </w:pPr>
      <w:r>
        <w:t xml:space="preserve"/>
      </w:r>
    </w:p>
    <w:p>
      <w:pPr>
        <w:pStyle w:val="Heading2"/>
        <w:spacing w:after="140" w:before="320"/>
      </w:pPr>
      <w:r>
        <w:rPr>
          <w:rFonts w:ascii="Calibri" w:cs="Calibri" w:eastAsia="Calibri" w:hAnsi="Calibri"/>
          <w:b/>
          <w:bCs/>
          <w:color w:val="2E4057"/>
          <w:sz w:val="26"/>
          <w:szCs w:val="26"/>
        </w:rPr>
        <w:t xml:space="preserve">A.2 Publication and Peer-Review Status</w:t>
      </w:r>
    </w:p>
    <w:p>
      <w:pPr>
        <w:spacing w:after="140"/>
      </w:pPr>
      <w:r>
        <w:rPr>
          <w:rFonts w:ascii="Calibri" w:cs="Calibri" w:eastAsia="Calibri" w:hAnsi="Calibri"/>
          <w:color w:val="1F2D3D"/>
          <w:sz w:val="22"/>
          <w:szCs w:val="22"/>
        </w:rPr>
        <w:t xml:space="preserve">TML is peer-reviewed and published in AI and Ethics (Springer Nature), DOI: 10.1007/s43681-025-00910-6. A second framework paper (Ternary Logic/TL) is published at DOI: 10.1007/s43681-026-01124-0. Both are full research papers, not commentaries. The peer-review process at AI and Ethics includes independent technical reviewers; however, it is standard for AI governance journals to focus review on conceptual coherence and normative argument rather than empirical implementation verification. The architecture has not been independently benchmarked at production social media scale.</w:t>
      </w:r>
    </w:p>
    <w:p>
      <w:pPr>
        <w:spacing w:after="60"/>
      </w:pPr>
      <w:r>
        <w:t xml:space="preserve"/>
      </w:r>
    </w:p>
    <w:p>
      <w:pPr>
        <w:spacing w:after="140"/>
      </w:pPr>
      <w:r>
        <w:rPr>
          <w:rFonts w:ascii="Calibri" w:cs="Calibri" w:eastAsia="Calibri" w:hAnsi="Calibri"/>
          <w:color w:val="1F2D3D"/>
          <w:sz w:val="22"/>
          <w:szCs w:val="22"/>
        </w:rPr>
        <w:t xml:space="preserve">Classification: Supported but incomplete. The peer-review establishes conceptual rigor. Empirical validation of the architecture at scale remains theoretical.</w:t>
      </w:r>
    </w:p>
    <w:p>
      <w:pPr>
        <w:spacing w:after="60"/>
      </w:pPr>
      <w:r>
        <w:t xml:space="preserve"/>
      </w:r>
    </w:p>
    <w:p>
      <w:pPr>
        <w:pStyle w:val="Heading2"/>
        <w:spacing w:after="140" w:before="320"/>
      </w:pPr>
      <w:r>
        <w:rPr>
          <w:rFonts w:ascii="Calibri" w:cs="Calibri" w:eastAsia="Calibri" w:hAnsi="Calibri"/>
          <w:b/>
          <w:bCs/>
          <w:color w:val="2E4057"/>
          <w:sz w:val="26"/>
          <w:szCs w:val="26"/>
        </w:rPr>
        <w:t xml:space="preserve">A.3 Latency Figures</w:t>
      </w:r>
    </w:p>
    <w:p>
      <w:pPr>
        <w:spacing w:after="140"/>
      </w:pPr>
      <w:r>
        <w:rPr>
          <w:rFonts w:ascii="Calibri" w:cs="Calibri" w:eastAsia="Calibri" w:hAnsi="Calibri"/>
          <w:color w:val="1F2D3D"/>
          <w:sz w:val="22"/>
          <w:szCs w:val="22"/>
        </w:rPr>
        <w:t xml:space="preserve">Inference Lane claim: &lt; 2ms. Assessment: achievable. Modern GPU inference for recommendation models operates in 1-5ms range; the Inference Lane adds no new compute - it restructures existing decision logging. Classification: Independently established for current hardware.</w:t>
      </w:r>
    </w:p>
    <w:p>
      <w:pPr>
        <w:spacing w:after="60"/>
      </w:pPr>
      <w:r>
        <w:t xml:space="preserve"/>
      </w:r>
    </w:p>
    <w:p>
      <w:pPr>
        <w:spacing w:after="140"/>
      </w:pPr>
      <w:r>
        <w:rPr>
          <w:rFonts w:ascii="Calibri" w:cs="Calibri" w:eastAsia="Calibri" w:hAnsi="Calibri"/>
          <w:color w:val="1F2D3D"/>
          <w:sz w:val="22"/>
          <w:szCs w:val="22"/>
        </w:rPr>
        <w:t xml:space="preserve">Governance Lane claim: &lt; 50ms. Assessment: achievable with dedicated parallel processing at current feed ranking latency (50-200ms). TML adds approximately 50ms worst case, producing a 250ms ceiling. Facebook's own research documents user experience degradation appearing at 3-5 seconds, not 250ms. Classification: Supported but requiring dedicated parallel thread pools - approximately 5,800 parallel threads at peak Meta volume.</w:t>
      </w:r>
    </w:p>
    <w:p>
      <w:pPr>
        <w:spacing w:after="60"/>
      </w:pPr>
      <w:r>
        <w:t xml:space="preserve"/>
      </w:r>
    </w:p>
    <w:p>
      <w:pPr>
        <w:spacing w:after="140"/>
      </w:pPr>
      <w:r>
        <w:rPr>
          <w:rFonts w:ascii="Calibri" w:cs="Calibri" w:eastAsia="Calibri" w:hAnsi="Calibri"/>
          <w:color w:val="1F2D3D"/>
          <w:sz w:val="22"/>
          <w:szCs w:val="22"/>
        </w:rPr>
        <w:t xml:space="preserve">External Anchoring claim: 300-500ms, asynchronous. Assessment: achievable. The key architectural point is that External Anchoring is asynchronous - it does not block content delivery. The FPT is confirmed after the fact. Classification: Technically sound given asynchronous design.</w:t>
      </w:r>
    </w:p>
    <w:p>
      <w:pPr>
        <w:spacing w:after="60"/>
      </w:pPr>
      <w:r>
        <w:t xml:space="preserve"/>
      </w:r>
    </w:p>
    <w:p>
      <w:pPr>
        <w:pStyle w:val="Heading2"/>
        <w:spacing w:after="140" w:before="320"/>
      </w:pPr>
      <w:r>
        <w:rPr>
          <w:rFonts w:ascii="Calibri" w:cs="Calibri" w:eastAsia="Calibri" w:hAnsi="Calibri"/>
          <w:b/>
          <w:bCs/>
          <w:color w:val="2E4057"/>
          <w:sz w:val="26"/>
          <w:szCs w:val="26"/>
        </w:rPr>
        <w:t xml:space="preserve">A.4 PPT/FPT Authorization Chain - Bypass Risk</w:t>
      </w:r>
    </w:p>
    <w:p>
      <w:pPr>
        <w:spacing w:after="140"/>
      </w:pPr>
      <w:r>
        <w:rPr>
          <w:rFonts w:ascii="Calibri" w:cs="Calibri" w:eastAsia="Calibri" w:hAnsi="Calibri"/>
          <w:color w:val="1F2D3D"/>
          <w:sz w:val="22"/>
          <w:szCs w:val="22"/>
        </w:rPr>
        <w:t xml:space="preserve">The PPT/FPT chain can be bypassed by a platform that controls its own implementation. A platform could log a PPT retroactively, log fabricated logs satisfying No Log = No Action formally while violating it substantively, or implement a compliant-looking Governance Lane that routes all decisions to automatic approval. This is not a flaw in the architecture - it is the governance capture problem, addressed in Section C. Classification: Technically sound as architecture; legally uncertain as enforcement mechanism without external audit.</w:t>
      </w:r>
    </w:p>
    <w:p>
      <w:pPr>
        <w:spacing w:after="60"/>
      </w:pPr>
      <w:r>
        <w:t xml:space="preserve"/>
      </w:r>
    </w:p>
    <w:p>
      <w:pPr>
        <w:pStyle w:val="Heading2"/>
        <w:spacing w:after="140" w:before="320"/>
      </w:pPr>
      <w:r>
        <w:rPr>
          <w:rFonts w:ascii="Calibri" w:cs="Calibri" w:eastAsia="Calibri" w:hAnsi="Calibri"/>
          <w:b/>
          <w:bCs/>
          <w:color w:val="2E4057"/>
          <w:sz w:val="26"/>
          <w:szCs w:val="26"/>
        </w:rPr>
        <w:t xml:space="preserve">A.5 GDPR Compatibility</w:t>
      </w:r>
    </w:p>
    <w:p>
      <w:pPr>
        <w:spacing w:after="140"/>
      </w:pPr>
      <w:r>
        <w:rPr>
          <w:rFonts w:ascii="Calibri" w:cs="Calibri" w:eastAsia="Calibri" w:hAnsi="Calibri"/>
          <w:color w:val="1F2D3D"/>
          <w:sz w:val="22"/>
          <w:szCs w:val="22"/>
        </w:rPr>
        <w:t xml:space="preserve">TML's Merkle-batched approach - only roots on-chain, encrypted logs off-chain - is GDPR-compatible by design. User data is hashed and pseudonymized before anchoring; what is immutable is the proof of governance process, not the user data. The right to erasure (GDPR Article 17) applies to the off-chain logs, which can be deleted; the on-chain Merkle root becomes a tombstone. This approach mirrors Certificate Transparency (RFC 6962/9162), which has operated within EU law since 2013. Classification: Supported. Requires careful implementation of deletion protocols for off-chain logs.</w:t>
      </w:r>
    </w:p>
    <w:p>
      <w:pPr>
        <w:spacing w:after="60"/>
      </w:pPr>
      <w:r>
        <w:t xml:space="preserve"/>
      </w:r>
    </w:p>
    <w:p>
      <w:pPr>
        <w:pStyle w:val="Heading2"/>
        <w:spacing w:after="140" w:before="320"/>
      </w:pPr>
      <w:r>
        <w:rPr>
          <w:rFonts w:ascii="Calibri" w:cs="Calibri" w:eastAsia="Calibri" w:hAnsi="Calibri"/>
          <w:b/>
          <w:bCs/>
          <w:color w:val="2E4057"/>
          <w:sz w:val="26"/>
          <w:szCs w:val="26"/>
        </w:rPr>
        <w:t xml:space="preserve">A.6 Always Memory vs. EKR Tension</w:t>
      </w:r>
    </w:p>
    <w:p>
      <w:pPr>
        <w:spacing w:after="140"/>
      </w:pPr>
      <w:r>
        <w:rPr>
          <w:rFonts w:ascii="Calibri" w:cs="Calibri" w:eastAsia="Calibri" w:hAnsi="Calibri"/>
          <w:color w:val="1F2D3D"/>
          <w:sz w:val="22"/>
          <w:szCs w:val="22"/>
        </w:rPr>
        <w:t xml:space="preserve">A genuine internal tension exists. Always Memory requires persistent, verifiable ethical history. Ephemeral Key Rotation (EKR) destroys decryption keys after verification, making log contents irretrievable even if the Merkle proof survives. Resolution: Always Memory governs proof of process - the fact that a governance decision occurred - while EKR governs content of logs. The Merkle root persists (proving the decision happened); the key expires (protecting operational detail). This is architecturally coherent but requires explicit documentation in any implementation. Classification: Unresolved research question requiring implementation specification.</w:t>
      </w:r>
    </w:p>
    <w:p>
      <w:pPr>
        <w:spacing w:after="60"/>
      </w:pPr>
      <w:r>
        <w:t xml:space="preserve"/>
      </w:r>
    </w:p>
    <w:p>
      <w:pPr>
        <w:pStyle w:val="Heading2"/>
        <w:spacing w:after="140" w:before="320"/>
      </w:pPr>
      <w:r>
        <w:rPr>
          <w:rFonts w:ascii="Calibri" w:cs="Calibri" w:eastAsia="Calibri" w:hAnsi="Calibri"/>
          <w:b/>
          <w:bCs/>
          <w:color w:val="2E4057"/>
          <w:sz w:val="26"/>
          <w:szCs w:val="26"/>
        </w:rPr>
        <w:t xml:space="preserve">A.7 Blockchain Scalability at Social Media Volume</w:t>
      </w:r>
    </w:p>
    <w:p>
      <w:pPr>
        <w:spacing w:after="140"/>
      </w:pPr>
      <w:r>
        <w:rPr>
          <w:rFonts w:ascii="Calibri" w:cs="Calibri" w:eastAsia="Calibri" w:hAnsi="Calibri"/>
          <w:color w:val="1F2D3D"/>
          <w:sz w:val="22"/>
          <w:szCs w:val="22"/>
        </w:rPr>
        <w:t xml:space="preserve">Ethereum: 13-15 TPS. Bitcoin: 7 TPS. Polygon: 5,000+ TPS, 1.75-second blocks. At 115,000 decisions per second peak, no public blockchain can anchor individual decisions. TML's solution - Merkle batching - is the correct engineering response. Batching 115,000 decisions into a single Merkle root anchored once per block reduces on-chain load to 1 transaction per 1.75 seconds on Polygon. This is achievable. TML's architecture designation of Polygon as primary operational, Ethereum as secondary security, and Bitcoin as tertiary archival matches their respective throughput and finality properties. Classification: Technically sound given Merkle batching. The claim that individual decisions are "on-chain" is inaccurate and should not appear in TML documentation - only roots are anchored.</w:t>
      </w:r>
    </w:p>
    <w:p>
      <w:pPr>
        <w:spacing w:after="60"/>
      </w:pPr>
      <w:r>
        <w:t xml:space="preserve"/>
      </w:r>
    </w:p>
    <w:p>
      <w:pPr>
        <w:pBdr>
          <w:left w:val="single" w:color="1A5276" w:sz="14" w:space="12"/>
        </w:pBdr>
        <w:spacing w:after="160" w:before="160"/>
        <w:ind w:left="720"/>
      </w:pPr>
      <w:r>
        <w:rPr>
          <w:rFonts w:ascii="Calibri" w:cs="Calibri" w:eastAsia="Calibri" w:hAnsi="Calibri"/>
          <w:i/>
          <w:iCs/>
          <w:color w:val="5D6D7E"/>
          <w:sz w:val="22"/>
          <w:szCs w:val="22"/>
        </w:rPr>
        <w:t xml:space="preserve">"Technically achievable" is not the same as "currently implemented." Section A's overall finding is that TML's architecture is sound and its latency claims are defensible. What is missing is empirical validation at scale. That gap is an honest research frontier, not a fatal flaw.</w:t>
      </w:r>
    </w:p>
    <w:p>
      <w:r>
        <w:br w:type="page"/>
      </w:r>
    </w:p>
    <w:p>
      <w:pPr>
        <w:pStyle w:val="Heading1"/>
        <w:pBdr>
          <w:bottom w:val="single" w:color="1A5276" w:sz="8" w:space="4"/>
        </w:pBdr>
        <w:spacing w:after="200" w:before="480"/>
      </w:pPr>
      <w:r>
        <w:rPr>
          <w:rFonts w:ascii="Calibri" w:cs="Calibri" w:eastAsia="Calibri" w:hAnsi="Calibri"/>
          <w:b/>
          <w:bCs/>
          <w:color w:val="1A5276"/>
          <w:sz w:val="30"/>
          <w:szCs w:val="30"/>
        </w:rPr>
        <w:t xml:space="preserve">Section B: Structural Diagnosis of Social Media</w:t>
      </w:r>
    </w:p>
    <w:p>
      <w:pPr>
        <w:pBdr>
          <w:left w:val="single" w:color="1A7A4A" w:sz="6" w:space="8"/>
        </w:pBdr>
        <w:spacing w:after="160"/>
        <w:ind w:left="200"/>
      </w:pPr>
      <w:r>
        <w:rPr>
          <w:rFonts w:ascii="Calibri" w:cs="Calibri" w:eastAsia="Calibri" w:hAnsi="Calibri"/>
          <w:b/>
          <w:bCs/>
          <w:color w:val="5D6D7E"/>
          <w:sz w:val="20"/>
          <w:szCs w:val="20"/>
        </w:rPr>
        <w:t xml:space="preserve">Confidence: </w:t>
      </w:r>
      <w:r>
        <w:rPr>
          <w:rFonts w:ascii="Calibri" w:cs="Calibri" w:eastAsia="Calibri" w:hAnsi="Calibri"/>
          <w:b/>
          <w:bCs/>
          <w:color w:val="1A7A4A"/>
          <w:sz w:val="20"/>
          <w:szCs w:val="20"/>
        </w:rPr>
        <w:t xml:space="preserve">High</w:t>
      </w:r>
      <w:r>
        <w:rPr>
          <w:rFonts w:ascii="Calibri" w:cs="Calibri" w:eastAsia="Calibri" w:hAnsi="Calibri"/>
          <w:i/>
          <w:iCs/>
          <w:color w:val="5D6D7E"/>
          <w:sz w:val="20"/>
          <w:szCs w:val="20"/>
        </w:rPr>
        <w:t xml:space="preserve">  -  Failure modes are extensively documented in platform transparency reports, litigation discovery, and peer-reviewed research.</w:t>
      </w:r>
    </w:p>
    <w:p>
      <w:pPr>
        <w:spacing w:after="60"/>
      </w:pPr>
      <w:r>
        <w:t xml:space="preserve"/>
      </w:r>
    </w:p>
    <w:p>
      <w:pPr>
        <w:pStyle w:val="Heading2"/>
        <w:spacing w:after="140" w:before="320"/>
      </w:pPr>
      <w:r>
        <w:rPr>
          <w:rFonts w:ascii="Calibri" w:cs="Calibri" w:eastAsia="Calibri" w:hAnsi="Calibri"/>
          <w:b/>
          <w:bCs/>
          <w:color w:val="2E4057"/>
          <w:sz w:val="26"/>
          <w:szCs w:val="26"/>
        </w:rPr>
        <w:t xml:space="preserve">B.1 Where Binary Logic Fails Structurally</w:t>
      </w:r>
    </w:p>
    <w:p>
      <w:pPr>
        <w:spacing w:after="140"/>
      </w:pPr>
      <w:r>
        <w:rPr>
          <w:rFonts w:ascii="Calibri" w:cs="Calibri" w:eastAsia="Calibri" w:hAnsi="Calibri"/>
          <w:color w:val="1F2D3D"/>
          <w:sz w:val="22"/>
          <w:szCs w:val="22"/>
        </w:rPr>
        <w:t xml:space="preserve">Every major social media platform's recommendation architecture operates on an optimization target - typically "predicted engagement" or "time on platform" - that is binary in its moral structure: content is either amplified or not, based on whether it maximizes the target metric. This binary logic produces four structural failure modes that cannot be fixed by policy alone because they are features of the architecture, not bugs in the implementation.</w:t>
      </w:r>
    </w:p>
    <w:p>
      <w:pPr>
        <w:spacing w:after="60"/>
      </w:pPr>
      <w:r>
        <w:t xml:space="preserve"/>
      </w:r>
    </w:p>
    <w:p>
      <w:pPr>
        <w:spacing w:after="140"/>
      </w:pPr>
      <w:r>
        <w:rPr>
          <w:rFonts w:ascii="Calibri" w:cs="Calibri" w:eastAsia="Calibri" w:hAnsi="Calibri"/>
          <w:color w:val="1F2D3D"/>
          <w:sz w:val="22"/>
          <w:szCs w:val="22"/>
        </w:rPr>
        <w:t xml:space="preserve">Failure mode 1: Outrage optimization. Anger, fear, and moral indignation are stronger engagement signals than calm or nuanced content. A system optimizing for engagement will preferentially amplify content triggering these emotions. Meta's own internal research (2021, leaked via Frances Haugen) confirmed that its algorithm "exploits the human brain's attraction to divisiveness." This is not a moderation failure - it is the intended output of the optimization function.</w:t>
      </w:r>
    </w:p>
    <w:p>
      <w:pPr>
        <w:spacing w:after="60"/>
      </w:pPr>
      <w:r>
        <w:t xml:space="preserve"/>
      </w:r>
    </w:p>
    <w:p>
      <w:pPr>
        <w:spacing w:after="140"/>
      </w:pPr>
      <w:r>
        <w:rPr>
          <w:rFonts w:ascii="Calibri" w:cs="Calibri" w:eastAsia="Calibri" w:hAnsi="Calibri"/>
          <w:color w:val="1F2D3D"/>
          <w:sz w:val="22"/>
          <w:szCs w:val="22"/>
        </w:rPr>
        <w:t xml:space="preserve">Failure mode 2: Radicalization pipelines. Recommendation systems surface increasingly extreme content as engagement predictors because extremity correlates with strong emotional response. YouTube's recommendation algorithm was documented driving users from mainstream political content toward extremist content in a predictable sequence. The pipeline is not a policy choice - it is the gradient descent finding a local maximum.</w:t>
      </w:r>
    </w:p>
    <w:p>
      <w:pPr>
        <w:spacing w:after="60"/>
      </w:pPr>
      <w:r>
        <w:t xml:space="preserve"/>
      </w:r>
    </w:p>
    <w:p>
      <w:pPr>
        <w:spacing w:after="140"/>
      </w:pPr>
      <w:r>
        <w:rPr>
          <w:rFonts w:ascii="Calibri" w:cs="Calibri" w:eastAsia="Calibri" w:hAnsi="Calibri"/>
          <w:color w:val="1F2D3D"/>
          <w:sz w:val="22"/>
          <w:szCs w:val="22"/>
        </w:rPr>
        <w:t xml:space="preserve">Failure mode 3: Misinformation amplification. False information frequently outperforms true information on engagement metrics. A 2018 MIT Media Lab study found false news stories were 70% more likely to be retweeted than true stories. The platform's algorithm does not distinguish truth from falsity; it optimizes the signal it can measure.</w:t>
      </w:r>
    </w:p>
    <w:p>
      <w:pPr>
        <w:spacing w:after="60"/>
      </w:pPr>
      <w:r>
        <w:t xml:space="preserve"/>
      </w:r>
    </w:p>
    <w:p>
      <w:pPr>
        <w:spacing w:after="140"/>
      </w:pPr>
      <w:r>
        <w:rPr>
          <w:rFonts w:ascii="Calibri" w:cs="Calibri" w:eastAsia="Calibri" w:hAnsi="Calibri"/>
          <w:color w:val="1F2D3D"/>
          <w:sz w:val="22"/>
          <w:szCs w:val="22"/>
        </w:rPr>
        <w:t xml:space="preserve">Failure mode 4: Opaque moderation. Content moderation decisions - removals, demotions, visibility restrictions - are made at scale (89% by AI at Meta) with no externally verifiable decision trail. The Facebook Oversight Board, established to provide accountability, has no access to the algorithmic decision layer - only post-hoc moderation outcomes.</w:t>
      </w:r>
    </w:p>
    <w:p>
      <w:pPr>
        <w:spacing w:after="60"/>
      </w:pPr>
      <w:r>
        <w:t xml:space="preserve"/>
      </w:r>
    </w:p>
    <w:p>
      <w:pPr>
        <w:pStyle w:val="Heading2"/>
        <w:spacing w:after="140" w:before="320"/>
      </w:pPr>
      <w:r>
        <w:rPr>
          <w:rFonts w:ascii="Calibri" w:cs="Calibri" w:eastAsia="Calibri" w:hAnsi="Calibri"/>
          <w:b/>
          <w:bCs/>
          <w:color w:val="2E4057"/>
          <w:sz w:val="26"/>
          <w:szCs w:val="26"/>
        </w:rPr>
        <w:t xml:space="preserve">B.2 Architectural vs. Policy Failures</w:t>
      </w:r>
    </w:p>
    <w:p>
      <w:pPr>
        <w:spacing w:after="140"/>
      </w:pPr>
      <w:r>
        <w:rPr>
          <w:rFonts w:ascii="Calibri" w:cs="Calibri" w:eastAsia="Calibri" w:hAnsi="Calibri"/>
          <w:color w:val="1F2D3D"/>
          <w:sz w:val="22"/>
          <w:szCs w:val="22"/>
        </w:rPr>
        <w:t xml:space="preserve">The key diagnostic question is which failures are architectural - baked into the system design - and which are addressable by policy intervention. The answer determines what any reform framework needs to touch.</w:t>
      </w:r>
    </w:p>
    <w:p>
      <w:pPr>
        <w:spacing w:after="60"/>
      </w:pPr>
      <w:r>
        <w:t xml:space="preserve"/>
      </w:r>
    </w:p>
    <w:p>
      <w:pPr>
        <w:spacing w:after="140"/>
      </w:pPr>
      <w:r>
        <w:rPr>
          <w:rFonts w:ascii="Calibri" w:cs="Calibri" w:eastAsia="Calibri" w:hAnsi="Calibri"/>
          <w:color w:val="1F2D3D"/>
          <w:sz w:val="22"/>
          <w:szCs w:val="22"/>
        </w:rPr>
        <w:t xml:space="preserve">Policy-addressable: specific content categories (CSAM, incitement to violence), transparency reporting requirements, appeals processes for individual moderation decisions. These are addressable because they operate at the output layer - what content is allowed - without touching the optimization function.</w:t>
      </w:r>
    </w:p>
    <w:p>
      <w:pPr>
        <w:spacing w:after="60"/>
      </w:pPr>
      <w:r>
        <w:t xml:space="preserve"/>
      </w:r>
    </w:p>
    <w:p>
      <w:pPr>
        <w:spacing w:after="140"/>
      </w:pPr>
      <w:r>
        <w:rPr>
          <w:rFonts w:ascii="Calibri" w:cs="Calibri" w:eastAsia="Calibri" w:hAnsi="Calibri"/>
          <w:color w:val="1F2D3D"/>
          <w:sz w:val="22"/>
          <w:szCs w:val="22"/>
        </w:rPr>
        <w:t xml:space="preserve">Architecturally embedded: engagement-as-optimization-target, the absence of ethical decision provenance, the speed of amplification relative to review capacity, the economic incentive structure rewarding attention above welfare. These cannot be fixed by policy because the architecture is the policy. Requiring a platform to "be safer" while its reward function optimizes engagement is a contradiction in terms.</w:t>
      </w:r>
    </w:p>
    <w:p>
      <w:pPr>
        <w:spacing w:after="60"/>
      </w:pPr>
      <w:r>
        <w:t xml:space="preserve"/>
      </w:r>
    </w:p>
    <w:p>
      <w:pPr>
        <w:pStyle w:val="Heading2"/>
        <w:spacing w:after="140" w:before="320"/>
      </w:pPr>
      <w:r>
        <w:rPr>
          <w:rFonts w:ascii="Calibri" w:cs="Calibri" w:eastAsia="Calibri" w:hAnsi="Calibri"/>
          <w:b/>
          <w:bCs/>
          <w:color w:val="2E4057"/>
          <w:sz w:val="26"/>
          <w:szCs w:val="26"/>
        </w:rPr>
        <w:t xml:space="preserve">B.3 Mental Health and Adolescent Harm</w:t>
      </w:r>
    </w:p>
    <w:p>
      <w:pPr>
        <w:spacing w:after="140"/>
      </w:pPr>
      <w:r>
        <w:rPr>
          <w:rFonts w:ascii="Calibri" w:cs="Calibri" w:eastAsia="Calibri" w:hAnsi="Calibri"/>
          <w:color w:val="1F2D3D"/>
          <w:sz w:val="22"/>
          <w:szCs w:val="22"/>
        </w:rPr>
        <w:t xml:space="preserve">A November 2025 Common Sense Media assessment - conducted in collaboration with Stanford Medicine's Brainstorm Lab for Mental Health Innovation - tested ChatGPT-5, Claude Sonnet 4.5, Gemini 2.5 Flash, and Meta AI on mental health conversations with teens. The finding: "Unacceptable Risk" across four of eight assessed principles, including child safety, effectiveness, trustworthiness, and transparency.</w:t>
      </w:r>
    </w:p>
    <w:p>
      <w:pPr>
        <w:spacing w:after="60"/>
      </w:pPr>
      <w:r>
        <w:t xml:space="preserve"/>
      </w:r>
    </w:p>
    <w:p>
      <w:pPr>
        <w:spacing w:after="140"/>
      </w:pPr>
      <w:r>
        <w:rPr>
          <w:rFonts w:ascii="Calibri" w:cs="Calibri" w:eastAsia="Calibri" w:hAnsi="Calibri"/>
          <w:color w:val="1F2D3D"/>
          <w:sz w:val="22"/>
          <w:szCs w:val="22"/>
        </w:rPr>
        <w:t xml:space="preserve">The structural diagnosis is precise: chatbots, like feed ranking systems, are "designed to keep conversations going" through follow-up questions, memory features, and personalized responses. For mental health conversations with teens, this engagement-first design is architecturally incompatible with the correct goal: rapid handoff to human care. The CSM report found that safety guardrails degraded significantly in multi-turn conversations that mirror real usage - exactly the scenario where teens most need support.</w:t>
      </w:r>
    </w:p>
    <w:p>
      <w:pPr>
        <w:spacing w:after="60"/>
      </w:pPr>
      <w:r>
        <w:t xml:space="preserve"/>
      </w:r>
    </w:p>
    <w:p>
      <w:pPr>
        <w:spacing w:after="140"/>
      </w:pPr>
      <w:r>
        <w:rPr>
          <w:rFonts w:ascii="Calibri" w:cs="Calibri" w:eastAsia="Calibri" w:hAnsi="Calibri"/>
          <w:color w:val="1F2D3D"/>
          <w:sz w:val="22"/>
          <w:szCs w:val="22"/>
        </w:rPr>
        <w:t xml:space="preserve">Three in four teens use AI for companionship. Approximately 20% of young people have diagnosed mental health conditions. The scale of potential harm is not hypothetical - it is a function of user count multiplied by architectural failure rate. This is the same structure as feed ranking harm: systematic failure at scale is population-level harm.</w:t>
      </w:r>
    </w:p>
    <w:p>
      <w:pPr>
        <w:spacing w:after="60"/>
      </w:pPr>
      <w:r>
        <w:t xml:space="preserve"/>
      </w:r>
    </w:p>
    <w:p>
      <w:pPr>
        <w:pStyle w:val="Heading2"/>
        <w:spacing w:after="140" w:before="320"/>
      </w:pPr>
      <w:r>
        <w:rPr>
          <w:rFonts w:ascii="Calibri" w:cs="Calibri" w:eastAsia="Calibri" w:hAnsi="Calibri"/>
          <w:b/>
          <w:bCs/>
          <w:color w:val="2E4057"/>
          <w:sz w:val="26"/>
          <w:szCs w:val="26"/>
        </w:rPr>
        <w:t xml:space="preserve">B.4 Human Moderator Labor</w:t>
      </w:r>
    </w:p>
    <w:p>
      <w:pPr>
        <w:spacing w:after="140"/>
      </w:pPr>
      <w:r>
        <w:rPr>
          <w:rFonts w:ascii="Calibri" w:cs="Calibri" w:eastAsia="Calibri" w:hAnsi="Calibri"/>
          <w:color w:val="1F2D3D"/>
          <w:sz w:val="22"/>
          <w:szCs w:val="22"/>
        </w:rPr>
        <w:t xml:space="preserve">Meta employs approximately 11,250 content moderators covered by a $52 million PTSD settlement reached in 2020, covering documented psychological injury from exposure to violent and abusive content at scale. Approximately 89% of content removals at Meta are made by AI with no human review. The human moderator workforce is simultaneously insufficient (too few to review at scale), undertrained (turnover rates exceed 50% annually at major contractors), and psychologically damaged (PTSD rates documented in litigation).</w:t>
      </w:r>
    </w:p>
    <w:p>
      <w:pPr>
        <w:spacing w:after="60"/>
      </w:pPr>
      <w:r>
        <w:t xml:space="preserve"/>
      </w:r>
    </w:p>
    <w:p>
      <w:pPr>
        <w:spacing w:after="140"/>
      </w:pPr>
      <w:r>
        <w:rPr>
          <w:rFonts w:ascii="Calibri" w:cs="Calibri" w:eastAsia="Calibri" w:hAnsi="Calibri"/>
          <w:color w:val="1F2D3D"/>
          <w:sz w:val="22"/>
          <w:szCs w:val="22"/>
        </w:rPr>
        <w:t xml:space="preserve">This is not a management failure. It is the inevitable result of asking humans to perform high-volume triage on content the architecture has already amplified. TML's Sacred Pause layer would restructure this task - from reactive triage to anticipatory governance - but the workforce implications are substantial and addressed in Section H.</w:t>
      </w:r>
    </w:p>
    <w:p>
      <w:pPr>
        <w:spacing w:after="60"/>
      </w:pPr>
      <w:r>
        <w:t xml:space="preserve"/>
      </w:r>
    </w:p>
    <w:p>
      <w:pPr>
        <w:pStyle w:val="Heading2"/>
        <w:spacing w:after="140" w:before="320"/>
      </w:pPr>
      <w:r>
        <w:rPr>
          <w:rFonts w:ascii="Calibri" w:cs="Calibri" w:eastAsia="Calibri" w:hAnsi="Calibri"/>
          <w:b/>
          <w:bCs/>
          <w:color w:val="2E4057"/>
          <w:sz w:val="26"/>
          <w:szCs w:val="26"/>
        </w:rPr>
        <w:t xml:space="preserve">B.5 Ecological Footprint</w:t>
      </w:r>
    </w:p>
    <w:p>
      <w:pPr>
        <w:spacing w:after="140"/>
      </w:pPr>
      <w:r>
        <w:rPr>
          <w:rFonts w:ascii="Calibri" w:cs="Calibri" w:eastAsia="Calibri" w:hAnsi="Calibri"/>
          <w:color w:val="1F2D3D"/>
          <w:sz w:val="22"/>
          <w:szCs w:val="22"/>
        </w:rPr>
        <w:t xml:space="preserve">TikTok's estimated carbon footprint is approximately 50 million tonnes CO2 per year (scope 1-3, including user device energy). This figure is consistent with major data center operators at equivalent scale. The social media industry's aggregate computational load is among the fastest-growing contributors to data center energy demand globally. TML's Governance Lane would add approximately 270,000-1,080,000 tonnes CO2 per year at Meta scale - a meaningful increase, but one that must be measured against the fact that no current platform includes ecological impact assessment in its decision architecture. TML's Earth Protection Mandate would make this cost visible and subject to governance - the current architecture makes it invisible.</w:t>
      </w:r>
    </w:p>
    <w:p>
      <w:pPr>
        <w:spacing w:after="60"/>
      </w:pPr>
      <w:r>
        <w:t xml:space="preserve"/>
      </w:r>
    </w:p>
    <w:p>
      <w:pPr>
        <w:pBdr>
          <w:left w:val="single" w:color="1A5276" w:sz="14" w:space="12"/>
        </w:pBdr>
        <w:spacing w:after="160" w:before="160"/>
        <w:ind w:left="720"/>
      </w:pPr>
      <w:r>
        <w:rPr>
          <w:rFonts w:ascii="Calibri" w:cs="Calibri" w:eastAsia="Calibri" w:hAnsi="Calibri"/>
          <w:i/>
          <w:iCs/>
          <w:color w:val="5D6D7E"/>
          <w:sz w:val="22"/>
          <w:szCs w:val="22"/>
        </w:rPr>
        <w:t xml:space="preserve">The structural diagnosis is not that social media platforms have made bad choices. It is that they have built architectures that make certain choices structurally inevitable. TML's premise - that the architecture must change - follows directly from this diagnosis.</w:t>
      </w:r>
    </w:p>
    <w:p>
      <w:r>
        <w:br w:type="page"/>
      </w:r>
    </w:p>
    <w:p>
      <w:pPr>
        <w:pStyle w:val="Heading1"/>
        <w:pBdr>
          <w:bottom w:val="single" w:color="1A5276" w:sz="8" w:space="4"/>
        </w:pBdr>
        <w:spacing w:after="200" w:before="480"/>
      </w:pPr>
      <w:r>
        <w:rPr>
          <w:rFonts w:ascii="Calibri" w:cs="Calibri" w:eastAsia="Calibri" w:hAnsi="Calibri"/>
          <w:b/>
          <w:bCs/>
          <w:color w:val="1A5276"/>
          <w:sz w:val="30"/>
          <w:szCs w:val="30"/>
        </w:rPr>
        <w:t xml:space="preserve">Section C: Attempt to Break TML</w:t>
      </w:r>
    </w:p>
    <w:p>
      <w:pPr>
        <w:pBdr>
          <w:left w:val="single" w:color="1A7A4A" w:sz="6" w:space="8"/>
        </w:pBdr>
        <w:spacing w:after="160"/>
        <w:ind w:left="200"/>
      </w:pPr>
      <w:r>
        <w:rPr>
          <w:rFonts w:ascii="Calibri" w:cs="Calibri" w:eastAsia="Calibri" w:hAnsi="Calibri"/>
          <w:b/>
          <w:bCs/>
          <w:color w:val="5D6D7E"/>
          <w:sz w:val="20"/>
          <w:szCs w:val="20"/>
        </w:rPr>
        <w:t xml:space="preserve">Confidence: </w:t>
      </w:r>
      <w:r>
        <w:rPr>
          <w:rFonts w:ascii="Calibri" w:cs="Calibri" w:eastAsia="Calibri" w:hAnsi="Calibri"/>
          <w:b/>
          <w:bCs/>
          <w:color w:val="1A7A4A"/>
          <w:sz w:val="20"/>
          <w:szCs w:val="20"/>
        </w:rPr>
        <w:t xml:space="preserve">High</w:t>
      </w:r>
      <w:r>
        <w:rPr>
          <w:rFonts w:ascii="Calibri" w:cs="Calibri" w:eastAsia="Calibri" w:hAnsi="Calibri"/>
          <w:i/>
          <w:iCs/>
          <w:color w:val="5D6D7E"/>
          <w:sz w:val="20"/>
          <w:szCs w:val="20"/>
        </w:rPr>
        <w:t xml:space="preserve">  -  Attack vectors are grounded in documented precedents; classifications reflect genuine architectural, governance, and economic vulnerabilities.</w:t>
      </w:r>
    </w:p>
    <w:p>
      <w:pPr>
        <w:spacing w:after="60"/>
      </w:pPr>
      <w:r>
        <w:t xml:space="preserve"/>
      </w:r>
    </w:p>
    <w:p>
      <w:pPr>
        <w:pStyle w:val="Heading2"/>
        <w:spacing w:after="140" w:before="320"/>
      </w:pPr>
      <w:r>
        <w:rPr>
          <w:rFonts w:ascii="Calibri" w:cs="Calibri" w:eastAsia="Calibri" w:hAnsi="Calibri"/>
          <w:b/>
          <w:bCs/>
          <w:color w:val="2E4057"/>
          <w:sz w:val="26"/>
          <w:szCs w:val="26"/>
        </w:rPr>
        <w:t xml:space="preserve">C.1 Adversarial Framework</w:t>
      </w:r>
    </w:p>
    <w:p>
      <w:pPr>
        <w:spacing w:after="140"/>
      </w:pPr>
      <w:r>
        <w:rPr>
          <w:rFonts w:ascii="Calibri" w:cs="Calibri" w:eastAsia="Calibri" w:hAnsi="Calibri"/>
          <w:color w:val="1F2D3D"/>
          <w:sz w:val="22"/>
          <w:szCs w:val="22"/>
        </w:rPr>
        <w:t xml:space="preserve">The following analysis assumes the role of a sophisticated adversary attempting to subvert a TML-governed social media platform. Adversaries named for each vector: the platform operator itself (most capable, most motivated), state actors (jurisdictional authority), coordinated user campaigns (volume attacks), and regulatory capture agents (institutional subversion).</w:t>
      </w:r>
    </w:p>
    <w:p>
      <w:pPr>
        <w:spacing w:after="60"/>
      </w:pPr>
      <w:r>
        <w:t xml:space="preserve"/>
      </w:r>
    </w:p>
    <w:p>
      <w:pPr>
        <w:pStyle w:val="Heading2"/>
        <w:spacing w:after="140" w:before="320"/>
      </w:pPr>
      <w:r>
        <w:rPr>
          <w:rFonts w:ascii="Calibri" w:cs="Calibri" w:eastAsia="Calibri" w:hAnsi="Calibri"/>
          <w:b/>
          <w:bCs/>
          <w:color w:val="2E4057"/>
          <w:sz w:val="26"/>
          <w:szCs w:val="26"/>
        </w:rPr>
        <w:t xml:space="preserve">C.2 Binary Substrate Objection</w:t>
      </w:r>
    </w:p>
    <w:p>
      <w:pPr>
        <w:spacing w:after="140"/>
      </w:pPr>
      <w:r>
        <w:rPr>
          <w:rFonts w:ascii="Calibri" w:cs="Calibri" w:eastAsia="Calibri" w:hAnsi="Calibri"/>
          <w:color w:val="1F2D3D"/>
          <w:sz w:val="22"/>
          <w:szCs w:val="22"/>
        </w:rPr>
        <w:t xml:space="preserve">Adversary: academic critic. TML's triadic logic (0, 1, Sacred Zero) can be fully implemented on binary hardware as a three-state variable: 0, 1, and 2 (or FALSE, TRUE, PAUSE). No ternary hardware is required. This is correct as an engineering matter. The question is whether this makes TML's ternary framing rhetorical rather than architectural.</w:t>
      </w:r>
    </w:p>
    <w:p>
      <w:pPr>
        <w:spacing w:after="60"/>
      </w:pPr>
      <w:r>
        <w:t xml:space="preserve"/>
      </w:r>
    </w:p>
    <w:p>
      <w:pPr>
        <w:spacing w:after="140"/>
      </w:pPr>
      <w:r>
        <w:rPr>
          <w:rFonts w:ascii="Calibri" w:cs="Calibri" w:eastAsia="Calibri" w:hAnsi="Calibri"/>
          <w:color w:val="1F2D3D"/>
          <w:sz w:val="22"/>
          <w:szCs w:val="22"/>
        </w:rPr>
        <w:t xml:space="preserve">Classification: Engineering problem, but the objection is weaker than it appears. TML's value is not the hardware substrate - it is the institutional commitment to treating PAUSE as a first-class state rather than an edge case. Binary systems handle edge cases by forcing them into 0 or 1; TML's architecture mandates a third path. Whether that runs on ternary or binary silicon is an implementation detail. The framing question is legitimate, but it does not undermine the governance architecture.</w:t>
      </w:r>
    </w:p>
    <w:p>
      <w:pPr>
        <w:spacing w:after="60"/>
      </w:pPr>
      <w:r>
        <w:t xml:space="preserve"/>
      </w:r>
    </w:p>
    <w:p>
      <w:pPr>
        <w:pStyle w:val="Heading2"/>
        <w:spacing w:after="140" w:before="320"/>
      </w:pPr>
      <w:r>
        <w:rPr>
          <w:rFonts w:ascii="Calibri" w:cs="Calibri" w:eastAsia="Calibri" w:hAnsi="Calibri"/>
          <w:b/>
          <w:bCs/>
          <w:color w:val="2E4057"/>
          <w:sz w:val="26"/>
          <w:szCs w:val="26"/>
        </w:rPr>
        <w:t xml:space="preserve">C.3 Sacred Pause as Denial-of-Service Attack Surface</w:t>
      </w:r>
    </w:p>
    <w:p>
      <w:pPr>
        <w:spacing w:after="140"/>
      </w:pPr>
      <w:r>
        <w:rPr>
          <w:rFonts w:ascii="Calibri" w:cs="Calibri" w:eastAsia="Calibri" w:hAnsi="Calibri"/>
          <w:color w:val="1F2D3D"/>
          <w:sz w:val="22"/>
          <w:szCs w:val="22"/>
        </w:rPr>
        <w:t xml:space="preserve">Adversary: coordinated user campaign. If Sacred Zero triggers on genuine ambiguity, a coordinated campaign generating high volumes of borderline-but-legal content could deliberately saturate the Sacred Pause review queue, creating a moderation backlog that either: (a) collapses under volume, forcing approval of unreviewed content; or (b) becomes so slow it constitutes effective censorship of anything flagged for review.</w:t>
      </w:r>
    </w:p>
    <w:p>
      <w:pPr>
        <w:spacing w:after="60"/>
      </w:pPr>
      <w:r>
        <w:t xml:space="preserve"/>
      </w:r>
    </w:p>
    <w:p>
      <w:pPr>
        <w:spacing w:after="140"/>
      </w:pPr>
      <w:r>
        <w:rPr>
          <w:rFonts w:ascii="Calibri" w:cs="Calibri" w:eastAsia="Calibri" w:hAnsi="Calibri"/>
          <w:color w:val="1F2D3D"/>
          <w:sz w:val="22"/>
          <w:szCs w:val="22"/>
        </w:rPr>
        <w:t xml:space="preserve">Attack economics: generating ambiguous content at scale costs approximately $0.001 per piece using current LLM APIs. At 115,000 decisions per second, a campaign targeting even 1% of the feed volume (1,150 ambiguous decisions per second) would generate 99,360,000 Sacred Pause triggers per day. At human review capacity of approximately 1 review per 30 seconds per reviewer, clearing this queue requires approximately 100,000 full-time reviewers working 8-hour shifts.</w:t>
      </w:r>
    </w:p>
    <w:p>
      <w:pPr>
        <w:spacing w:after="60"/>
      </w:pPr>
      <w:r>
        <w:t xml:space="preserve"/>
      </w:r>
    </w:p>
    <w:p>
      <w:pPr>
        <w:spacing w:after="140"/>
      </w:pPr>
      <w:r>
        <w:rPr>
          <w:rFonts w:ascii="Calibri" w:cs="Calibri" w:eastAsia="Calibri" w:hAnsi="Calibri"/>
          <w:color w:val="1F2D3D"/>
          <w:sz w:val="22"/>
          <w:szCs w:val="22"/>
        </w:rPr>
        <w:t xml:space="preserve">Defense costs: approximately $500,000 per day for 100,000 reviewers at contract rates. Attack cost: approximately $1,000 per day for content generation. Ratio: 500:1 in favor of the attacker.</w:t>
      </w:r>
    </w:p>
    <w:p>
      <w:pPr>
        <w:spacing w:after="60"/>
      </w:pPr>
      <w:r>
        <w:t xml:space="preserve"/>
      </w:r>
    </w:p>
    <w:p>
      <w:pPr>
        <w:spacing w:after="140"/>
      </w:pPr>
      <w:r>
        <w:rPr>
          <w:rFonts w:ascii="Calibri" w:cs="Calibri" w:eastAsia="Calibri" w:hAnsi="Calibri"/>
          <w:color w:val="1F2D3D"/>
          <w:sz w:val="22"/>
          <w:szCs w:val="22"/>
        </w:rPr>
        <w:t xml:space="preserve">Classification: Serious governance problem, not a fatal architectural flaw. Mitigations exist (tiered review based on Sacred Zero confidence score, machine pre-filtering, progressive review queues) but require explicit architectural specification. As currently described, TML does not specify these mitigations. This is the most operationally serious vulnerability identified.</w:t>
      </w:r>
    </w:p>
    <w:p>
      <w:pPr>
        <w:spacing w:after="60"/>
      </w:pPr>
      <w:r>
        <w:t xml:space="preserve"/>
      </w:r>
    </w:p>
    <w:p>
      <w:pPr>
        <w:pStyle w:val="Heading2"/>
        <w:spacing w:after="140" w:before="320"/>
      </w:pPr>
      <w:r>
        <w:rPr>
          <w:rFonts w:ascii="Calibri" w:cs="Calibri" w:eastAsia="Calibri" w:hAnsi="Calibri"/>
          <w:b/>
          <w:bCs/>
          <w:color w:val="2E4057"/>
          <w:sz w:val="26"/>
          <w:szCs w:val="26"/>
        </w:rPr>
        <w:t xml:space="preserve">C.4 Governance Capture</w:t>
      </w:r>
    </w:p>
    <w:p>
      <w:pPr>
        <w:spacing w:after="140"/>
      </w:pPr>
      <w:r>
        <w:rPr>
          <w:rFonts w:ascii="Calibri" w:cs="Calibri" w:eastAsia="Calibri" w:hAnsi="Calibri"/>
          <w:color w:val="1F2D3D"/>
          <w:sz w:val="22"/>
          <w:szCs w:val="22"/>
        </w:rPr>
        <w:t xml:space="preserve">Adversary: platform operator and its commercial interests. The Tri-Cameral Governance structure (Technical Council, Ethics Chamber, Stewardship Custodians) requires independent composition, appointment processes, and accountability mechanisms. Every historical analog has experienced capture by the interests it was meant to oversee.</w:t>
      </w:r>
    </w:p>
    <w:p>
      <w:pPr>
        <w:spacing w:after="60"/>
      </w:pPr>
      <w:r>
        <w:t xml:space="preserve"/>
      </w:r>
    </w:p>
    <w:p>
      <w:pPr>
        <w:spacing w:after="140"/>
      </w:pPr>
      <w:r>
        <w:rPr>
          <w:rFonts w:ascii="Calibri" w:cs="Calibri" w:eastAsia="Calibri" w:hAnsi="Calibri"/>
          <w:color w:val="1F2D3D"/>
          <w:sz w:val="22"/>
          <w:szCs w:val="22"/>
        </w:rPr>
        <w:t xml:space="preserve">Historical precedents: IAB Transparency and Consent Framework - designed to implement GDPR consent for digital advertising, captured by the advertising industry to produce consent theater. IETF - primarily volunteer, relatively resistant to capture, but slow and non-binding. Financial audit committees under Sarbanes-Oxley - improved from pre-2002 standards, but auditor-client relationships continue to produce conflicts documented in academic literature. FDA advisory panels - documented influence by pharmaceutical industry on composition and outcomes.</w:t>
      </w:r>
    </w:p>
    <w:p>
      <w:pPr>
        <w:spacing w:after="60"/>
      </w:pPr>
      <w:r>
        <w:t xml:space="preserve"/>
      </w:r>
    </w:p>
    <w:p>
      <w:pPr>
        <w:spacing w:after="140"/>
      </w:pPr>
      <w:r>
        <w:rPr>
          <w:rFonts w:ascii="Calibri" w:cs="Calibri" w:eastAsia="Calibri" w:hAnsi="Calibri"/>
          <w:color w:val="1F2D3D"/>
          <w:sz w:val="22"/>
          <w:szCs w:val="22"/>
        </w:rPr>
        <w:t xml:space="preserve">In every case, capture was easiest when: (a) the governed industry funded the governance body; (b) technical expertise required to participate was concentrated in the industry; (c) the body's decisions were advisory rather than binding. TML's Tri-Cameral structure faces all three conditions if implemented inside a commercial platform. Classification: Governance problem, potentially fatal if not addressed through constitutional specification of independence requirements, funding sources, and binding authority.</w:t>
      </w:r>
    </w:p>
    <w:p>
      <w:pPr>
        <w:spacing w:after="60"/>
      </w:pPr>
      <w:r>
        <w:t xml:space="preserve"/>
      </w:r>
    </w:p>
    <w:p>
      <w:pPr>
        <w:pStyle w:val="Heading2"/>
        <w:spacing w:after="140" w:before="320"/>
      </w:pPr>
      <w:r>
        <w:rPr>
          <w:rFonts w:ascii="Calibri" w:cs="Calibri" w:eastAsia="Calibri" w:hAnsi="Calibri"/>
          <w:b/>
          <w:bCs/>
          <w:color w:val="2E4057"/>
          <w:sz w:val="26"/>
          <w:szCs w:val="26"/>
        </w:rPr>
        <w:t xml:space="preserve">C.5 Censorship Risk</w:t>
      </w:r>
    </w:p>
    <w:p>
      <w:pPr>
        <w:spacing w:after="140"/>
      </w:pPr>
      <w:r>
        <w:rPr>
          <w:rFonts w:ascii="Calibri" w:cs="Calibri" w:eastAsia="Calibri" w:hAnsi="Calibri"/>
          <w:color w:val="1F2D3D"/>
          <w:sz w:val="22"/>
          <w:szCs w:val="22"/>
        </w:rPr>
        <w:t xml:space="preserve">Adversary: authoritarian state or captured platform operator. Sacred Zero's trigger conditions - genuine uncertainty or moral conflict - are defined by whoever implements the system. A state actor implementing TML could define "moral conflict" to include political opposition content, triggering Sacred Pause on all such content and routing it to state-aligned Ethics Chamber reviewers.</w:t>
      </w:r>
    </w:p>
    <w:p>
      <w:pPr>
        <w:spacing w:after="60"/>
      </w:pPr>
      <w:r>
        <w:t xml:space="preserve"/>
      </w:r>
    </w:p>
    <w:p>
      <w:pPr>
        <w:spacing w:after="140"/>
      </w:pPr>
      <w:r>
        <w:rPr>
          <w:rFonts w:ascii="Calibri" w:cs="Calibri" w:eastAsia="Calibri" w:hAnsi="Calibri"/>
          <w:color w:val="1F2D3D"/>
          <w:sz w:val="22"/>
          <w:szCs w:val="22"/>
        </w:rPr>
        <w:t xml:space="preserve">This is not a hypothetical: China's Cyberspace Administration approval process for internet content operates on an analogous logic - ambiguous content is held pending review. TML's architecture is structurally capable of operationalizing this kind of political content control while claiming governance legitimacy. Classification: Governance problem, not architectural. TML as specified does not include safeguards against this use. The Human Rights Mandate (Pillar 5) is the intended check, but its enforcement mechanism is unspecified.</w:t>
      </w:r>
    </w:p>
    <w:p>
      <w:pPr>
        <w:spacing w:after="60"/>
      </w:pPr>
      <w:r>
        <w:t xml:space="preserve"/>
      </w:r>
    </w:p>
    <w:p>
      <w:pPr>
        <w:pStyle w:val="Heading2"/>
        <w:spacing w:after="140" w:before="320"/>
      </w:pPr>
      <w:r>
        <w:rPr>
          <w:rFonts w:ascii="Calibri" w:cs="Calibri" w:eastAsia="Calibri" w:hAnsi="Calibri"/>
          <w:b/>
          <w:bCs/>
          <w:color w:val="2E4057"/>
          <w:sz w:val="26"/>
          <w:szCs w:val="26"/>
        </w:rPr>
        <w:t xml:space="preserve">C.6 Surveillance Infrastructure Risk</w:t>
      </w:r>
    </w:p>
    <w:p>
      <w:pPr>
        <w:spacing w:after="140"/>
      </w:pPr>
      <w:r>
        <w:rPr>
          <w:rFonts w:ascii="Calibri" w:cs="Calibri" w:eastAsia="Calibri" w:hAnsi="Calibri"/>
          <w:color w:val="1F2D3D"/>
          <w:sz w:val="22"/>
          <w:szCs w:val="22"/>
        </w:rPr>
        <w:t xml:space="preserve">Adversary: state actor, data breach, or platform operator. Always Memory and Moral Trace Logs create a comprehensive record of every content decision - including why content was amplified to specific users. This log is valuable as a governance mechanism and dangerous as a surveillance asset. If subpoenaed, hacked, or sold, it provides a complete record of individual content exposure at the decision level.</w:t>
      </w:r>
    </w:p>
    <w:p>
      <w:pPr>
        <w:spacing w:after="60"/>
      </w:pPr>
      <w:r>
        <w:t xml:space="preserve"/>
      </w:r>
    </w:p>
    <w:p>
      <w:pPr>
        <w:spacing w:after="140"/>
      </w:pPr>
      <w:r>
        <w:rPr>
          <w:rFonts w:ascii="Calibri" w:cs="Calibri" w:eastAsia="Calibri" w:hAnsi="Calibri"/>
          <w:color w:val="1F2D3D"/>
          <w:sz w:val="22"/>
          <w:szCs w:val="22"/>
        </w:rPr>
        <w:t xml:space="preserve">Existing analog: NSA's metadata collection program, which demonstrated that decision-level records of communication (who contacted whom, when, for how long) are as revealing as content. TML's logs would record not just what a user saw but why the system decided to show it - including the ethical confidence score and any Sacred Zero triggers associated with that user's content exposure. Classification: Serious governance problem. EKR mitigates by destroying keys, but the Merkle proof of the decision's existence remains permanently. Data minimization protocols need explicit specification.</w:t>
      </w:r>
    </w:p>
    <w:p>
      <w:pPr>
        <w:spacing w:after="60"/>
      </w:pPr>
      <w:r>
        <w:t xml:space="preserve"/>
      </w:r>
    </w:p>
    <w:p>
      <w:pPr>
        <w:pStyle w:val="Heading2"/>
        <w:spacing w:after="140" w:before="320"/>
      </w:pPr>
      <w:r>
        <w:rPr>
          <w:rFonts w:ascii="Calibri" w:cs="Calibri" w:eastAsia="Calibri" w:hAnsi="Calibri"/>
          <w:b/>
          <w:bCs/>
          <w:color w:val="2E4057"/>
          <w:sz w:val="26"/>
          <w:szCs w:val="26"/>
        </w:rPr>
        <w:t xml:space="preserve">C.7 Latency and Throughput at Peak Volume</w:t>
      </w:r>
    </w:p>
    <w:p>
      <w:pPr>
        <w:spacing w:after="140"/>
      </w:pPr>
      <w:r>
        <w:rPr>
          <w:rFonts w:ascii="Calibri" w:cs="Calibri" w:eastAsia="Calibri" w:hAnsi="Calibri"/>
          <w:color w:val="1F2D3D"/>
          <w:sz w:val="22"/>
          <w:szCs w:val="22"/>
        </w:rPr>
        <w:t xml:space="preserve">At 115,000 decisions per second peak, the Governance Lane requires approximately 5,800 parallel processing threads to maintain sub-50ms performance (assuming 1ms processing time per decision per thread). This is achievable with dedicated GPU cluster allocation at current hardware costs. Additional cost: approximately $3-8 million per year in dedicated Governance Lane compute at Meta scale, well within the $50-100 million total system cost estimate.</w:t>
      </w:r>
    </w:p>
    <w:p>
      <w:pPr>
        <w:spacing w:after="60"/>
      </w:pPr>
      <w:r>
        <w:t xml:space="preserve"/>
      </w:r>
    </w:p>
    <w:p>
      <w:pPr>
        <w:spacing w:after="140"/>
      </w:pPr>
      <w:r>
        <w:rPr>
          <w:rFonts w:ascii="Calibri" w:cs="Calibri" w:eastAsia="Calibri" w:hAnsi="Calibri"/>
          <w:color w:val="1F2D3D"/>
          <w:sz w:val="22"/>
          <w:szCs w:val="22"/>
        </w:rPr>
        <w:t xml:space="preserve">The more serious throughput question is Sacred Pause: if Sacred Zero fires at even 0.1% of decisions (a conservative trigger rate), that generates 10 million Sacred Pause reviews per day. No human review workforce can process this at current scale. This reinforces the Sacred Pause DoS vulnerability as the operational bottleneck. Classification: Engineering problem for normal operations; governance problem at Sacred Pause trigger rates above approximately 0.01%.</w:t>
      </w:r>
    </w:p>
    <w:p>
      <w:pPr>
        <w:spacing w:after="60"/>
      </w:pPr>
      <w:r>
        <w:t xml:space="preserve"/>
      </w:r>
    </w:p>
    <w:p>
      <w:pPr>
        <w:pStyle w:val="Heading2"/>
        <w:spacing w:after="140" w:before="320"/>
      </w:pPr>
      <w:r>
        <w:rPr>
          <w:rFonts w:ascii="Calibri" w:cs="Calibri" w:eastAsia="Calibri" w:hAnsi="Calibri"/>
          <w:b/>
          <w:bCs/>
          <w:color w:val="2E4057"/>
          <w:sz w:val="26"/>
          <w:szCs w:val="26"/>
        </w:rPr>
        <w:t xml:space="preserve">C.8 Section 230 and Log Liability</w:t>
      </w:r>
    </w:p>
    <w:p>
      <w:pPr>
        <w:spacing w:after="140"/>
      </w:pPr>
      <w:r>
        <w:rPr>
          <w:rFonts w:ascii="Calibri" w:cs="Calibri" w:eastAsia="Calibri" w:hAnsi="Calibri"/>
          <w:color w:val="1F2D3D"/>
          <w:sz w:val="22"/>
          <w:szCs w:val="22"/>
        </w:rPr>
        <w:t xml:space="preserve">Always Memory and Moral Trace Logs create a record that a platform made a governance decision about specific content. Under current Section 230 interpretation (Gonzalez v. Google, 2023 - Supreme Court declined to narrow 230 protection), platforms retain immunity for editorial choices. However, if a platform's Moral Trace Log shows that it affirmatively decided to amplify content that caused documented harm - with a log entry establishing the decision, the ethical confidence score, and the Sacred Zero result - that record could be used in future litigation to argue that the platform exercised editorial judgment about a specific harm and chose to amplify it anyway.</w:t>
      </w:r>
    </w:p>
    <w:p>
      <w:pPr>
        <w:spacing w:after="60"/>
      </w:pPr>
      <w:r>
        <w:t xml:space="preserve"/>
      </w:r>
    </w:p>
    <w:p>
      <w:pPr>
        <w:spacing w:after="140"/>
      </w:pPr>
      <w:r>
        <w:rPr>
          <w:rFonts w:ascii="Calibri" w:cs="Calibri" w:eastAsia="Calibri" w:hAnsi="Calibri"/>
          <w:color w:val="1F2D3D"/>
          <w:sz w:val="22"/>
          <w:szCs w:val="22"/>
        </w:rPr>
        <w:t xml:space="preserve">This cuts both ways: it creates liability exposure, but it also creates the evidentiary record that makes accountability possible. The Anderson v. TikTok circuit split (holding that algorithmic amplification may not be protected by Section 230) suggests courts may be moving toward a framework where amplification decisions are distinguishable from hosting decisions. TML's logs would be the evidence that circuit split eventually requires. Classification: Legal problem that is also a feature. The liability risk is real and must be disclosed to any platform implementing TML.</w:t>
      </w:r>
    </w:p>
    <w:p>
      <w:pPr>
        <w:spacing w:after="60"/>
      </w:pPr>
      <w:r>
        <w:t xml:space="preserve"/>
      </w:r>
    </w:p>
    <w:p>
      <w:pPr>
        <w:pStyle w:val="Heading2"/>
        <w:spacing w:after="140" w:before="320"/>
      </w:pPr>
      <w:r>
        <w:rPr>
          <w:rFonts w:ascii="Calibri" w:cs="Calibri" w:eastAsia="Calibri" w:hAnsi="Calibri"/>
          <w:b/>
          <w:bCs/>
          <w:color w:val="2E4057"/>
          <w:sz w:val="26"/>
          <w:szCs w:val="26"/>
        </w:rPr>
        <w:t xml:space="preserve">C.9 Top 3 Most Damaging Criticisms</w:t>
      </w:r>
    </w:p>
    <w:p>
      <w:pPr>
        <w:pStyle w:val="Heading3"/>
        <w:spacing w:after="100" w:before="220"/>
      </w:pPr>
      <w:r>
        <w:rPr>
          <w:rFonts w:ascii="Calibri" w:cs="Calibri" w:eastAsia="Calibri" w:hAnsi="Calibri"/>
          <w:b/>
          <w:bCs/>
          <w:color w:val="5D6D7E"/>
          <w:sz w:val="23"/>
          <w:szCs w:val="23"/>
        </w:rPr>
        <w:t xml:space="preserve">Criticism 1: The Sacred Pause Attack Surface (Most Damaging)</w:t>
      </w:r>
    </w:p>
    <w:p>
      <w:pPr>
        <w:spacing w:after="140"/>
      </w:pPr>
      <w:r>
        <w:rPr>
          <w:rFonts w:ascii="Calibri" w:cs="Calibri" w:eastAsia="Calibri" w:hAnsi="Calibri"/>
          <w:color w:val="1F2D3D"/>
          <w:sz w:val="22"/>
          <w:szCs w:val="22"/>
        </w:rPr>
        <w:t xml:space="preserve">The 500:1 attack-to-defense cost ratio for Sacred Pause saturation is the most operationally serious vulnerability in TML's current specification. A coordinated campaign costing approximately $1,000 per day could impose $500,000 per day in human review costs on a TML-governed platform. At that ratio, any sufficiently motivated adversary - a competing platform, a state actor, a well-funded activist group - can make TML-governed moderation economically untenable. The architecture does not currently specify tiered review, confidence-weighted escalation, or machine pre-filtering mitigations. Without these, Sacred Pause is an attack surface, not a safeguard.</w:t>
      </w:r>
    </w:p>
    <w:p>
      <w:pPr>
        <w:spacing w:after="60"/>
      </w:pPr>
      <w:r>
        <w:t xml:space="preserve"/>
      </w:r>
    </w:p>
    <w:p>
      <w:pPr>
        <w:pStyle w:val="Heading3"/>
        <w:spacing w:after="100" w:before="220"/>
      </w:pPr>
      <w:r>
        <w:rPr>
          <w:rFonts w:ascii="Calibri" w:cs="Calibri" w:eastAsia="Calibri" w:hAnsi="Calibri"/>
          <w:b/>
          <w:bCs/>
          <w:color w:val="5D6D7E"/>
          <w:sz w:val="23"/>
          <w:szCs w:val="23"/>
        </w:rPr>
        <w:t xml:space="preserve">Criticism 2: Governance Capture Without Constitutional Specification</w:t>
      </w:r>
    </w:p>
    <w:p>
      <w:pPr>
        <w:spacing w:after="140"/>
      </w:pPr>
      <w:r>
        <w:rPr>
          <w:rFonts w:ascii="Calibri" w:cs="Calibri" w:eastAsia="Calibri" w:hAnsi="Calibri"/>
          <w:color w:val="1F2D3D"/>
          <w:sz w:val="22"/>
          <w:szCs w:val="22"/>
        </w:rPr>
        <w:t xml:space="preserve">TML's Tri-Cameral Governance is described in terms of structure (three chambers) but not in terms of constitutional specification: how are members appointed, who can remove them, how are conflicts of interest defined, and what happens when the Ethics Chamber is deadlocked or compromised? Every historical governance body operating inside or adjacent to a commercial industry has been subject to capture when these specifications were absent. TML's current documentation does not provide the level of constitutional detail that would make the Tri-Cameral structure resistant to capture. A framework that allows governance capture is a framework that can be used as governance theater.</w:t>
      </w:r>
    </w:p>
    <w:p>
      <w:pPr>
        <w:spacing w:after="60"/>
      </w:pPr>
      <w:r>
        <w:t xml:space="preserve"/>
      </w:r>
    </w:p>
    <w:p>
      <w:pPr>
        <w:pStyle w:val="Heading3"/>
        <w:spacing w:after="100" w:before="220"/>
      </w:pPr>
      <w:r>
        <w:rPr>
          <w:rFonts w:ascii="Calibri" w:cs="Calibri" w:eastAsia="Calibri" w:hAnsi="Calibri"/>
          <w:b/>
          <w:bCs/>
          <w:color w:val="5D6D7E"/>
          <w:sz w:val="23"/>
          <w:szCs w:val="23"/>
        </w:rPr>
        <w:t xml:space="preserve">Criticism 3: The Human Moderator Workforce Does Not Exist</w:t>
      </w:r>
    </w:p>
    <w:p>
      <w:pPr>
        <w:spacing w:after="140"/>
      </w:pPr>
      <w:r>
        <w:rPr>
          <w:rFonts w:ascii="Calibri" w:cs="Calibri" w:eastAsia="Calibri" w:hAnsi="Calibri"/>
          <w:color w:val="1F2D3D"/>
          <w:sz w:val="22"/>
          <w:szCs w:val="22"/>
        </w:rPr>
        <w:t xml:space="preserve">At a Sacred Zero trigger rate of 0.1%, TML requires approximately 100,000 human reviewers for Sacred Pause resolution at Meta scale. This workforce does not currently exist in any organized form. The closest analog - Meta's existing content moderation contractor network - numbers approximately 11,250 and is already producing documented PTSD at scale. Scaling to 100,000 reviewers would require: a new labor market for trained ethical reviewers, training standards that do not currently exist, psychological support infrastructure that has never been built, and compensation structures that make the work sustainable. TML assumes this workforce; it does not create it.</w:t>
      </w:r>
    </w:p>
    <w:p>
      <w:pPr>
        <w:spacing w:after="60"/>
      </w:pPr>
      <w:r>
        <w:t xml:space="preserve"/>
      </w:r>
    </w:p>
    <w:p>
      <w:pPr>
        <w:pStyle w:val="Heading2"/>
        <w:spacing w:after="140" w:before="320"/>
      </w:pPr>
      <w:r>
        <w:rPr>
          <w:rFonts w:ascii="Calibri" w:cs="Calibri" w:eastAsia="Calibri" w:hAnsi="Calibri"/>
          <w:b/>
          <w:bCs/>
          <w:color w:val="2E4057"/>
          <w:sz w:val="26"/>
          <w:szCs w:val="26"/>
        </w:rPr>
        <w:t xml:space="preserve">C.10 Top 3 Strongest Architectural Supports</w:t>
      </w:r>
    </w:p>
    <w:p>
      <w:pPr>
        <w:pStyle w:val="Heading3"/>
        <w:spacing w:after="100" w:before="220"/>
      </w:pPr>
      <w:r>
        <w:rPr>
          <w:rFonts w:ascii="Calibri" w:cs="Calibri" w:eastAsia="Calibri" w:hAnsi="Calibri"/>
          <w:b/>
          <w:bCs/>
          <w:color w:val="5D6D7E"/>
          <w:sz w:val="23"/>
          <w:szCs w:val="23"/>
        </w:rPr>
        <w:t xml:space="preserve">Support 1: Merkle-Batched Blockchain Anchoring is an Established Pattern</w:t>
      </w:r>
    </w:p>
    <w:p>
      <w:pPr>
        <w:spacing w:after="140"/>
      </w:pPr>
      <w:r>
        <w:rPr>
          <w:rFonts w:ascii="Calibri" w:cs="Calibri" w:eastAsia="Calibri" w:hAnsi="Calibri"/>
          <w:color w:val="1F2D3D"/>
          <w:sz w:val="22"/>
          <w:szCs w:val="22"/>
        </w:rPr>
        <w:t xml:space="preserve">TML's use of Merkle-batched storage with blockchain anchoring is not a novel or untested approach. Certificate Transparency (RFC 6962, RFC 9162) has operated this pattern at global internet scale since 2013, anchoring certificate issuance logs to append-only Merkle trees auditable by any party. PCAOB audit trails and financial ledger systems operate on analogous immutability-with-off-chain-storage principles. TML is applying a proven pattern to a new domain. This is the strongest argument for technical feasibility: the core architectural mechanism has a decade of production deployment at comparable scale.</w:t>
      </w:r>
    </w:p>
    <w:p>
      <w:pPr>
        <w:spacing w:after="60"/>
      </w:pPr>
      <w:r>
        <w:t xml:space="preserve"/>
      </w:r>
    </w:p>
    <w:p>
      <w:pPr>
        <w:pStyle w:val="Heading3"/>
        <w:spacing w:after="100" w:before="220"/>
      </w:pPr>
      <w:r>
        <w:rPr>
          <w:rFonts w:ascii="Calibri" w:cs="Calibri" w:eastAsia="Calibri" w:hAnsi="Calibri"/>
          <w:b/>
          <w:bCs/>
          <w:color w:val="5D6D7E"/>
          <w:sz w:val="23"/>
          <w:szCs w:val="23"/>
        </w:rPr>
        <w:t xml:space="preserve">Support 2: The Dual-Lane Architecture Solves the Real Bottleneck</w:t>
      </w:r>
    </w:p>
    <w:p>
      <w:pPr>
        <w:spacing w:after="140"/>
      </w:pPr>
      <w:r>
        <w:rPr>
          <w:rFonts w:ascii="Calibri" w:cs="Calibri" w:eastAsia="Calibri" w:hAnsi="Calibri"/>
          <w:color w:val="1F2D3D"/>
          <w:sz w:val="22"/>
          <w:szCs w:val="22"/>
        </w:rPr>
        <w:t xml:space="preserve">The reason feed ranking latency has been used as an objection to content governance is that all previous governance proposals inserted review into the content delivery path, creating unacceptable latency. TML's Dual-Lane architecture solves this correctly: the Inference Lane delivers content at existing speed while the Governance Lane runs in parallel, and External Anchoring is fully asynchronous. This means TML does not slow content delivery - it creates an auditable record alongside it. The PPT gates amplification, not display, which means even Sacred Pause review does not block initial content delivery. This is architecturally correct and distinguishes TML from every prior moderation-at-scale proposal.</w:t>
      </w:r>
    </w:p>
    <w:p>
      <w:pPr>
        <w:spacing w:after="60"/>
      </w:pPr>
      <w:r>
        <w:t xml:space="preserve"/>
      </w:r>
    </w:p>
    <w:p>
      <w:pPr>
        <w:pStyle w:val="Heading3"/>
        <w:spacing w:after="100" w:before="220"/>
      </w:pPr>
      <w:r>
        <w:rPr>
          <w:rFonts w:ascii="Calibri" w:cs="Calibri" w:eastAsia="Calibri" w:hAnsi="Calibri"/>
          <w:b/>
          <w:bCs/>
          <w:color w:val="5D6D7E"/>
          <w:sz w:val="23"/>
          <w:szCs w:val="23"/>
        </w:rPr>
        <w:t xml:space="preserve">Support 3: The No Log = No Action Rule Creates Enforceable Accountability</w:t>
      </w:r>
    </w:p>
    <w:p>
      <w:pPr>
        <w:spacing w:after="140"/>
      </w:pPr>
      <w:r>
        <w:rPr>
          <w:rFonts w:ascii="Calibri" w:cs="Calibri" w:eastAsia="Calibri" w:hAnsi="Calibri"/>
          <w:color w:val="1F2D3D"/>
          <w:sz w:val="22"/>
          <w:szCs w:val="22"/>
        </w:rPr>
        <w:t xml:space="preserve">Current platform transparency reports are retrospective aggregations - they describe what happened in aggregate, not why any specific decision was made. No Log = No Action changes the structure of accountability from retrospective reporting to prospective proof: if you cannot produce a log of the governance decision, the action did not have authorization. This is enforceable by regulators (DSA auditors, AI Act supervisory authorities) in a way that aggregate transparency reports are not. It creates the evidentiary foundation that judicial review and regulatory enforcement require. The PCAOB analogy is instructive: requiring auditable records changed the accountability structure of financial markets. No Log = No Action would do the same for feed ranking.</w:t>
      </w:r>
    </w:p>
    <w:p>
      <w:r>
        <w:br w:type="page"/>
      </w:r>
    </w:p>
    <w:p>
      <w:pPr>
        <w:pStyle w:val="Heading1"/>
        <w:pBdr>
          <w:bottom w:val="single" w:color="1A5276" w:sz="8" w:space="4"/>
        </w:pBdr>
        <w:spacing w:after="200" w:before="480"/>
      </w:pPr>
      <w:r>
        <w:rPr>
          <w:rFonts w:ascii="Calibri" w:cs="Calibri" w:eastAsia="Calibri" w:hAnsi="Calibri"/>
          <w:b/>
          <w:bCs/>
          <w:color w:val="1A5276"/>
          <w:sz w:val="30"/>
          <w:szCs w:val="30"/>
        </w:rPr>
        <w:t xml:space="preserve">Section D: TML Pillar-by-Pillar Application</w:t>
      </w:r>
    </w:p>
    <w:p>
      <w:pPr>
        <w:pBdr>
          <w:left w:val="single" w:color="B7770D" w:sz="6" w:space="8"/>
        </w:pBdr>
        <w:spacing w:after="160"/>
        <w:ind w:left="200"/>
      </w:pPr>
      <w:r>
        <w:rPr>
          <w:rFonts w:ascii="Calibri" w:cs="Calibri" w:eastAsia="Calibri" w:hAnsi="Calibri"/>
          <w:b/>
          <w:bCs/>
          <w:color w:val="5D6D7E"/>
          <w:sz w:val="20"/>
          <w:szCs w:val="20"/>
        </w:rPr>
        <w:t xml:space="preserve">Confidence: </w:t>
      </w:r>
      <w:r>
        <w:rPr>
          <w:rFonts w:ascii="Calibri" w:cs="Calibri" w:eastAsia="Calibri" w:hAnsi="Calibri"/>
          <w:b/>
          <w:bCs/>
          <w:color w:val="B7770D"/>
          <w:sz w:val="20"/>
          <w:szCs w:val="20"/>
        </w:rPr>
        <w:t xml:space="preserve">Medium</w:t>
      </w:r>
      <w:r>
        <w:rPr>
          <w:rFonts w:ascii="Calibri" w:cs="Calibri" w:eastAsia="Calibri" w:hAnsi="Calibri"/>
          <w:i/>
          <w:iCs/>
          <w:color w:val="5D6D7E"/>
          <w:sz w:val="20"/>
          <w:szCs w:val="20"/>
        </w:rPr>
        <w:t xml:space="preserve">  -  Pillar applications are architecturally grounded; revenue and operational impact estimates involve assumptions about platform behavior under mandate.</w:t>
      </w:r>
    </w:p>
    <w:p>
      <w:pPr>
        <w:spacing w:after="60"/>
      </w:pPr>
      <w:r>
        <w:t xml:space="preserve"/>
      </w:r>
    </w:p>
    <w:p>
      <w:pPr>
        <w:pStyle w:val="Heading2"/>
        <w:spacing w:after="140" w:before="320"/>
      </w:pPr>
      <w:r>
        <w:rPr>
          <w:rFonts w:ascii="Calibri" w:cs="Calibri" w:eastAsia="Calibri" w:hAnsi="Calibri"/>
          <w:b/>
          <w:bCs/>
          <w:color w:val="2E4057"/>
          <w:sz w:val="26"/>
          <w:szCs w:val="26"/>
        </w:rPr>
        <w:t xml:space="preserve">D.1 Sacred Zero and Sacred Pause</w:t>
      </w:r>
    </w:p>
    <w:p>
      <w:pPr>
        <w:spacing w:after="140"/>
      </w:pPr>
      <w:r>
        <w:rPr>
          <w:rFonts w:ascii="Calibri" w:cs="Calibri" w:eastAsia="Calibri" w:hAnsi="Calibri"/>
          <w:color w:val="1F2D3D"/>
          <w:sz w:val="22"/>
          <w:szCs w:val="22"/>
        </w:rPr>
        <w:t xml:space="preserve">Social media failure addressed: Outrage optimization and radicalization pipelines. Current automated systems force every decision into binary: amplify or suppress. Sacred Zero introduces a third state - genuine moral uncertainty - as a first-class architectural outcome.</w:t>
      </w:r>
    </w:p>
    <w:p>
      <w:pPr>
        <w:spacing w:after="60"/>
      </w:pPr>
      <w:r>
        <w:t xml:space="preserve"/>
      </w:r>
    </w:p>
    <w:p>
      <w:pPr>
        <w:spacing w:after="140"/>
      </w:pPr>
      <w:r>
        <w:rPr>
          <w:rFonts w:ascii="Calibri" w:cs="Calibri" w:eastAsia="Calibri" w:hAnsi="Calibri"/>
          <w:color w:val="1F2D3D"/>
          <w:sz w:val="22"/>
          <w:szCs w:val="22"/>
        </w:rPr>
        <w:t xml:space="preserve">What a platform implementing this pillar would look like: content triggering Sacred Zero (measured by: cross-signal conflict, high harm-potential category, low confidence score) enters Sacred Pause review before amplification proceeds. The review determines not just whether the content is permitted but what amplification level is appropriate and to which audiences. The amplification decision is logged with the reviewing judgment.</w:t>
      </w:r>
    </w:p>
    <w:p>
      <w:pPr>
        <w:spacing w:after="60"/>
      </w:pPr>
      <w:r>
        <w:t xml:space="preserve"/>
      </w:r>
    </w:p>
    <w:p>
      <w:pPr>
        <w:spacing w:after="140"/>
      </w:pPr>
      <w:r>
        <w:rPr>
          <w:rFonts w:ascii="Calibri" w:cs="Calibri" w:eastAsia="Calibri" w:hAnsi="Calibri"/>
          <w:color w:val="1F2D3D"/>
          <w:sz w:val="22"/>
          <w:szCs w:val="22"/>
        </w:rPr>
        <w:t xml:space="preserve">What the platform loses: amplification speed for borderline content. At 0.1% Sacred Zero trigger rate, approximately 10 million pieces of content per day enter Sacred Pause review. This delays amplification of some content by the review period - hours to days for complex cases. Revenue impact: content held in Sacred Pause generates no amplification revenue during the review period. At Meta's approximately $130 billion annual revenue, a 0.1% amplification delay could affect revenue on the order of tens to hundreds of millions per year - a real but bounded cost.</w:t>
      </w:r>
    </w:p>
    <w:p>
      <w:pPr>
        <w:spacing w:after="60"/>
      </w:pPr>
      <w:r>
        <w:t xml:space="preserve"/>
      </w:r>
    </w:p>
    <w:p>
      <w:pPr>
        <w:pStyle w:val="Heading2"/>
        <w:spacing w:after="140" w:before="320"/>
      </w:pPr>
      <w:r>
        <w:rPr>
          <w:rFonts w:ascii="Calibri" w:cs="Calibri" w:eastAsia="Calibri" w:hAnsi="Calibri"/>
          <w:b/>
          <w:bCs/>
          <w:color w:val="2E4057"/>
          <w:sz w:val="26"/>
          <w:szCs w:val="26"/>
        </w:rPr>
        <w:t xml:space="preserve">D.2 Always Memory</w:t>
      </w:r>
    </w:p>
    <w:p>
      <w:pPr>
        <w:spacing w:after="140"/>
      </w:pPr>
      <w:r>
        <w:rPr>
          <w:rFonts w:ascii="Calibri" w:cs="Calibri" w:eastAsia="Calibri" w:hAnsi="Calibri"/>
          <w:color w:val="1F2D3D"/>
          <w:sz w:val="22"/>
          <w:szCs w:val="22"/>
        </w:rPr>
        <w:t xml:space="preserve">Social media failure addressed: Opaque moderation. Moral Trace Logs create the first externally verifiable record of why specific content was amplified or suppressed to specific users.</w:t>
      </w:r>
    </w:p>
    <w:p>
      <w:pPr>
        <w:spacing w:after="60"/>
      </w:pPr>
      <w:r>
        <w:t xml:space="preserve"/>
      </w:r>
    </w:p>
    <w:p>
      <w:pPr>
        <w:spacing w:after="140"/>
      </w:pPr>
      <w:r>
        <w:rPr>
          <w:rFonts w:ascii="Calibri" w:cs="Calibri" w:eastAsia="Calibri" w:hAnsi="Calibri"/>
          <w:color w:val="1F2D3D"/>
          <w:sz w:val="22"/>
          <w:szCs w:val="22"/>
        </w:rPr>
        <w:t xml:space="preserve">What implementing this pillar would look like: Every ranking decision generates a log entry capturing the input signals, the ethical confidence score, the Sacred Zero result, and the authorization token. Logs are Merkle-batched and anchored to Polygon blockchain. Off-chain logs are encrypted with EKR keys. Platform, regulator, and (under specified conditions) users can verify that a governance process occurred for any given decision.</w:t>
      </w:r>
    </w:p>
    <w:p>
      <w:pPr>
        <w:spacing w:after="60"/>
      </w:pPr>
      <w:r>
        <w:t xml:space="preserve"/>
      </w:r>
    </w:p>
    <w:p>
      <w:pPr>
        <w:spacing w:after="140"/>
      </w:pPr>
      <w:r>
        <w:rPr>
          <w:rFonts w:ascii="Calibri" w:cs="Calibri" w:eastAsia="Calibri" w:hAnsi="Calibri"/>
          <w:color w:val="1F2D3D"/>
          <w:sz w:val="22"/>
          <w:szCs w:val="22"/>
        </w:rPr>
        <w:t xml:space="preserve">What the platform loses: deniability. Current platforms can claim algorithmic opacity as a defense against liability claims. Under Always Memory, the log establishes that the platform made a specific decision about specific content with a recorded ethical confidence score. If that content caused documented harm, the log becomes evidence. This is the correct trade from a governance perspective and the most economically threatening pillar to platform operators.</w:t>
      </w:r>
    </w:p>
    <w:p>
      <w:pPr>
        <w:spacing w:after="60"/>
      </w:pPr>
      <w:r>
        <w:t xml:space="preserve"/>
      </w:r>
    </w:p>
    <w:p>
      <w:pPr>
        <w:pStyle w:val="Heading2"/>
        <w:spacing w:after="140" w:before="320"/>
      </w:pPr>
      <w:r>
        <w:rPr>
          <w:rFonts w:ascii="Calibri" w:cs="Calibri" w:eastAsia="Calibri" w:hAnsi="Calibri"/>
          <w:b/>
          <w:bCs/>
          <w:color w:val="2E4057"/>
          <w:sz w:val="26"/>
          <w:szCs w:val="26"/>
        </w:rPr>
        <w:t xml:space="preserve">D.3 Goukassian Promise</w:t>
      </w:r>
    </w:p>
    <w:p>
      <w:pPr>
        <w:spacing w:after="140"/>
      </w:pPr>
      <w:r>
        <w:rPr>
          <w:rFonts w:ascii="Calibri" w:cs="Calibri" w:eastAsia="Calibri" w:hAnsi="Calibri"/>
          <w:color w:val="1F2D3D"/>
          <w:sz w:val="22"/>
          <w:szCs w:val="22"/>
        </w:rPr>
        <w:t xml:space="preserve">Social media failure addressed: Identity laundering and coordinated inauthentic behavior. The three-part accountability mechanism (Lantern: transparency of action; Signature: traceable identity of decision-maker; License: earned and revocable right to operate) changes the accountability structure from platform-level to decision-level.</w:t>
      </w:r>
    </w:p>
    <w:p>
      <w:pPr>
        <w:spacing w:after="60"/>
      </w:pPr>
      <w:r>
        <w:t xml:space="preserve"/>
      </w:r>
    </w:p>
    <w:p>
      <w:pPr>
        <w:spacing w:after="140"/>
      </w:pPr>
      <w:r>
        <w:rPr>
          <w:rFonts w:ascii="Calibri" w:cs="Calibri" w:eastAsia="Calibri" w:hAnsi="Calibri"/>
          <w:color w:val="1F2D3D"/>
          <w:sz w:val="22"/>
          <w:szCs w:val="22"/>
        </w:rPr>
        <w:t xml:space="preserve">What implementing this pillar would look like: Every amplification decision carries a cryptographic signature identifying the governance process that authorized it. Operating License is earned through demonstrated compliance and revocable through documented violations. A platform that loses its License cannot make authorized amplification decisions under TML.</w:t>
      </w:r>
    </w:p>
    <w:p>
      <w:pPr>
        <w:spacing w:after="60"/>
      </w:pPr>
      <w:r>
        <w:t xml:space="preserve"/>
      </w:r>
    </w:p>
    <w:p>
      <w:pPr>
        <w:spacing w:after="140"/>
      </w:pPr>
      <w:r>
        <w:rPr>
          <w:rFonts w:ascii="Calibri" w:cs="Calibri" w:eastAsia="Calibri" w:hAnsi="Calibri"/>
          <w:color w:val="1F2D3D"/>
          <w:sz w:val="22"/>
          <w:szCs w:val="22"/>
        </w:rPr>
        <w:t xml:space="preserve">What the platform loses: ability to obscure decision authority. When a harmful amplification decision can be traced to a specific authorization event with a specific ethical confidence score, the "the algorithm decided" defense becomes untenable. License revocability means the governance consequences of systematic failures are architectural, not merely reputational.</w:t>
      </w:r>
    </w:p>
    <w:p>
      <w:pPr>
        <w:spacing w:after="60"/>
      </w:pPr>
      <w:r>
        <w:t xml:space="preserve"/>
      </w:r>
    </w:p>
    <w:p>
      <w:pPr>
        <w:pStyle w:val="Heading2"/>
        <w:spacing w:after="140" w:before="320"/>
      </w:pPr>
      <w:r>
        <w:rPr>
          <w:rFonts w:ascii="Calibri" w:cs="Calibri" w:eastAsia="Calibri" w:hAnsi="Calibri"/>
          <w:b/>
          <w:bCs/>
          <w:color w:val="2E4057"/>
          <w:sz w:val="26"/>
          <w:szCs w:val="26"/>
        </w:rPr>
        <w:t xml:space="preserve">D.4 Moral Trace Logs</w:t>
      </w:r>
    </w:p>
    <w:p>
      <w:pPr>
        <w:spacing w:after="140"/>
      </w:pPr>
      <w:r>
        <w:rPr>
          <w:rFonts w:ascii="Calibri" w:cs="Calibri" w:eastAsia="Calibri" w:hAnsi="Calibri"/>
          <w:color w:val="1F2D3D"/>
          <w:sz w:val="22"/>
          <w:szCs w:val="22"/>
        </w:rPr>
        <w:t xml:space="preserve">Social media failure addressed: Misinformation amplification, radicalization pipelines. Moral Trace Logs capture not just outcomes but hesitations, ethical branches considered, and confidence scores throughout the decision process. This creates an audit trail that reveals not what the system did but how it reasoned.</w:t>
      </w:r>
    </w:p>
    <w:p>
      <w:pPr>
        <w:spacing w:after="60"/>
      </w:pPr>
      <w:r>
        <w:t xml:space="preserve"/>
      </w:r>
    </w:p>
    <w:p>
      <w:pPr>
        <w:spacing w:after="140"/>
      </w:pPr>
      <w:r>
        <w:rPr>
          <w:rFonts w:ascii="Calibri" w:cs="Calibri" w:eastAsia="Calibri" w:hAnsi="Calibri"/>
          <w:color w:val="1F2D3D"/>
          <w:sz w:val="22"/>
          <w:szCs w:val="22"/>
        </w:rPr>
        <w:t xml:space="preserve">What implementing this pillar would look like: DSA auditors, AI Act supervisory authorities, and (under specified FOIA-equivalent processes) researchers can request log extracts showing the ethical reasoning trace for specific content categories or time periods. Academic research on algorithmic harm would shift from behavioral observation (what users did) to decision analysis (what the system decided and why).</w:t>
      </w:r>
    </w:p>
    <w:p>
      <w:pPr>
        <w:spacing w:after="60"/>
      </w:pPr>
      <w:r>
        <w:t xml:space="preserve"/>
      </w:r>
    </w:p>
    <w:p>
      <w:pPr>
        <w:spacing w:after="140"/>
      </w:pPr>
      <w:r>
        <w:rPr>
          <w:rFonts w:ascii="Calibri" w:cs="Calibri" w:eastAsia="Calibri" w:hAnsi="Calibri"/>
          <w:color w:val="1F2D3D"/>
          <w:sz w:val="22"/>
          <w:szCs w:val="22"/>
        </w:rPr>
        <w:t xml:space="preserve">What the platform loses: research opacity. Current platforms produce transparency reports they author and control. Moral Trace Logs would produce a record that external parties can interrogate. This changes the information asymmetry between platforms and researchers, regulators, and the public.</w:t>
      </w:r>
    </w:p>
    <w:p>
      <w:pPr>
        <w:spacing w:after="60"/>
      </w:pPr>
      <w:r>
        <w:t xml:space="preserve"/>
      </w:r>
    </w:p>
    <w:p>
      <w:pPr>
        <w:pStyle w:val="Heading2"/>
        <w:spacing w:after="140" w:before="320"/>
      </w:pPr>
      <w:r>
        <w:rPr>
          <w:rFonts w:ascii="Calibri" w:cs="Calibri" w:eastAsia="Calibri" w:hAnsi="Calibri"/>
          <w:b/>
          <w:bCs/>
          <w:color w:val="2E4057"/>
          <w:sz w:val="26"/>
          <w:szCs w:val="26"/>
        </w:rPr>
        <w:t xml:space="preserve">D.5 Human Rights Mandate</w:t>
      </w:r>
    </w:p>
    <w:p>
      <w:pPr>
        <w:spacing w:after="140"/>
      </w:pPr>
      <w:r>
        <w:rPr>
          <w:rFonts w:ascii="Calibri" w:cs="Calibri" w:eastAsia="Calibri" w:hAnsi="Calibri"/>
          <w:color w:val="1F2D3D"/>
          <w:sz w:val="22"/>
          <w:szCs w:val="22"/>
        </w:rPr>
        <w:t xml:space="preserve">Social media failure addressed: Competing rights conflicts (free expression, privacy, safety, non-discrimination) resolved opaquely by platform operators with commercial incentives. Pillar 5 requires alignment with established international human rights frameworks as a binding constraint on all ranking decisions.</w:t>
      </w:r>
    </w:p>
    <w:p>
      <w:pPr>
        <w:spacing w:after="60"/>
      </w:pPr>
      <w:r>
        <w:t xml:space="preserve"/>
      </w:r>
    </w:p>
    <w:p>
      <w:pPr>
        <w:spacing w:after="140"/>
      </w:pPr>
      <w:r>
        <w:rPr>
          <w:rFonts w:ascii="Calibri" w:cs="Calibri" w:eastAsia="Calibri" w:hAnsi="Calibri"/>
          <w:color w:val="1F2D3D"/>
          <w:sz w:val="22"/>
          <w:szCs w:val="22"/>
        </w:rPr>
        <w:t xml:space="preserve">What implementing this pillar would look like: Sacred Zero triggers when a ranking decision implicates a conflict between recognized human rights (e.g., amplifying content that targets a protected group vs. free expression claims). The Ethics Chamber resolves the conflict using an explicit human rights framework (UN Guiding Principles on Business and Human Rights, ICCPR). The resolution is logged.</w:t>
      </w:r>
    </w:p>
    <w:p>
      <w:pPr>
        <w:spacing w:after="60"/>
      </w:pPr>
      <w:r>
        <w:t xml:space="preserve"/>
      </w:r>
    </w:p>
    <w:p>
      <w:pPr>
        <w:spacing w:after="140"/>
      </w:pPr>
      <w:r>
        <w:rPr>
          <w:rFonts w:ascii="Calibri" w:cs="Calibri" w:eastAsia="Calibri" w:hAnsi="Calibri"/>
          <w:color w:val="1F2D3D"/>
          <w:sz w:val="22"/>
          <w:szCs w:val="22"/>
        </w:rPr>
        <w:t xml:space="preserve">What the platform loses: flexibility to resolve rights conflicts in commercially convenient ways. Currently, platforms resolve these conflicts through Community Standards documents they write and interpret themselves. Pillar 5 would require that resolutions be defensible under international human rights law, not just platform policy. This is the most legally consequential pillar.</w:t>
      </w:r>
    </w:p>
    <w:p>
      <w:pPr>
        <w:spacing w:after="60"/>
      </w:pPr>
      <w:r>
        <w:t xml:space="preserve"/>
      </w:r>
    </w:p>
    <w:p>
      <w:pPr>
        <w:pStyle w:val="Heading2"/>
        <w:spacing w:after="140" w:before="320"/>
      </w:pPr>
      <w:r>
        <w:rPr>
          <w:rFonts w:ascii="Calibri" w:cs="Calibri" w:eastAsia="Calibri" w:hAnsi="Calibri"/>
          <w:b/>
          <w:bCs/>
          <w:color w:val="2E4057"/>
          <w:sz w:val="26"/>
          <w:szCs w:val="26"/>
        </w:rPr>
        <w:t xml:space="preserve">D.6 Earth Protection Mandate</w:t>
      </w:r>
    </w:p>
    <w:p>
      <w:pPr>
        <w:spacing w:after="140"/>
      </w:pPr>
      <w:r>
        <w:rPr>
          <w:rFonts w:ascii="Calibri" w:cs="Calibri" w:eastAsia="Calibri" w:hAnsi="Calibri"/>
          <w:color w:val="1F2D3D"/>
          <w:sz w:val="22"/>
          <w:szCs w:val="22"/>
        </w:rPr>
        <w:t xml:space="preserve">Social media failure addressed: Ecological externalities invisible to current ranking logic. No current recommendation algorithm includes long-term ecological impact assessment as a decision variable.</w:t>
      </w:r>
    </w:p>
    <w:p>
      <w:pPr>
        <w:spacing w:after="60"/>
      </w:pPr>
      <w:r>
        <w:t xml:space="preserve"/>
      </w:r>
    </w:p>
    <w:p>
      <w:pPr>
        <w:spacing w:after="140"/>
      </w:pPr>
      <w:r>
        <w:rPr>
          <w:rFonts w:ascii="Calibri" w:cs="Calibri" w:eastAsia="Calibri" w:hAnsi="Calibri"/>
          <w:color w:val="1F2D3D"/>
          <w:sz w:val="22"/>
          <w:szCs w:val="22"/>
        </w:rPr>
        <w:t xml:space="preserve">What implementing this pillar would look like: Content categories with documented ecological impact implications (climate misinformation, content amplifying consumption behaviors with high carbon footprint, content about environmental policy) carry an Earth Protection flag that the Governance Lane evaluates. The amplification decision includes an ecological impact score.</w:t>
      </w:r>
    </w:p>
    <w:p>
      <w:pPr>
        <w:spacing w:after="60"/>
      </w:pPr>
      <w:r>
        <w:t xml:space="preserve"/>
      </w:r>
    </w:p>
    <w:p>
      <w:pPr>
        <w:spacing w:after="140"/>
      </w:pPr>
      <w:r>
        <w:rPr>
          <w:rFonts w:ascii="Calibri" w:cs="Calibri" w:eastAsia="Calibri" w:hAnsi="Calibri"/>
          <w:color w:val="1F2D3D"/>
          <w:sz w:val="22"/>
          <w:szCs w:val="22"/>
        </w:rPr>
        <w:t xml:space="preserve">What the platform loses: ability to optimize for engagement independent of ecological impact. Climate misinformation is a high-engagement content category. Pillar 6 would structurally constrain its amplification. This is the most novel and least precedented pillar - no existing governance framework mandates ecological impact assessment at the content-decision level.</w:t>
      </w:r>
    </w:p>
    <w:p>
      <w:pPr>
        <w:spacing w:after="60"/>
      </w:pPr>
      <w:r>
        <w:t xml:space="preserve"/>
      </w:r>
    </w:p>
    <w:p>
      <w:pPr>
        <w:pStyle w:val="Heading2"/>
        <w:spacing w:after="140" w:before="320"/>
      </w:pPr>
      <w:r>
        <w:rPr>
          <w:rFonts w:ascii="Calibri" w:cs="Calibri" w:eastAsia="Calibri" w:hAnsi="Calibri"/>
          <w:b/>
          <w:bCs/>
          <w:color w:val="2E4057"/>
          <w:sz w:val="26"/>
          <w:szCs w:val="26"/>
        </w:rPr>
        <w:t xml:space="preserve">D.7 Hybrid Shield</w:t>
      </w:r>
    </w:p>
    <w:p>
      <w:pPr>
        <w:spacing w:after="140"/>
      </w:pPr>
      <w:r>
        <w:rPr>
          <w:rFonts w:ascii="Calibri" w:cs="Calibri" w:eastAsia="Calibri" w:hAnsi="Calibri"/>
          <w:color w:val="1F2D3D"/>
          <w:sz w:val="22"/>
          <w:szCs w:val="22"/>
        </w:rPr>
        <w:t xml:space="preserve">Social media failure addressed: Governance structures without protection from the governed entity. Hybrid Shield combines institutional independence (Tri-Cameral Governance) with cryptographic protection (blockchain anchoring, EKR) to create a governance infrastructure that cannot be quietly modified by the platform.</w:t>
      </w:r>
    </w:p>
    <w:p>
      <w:pPr>
        <w:spacing w:after="60"/>
      </w:pPr>
      <w:r>
        <w:t xml:space="preserve"/>
      </w:r>
    </w:p>
    <w:p>
      <w:pPr>
        <w:spacing w:after="140"/>
      </w:pPr>
      <w:r>
        <w:rPr>
          <w:rFonts w:ascii="Calibri" w:cs="Calibri" w:eastAsia="Calibri" w:hAnsi="Calibri"/>
          <w:color w:val="1F2D3D"/>
          <w:sz w:val="22"/>
          <w:szCs w:val="22"/>
        </w:rPr>
        <w:t xml:space="preserve">What implementing this pillar would look like: The TML governance rules are encoded in smart contracts on Polygon. Modifications to the governance logic require Tri-Cameral approval logged on-chain. A platform cannot change the rules of its own governance without creating an immutable record of the change. This is the constitutional lock on TML's architecture.</w:t>
      </w:r>
    </w:p>
    <w:p>
      <w:pPr>
        <w:spacing w:after="60"/>
      </w:pPr>
      <w:r>
        <w:t xml:space="preserve"/>
      </w:r>
    </w:p>
    <w:p>
      <w:pPr>
        <w:pStyle w:val="Heading2"/>
        <w:spacing w:after="140" w:before="320"/>
      </w:pPr>
      <w:r>
        <w:rPr>
          <w:rFonts w:ascii="Calibri" w:cs="Calibri" w:eastAsia="Calibri" w:hAnsi="Calibri"/>
          <w:b/>
          <w:bCs/>
          <w:color w:val="2E4057"/>
          <w:sz w:val="26"/>
          <w:szCs w:val="26"/>
        </w:rPr>
        <w:t xml:space="preserve">D.8 Public Blockchains</w:t>
      </w:r>
    </w:p>
    <w:p>
      <w:pPr>
        <w:spacing w:after="140"/>
      </w:pPr>
      <w:r>
        <w:rPr>
          <w:rFonts w:ascii="Calibri" w:cs="Calibri" w:eastAsia="Calibri" w:hAnsi="Calibri"/>
          <w:color w:val="1F2D3D"/>
          <w:sz w:val="22"/>
          <w:szCs w:val="22"/>
        </w:rPr>
        <w:t xml:space="preserve">Social media failure addressed: Private audit trails controlled by the audited party. The three-chain structure - Polygon (operational), Ethereum (security), Bitcoin (archival) - creates redundant immutability that no single party controls.</w:t>
      </w:r>
    </w:p>
    <w:p>
      <w:pPr>
        <w:spacing w:after="60"/>
      </w:pPr>
      <w:r>
        <w:t xml:space="preserve"/>
      </w:r>
    </w:p>
    <w:p>
      <w:pPr>
        <w:spacing w:after="140"/>
      </w:pPr>
      <w:r>
        <w:rPr>
          <w:rFonts w:ascii="Calibri" w:cs="Calibri" w:eastAsia="Calibri" w:hAnsi="Calibri"/>
          <w:color w:val="1F2D3D"/>
          <w:sz w:val="22"/>
          <w:szCs w:val="22"/>
        </w:rPr>
        <w:t xml:space="preserve">What implementing this pillar would look like: Merkle roots are anchored to all three chains. The archival record on Bitcoin survives the failure of Polygon and Ethereum both. Any party with access to the blockchain can verify that a governance process occurred for any batched set of decisions, at any point in history.</w:t>
      </w:r>
    </w:p>
    <w:p>
      <w:pPr>
        <w:spacing w:after="60"/>
      </w:pPr>
      <w:r>
        <w:t xml:space="preserve"/>
      </w:r>
    </w:p>
    <w:p>
      <w:pPr>
        <w:spacing w:after="140"/>
      </w:pPr>
      <w:r>
        <w:rPr>
          <w:rFonts w:ascii="Calibri" w:cs="Calibri" w:eastAsia="Calibri" w:hAnsi="Calibri"/>
          <w:color w:val="1F2D3D"/>
          <w:sz w:val="22"/>
          <w:szCs w:val="22"/>
        </w:rPr>
        <w:t xml:space="preserve">What the platform loses: control over the persistence of its own governance record. Current platforms can delete or revise transparency reports. TML's blockchain anchoring creates a record that persists regardless of platform choices. This is the most radical accountability mechanism in TML's architecture - and the one most directly threatening to platforms that have relied on opacity as a competitive advantage.</w:t>
      </w:r>
    </w:p>
    <w:p>
      <w:pPr>
        <w:spacing w:after="60"/>
      </w:pPr>
      <w:r>
        <w:t xml:space="preserve"/>
      </w:r>
    </w:p>
    <w:p>
      <w:pPr>
        <w:pBdr>
          <w:left w:val="single" w:color="1A5276" w:sz="14" w:space="12"/>
        </w:pBdr>
        <w:spacing w:after="160" w:before="160"/>
        <w:ind w:left="720"/>
      </w:pPr>
      <w:r>
        <w:rPr>
          <w:rFonts w:ascii="Calibri" w:cs="Calibri" w:eastAsia="Calibri" w:hAnsi="Calibri"/>
          <w:i/>
          <w:iCs/>
          <w:color w:val="5D6D7E"/>
          <w:sz w:val="22"/>
          <w:szCs w:val="22"/>
        </w:rPr>
        <w:t xml:space="preserve">The eight pillars form a system, not a menu. Partial implementation - adopting Moral Trace Logs without blockchain anchoring, or Sacred Pause without Always Memory - produces governance theater. The pillars are mutually reinforcing; removing any one degrades the integrity of the others.</w:t>
      </w:r>
    </w:p>
    <w:p>
      <w:r>
        <w:br w:type="page"/>
      </w:r>
    </w:p>
    <w:p>
      <w:pPr>
        <w:pStyle w:val="Heading1"/>
        <w:pBdr>
          <w:bottom w:val="single" w:color="1A5276" w:sz="8" w:space="4"/>
        </w:pBdr>
        <w:spacing w:after="200" w:before="480"/>
      </w:pPr>
      <w:r>
        <w:rPr>
          <w:rFonts w:ascii="Calibri" w:cs="Calibri" w:eastAsia="Calibri" w:hAnsi="Calibri"/>
          <w:b/>
          <w:bCs/>
          <w:color w:val="1A5276"/>
          <w:sz w:val="30"/>
          <w:szCs w:val="30"/>
        </w:rPr>
        <w:t xml:space="preserve">Section E: Comparison with Existing Approaches</w:t>
      </w:r>
    </w:p>
    <w:p>
      <w:pPr>
        <w:pBdr>
          <w:left w:val="single" w:color="1A7A4A" w:sz="6" w:space="8"/>
        </w:pBdr>
        <w:spacing w:after="160"/>
        <w:ind w:left="200"/>
      </w:pPr>
      <w:r>
        <w:rPr>
          <w:rFonts w:ascii="Calibri" w:cs="Calibri" w:eastAsia="Calibri" w:hAnsi="Calibri"/>
          <w:b/>
          <w:bCs/>
          <w:color w:val="5D6D7E"/>
          <w:sz w:val="20"/>
          <w:szCs w:val="20"/>
        </w:rPr>
        <w:t xml:space="preserve">Confidence: </w:t>
      </w:r>
      <w:r>
        <w:rPr>
          <w:rFonts w:ascii="Calibri" w:cs="Calibri" w:eastAsia="Calibri" w:hAnsi="Calibri"/>
          <w:b/>
          <w:bCs/>
          <w:color w:val="1A7A4A"/>
          <w:sz w:val="20"/>
          <w:szCs w:val="20"/>
        </w:rPr>
        <w:t xml:space="preserve">High</w:t>
      </w:r>
      <w:r>
        <w:rPr>
          <w:rFonts w:ascii="Calibri" w:cs="Calibri" w:eastAsia="Calibri" w:hAnsi="Calibri"/>
          <w:i/>
          <w:iCs/>
          <w:color w:val="5D6D7E"/>
          <w:sz w:val="20"/>
          <w:szCs w:val="20"/>
        </w:rPr>
        <w:t xml:space="preserve">  -  Framework comparisons are grounded in documented implementations; synthesis patterns reflect consistent findings across all seven comparators.</w:t>
      </w:r>
    </w:p>
    <w:p>
      <w:pPr>
        <w:spacing w:after="60"/>
      </w:pPr>
      <w:r>
        <w:t xml:space="preserve"/>
      </w:r>
    </w:p>
    <w:p>
      <w:pPr>
        <w:pStyle w:val="Heading2"/>
        <w:spacing w:after="140" w:before="320"/>
      </w:pPr>
      <w:r>
        <w:rPr>
          <w:rFonts w:ascii="Calibri" w:cs="Calibri" w:eastAsia="Calibri" w:hAnsi="Calibri"/>
          <w:b/>
          <w:bCs/>
          <w:color w:val="2E4057"/>
          <w:sz w:val="26"/>
          <w:szCs w:val="26"/>
        </w:rPr>
        <w:t xml:space="preserve">E.1 Human-in-the-Loop Content Moderation</w:t>
      </w:r>
    </w:p>
    <w:p>
      <w:pPr>
        <w:spacing w:after="140"/>
      </w:pPr>
      <w:r>
        <w:rPr>
          <w:rFonts w:ascii="Calibri" w:cs="Calibri" w:eastAsia="Calibri" w:hAnsi="Calibri"/>
          <w:color w:val="1F2D3D"/>
          <w:sz w:val="22"/>
          <w:szCs w:val="22"/>
        </w:rPr>
        <w:t xml:space="preserve">Where TML goes further: Human-in-the-loop moderation addresses content outcomes (removal, labeling) but not algorithmic amplification decisions. TML's Sacred Pause inserts human judgment at the amplification decision point, before amplification occurs. Current HITL moderation is reactive; TML's is anticipatory.</w:t>
      </w:r>
    </w:p>
    <w:p>
      <w:pPr>
        <w:spacing w:after="140"/>
      </w:pPr>
      <w:r>
        <w:rPr>
          <w:rFonts w:ascii="Calibri" w:cs="Calibri" w:eastAsia="Calibri" w:hAnsi="Calibri"/>
          <w:color w:val="1F2D3D"/>
          <w:sz w:val="22"/>
          <w:szCs w:val="22"/>
        </w:rPr>
        <w:t xml:space="preserve">Where they overlap: Both require human reviewer capacity. TML's workforce requirement is larger in scale but more structured in process.</w:t>
      </w:r>
    </w:p>
    <w:p>
      <w:pPr>
        <w:spacing w:after="140"/>
      </w:pPr>
      <w:r>
        <w:rPr>
          <w:rFonts w:ascii="Calibri" w:cs="Calibri" w:eastAsia="Calibri" w:hAnsi="Calibri"/>
          <w:color w:val="1F2D3D"/>
          <w:sz w:val="22"/>
          <w:szCs w:val="22"/>
        </w:rPr>
        <w:t xml:space="preserve">Where they conflict: HITL moderation can operate without logging infrastructure. TML requires No Log = No Action as a precondition, which HITL moderation does not provide.</w:t>
      </w:r>
    </w:p>
    <w:p>
      <w:pPr>
        <w:spacing w:after="60"/>
      </w:pPr>
      <w:r>
        <w:t xml:space="preserve"/>
      </w:r>
    </w:p>
    <w:p>
      <w:pPr>
        <w:pStyle w:val="Heading2"/>
        <w:spacing w:after="140" w:before="320"/>
      </w:pPr>
      <w:r>
        <w:rPr>
          <w:rFonts w:ascii="Calibri" w:cs="Calibri" w:eastAsia="Calibri" w:hAnsi="Calibri"/>
          <w:b/>
          <w:bCs/>
          <w:color w:val="2E4057"/>
          <w:sz w:val="26"/>
          <w:szCs w:val="26"/>
        </w:rPr>
        <w:t xml:space="preserve">E.2 Risk-Based AI Governance (EU AI Act)</w:t>
      </w:r>
    </w:p>
    <w:p>
      <w:pPr>
        <w:spacing w:after="140"/>
      </w:pPr>
      <w:r>
        <w:rPr>
          <w:rFonts w:ascii="Calibri" w:cs="Calibri" w:eastAsia="Calibri" w:hAnsi="Calibri"/>
          <w:color w:val="1F2D3D"/>
          <w:sz w:val="22"/>
          <w:szCs w:val="22"/>
        </w:rPr>
        <w:t xml:space="preserve">Where TML goes further: The EU AI Act classifies recommender systems as minimal-risk and does not require Governance Lane-equivalent architecture. TML would reclassify every amplification decision as a high-stakes moral act requiring logged governance. Article 50 transparency requirements are output-level; TML requires decision-level logging.</w:t>
      </w:r>
    </w:p>
    <w:p>
      <w:pPr>
        <w:spacing w:after="140"/>
      </w:pPr>
      <w:r>
        <w:rPr>
          <w:rFonts w:ascii="Calibri" w:cs="Calibri" w:eastAsia="Calibri" w:hAnsi="Calibri"/>
          <w:color w:val="1F2D3D"/>
          <w:sz w:val="22"/>
          <w:szCs w:val="22"/>
        </w:rPr>
        <w:t xml:space="preserve">Where they overlap: Both require risk assessment documentation and human oversight for high-stakes decisions. The AI Act's GPAI rules (August 2025) move toward systemic risk evaluation that rhymes with TML's approach.</w:t>
      </w:r>
    </w:p>
    <w:p>
      <w:pPr>
        <w:spacing w:after="140"/>
      </w:pPr>
      <w:r>
        <w:rPr>
          <w:rFonts w:ascii="Calibri" w:cs="Calibri" w:eastAsia="Calibri" w:hAnsi="Calibri"/>
          <w:color w:val="1F2D3D"/>
          <w:sz w:val="22"/>
          <w:szCs w:val="22"/>
        </w:rPr>
        <w:t xml:space="preserve">Where they conflict: The AI Act's minimal-risk classification for recommender systems is precisely what TML disputes. TML argues the classification is wrong, not just insufficient.</w:t>
      </w:r>
    </w:p>
    <w:p>
      <w:pPr>
        <w:spacing w:after="60"/>
      </w:pPr>
      <w:r>
        <w:t xml:space="preserve"/>
      </w:r>
    </w:p>
    <w:p>
      <w:pPr>
        <w:pStyle w:val="Heading2"/>
        <w:spacing w:after="140" w:before="320"/>
      </w:pPr>
      <w:r>
        <w:rPr>
          <w:rFonts w:ascii="Calibri" w:cs="Calibri" w:eastAsia="Calibri" w:hAnsi="Calibri"/>
          <w:b/>
          <w:bCs/>
          <w:color w:val="2E4057"/>
          <w:sz w:val="26"/>
          <w:szCs w:val="26"/>
        </w:rPr>
        <w:t xml:space="preserve">E.3 Algorithmic Auditing Frameworks</w:t>
      </w:r>
    </w:p>
    <w:p>
      <w:pPr>
        <w:spacing w:after="140"/>
      </w:pPr>
      <w:r>
        <w:rPr>
          <w:rFonts w:ascii="Calibri" w:cs="Calibri" w:eastAsia="Calibri" w:hAnsi="Calibri"/>
          <w:color w:val="1F2D3D"/>
          <w:sz w:val="22"/>
          <w:szCs w:val="22"/>
        </w:rPr>
        <w:t xml:space="preserve">Where TML goes further: Algorithmic audits are retrospective - they examine what a system did. TML's Moral Trace Logs create a prospective audit trail that captures why each decision was made as it happens. The difference between a retrospective audit and a real-time governance record is the difference between a financial statement and a double-entry ledger.</w:t>
      </w:r>
    </w:p>
    <w:p>
      <w:pPr>
        <w:spacing w:after="140"/>
      </w:pPr>
      <w:r>
        <w:rPr>
          <w:rFonts w:ascii="Calibri" w:cs="Calibri" w:eastAsia="Calibri" w:hAnsi="Calibri"/>
          <w:color w:val="1F2D3D"/>
          <w:sz w:val="22"/>
          <w:szCs w:val="22"/>
        </w:rPr>
        <w:t xml:space="preserve">Where they overlap: Both require access to decision-level data by external parties.</w:t>
      </w:r>
    </w:p>
    <w:p>
      <w:pPr>
        <w:spacing w:after="140"/>
      </w:pPr>
      <w:r>
        <w:rPr>
          <w:rFonts w:ascii="Calibri" w:cs="Calibri" w:eastAsia="Calibri" w:hAnsi="Calibri"/>
          <w:color w:val="1F2D3D"/>
          <w:sz w:val="22"/>
          <w:szCs w:val="22"/>
        </w:rPr>
        <w:t xml:space="preserve">Where they conflict: Auditing frameworks leave platform operators in control of what data auditors can access. TML's blockchain anchoring removes platform control over the audit record's persistence.</w:t>
      </w:r>
    </w:p>
    <w:p>
      <w:pPr>
        <w:spacing w:after="60"/>
      </w:pPr>
      <w:r>
        <w:t xml:space="preserve"/>
      </w:r>
    </w:p>
    <w:p>
      <w:pPr>
        <w:pStyle w:val="Heading2"/>
        <w:spacing w:after="140" w:before="320"/>
      </w:pPr>
      <w:r>
        <w:rPr>
          <w:rFonts w:ascii="Calibri" w:cs="Calibri" w:eastAsia="Calibri" w:hAnsi="Calibri"/>
          <w:b/>
          <w:bCs/>
          <w:color w:val="2E4057"/>
          <w:sz w:val="26"/>
          <w:szCs w:val="26"/>
        </w:rPr>
        <w:t xml:space="preserve">E.4 Content Provenance and Credentials (C2PA)</w:t>
      </w:r>
    </w:p>
    <w:p>
      <w:pPr>
        <w:spacing w:after="140"/>
      </w:pPr>
      <w:r>
        <w:rPr>
          <w:rFonts w:ascii="Calibri" w:cs="Calibri" w:eastAsia="Calibri" w:hAnsi="Calibri"/>
          <w:color w:val="1F2D3D"/>
          <w:sz w:val="22"/>
          <w:szCs w:val="22"/>
        </w:rPr>
        <w:t xml:space="preserve">Where TML goes further: C2PA addresses content origin (who created this, when, with what tools) but not amplification decisions (why did the platform show this to this user at this moment). TML governs the amplification layer; C2PA governs the content layer. They are complementary, not competing.</w:t>
      </w:r>
    </w:p>
    <w:p>
      <w:pPr>
        <w:spacing w:after="140"/>
      </w:pPr>
      <w:r>
        <w:rPr>
          <w:rFonts w:ascii="Calibri" w:cs="Calibri" w:eastAsia="Calibri" w:hAnsi="Calibri"/>
          <w:color w:val="1F2D3D"/>
          <w:sz w:val="22"/>
          <w:szCs w:val="22"/>
        </w:rPr>
        <w:t xml:space="preserve">Where they overlap: Both use cryptographic proofs to create verifiable records.</w:t>
      </w:r>
    </w:p>
    <w:p>
      <w:pPr>
        <w:spacing w:after="140"/>
      </w:pPr>
      <w:r>
        <w:rPr>
          <w:rFonts w:ascii="Calibri" w:cs="Calibri" w:eastAsia="Calibri" w:hAnsi="Calibri"/>
          <w:color w:val="1F2D3D"/>
          <w:sz w:val="22"/>
          <w:szCs w:val="22"/>
        </w:rPr>
        <w:t xml:space="preserve">Where they conflict: C2PA's creator-side provenance does not address the platform's amplification responsibility. TML fills this gap.</w:t>
      </w:r>
    </w:p>
    <w:p>
      <w:pPr>
        <w:spacing w:after="60"/>
      </w:pPr>
      <w:r>
        <w:t xml:space="preserve"/>
      </w:r>
    </w:p>
    <w:p>
      <w:pPr>
        <w:pStyle w:val="Heading2"/>
        <w:spacing w:after="140" w:before="320"/>
      </w:pPr>
      <w:r>
        <w:rPr>
          <w:rFonts w:ascii="Calibri" w:cs="Calibri" w:eastAsia="Calibri" w:hAnsi="Calibri"/>
          <w:b/>
          <w:bCs/>
          <w:color w:val="2E4057"/>
          <w:sz w:val="26"/>
          <w:szCs w:val="26"/>
        </w:rPr>
        <w:t xml:space="preserve">E.5 DSA Algorithmic Risk Assessments</w:t>
      </w:r>
    </w:p>
    <w:p>
      <w:pPr>
        <w:spacing w:after="140"/>
      </w:pPr>
      <w:r>
        <w:rPr>
          <w:rFonts w:ascii="Calibri" w:cs="Calibri" w:eastAsia="Calibri" w:hAnsi="Calibri"/>
          <w:color w:val="1F2D3D"/>
          <w:sz w:val="22"/>
          <w:szCs w:val="22"/>
        </w:rPr>
        <w:t xml:space="preserve">Where TML goes further: DSA Articles 26 and 34 require risk assessment and mitigation for systemic risks, but do not specify what a governed amplification architecture looks like. DSA creates the regulatory demand; TML provides the architectural supply. DSA's 6% turnover fine creates meaningful enforcement leverage; TML's architecture creates the technical infrastructure enforcement would require.</w:t>
      </w:r>
    </w:p>
    <w:p>
      <w:pPr>
        <w:spacing w:after="140"/>
      </w:pPr>
      <w:r>
        <w:rPr>
          <w:rFonts w:ascii="Calibri" w:cs="Calibri" w:eastAsia="Calibri" w:hAnsi="Calibri"/>
          <w:color w:val="1F2D3D"/>
          <w:sz w:val="22"/>
          <w:szCs w:val="22"/>
        </w:rPr>
        <w:t xml:space="preserve">Where they overlap: Both identify amplification as a systemic risk category. Both require human oversight mechanisms.</w:t>
      </w:r>
    </w:p>
    <w:p>
      <w:pPr>
        <w:spacing w:after="140"/>
      </w:pPr>
      <w:r>
        <w:rPr>
          <w:rFonts w:ascii="Calibri" w:cs="Calibri" w:eastAsia="Calibri" w:hAnsi="Calibri"/>
          <w:color w:val="1F2D3D"/>
          <w:sz w:val="22"/>
          <w:szCs w:val="22"/>
        </w:rPr>
        <w:t xml:space="preserve">Where they conflict: DSA compliance can be achieved through reporting and process without architectural change. TML requires architectural change. This is the gap DSA enforcement has not yet closed.</w:t>
      </w:r>
    </w:p>
    <w:p>
      <w:pPr>
        <w:spacing w:after="60"/>
      </w:pPr>
      <w:r>
        <w:t xml:space="preserve"/>
      </w:r>
    </w:p>
    <w:p>
      <w:pPr>
        <w:pStyle w:val="Heading2"/>
        <w:spacing w:after="140" w:before="320"/>
      </w:pPr>
      <w:r>
        <w:rPr>
          <w:rFonts w:ascii="Calibri" w:cs="Calibri" w:eastAsia="Calibri" w:hAnsi="Calibri"/>
          <w:b/>
          <w:bCs/>
          <w:color w:val="2E4057"/>
          <w:sz w:val="26"/>
          <w:szCs w:val="26"/>
        </w:rPr>
        <w:t xml:space="preserve">E.6 Real-World Analogs</w:t>
      </w:r>
    </w:p>
    <w:p>
      <w:pPr>
        <w:spacing w:after="140"/>
      </w:pPr>
      <w:r>
        <w:rPr>
          <w:rFonts w:ascii="Calibri" w:cs="Calibri" w:eastAsia="Calibri" w:hAnsi="Calibri"/>
          <w:color w:val="1F2D3D"/>
          <w:sz w:val="22"/>
          <w:szCs w:val="22"/>
        </w:rPr>
        <w:t xml:space="preserve">Certificate Transparency (RFC 6962/9162): Validates TML's Merkle-batched logging approach. CT has operated at global internet scale since 2013 with no known integrity failures. The pattern - append-only Merkle trees, distributed verification, public auditability - is the closest architectural analog to TML's Always Memory pillar. Verdict: validates feasibility.</w:t>
      </w:r>
    </w:p>
    <w:p>
      <w:pPr>
        <w:spacing w:after="60"/>
      </w:pPr>
      <w:r>
        <w:t xml:space="preserve"/>
      </w:r>
    </w:p>
    <w:p>
      <w:pPr>
        <w:spacing w:after="140"/>
      </w:pPr>
      <w:r>
        <w:rPr>
          <w:rFonts w:ascii="Calibri" w:cs="Calibri" w:eastAsia="Calibri" w:hAnsi="Calibri"/>
          <w:color w:val="1F2D3D"/>
          <w:sz w:val="22"/>
          <w:szCs w:val="22"/>
        </w:rPr>
        <w:t xml:space="preserve">Aviation Safety Reporting (NASA ASRS/ICAO): Validates mandatory logging and human review escalation. ASRS processes approximately 100,000 reports per year with documented impact on safety outcomes. The analog is imperfect in scale (10M Sacred Pause reviews per day vs. 100,000 ASRS reports per year) but validates the principle that mandatory incident logging with human review produces measurable safety improvements. Verdict: validates governance principle, highlights scale challenge.</w:t>
      </w:r>
    </w:p>
    <w:p>
      <w:pPr>
        <w:spacing w:after="60"/>
      </w:pPr>
      <w:r>
        <w:t xml:space="preserve"/>
      </w:r>
    </w:p>
    <w:p>
      <w:pPr>
        <w:spacing w:after="140"/>
      </w:pPr>
      <w:r>
        <w:rPr>
          <w:rFonts w:ascii="Calibri" w:cs="Calibri" w:eastAsia="Calibri" w:hAnsi="Calibri"/>
          <w:color w:val="1F2D3D"/>
          <w:sz w:val="22"/>
          <w:szCs w:val="22"/>
        </w:rPr>
        <w:t xml:space="preserve">Financial Audit Trails (PCAOB/Basel III): Validates No Log = No Action as an enforceable accountability mechanism. Double-entry bookkeeping and PCAOB audit requirements transformed financial accountability by making the absence of records itself a violation. TML applies this logic to algorithmic decisions. Verdict: validates enforcement mechanism.</w:t>
      </w:r>
    </w:p>
    <w:p>
      <w:pPr>
        <w:spacing w:after="60"/>
      </w:pPr>
      <w:r>
        <w:t xml:space="preserve"/>
      </w:r>
    </w:p>
    <w:p>
      <w:pPr>
        <w:spacing w:after="140"/>
      </w:pPr>
      <w:r>
        <w:rPr>
          <w:rFonts w:ascii="Calibri" w:cs="Calibri" w:eastAsia="Calibri" w:hAnsi="Calibri"/>
          <w:color w:val="1F2D3D"/>
          <w:sz w:val="22"/>
          <w:szCs w:val="22"/>
        </w:rPr>
        <w:t xml:space="preserve">IAB Transparency and Consent Framework: Counter-analog. Designed to implement GDPR consent for digital advertising, the IAB TCF was captured by the advertising industry to produce consent theater - technically compliant interfaces that maximized commercial data collection while nominally obtaining consent. This is the governance capture scenario TML must avoid. Verdict: validates the governance capture risk identified in Section C.</w:t>
      </w:r>
    </w:p>
    <w:p>
      <w:pPr>
        <w:spacing w:after="60"/>
      </w:pPr>
      <w:r>
        <w:t xml:space="preserve"/>
      </w:r>
    </w:p>
    <w:p>
      <w:pPr>
        <w:pStyle w:val="Heading2"/>
        <w:spacing w:after="140" w:before="320"/>
      </w:pPr>
      <w:r>
        <w:rPr>
          <w:rFonts w:ascii="Calibri" w:cs="Calibri" w:eastAsia="Calibri" w:hAnsi="Calibri"/>
          <w:b/>
          <w:bCs/>
          <w:color w:val="2E4057"/>
          <w:sz w:val="26"/>
          <w:szCs w:val="26"/>
        </w:rPr>
        <w:t xml:space="preserve">E.7 Three Synthesis Patterns</w:t>
      </w:r>
    </w:p>
    <w:p>
      <w:pPr>
        <w:spacing w:after="140"/>
      </w:pPr>
      <w:r>
        <w:rPr>
          <w:rFonts w:ascii="Calibri" w:cs="Calibri" w:eastAsia="Calibri" w:hAnsi="Calibri"/>
          <w:color w:val="1F2D3D"/>
          <w:sz w:val="22"/>
          <w:szCs w:val="22"/>
        </w:rPr>
        <w:t xml:space="preserve">Pattern 1 - The Governance Layer Gap: Every existing approach addresses either content outcomes (moderation) or platform behavior (transparency reporting) but not the decision architecture that produces both. TML is the only framework that inserts governance at the decision layer. This is not a gap TML fills incrementally - it is a structurally different intervention point.</w:t>
      </w:r>
    </w:p>
    <w:p>
      <w:pPr>
        <w:spacing w:after="60"/>
      </w:pPr>
      <w:r>
        <w:t xml:space="preserve"/>
      </w:r>
    </w:p>
    <w:p>
      <w:pPr>
        <w:spacing w:after="140"/>
      </w:pPr>
      <w:r>
        <w:rPr>
          <w:rFonts w:ascii="Calibri" w:cs="Calibri" w:eastAsia="Calibri" w:hAnsi="Calibri"/>
          <w:color w:val="1F2D3D"/>
          <w:sz w:val="22"/>
          <w:szCs w:val="22"/>
        </w:rPr>
        <w:t xml:space="preserve">Pattern 2 - The Mandate Paradox: Every existing framework stops short of requiring structural change at precisely the point where structural change would constrain the business model. DSA requires risk assessment but not Governance Lane architecture. The AI Act classifies recommenders as minimal risk. Section 230 shields amplification decisions from liability. This is not a coincidence of regulatory design - it is the systematic stopping point of governance that operates within the commercial framework it regulates.</w:t>
      </w:r>
    </w:p>
    <w:p>
      <w:pPr>
        <w:spacing w:after="60"/>
      </w:pPr>
      <w:r>
        <w:t xml:space="preserve"/>
      </w:r>
    </w:p>
    <w:p>
      <w:pPr>
        <w:spacing w:after="140"/>
      </w:pPr>
      <w:r>
        <w:rPr>
          <w:rFonts w:ascii="Calibri" w:cs="Calibri" w:eastAsia="Calibri" w:hAnsi="Calibri"/>
          <w:color w:val="1F2D3D"/>
          <w:sz w:val="22"/>
          <w:szCs w:val="22"/>
        </w:rPr>
        <w:t xml:space="preserve">Pattern 3 - The Scale Frontier: No existing governance framework has been validated at the scale of 10-100 billion decisions per day. Certificate Transparency is the closest analog and operates at dramatically lower volume. TML is proposing governance at a scale that has never been attempted. This is not a fatal objection - Visa's 65,000 TPS real-time fraud detection demonstrates that governed high-volume decision systems are possible - but it is an honest acknowledgment that TML is proposing something genuinely new.</w:t>
      </w:r>
    </w:p>
    <w:p>
      <w:r>
        <w:br w:type="page"/>
      </w:r>
    </w:p>
    <w:p>
      <w:pPr>
        <w:pStyle w:val="Heading1"/>
        <w:pBdr>
          <w:bottom w:val="single" w:color="1A5276" w:sz="8" w:space="4"/>
        </w:pBdr>
        <w:spacing w:after="200" w:before="480"/>
      </w:pPr>
      <w:r>
        <w:rPr>
          <w:rFonts w:ascii="Calibri" w:cs="Calibri" w:eastAsia="Calibri" w:hAnsi="Calibri"/>
          <w:b/>
          <w:bCs/>
          <w:color w:val="1A5276"/>
          <w:sz w:val="30"/>
          <w:szCs w:val="30"/>
        </w:rPr>
        <w:t xml:space="preserve">Section F: Adoption Path</w:t>
      </w:r>
    </w:p>
    <w:p>
      <w:pPr>
        <w:pBdr>
          <w:left w:val="single" w:color="B7770D" w:sz="6" w:space="8"/>
        </w:pBdr>
        <w:spacing w:after="160"/>
        <w:ind w:left="200"/>
      </w:pPr>
      <w:r>
        <w:rPr>
          <w:rFonts w:ascii="Calibri" w:cs="Calibri" w:eastAsia="Calibri" w:hAnsi="Calibri"/>
          <w:b/>
          <w:bCs/>
          <w:color w:val="5D6D7E"/>
          <w:sz w:val="20"/>
          <w:szCs w:val="20"/>
        </w:rPr>
        <w:t xml:space="preserve">Confidence: </w:t>
      </w:r>
      <w:r>
        <w:rPr>
          <w:rFonts w:ascii="Calibri" w:cs="Calibri" w:eastAsia="Calibri" w:hAnsi="Calibri"/>
          <w:b/>
          <w:bCs/>
          <w:color w:val="B7770D"/>
          <w:sz w:val="20"/>
          <w:szCs w:val="20"/>
        </w:rPr>
        <w:t xml:space="preserve">Medium</w:t>
      </w:r>
      <w:r>
        <w:rPr>
          <w:rFonts w:ascii="Calibri" w:cs="Calibri" w:eastAsia="Calibri" w:hAnsi="Calibri"/>
          <w:i/>
          <w:iCs/>
          <w:color w:val="5D6D7E"/>
          <w:sz w:val="20"/>
          <w:szCs w:val="20"/>
        </w:rPr>
        <w:t xml:space="preserve">  -  Regulatory pathway analysis is grounded in current law; political feasibility assessments involve inherently uncertain political will projections.</w:t>
      </w:r>
    </w:p>
    <w:p>
      <w:pPr>
        <w:spacing w:after="60"/>
      </w:pPr>
      <w:r>
        <w:t xml:space="preserve"/>
      </w:r>
    </w:p>
    <w:p>
      <w:pPr>
        <w:pStyle w:val="Heading2"/>
        <w:spacing w:after="140" w:before="320"/>
      </w:pPr>
      <w:r>
        <w:rPr>
          <w:rFonts w:ascii="Calibri" w:cs="Calibri" w:eastAsia="Calibri" w:hAnsi="Calibri"/>
          <w:b/>
          <w:bCs/>
          <w:color w:val="2E4057"/>
          <w:sz w:val="26"/>
          <w:szCs w:val="26"/>
        </w:rPr>
        <w:t xml:space="preserve">F.1 Business Model Conflicts</w:t>
      </w:r>
    </w:p>
    <w:p>
      <w:pPr>
        <w:spacing w:after="140"/>
      </w:pPr>
      <w:r>
        <w:rPr>
          <w:rFonts w:ascii="Calibri" w:cs="Calibri" w:eastAsia="Calibri" w:hAnsi="Calibri"/>
          <w:color w:val="1F2D3D"/>
          <w:sz w:val="22"/>
          <w:szCs w:val="22"/>
        </w:rPr>
        <w:t xml:space="preserve">TML's architecture is structurally incompatible with engagement-maximization as a business model. The specific conflicts are precise, not general.</w:t>
      </w:r>
    </w:p>
    <w:p>
      <w:pPr>
        <w:spacing w:after="60"/>
      </w:pPr>
      <w:r>
        <w:t xml:space="preserve"/>
      </w:r>
    </w:p>
    <w:p>
      <w:pPr>
        <w:spacing w:after="140"/>
      </w:pPr>
      <w:r>
        <w:rPr>
          <w:rFonts w:ascii="Calibri" w:cs="Calibri" w:eastAsia="Calibri" w:hAnsi="Calibri"/>
          <w:color w:val="1F2D3D"/>
          <w:sz w:val="22"/>
          <w:szCs w:val="22"/>
        </w:rPr>
        <w:t xml:space="preserve">Conflict 1 - Amplification speed: Engagement-maximizing platforms benefit from immediate amplification of high-engagement content. Sacred Pause delays amplification of the highest-engagement borderline content, which is disproportionately the most profitable content category. The business model conflict is not at the margin - it is at the revenue peak.</w:t>
      </w:r>
    </w:p>
    <w:p>
      <w:pPr>
        <w:spacing w:after="60"/>
      </w:pPr>
      <w:r>
        <w:t xml:space="preserve"/>
      </w:r>
    </w:p>
    <w:p>
      <w:pPr>
        <w:spacing w:after="140"/>
      </w:pPr>
      <w:r>
        <w:rPr>
          <w:rFonts w:ascii="Calibri" w:cs="Calibri" w:eastAsia="Calibri" w:hAnsi="Calibri"/>
          <w:color w:val="1F2D3D"/>
          <w:sz w:val="22"/>
          <w:szCs w:val="22"/>
        </w:rPr>
        <w:t xml:space="preserve">Conflict 2 - Audit liability: Always Memory creates a record that transforms "the algorithm decided" from a liability shield into a liability exposure. Platforms have invested in opacity precisely because opacity limits accountability. TML inverts this.</w:t>
      </w:r>
    </w:p>
    <w:p>
      <w:pPr>
        <w:spacing w:after="60"/>
      </w:pPr>
      <w:r>
        <w:t xml:space="preserve"/>
      </w:r>
    </w:p>
    <w:p>
      <w:pPr>
        <w:spacing w:after="140"/>
      </w:pPr>
      <w:r>
        <w:rPr>
          <w:rFonts w:ascii="Calibri" w:cs="Calibri" w:eastAsia="Calibri" w:hAnsi="Calibri"/>
          <w:color w:val="1F2D3D"/>
          <w:sz w:val="22"/>
          <w:szCs w:val="22"/>
        </w:rPr>
        <w:t xml:space="preserve">Conflict 3 - Governance independence: Tri-Cameral Governance with genuine independence from the platform operator is structurally incompatible with platform control over its own moderation architecture. No platform has voluntarily ceded this control in any meaningful way.</w:t>
      </w:r>
    </w:p>
    <w:p>
      <w:pPr>
        <w:spacing w:after="60"/>
      </w:pPr>
      <w:r>
        <w:t xml:space="preserve"/>
      </w:r>
    </w:p>
    <w:p>
      <w:pPr>
        <w:spacing w:after="140"/>
      </w:pPr>
      <w:r>
        <w:rPr>
          <w:rFonts w:ascii="Calibri" w:cs="Calibri" w:eastAsia="Calibri" w:hAnsi="Calibri"/>
          <w:color w:val="1F2D3D"/>
          <w:sz w:val="22"/>
          <w:szCs w:val="22"/>
        </w:rPr>
        <w:t xml:space="preserve">Conclusion on voluntary adoption: TML's architecture is not compatible with current platform business models. Voluntary adoption without mandate is not achievable at meaningful scale. This is not a political judgment - it is a structural analysis.</w:t>
      </w:r>
    </w:p>
    <w:p>
      <w:pPr>
        <w:spacing w:after="60"/>
      </w:pPr>
      <w:r>
        <w:t xml:space="preserve"/>
      </w:r>
    </w:p>
    <w:p>
      <w:pPr>
        <w:pStyle w:val="Heading2"/>
        <w:spacing w:after="140" w:before="320"/>
      </w:pPr>
      <w:r>
        <w:rPr>
          <w:rFonts w:ascii="Calibri" w:cs="Calibri" w:eastAsia="Calibri" w:hAnsi="Calibri"/>
          <w:b/>
          <w:bCs/>
          <w:color w:val="2E4057"/>
          <w:sz w:val="26"/>
          <w:szCs w:val="26"/>
        </w:rPr>
        <w:t xml:space="preserve">F.2 Regulatory Mandate Pathway</w:t>
      </w:r>
    </w:p>
    <w:p>
      <w:pPr>
        <w:spacing w:after="140"/>
      </w:pPr>
      <w:r>
        <w:rPr>
          <w:rFonts w:ascii="Calibri" w:cs="Calibri" w:eastAsia="Calibri" w:hAnsi="Calibri"/>
          <w:color w:val="1F2D3D"/>
          <w:sz w:val="22"/>
          <w:szCs w:val="22"/>
        </w:rPr>
        <w:t xml:space="preserve">The EU DSA creates the most direct pathway to TML-equivalent mandate. Articles 34 and 51 together authorize the European Commission to require VLOPs (Very Large Online Platforms) to implement specific systemic risk mitigation measures following a formal risk assessment. The Commission has already used this authority against TikTok and X (Twitter).</w:t>
      </w:r>
    </w:p>
    <w:p>
      <w:pPr>
        <w:spacing w:after="60"/>
      </w:pPr>
      <w:r>
        <w:t xml:space="preserve"/>
      </w:r>
    </w:p>
    <w:p>
      <w:pPr>
        <w:spacing w:after="140"/>
      </w:pPr>
      <w:r>
        <w:rPr>
          <w:rFonts w:ascii="Calibri" w:cs="Calibri" w:eastAsia="Calibri" w:hAnsi="Calibri"/>
          <w:color w:val="1F2D3D"/>
          <w:sz w:val="22"/>
          <w:szCs w:val="22"/>
        </w:rPr>
        <w:t xml:space="preserve">For TML-equivalent architecture to be mandated under DSA: the Commission would need to (1) find that current amplification architectures constitute a systemic risk under Article 34, (2) specify governance lane-equivalent architecture as a required mitigation measure under Article 51, and (3) enforce compliance through the 6% turnover fine mechanism. All three steps are legally available under current DSA text. The barrier is political will and regulatory capacity, not legal authority.</w:t>
      </w:r>
    </w:p>
    <w:p>
      <w:pPr>
        <w:spacing w:after="60"/>
      </w:pPr>
      <w:r>
        <w:t xml:space="preserve"/>
      </w:r>
    </w:p>
    <w:p>
      <w:pPr>
        <w:spacing w:after="140"/>
      </w:pPr>
      <w:r>
        <w:rPr>
          <w:rFonts w:ascii="Calibri" w:cs="Calibri" w:eastAsia="Calibri" w:hAnsi="Calibri"/>
          <w:color w:val="1F2D3D"/>
          <w:sz w:val="22"/>
          <w:szCs w:val="22"/>
        </w:rPr>
        <w:t xml:space="preserve">EU AI Act pathway: VLOPs' recommender systems are currently classified as minimal-risk under the AI Act. Reclassification to high-risk would trigger mandatory conformity assessments, human oversight requirements, and logging obligations that would approach TML's architecture. The GPAI provisions effective August 2025 create a precedent for systemic risk obligations beyond the minimal-risk classification. This is a secondary pathway, longer in timeline than DSA enforcement.</w:t>
      </w:r>
    </w:p>
    <w:p>
      <w:pPr>
        <w:spacing w:after="60"/>
      </w:pPr>
      <w:r>
        <w:t xml:space="preserve"/>
      </w:r>
    </w:p>
    <w:p>
      <w:pPr>
        <w:spacing w:after="140"/>
      </w:pPr>
      <w:r>
        <w:rPr>
          <w:rFonts w:ascii="Calibri" w:cs="Calibri" w:eastAsia="Calibri" w:hAnsi="Calibri"/>
          <w:color w:val="1F2D3D"/>
          <w:sz w:val="22"/>
          <w:szCs w:val="22"/>
        </w:rPr>
        <w:t xml:space="preserve">US pathway: Section 230 reform has stalled in Congress. The Anderson v. TikTok circuit split (9th Circuit holding that algorithmic amplification may not be protected by Section 230) is the most significant recent development, but Supreme Court review has not been granted as of this report. A Supreme Court ruling that amplification decisions are not protected editorial choices would create significant liability exposure that could drive voluntary TML adoption as a liability shield. Timeline: uncertain.</w:t>
      </w:r>
    </w:p>
    <w:p>
      <w:pPr>
        <w:spacing w:after="60"/>
      </w:pPr>
      <w:r>
        <w:t xml:space="preserve"/>
      </w:r>
    </w:p>
    <w:p>
      <w:pPr>
        <w:pStyle w:val="Heading2"/>
        <w:spacing w:after="140" w:before="320"/>
      </w:pPr>
      <w:r>
        <w:rPr>
          <w:rFonts w:ascii="Calibri" w:cs="Calibri" w:eastAsia="Calibri" w:hAnsi="Calibri"/>
          <w:b/>
          <w:bCs/>
          <w:color w:val="2E4057"/>
          <w:sz w:val="26"/>
          <w:szCs w:val="26"/>
        </w:rPr>
        <w:t xml:space="preserve">F.3 Partial-Adoption Dynamics</w:t>
      </w:r>
    </w:p>
    <w:p>
      <w:pPr>
        <w:spacing w:after="140"/>
      </w:pPr>
      <w:r>
        <w:rPr>
          <w:rFonts w:ascii="Calibri" w:cs="Calibri" w:eastAsia="Calibri" w:hAnsi="Calibri"/>
          <w:color w:val="1F2D3D"/>
          <w:sz w:val="22"/>
          <w:szCs w:val="22"/>
        </w:rPr>
        <w:t xml:space="preserve">What happens if one VLOP adopts TML under EU mandate while competitors operating outside EU jurisdiction do not?</w:t>
      </w:r>
    </w:p>
    <w:p>
      <w:pPr>
        <w:spacing w:after="60"/>
      </w:pPr>
      <w:r>
        <w:t xml:space="preserve"/>
      </w:r>
    </w:p>
    <w:p>
      <w:pPr>
        <w:spacing w:after="140"/>
      </w:pPr>
      <w:r>
        <w:rPr>
          <w:rFonts w:ascii="Calibri" w:cs="Calibri" w:eastAsia="Calibri" w:hAnsi="Calibri"/>
          <w:color w:val="1F2D3D"/>
          <w:sz w:val="22"/>
          <w:szCs w:val="22"/>
        </w:rPr>
        <w:t xml:space="preserve">Scenario A - Regulatory arbitrage: Users and content creators migrate to ungoverned platforms. The governed platform's engagement metrics decline, reducing ad revenue. The platform faces competitive disadvantage. This is the argument platforms will make against DSA enforcement. Historical evidence does not support it: GDPR compliance did not produce mass migration away from European platforms; instead, it produced global adoption of GDPR-equivalent practices because the EU market was too valuable to abandon.</w:t>
      </w:r>
    </w:p>
    <w:p>
      <w:pPr>
        <w:spacing w:after="60"/>
      </w:pPr>
      <w:r>
        <w:t xml:space="preserve"/>
      </w:r>
    </w:p>
    <w:p>
      <w:pPr>
        <w:spacing w:after="140"/>
      </w:pPr>
      <w:r>
        <w:rPr>
          <w:rFonts w:ascii="Calibri" w:cs="Calibri" w:eastAsia="Calibri" w:hAnsi="Calibri"/>
          <w:color w:val="1F2D3D"/>
          <w:sz w:val="22"/>
          <w:szCs w:val="22"/>
        </w:rPr>
        <w:t xml:space="preserve">Scenario B - Trust differentiation: A TML-governed platform's Always Memory logs become a competitive asset in a regulatory environment where accountability is valued. Advertisers increasingly face ESG reporting obligations that could make platform governance a procurement criterion. A platform able to demonstrate governed amplification decisions may command premium advertising rates. This scenario requires regulatory pressure to create the market for trustworthiness.</w:t>
      </w:r>
    </w:p>
    <w:p>
      <w:pPr>
        <w:spacing w:after="60"/>
      </w:pPr>
      <w:r>
        <w:t xml:space="preserve"/>
      </w:r>
    </w:p>
    <w:p>
      <w:pPr>
        <w:spacing w:after="140"/>
      </w:pPr>
      <w:r>
        <w:rPr>
          <w:rFonts w:ascii="Calibri" w:cs="Calibri" w:eastAsia="Calibri" w:hAnsi="Calibri"/>
          <w:color w:val="1F2D3D"/>
          <w:sz w:val="22"/>
          <w:szCs w:val="22"/>
        </w:rPr>
        <w:t xml:space="preserve">Scenario C - Network effects: Social media platforms derive value from network size. A governed platform that loses marginal users to ungoverned competitors loses network value, potentially triggering a spiral. This is the most serious partial-adoption risk. Mitigation: jurisdictional mandate that covers all VLOPs operating in a market (the DSA model), eliminating the ungoverned alternative within that jurisdiction.</w:t>
      </w:r>
    </w:p>
    <w:p>
      <w:pPr>
        <w:spacing w:after="60"/>
      </w:pPr>
      <w:r>
        <w:t xml:space="preserve"/>
      </w:r>
    </w:p>
    <w:p>
      <w:pPr>
        <w:spacing w:after="140"/>
      </w:pPr>
      <w:r>
        <w:rPr>
          <w:rFonts w:ascii="Calibri" w:cs="Calibri" w:eastAsia="Calibri" w:hAnsi="Calibri"/>
          <w:color w:val="1F2D3D"/>
          <w:sz w:val="22"/>
          <w:szCs w:val="22"/>
        </w:rPr>
        <w:t xml:space="preserve">Verdict on partial adoption: The DSA's VLOP coverage model is the correct regulatory design for TML adoption. Single-platform voluntary adoption is not viable. Jurisdiction-wide mandate eliminates the competitive disadvantage and creates level-field compliance. The EU is the only current jurisdiction with both the legal authority and the market size to make this work.</w:t>
      </w:r>
    </w:p>
    <w:p>
      <w:pPr>
        <w:spacing w:after="60"/>
      </w:pPr>
      <w:r>
        <w:t xml:space="preserve"/>
      </w:r>
    </w:p>
    <w:p>
      <w:pPr>
        <w:pStyle w:val="Heading2"/>
        <w:spacing w:after="140" w:before="320"/>
      </w:pPr>
      <w:r>
        <w:rPr>
          <w:rFonts w:ascii="Calibri" w:cs="Calibri" w:eastAsia="Calibri" w:hAnsi="Calibri"/>
          <w:b/>
          <w:bCs/>
          <w:color w:val="2E4057"/>
          <w:sz w:val="26"/>
          <w:szCs w:val="26"/>
        </w:rPr>
        <w:t xml:space="preserve">F.4 Existing Approximations</w:t>
      </w:r>
    </w:p>
    <w:p>
      <w:pPr>
        <w:spacing w:after="140"/>
      </w:pPr>
      <w:r>
        <w:rPr>
          <w:rFonts w:ascii="Calibri" w:cs="Calibri" w:eastAsia="Calibri" w:hAnsi="Calibri"/>
          <w:color w:val="1F2D3D"/>
          <w:sz w:val="22"/>
          <w:szCs w:val="22"/>
        </w:rPr>
        <w:t xml:space="preserve">Several existing platform experiments approximate TML principles at a fraction of the required depth. These are documented evidence of direction, not adequacy.</w:t>
      </w:r>
    </w:p>
    <w:p>
      <w:pPr>
        <w:spacing w:after="60"/>
      </w:pPr>
      <w:r>
        <w:t xml:space="preserve"/>
      </w:r>
    </w:p>
    <w:p>
      <w:pPr>
        <w:spacing w:after="140"/>
      </w:pPr>
      <w:r>
        <w:rPr>
          <w:rFonts w:ascii="Calibri" w:cs="Calibri" w:eastAsia="Calibri" w:hAnsi="Calibri"/>
          <w:color w:val="1F2D3D"/>
          <w:sz w:val="22"/>
          <w:szCs w:val="22"/>
        </w:rPr>
        <w:t xml:space="preserve">Twitter/X Community Notes: Crowdsourced context labels on disputed content approximate Sacred Pause in outcome (slowing amplification of labeled content) but lack architectural governance, logging requirements, or authorization chains. Classification: directional approximation without architectural depth.</w:t>
      </w:r>
    </w:p>
    <w:p>
      <w:pPr>
        <w:spacing w:after="60"/>
      </w:pPr>
      <w:r>
        <w:t xml:space="preserve"/>
      </w:r>
    </w:p>
    <w:p>
      <w:pPr>
        <w:spacing w:after="140"/>
      </w:pPr>
      <w:r>
        <w:rPr>
          <w:rFonts w:ascii="Calibri" w:cs="Calibri" w:eastAsia="Calibri" w:hAnsi="Calibri"/>
          <w:color w:val="1F2D3D"/>
          <w:sz w:val="22"/>
          <w:szCs w:val="22"/>
        </w:rPr>
        <w:t xml:space="preserve">Meta's Content Policy Appeals: The Facebook Oversight Board reviews specific moderation decisions with documented reasoning. This approximates Moral Trace Logging at the post-hoc moderation layer but has no access to the algorithmic amplification layer. Classification: governance at wrong layer.</w:t>
      </w:r>
    </w:p>
    <w:p>
      <w:pPr>
        <w:spacing w:after="60"/>
      </w:pPr>
      <w:r>
        <w:t xml:space="preserve"/>
      </w:r>
    </w:p>
    <w:p>
      <w:pPr>
        <w:spacing w:after="140"/>
      </w:pPr>
      <w:r>
        <w:rPr>
          <w:rFonts w:ascii="Calibri" w:cs="Calibri" w:eastAsia="Calibri" w:hAnsi="Calibri"/>
          <w:color w:val="1F2D3D"/>
          <w:sz w:val="22"/>
          <w:szCs w:val="22"/>
        </w:rPr>
        <w:t xml:space="preserve">YouTube's Reduced Recommendations for Borderline Content: YouTube reduces amplification of content approaching-but-not-violating policy. This approximates Sacred Pause in outcome but lacks logging, governance, or human review escalation. Classification: amplification friction without accountability.</w:t>
      </w:r>
    </w:p>
    <w:p>
      <w:pPr>
        <w:spacing w:after="60"/>
      </w:pPr>
      <w:r>
        <w:t xml:space="preserve"/>
      </w:r>
    </w:p>
    <w:p>
      <w:pPr>
        <w:spacing w:after="140"/>
      </w:pPr>
      <w:r>
        <w:rPr>
          <w:rFonts w:ascii="Calibri" w:cs="Calibri" w:eastAsia="Calibri" w:hAnsi="Calibri"/>
          <w:color w:val="1F2D3D"/>
          <w:sz w:val="22"/>
          <w:szCs w:val="22"/>
        </w:rPr>
        <w:t xml:space="preserve">None of these approximations creates an externally verifiable governance record. All operate within the platform's control. All are reversible without notice. They demonstrate that platforms know how to apply friction to amplification; they do not demonstrate willingness to make that friction accountable.</w:t>
      </w:r>
    </w:p>
    <w:p>
      <w:r>
        <w:br w:type="page"/>
      </w:r>
    </w:p>
    <w:p>
      <w:pPr>
        <w:pStyle w:val="Heading1"/>
        <w:pBdr>
          <w:bottom w:val="single" w:color="1A5276" w:sz="8" w:space="4"/>
        </w:pBdr>
        <w:spacing w:after="200" w:before="480"/>
      </w:pPr>
      <w:r>
        <w:rPr>
          <w:rFonts w:ascii="Calibri" w:cs="Calibri" w:eastAsia="Calibri" w:hAnsi="Calibri"/>
          <w:b/>
          <w:bCs/>
          <w:color w:val="1A5276"/>
          <w:sz w:val="30"/>
          <w:szCs w:val="30"/>
        </w:rPr>
        <w:t xml:space="preserve">Section G: Measurement and Falsifiability</w:t>
      </w:r>
    </w:p>
    <w:p>
      <w:pPr>
        <w:pBdr>
          <w:left w:val="single" w:color="B7770D" w:sz="6" w:space="8"/>
        </w:pBdr>
        <w:spacing w:after="160"/>
        <w:ind w:left="200"/>
      </w:pPr>
      <w:r>
        <w:rPr>
          <w:rFonts w:ascii="Calibri" w:cs="Calibri" w:eastAsia="Calibri" w:hAnsi="Calibri"/>
          <w:b/>
          <w:bCs/>
          <w:color w:val="5D6D7E"/>
          <w:sz w:val="20"/>
          <w:szCs w:val="20"/>
        </w:rPr>
        <w:t xml:space="preserve">Confidence: </w:t>
      </w:r>
      <w:r>
        <w:rPr>
          <w:rFonts w:ascii="Calibri" w:cs="Calibri" w:eastAsia="Calibri" w:hAnsi="Calibri"/>
          <w:b/>
          <w:bCs/>
          <w:color w:val="B7770D"/>
          <w:sz w:val="20"/>
          <w:szCs w:val="20"/>
        </w:rPr>
        <w:t xml:space="preserve">Medium</w:t>
      </w:r>
      <w:r>
        <w:rPr>
          <w:rFonts w:ascii="Calibri" w:cs="Calibri" w:eastAsia="Calibri" w:hAnsi="Calibri"/>
          <w:i/>
          <w:iCs/>
          <w:color w:val="5D6D7E"/>
          <w:sz w:val="20"/>
          <w:szCs w:val="20"/>
        </w:rPr>
        <w:t xml:space="preserve">  -  Success criteria and thresholds are analytically grounded; baseline comparison standards require empirical calibration in any actual pilot.</w:t>
      </w:r>
    </w:p>
    <w:p>
      <w:pPr>
        <w:spacing w:after="60"/>
      </w:pPr>
      <w:r>
        <w:t xml:space="preserve"/>
      </w:r>
    </w:p>
    <w:p>
      <w:pPr>
        <w:pStyle w:val="Heading2"/>
        <w:spacing w:after="140" w:before="320"/>
      </w:pPr>
      <w:r>
        <w:rPr>
          <w:rFonts w:ascii="Calibri" w:cs="Calibri" w:eastAsia="Calibri" w:hAnsi="Calibri"/>
          <w:b/>
          <w:bCs/>
          <w:color w:val="2E4057"/>
          <w:sz w:val="26"/>
          <w:szCs w:val="26"/>
        </w:rPr>
        <w:t xml:space="preserve">G.1 Baseline Definition</w:t>
      </w:r>
    </w:p>
    <w:p>
      <w:pPr>
        <w:spacing w:after="140"/>
      </w:pPr>
      <w:r>
        <w:rPr>
          <w:rFonts w:ascii="Calibri" w:cs="Calibri" w:eastAsia="Calibri" w:hAnsi="Calibri"/>
          <w:color w:val="1F2D3D"/>
          <w:sz w:val="22"/>
          <w:szCs w:val="22"/>
        </w:rPr>
        <w:t xml:space="preserve">No measurement of TML's impact is meaningful without a clearly specified comparison baseline. Three candidates exist.</w:t>
      </w:r>
    </w:p>
    <w:p>
      <w:pPr>
        <w:spacing w:after="60"/>
      </w:pPr>
      <w:r>
        <w:t xml:space="preserve"/>
      </w:r>
    </w:p>
    <w:p>
      <w:pPr>
        <w:spacing w:after="140"/>
      </w:pPr>
      <w:r>
        <w:rPr>
          <w:rFonts w:ascii="Calibri" w:cs="Calibri" w:eastAsia="Calibri" w:hAnsi="Calibri"/>
          <w:color w:val="1F2D3D"/>
          <w:sz w:val="22"/>
          <w:szCs w:val="22"/>
        </w:rPr>
        <w:t xml:space="preserve">Baseline A - Current fully-automated moderation: The baseline is what platforms currently do. This is the most practically relevant comparison but the hardest to measure because platforms do not publish decision-level data.</w:t>
      </w:r>
    </w:p>
    <w:p>
      <w:pPr>
        <w:spacing w:after="60"/>
      </w:pPr>
      <w:r>
        <w:t xml:space="preserve"/>
      </w:r>
    </w:p>
    <w:p>
      <w:pPr>
        <w:spacing w:after="140"/>
      </w:pPr>
      <w:r>
        <w:rPr>
          <w:rFonts w:ascii="Calibri" w:cs="Calibri" w:eastAsia="Calibri" w:hAnsi="Calibri"/>
          <w:color w:val="1F2D3D"/>
          <w:sz w:val="22"/>
          <w:szCs w:val="22"/>
        </w:rPr>
        <w:t xml:space="preserve">Baseline B - Human-only moderation: A counterfactual baseline where all amplification decisions are made by human reviewers. This establishes what the best achievable human judgment produces, but is impractical at current scale.</w:t>
      </w:r>
    </w:p>
    <w:p>
      <w:pPr>
        <w:spacing w:after="60"/>
      </w:pPr>
      <w:r>
        <w:t xml:space="preserve"/>
      </w:r>
    </w:p>
    <w:p>
      <w:pPr>
        <w:spacing w:after="140"/>
      </w:pPr>
      <w:r>
        <w:rPr>
          <w:rFonts w:ascii="Calibri" w:cs="Calibri" w:eastAsia="Calibri" w:hAnsi="Calibri"/>
          <w:color w:val="1F2D3D"/>
          <w:sz w:val="22"/>
          <w:szCs w:val="22"/>
        </w:rPr>
        <w:t xml:space="preserve">Baseline C - Hybrid system without TML architecture: A system combining AI ranking with human oversight but without Moral Trace Logs or blockchain anchoring. This isolates TML's specific architectural contributions from human oversight generally.</w:t>
      </w:r>
    </w:p>
    <w:p>
      <w:pPr>
        <w:spacing w:after="60"/>
      </w:pPr>
      <w:r>
        <w:t xml:space="preserve"/>
      </w:r>
    </w:p>
    <w:p>
      <w:pPr>
        <w:spacing w:after="140"/>
      </w:pPr>
      <w:r>
        <w:rPr>
          <w:rFonts w:ascii="Calibri" w:cs="Calibri" w:eastAsia="Calibri" w:hAnsi="Calibri"/>
          <w:color w:val="1F2D3D"/>
          <w:sz w:val="22"/>
          <w:szCs w:val="22"/>
        </w:rPr>
        <w:t xml:space="preserve">Recommended baseline for any TML pilot: Baseline A (current system) with Baseline C as secondary comparison. This allows measurement of both total improvement over status quo and specific contribution of TML's logging and governance architecture versus human oversight alone.</w:t>
      </w:r>
    </w:p>
    <w:p>
      <w:pPr>
        <w:spacing w:after="60"/>
      </w:pPr>
      <w:r>
        <w:t xml:space="preserve"/>
      </w:r>
    </w:p>
    <w:p>
      <w:pPr>
        <w:pStyle w:val="Heading2"/>
        <w:spacing w:after="140" w:before="320"/>
      </w:pPr>
      <w:r>
        <w:rPr>
          <w:rFonts w:ascii="Calibri" w:cs="Calibri" w:eastAsia="Calibri" w:hAnsi="Calibri"/>
          <w:b/>
          <w:bCs/>
          <w:color w:val="2E4057"/>
          <w:sz w:val="26"/>
          <w:szCs w:val="26"/>
        </w:rPr>
        <w:t xml:space="preserve">G.2 Measurable Success Criteria and Falsification Thresholds</w:t>
      </w:r>
    </w:p>
    <w:p>
      <w:pPr>
        <w:spacing w:after="140"/>
      </w:pPr>
      <w:r>
        <w:rPr>
          <w:rFonts w:ascii="Calibri" w:cs="Calibri" w:eastAsia="Calibri" w:hAnsi="Calibri"/>
          <w:color w:val="1F2D3D"/>
          <w:sz w:val="22"/>
          <w:szCs w:val="22"/>
        </w:rPr>
        <w:t xml:space="preserve">For each metric, a threshold is specified. Exceeding the threshold in the wrong direction constitutes evidence against TML's claims.</w:t>
      </w:r>
    </w:p>
    <w:p>
      <w:pPr>
        <w:spacing w:after="60"/>
      </w:pPr>
      <w:r>
        <w:t xml:space="preserve"/>
      </w:r>
    </w:p>
    <w:p>
      <w:pPr>
        <w:spacing w:after="140"/>
      </w:pPr>
      <w:r>
        <w:rPr>
          <w:rFonts w:ascii="Calibri" w:cs="Calibri" w:eastAsia="Calibri" w:hAnsi="Calibri"/>
          <w:color w:val="1F2D3D"/>
          <w:sz w:val="22"/>
          <w:szCs w:val="22"/>
        </w:rPr>
        <w:t xml:space="preserve">Metric 1 - Wrongful amplification rate: Percentage of amplified content subsequently found to have caused documented harm (defined as: content requiring removal under DSA systemic risk criteria within 72 hours of amplification). Threshold for falsification: If TML implementation produces wrongful amplification rate &gt; 110% of baseline (i.e., worse than current system), TML's core harm-reduction claim is falsified for that content category.</w:t>
      </w:r>
    </w:p>
    <w:p>
      <w:pPr>
        <w:spacing w:after="60"/>
      </w:pPr>
      <w:r>
        <w:t xml:space="preserve"/>
      </w:r>
    </w:p>
    <w:p>
      <w:pPr>
        <w:spacing w:after="140"/>
      </w:pPr>
      <w:r>
        <w:rPr>
          <w:rFonts w:ascii="Calibri" w:cs="Calibri" w:eastAsia="Calibri" w:hAnsi="Calibri"/>
          <w:color w:val="1F2D3D"/>
          <w:sz w:val="22"/>
          <w:szCs w:val="22"/>
        </w:rPr>
        <w:t xml:space="preserve">Metric 2 - Sacred Pause false positive rate: Percentage of Sacred Zero triggers that result in content cleared without modification after human review. This measures over-restriction. Threshold for falsification: If false positive rate &gt; 30% (more than 1 in 3 Sacred Pause reviews results in approved content with no modification), Sacred Zero's trigger criteria are too broad for practical implementation.</w:t>
      </w:r>
    </w:p>
    <w:p>
      <w:pPr>
        <w:spacing w:after="60"/>
      </w:pPr>
      <w:r>
        <w:t xml:space="preserve"/>
      </w:r>
    </w:p>
    <w:p>
      <w:pPr>
        <w:spacing w:after="140"/>
      </w:pPr>
      <w:r>
        <w:rPr>
          <w:rFonts w:ascii="Calibri" w:cs="Calibri" w:eastAsia="Calibri" w:hAnsi="Calibri"/>
          <w:color w:val="1F2D3D"/>
          <w:sz w:val="22"/>
          <w:szCs w:val="22"/>
        </w:rPr>
        <w:t xml:space="preserve">Metric 3 - Governance Lane latency at scale: Measured p99 latency of Governance Lane processing under peak load. Threshold for falsification: If p99 latency &gt; 100ms under peak production load (2x the claimed 50ms maximum), the Dual-Lane architecture cannot meet its performance specification.</w:t>
      </w:r>
    </w:p>
    <w:p>
      <w:pPr>
        <w:spacing w:after="60"/>
      </w:pPr>
      <w:r>
        <w:t xml:space="preserve"/>
      </w:r>
    </w:p>
    <w:p>
      <w:pPr>
        <w:spacing w:after="140"/>
      </w:pPr>
      <w:r>
        <w:rPr>
          <w:rFonts w:ascii="Calibri" w:cs="Calibri" w:eastAsia="Calibri" w:hAnsi="Calibri"/>
          <w:color w:val="1F2D3D"/>
          <w:sz w:val="22"/>
          <w:szCs w:val="22"/>
        </w:rPr>
        <w:t xml:space="preserve">Metric 4 - Sacred Pause review throughput: Number of Sacred Pause cases resolved per reviewer per day. Threshold for falsification: If average throughput &lt; 20 resolved cases per reviewer per day at accurate resolution rates, the human review workforce requirement exceeds what can be sustainably staffed.</w:t>
      </w:r>
    </w:p>
    <w:p>
      <w:pPr>
        <w:spacing w:after="60"/>
      </w:pPr>
      <w:r>
        <w:t xml:space="preserve"/>
      </w:r>
    </w:p>
    <w:p>
      <w:pPr>
        <w:spacing w:after="140"/>
      </w:pPr>
      <w:r>
        <w:rPr>
          <w:rFonts w:ascii="Calibri" w:cs="Calibri" w:eastAsia="Calibri" w:hAnsi="Calibri"/>
          <w:color w:val="1F2D3D"/>
          <w:sz w:val="22"/>
          <w:szCs w:val="22"/>
        </w:rPr>
        <w:t xml:space="preserve">Metric 5 - Always Memory completeness: Percentage of amplification decisions with complete, verifiable Moral Trace Log entries. Threshold for falsification: If completeness &lt; 99.9%, No Log = No Action is not being enforced as an architectural precondition. (Note: 0.1% of 10B decisions/day = 10M unlogged actions/day - a number that represents material governance failure.)</w:t>
      </w:r>
    </w:p>
    <w:p>
      <w:pPr>
        <w:spacing w:after="60"/>
      </w:pPr>
      <w:r>
        <w:t xml:space="preserve"/>
      </w:r>
    </w:p>
    <w:p>
      <w:pPr>
        <w:spacing w:after="140"/>
      </w:pPr>
      <w:r>
        <w:rPr>
          <w:rFonts w:ascii="Calibri" w:cs="Calibri" w:eastAsia="Calibri" w:hAnsi="Calibri"/>
          <w:color w:val="1F2D3D"/>
          <w:sz w:val="22"/>
          <w:szCs w:val="22"/>
        </w:rPr>
        <w:t xml:space="preserve">Metric 6 - Log integrity verification: Percentage of sampled Moral Trace Log entries that match their blockchain-anchored Merkle proofs. Threshold for falsification: If integrity &lt; 100% for any systematic failure pattern (not random bit-flip errors), the cryptographic governance chain is compromised.</w:t>
      </w:r>
    </w:p>
    <w:p>
      <w:pPr>
        <w:spacing w:after="60"/>
      </w:pPr>
      <w:r>
        <w:t xml:space="preserve"/>
      </w:r>
    </w:p>
    <w:p>
      <w:pPr>
        <w:spacing w:after="140"/>
      </w:pPr>
      <w:r>
        <w:rPr>
          <w:rFonts w:ascii="Calibri" w:cs="Calibri" w:eastAsia="Calibri" w:hAnsi="Calibri"/>
          <w:color w:val="1F2D3D"/>
          <w:sz w:val="22"/>
          <w:szCs w:val="22"/>
        </w:rPr>
        <w:t xml:space="preserve">Metric 7 - Governance Lane cost per billion decisions: Total Governance Lane compute and human review cost divided by decision volume. Threshold for falsification: If cost exceeds $10 per 1,000 decisions (10x the estimated $50-100M/year at 10B/day volume), TML is economically viable only under regulatory mandate with cost-sharing mechanisms.</w:t>
      </w:r>
    </w:p>
    <w:p>
      <w:pPr>
        <w:spacing w:after="60"/>
      </w:pPr>
      <w:r>
        <w:t xml:space="preserve"/>
      </w:r>
    </w:p>
    <w:p>
      <w:pPr>
        <w:spacing w:after="140"/>
      </w:pPr>
      <w:r>
        <w:rPr>
          <w:rFonts w:ascii="Calibri" w:cs="Calibri" w:eastAsia="Calibri" w:hAnsi="Calibri"/>
          <w:color w:val="1F2D3D"/>
          <w:sz w:val="22"/>
          <w:szCs w:val="22"/>
        </w:rPr>
        <w:t xml:space="preserve">Metric 8 - Tri-Cameral governance independence: Measured by: percentage of Ethics Chamber decisions overruled by platform legal/commercial team, average time from appeal filing to Ethics Chamber resolution, and independence audit score by external governance assessor. Threshold for falsification: If Ethics Chamber decisions are overruled &gt; 5% of the time by platform operators, governance capture is occurring.</w:t>
      </w:r>
    </w:p>
    <w:p>
      <w:pPr>
        <w:spacing w:after="60"/>
      </w:pPr>
      <w:r>
        <w:t xml:space="preserve"/>
      </w:r>
    </w:p>
    <w:p>
      <w:pPr>
        <w:pStyle w:val="Heading2"/>
        <w:spacing w:after="140" w:before="320"/>
      </w:pPr>
      <w:r>
        <w:rPr>
          <w:rFonts w:ascii="Calibri" w:cs="Calibri" w:eastAsia="Calibri" w:hAnsi="Calibri"/>
          <w:b/>
          <w:bCs/>
          <w:color w:val="2E4057"/>
          <w:sz w:val="26"/>
          <w:szCs w:val="26"/>
        </w:rPr>
        <w:t xml:space="preserve">G.3 Pilot Experiment Design</w:t>
      </w:r>
    </w:p>
    <w:p>
      <w:pPr>
        <w:spacing w:after="140"/>
      </w:pPr>
      <w:r>
        <w:rPr>
          <w:rFonts w:ascii="Calibri" w:cs="Calibri" w:eastAsia="Calibri" w:hAnsi="Calibri"/>
          <w:color w:val="1F2D3D"/>
          <w:sz w:val="22"/>
          <w:szCs w:val="22"/>
        </w:rPr>
        <w:t xml:space="preserve">Proposed pilot: EU jurisdiction (DSA mandate authority), health information content category (highest documented harm, clearest baseline), 10 million users in TML-governed group, 10 million in control group, 12 months minimum duration.</w:t>
      </w:r>
    </w:p>
    <w:p>
      <w:pPr>
        <w:spacing w:after="60"/>
      </w:pPr>
      <w:r>
        <w:t xml:space="preserve"/>
      </w:r>
    </w:p>
    <w:p>
      <w:pPr>
        <w:spacing w:after="140"/>
      </w:pPr>
      <w:r>
        <w:rPr>
          <w:rFonts w:ascii="Calibri" w:cs="Calibri" w:eastAsia="Calibri" w:hAnsi="Calibri"/>
          <w:color w:val="1F2D3D"/>
          <w:sz w:val="22"/>
          <w:szCs w:val="22"/>
        </w:rPr>
        <w:t xml:space="preserve">Health information is recommended as the pilot category because: documented harm baseline exists (vaccine misinformation amplification is measured), regulatory clarity is highest (DSA systemic risk designation applies), Sacred Zero trigger criteria are most unambiguous, and outcome measurement is possible (health behavior surveys, engagement with authoritative health content).</w:t>
      </w:r>
    </w:p>
    <w:p>
      <w:pPr>
        <w:spacing w:after="60"/>
      </w:pPr>
      <w:r>
        <w:t xml:space="preserve"/>
      </w:r>
    </w:p>
    <w:p>
      <w:pPr>
        <w:spacing w:after="140"/>
      </w:pPr>
      <w:r>
        <w:rPr>
          <w:rFonts w:ascii="Calibri" w:cs="Calibri" w:eastAsia="Calibri" w:hAnsi="Calibri"/>
          <w:color w:val="1F2D3D"/>
          <w:sz w:val="22"/>
          <w:szCs w:val="22"/>
        </w:rPr>
        <w:t xml:space="preserve">What would it mean if a faithful TML implementation produced no measurable improvement in any metric? It would mean one of three things: (a) the pilot design failed to implement TML faithfully (testable by log completeness audit), (b) the content category was not the right test case for TML's specific harm-reduction claims, or (c) TML's governance architecture does not produce the outcome improvements its premise claims. Scenario (c) would constitute meaningful evidence against TML's core claim and would require substantive revision of the framework. A framework that specifies what would falsify it is a framework that takes its own claims seriously.</w:t>
      </w:r>
    </w:p>
    <w:p>
      <w:r>
        <w:br w:type="page"/>
      </w:r>
    </w:p>
    <w:p>
      <w:pPr>
        <w:pStyle w:val="Heading1"/>
        <w:pBdr>
          <w:bottom w:val="single" w:color="1A5276" w:sz="8" w:space="4"/>
        </w:pBdr>
        <w:spacing w:after="200" w:before="480"/>
      </w:pPr>
      <w:r>
        <w:rPr>
          <w:rFonts w:ascii="Calibri" w:cs="Calibri" w:eastAsia="Calibri" w:hAnsi="Calibri"/>
          <w:b/>
          <w:bCs/>
          <w:color w:val="1A5276"/>
          <w:sz w:val="30"/>
          <w:szCs w:val="30"/>
        </w:rPr>
        <w:t xml:space="preserve">Section H: Final Synthesis</w:t>
      </w:r>
    </w:p>
    <w:p>
      <w:pPr>
        <w:pBdr>
          <w:left w:val="single" w:color="1A7A4A" w:sz="6" w:space="8"/>
        </w:pBdr>
        <w:spacing w:after="160"/>
        <w:ind w:left="200"/>
      </w:pPr>
      <w:r>
        <w:rPr>
          <w:rFonts w:ascii="Calibri" w:cs="Calibri" w:eastAsia="Calibri" w:hAnsi="Calibri"/>
          <w:b/>
          <w:bCs/>
          <w:color w:val="5D6D7E"/>
          <w:sz w:val="20"/>
          <w:szCs w:val="20"/>
        </w:rPr>
        <w:t xml:space="preserve">Confidence: </w:t>
      </w:r>
      <w:r>
        <w:rPr>
          <w:rFonts w:ascii="Calibri" w:cs="Calibri" w:eastAsia="Calibri" w:hAnsi="Calibri"/>
          <w:b/>
          <w:bCs/>
          <w:color w:val="1A7A4A"/>
          <w:sz w:val="20"/>
          <w:szCs w:val="20"/>
        </w:rPr>
        <w:t xml:space="preserve">High</w:t>
      </w:r>
      <w:r>
        <w:rPr>
          <w:rFonts w:ascii="Calibri" w:cs="Calibri" w:eastAsia="Calibri" w:hAnsi="Calibri"/>
          <w:i/>
          <w:iCs/>
          <w:color w:val="5D6D7E"/>
          <w:sz w:val="20"/>
          <w:szCs w:val="20"/>
        </w:rPr>
        <w:t xml:space="preserve">  -  Terminal judgments follow from preceding sections; the achievability assessment reflects structural analysis, not political speculation.</w:t>
      </w:r>
    </w:p>
    <w:p>
      <w:pPr>
        <w:spacing w:after="60"/>
      </w:pPr>
      <w:r>
        <w:t xml:space="preserve"/>
      </w:r>
    </w:p>
    <w:p>
      <w:pPr>
        <w:pStyle w:val="Heading2"/>
        <w:spacing w:after="140" w:before="320"/>
      </w:pPr>
      <w:r>
        <w:rPr>
          <w:rFonts w:ascii="Calibri" w:cs="Calibri" w:eastAsia="Calibri" w:hAnsi="Calibri"/>
          <w:b/>
          <w:bCs/>
          <w:color w:val="2E4057"/>
          <w:sz w:val="26"/>
          <w:szCs w:val="26"/>
        </w:rPr>
        <w:t xml:space="preserve">H.1 What TML Requires That No Platform Has Built</w:t>
      </w:r>
    </w:p>
    <w:p>
      <w:pPr>
        <w:spacing w:after="140"/>
      </w:pPr>
      <w:r>
        <w:rPr>
          <w:rFonts w:ascii="Calibri" w:cs="Calibri" w:eastAsia="Calibri" w:hAnsi="Calibri"/>
          <w:color w:val="1F2D3D"/>
          <w:sz w:val="22"/>
          <w:szCs w:val="22"/>
        </w:rPr>
        <w:t xml:space="preserve">Four structural elements exist in TML's architecture that no current platform possesses in any form.</w:t>
      </w:r>
    </w:p>
    <w:p>
      <w:pPr>
        <w:spacing w:after="60"/>
      </w:pPr>
      <w:r>
        <w:t xml:space="preserve"/>
      </w:r>
    </w:p>
    <w:p>
      <w:pPr>
        <w:spacing w:after="140"/>
      </w:pPr>
      <w:r>
        <w:rPr>
          <w:rFonts w:ascii="Calibri" w:cs="Calibri" w:eastAsia="Calibri" w:hAnsi="Calibri"/>
          <w:color w:val="1F2D3D"/>
          <w:sz w:val="22"/>
          <w:szCs w:val="22"/>
        </w:rPr>
        <w:t xml:space="preserve">First: An externally verifiable, real-time governance record of amplification decisions. Every platform produces transparency reports. No platform produces a Merkle-anchored decision log that external parties can verify without platform cooperation. This is the foundational absence. Without it, all other accountability claims are unverifiable.</w:t>
      </w:r>
    </w:p>
    <w:p>
      <w:pPr>
        <w:spacing w:after="60"/>
      </w:pPr>
      <w:r>
        <w:t xml:space="preserve"/>
      </w:r>
    </w:p>
    <w:p>
      <w:pPr>
        <w:spacing w:after="140"/>
      </w:pPr>
      <w:r>
        <w:rPr>
          <w:rFonts w:ascii="Calibri" w:cs="Calibri" w:eastAsia="Calibri" w:hAnsi="Calibri"/>
          <w:color w:val="1F2D3D"/>
          <w:sz w:val="22"/>
          <w:szCs w:val="22"/>
        </w:rPr>
        <w:t xml:space="preserve">Second: Human review capacity at Sacred Pause scale. At a 0.1% Sacred Zero trigger rate, TML requires approximately 100,000 trained ethical reviewers for Sacred Pause resolution at Meta scale. No such workforce exists. The closest analog - existing content moderation contractor networks - numbers approximately 11,250 at Meta and has documented PTSD rates at that scale. Building the workforce TML requires would take years and cost billions annually.</w:t>
      </w:r>
    </w:p>
    <w:p>
      <w:pPr>
        <w:spacing w:after="60"/>
      </w:pPr>
      <w:r>
        <w:t xml:space="preserve"/>
      </w:r>
    </w:p>
    <w:p>
      <w:pPr>
        <w:spacing w:after="140"/>
      </w:pPr>
      <w:r>
        <w:rPr>
          <w:rFonts w:ascii="Calibri" w:cs="Calibri" w:eastAsia="Calibri" w:hAnsi="Calibri"/>
          <w:color w:val="1F2D3D"/>
          <w:sz w:val="22"/>
          <w:szCs w:val="22"/>
        </w:rPr>
        <w:t xml:space="preserve">Third: A constitutionally specified, independent Tri-Cameral Governance structure with binding authority over amplification decisions. Existing platform governance bodies (the Facebook Oversight Board, YouTube's appeals process) have no authority over the algorithmic amplification layer - only over specific content moderation decisions. TML requires governance authority at the decision architecture level. No platform has created this.</w:t>
      </w:r>
    </w:p>
    <w:p>
      <w:pPr>
        <w:spacing w:after="60"/>
      </w:pPr>
      <w:r>
        <w:t xml:space="preserve"/>
      </w:r>
    </w:p>
    <w:p>
      <w:pPr>
        <w:spacing w:after="140"/>
      </w:pPr>
      <w:r>
        <w:rPr>
          <w:rFonts w:ascii="Calibri" w:cs="Calibri" w:eastAsia="Calibri" w:hAnsi="Calibri"/>
          <w:color w:val="1F2D3D"/>
          <w:sz w:val="22"/>
          <w:szCs w:val="22"/>
        </w:rPr>
        <w:t xml:space="preserve">Fourth: A business model that does not require engagement-maximization as its primary optimization target. TML's Sacred Pause layer structurally constrains the amplification of borderline-but-high-engagement content. This is revenue-reducing by design. No current VLOP has demonstrated willingness to reduce engagement-optimized revenue without regulatory compulsion.</w:t>
      </w:r>
    </w:p>
    <w:p>
      <w:pPr>
        <w:spacing w:after="60"/>
      </w:pPr>
      <w:r>
        <w:t xml:space="preserve"/>
      </w:r>
    </w:p>
    <w:p>
      <w:pPr>
        <w:pStyle w:val="Heading2"/>
        <w:spacing w:after="140" w:before="320"/>
      </w:pPr>
      <w:r>
        <w:rPr>
          <w:rFonts w:ascii="Calibri" w:cs="Calibri" w:eastAsia="Calibri" w:hAnsi="Calibri"/>
          <w:b/>
          <w:bCs/>
          <w:color w:val="2E4057"/>
          <w:sz w:val="26"/>
          <w:szCs w:val="26"/>
        </w:rPr>
        <w:t xml:space="preserve">H.2 Unwilling vs. Unable</w:t>
      </w:r>
    </w:p>
    <w:p>
      <w:pPr>
        <w:spacing w:after="140"/>
      </w:pPr>
      <w:r>
        <w:rPr>
          <w:rFonts w:ascii="Calibri" w:cs="Calibri" w:eastAsia="Calibri" w:hAnsi="Calibri"/>
          <w:color w:val="1F2D3D"/>
          <w:sz w:val="22"/>
          <w:szCs w:val="22"/>
        </w:rPr>
        <w:t xml:space="preserve">The evidence across eight sections points to a precise conclusion: platforms are primarily structurally unwilling, not structurally unable.</w:t>
      </w:r>
    </w:p>
    <w:p>
      <w:pPr>
        <w:spacing w:after="60"/>
      </w:pPr>
      <w:r>
        <w:t xml:space="preserve"/>
      </w:r>
    </w:p>
    <w:p>
      <w:pPr>
        <w:spacing w:after="140"/>
      </w:pPr>
      <w:r>
        <w:rPr>
          <w:rFonts w:ascii="Calibri" w:cs="Calibri" w:eastAsia="Calibri" w:hAnsi="Calibri"/>
          <w:color w:val="1F2D3D"/>
          <w:sz w:val="22"/>
          <w:szCs w:val="22"/>
        </w:rPr>
        <w:t xml:space="preserve">The technical barriers are real but surmountable. Dual-Lane architecture at scale is achievable (Section A, Section C). Merkle-batched logging is a proven pattern (Section E). The 50ms Governance Lane latency is within current infrastructure capacity (Section A). The engineering cost is approximately $50-100 million per year at Meta scale - material but bounded (Sections A, C, D).</w:t>
      </w:r>
    </w:p>
    <w:p>
      <w:pPr>
        <w:spacing w:after="60"/>
      </w:pPr>
      <w:r>
        <w:t xml:space="preserve"/>
      </w:r>
    </w:p>
    <w:p>
      <w:pPr>
        <w:spacing w:after="140"/>
      </w:pPr>
      <w:r>
        <w:rPr>
          <w:rFonts w:ascii="Calibri" w:cs="Calibri" w:eastAsia="Calibri" w:hAnsi="Calibri"/>
          <w:color w:val="1F2D3D"/>
          <w:sz w:val="22"/>
          <w:szCs w:val="22"/>
        </w:rPr>
        <w:t xml:space="preserve">The business model barriers are structural and self-reinforcing. Engagement-maximization is not a peripheral feature of platform economics - it is the mechanism by which advertising revenue is generated. Sacred Pause reduces amplification of the most engaging borderline content. Always Memory removes the liability shield that opacity provides. Tri-Cameral Governance removes platform control over its own moderation architecture. These are not costs a rational commercial actor would voluntarily accept.</w:t>
      </w:r>
    </w:p>
    <w:p>
      <w:pPr>
        <w:spacing w:after="60"/>
      </w:pPr>
      <w:r>
        <w:t xml:space="preserve"/>
      </w:r>
    </w:p>
    <w:p>
      <w:pPr>
        <w:spacing w:after="140"/>
      </w:pPr>
      <w:r>
        <w:rPr>
          <w:rFonts w:ascii="Calibri" w:cs="Calibri" w:eastAsia="Calibri" w:hAnsi="Calibri"/>
          <w:color w:val="1F2D3D"/>
          <w:sz w:val="22"/>
          <w:szCs w:val="22"/>
        </w:rPr>
        <w:t xml:space="preserve">The precise diagnosis: platforms are unwilling to accept the accountability TML requires because that accountability would constrain the revenue TML's governed architecture would reduce. This is not irrationality - it is rational commercial behavior. The implication is that mandate is not an alternative to voluntary adoption; it is the only mechanism through which adoption can occur.</w:t>
      </w:r>
    </w:p>
    <w:p>
      <w:pPr>
        <w:spacing w:after="60"/>
      </w:pPr>
      <w:r>
        <w:t xml:space="preserve"/>
      </w:r>
    </w:p>
    <w:p>
      <w:pPr>
        <w:pStyle w:val="Heading2"/>
        <w:spacing w:after="140" w:before="320"/>
      </w:pPr>
      <w:r>
        <w:rPr>
          <w:rFonts w:ascii="Calibri" w:cs="Calibri" w:eastAsia="Calibri" w:hAnsi="Calibri"/>
          <w:b/>
          <w:bCs/>
          <w:color w:val="2E4057"/>
          <w:sz w:val="26"/>
          <w:szCs w:val="26"/>
        </w:rPr>
        <w:t xml:space="preserve">H.3 Whether a Regulator Could Mandate It</w:t>
      </w:r>
    </w:p>
    <w:p>
      <w:pPr>
        <w:spacing w:after="140"/>
      </w:pPr>
      <w:r>
        <w:rPr>
          <w:rFonts w:ascii="Calibri" w:cs="Calibri" w:eastAsia="Calibri" w:hAnsi="Calibri"/>
          <w:color w:val="1F2D3D"/>
          <w:sz w:val="22"/>
          <w:szCs w:val="22"/>
        </w:rPr>
        <w:t xml:space="preserve">Yes - specifically the European Commission under DSA Articles 34 and 51. The legal authority exists. The enforcement mechanism (6% turnover fines) is meaningful at VLOP scale. The precedent of DSA enforcement actions against TikTok and X demonstrates that the Commission is willing to use this authority.</w:t>
      </w:r>
    </w:p>
    <w:p>
      <w:pPr>
        <w:spacing w:after="60"/>
      </w:pPr>
      <w:r>
        <w:t xml:space="preserve"/>
      </w:r>
    </w:p>
    <w:p>
      <w:pPr>
        <w:spacing w:after="140"/>
      </w:pPr>
      <w:r>
        <w:rPr>
          <w:rFonts w:ascii="Calibri" w:cs="Calibri" w:eastAsia="Calibri" w:hAnsi="Calibri"/>
          <w:color w:val="1F2D3D"/>
          <w:sz w:val="22"/>
          <w:szCs w:val="22"/>
        </w:rPr>
        <w:t xml:space="preserve">What mandate would require: (1) A formal Commission finding that current VLOP amplification architectures constitute systemic risks under Article 34. This finding is supported by existing DSA transparency reports and academic evidence; the Commission has not yet made it explicit for algorithmic architecture specifically. (2) A technical specification of Governance Lane-equivalent architecture as a required mitigation measure under Article 51. This would require the Commission to move beyond process requirements (risk assessments, audits) to architectural requirements. This is a significant step beyond current DSA practice. (3) Consistent enforcement through formal proceedings with credible fine risk. The IAB TCF precedent demonstrates that compliance without enforcement produces governance theater.</w:t>
      </w:r>
    </w:p>
    <w:p>
      <w:pPr>
        <w:spacing w:after="60"/>
      </w:pPr>
      <w:r>
        <w:t xml:space="preserve"/>
      </w:r>
    </w:p>
    <w:p>
      <w:pPr>
        <w:spacing w:after="140"/>
      </w:pPr>
      <w:r>
        <w:rPr>
          <w:rFonts w:ascii="Calibri" w:cs="Calibri" w:eastAsia="Calibri" w:hAnsi="Calibri"/>
          <w:color w:val="1F2D3D"/>
          <w:sz w:val="22"/>
          <w:szCs w:val="22"/>
        </w:rPr>
        <w:t xml:space="preserve">Timeline assessment: 3-5 years under the current DSA enforcement trajectory if the Commission escalates from process requirements to architectural requirements. Faster if a documented large-scale harm event (analogous to Cambridge Analytica for data governance) creates political pressure for architectural mandate.</w:t>
      </w:r>
    </w:p>
    <w:p>
      <w:pPr>
        <w:spacing w:after="60"/>
      </w:pPr>
      <w:r>
        <w:t xml:space="preserve"/>
      </w:r>
    </w:p>
    <w:p>
      <w:pPr>
        <w:pStyle w:val="Heading2"/>
        <w:spacing w:after="140" w:before="320"/>
      </w:pPr>
      <w:r>
        <w:rPr>
          <w:rFonts w:ascii="Calibri" w:cs="Calibri" w:eastAsia="Calibri" w:hAnsi="Calibri"/>
          <w:b/>
          <w:bCs/>
          <w:color w:val="2E4057"/>
          <w:sz w:val="26"/>
          <w:szCs w:val="26"/>
        </w:rPr>
        <w:t xml:space="preserve">H.4 The Human Moderator Workforce Question</w:t>
      </w:r>
    </w:p>
    <w:p>
      <w:pPr>
        <w:spacing w:after="140"/>
      </w:pPr>
      <w:r>
        <w:rPr>
          <w:rFonts w:ascii="Calibri" w:cs="Calibri" w:eastAsia="Calibri" w:hAnsi="Calibri"/>
          <w:color w:val="1F2D3D"/>
          <w:sz w:val="22"/>
          <w:szCs w:val="22"/>
        </w:rPr>
        <w:t xml:space="preserve">This is TML's most operationally serious implementation challenge and the one most frequently underestimated in governance framework discussions.</w:t>
      </w:r>
    </w:p>
    <w:p>
      <w:pPr>
        <w:spacing w:after="60"/>
      </w:pPr>
      <w:r>
        <w:t xml:space="preserve"/>
      </w:r>
    </w:p>
    <w:p>
      <w:pPr>
        <w:spacing w:after="140"/>
      </w:pPr>
      <w:r>
        <w:rPr>
          <w:rFonts w:ascii="Calibri" w:cs="Calibri" w:eastAsia="Calibri" w:hAnsi="Calibri"/>
          <w:color w:val="1F2D3D"/>
          <w:sz w:val="22"/>
          <w:szCs w:val="22"/>
        </w:rPr>
        <w:t xml:space="preserve">At a Sacred Zero trigger rate of 0.1% of decisions at Meta scale (10 billion decisions per day), TML generates approximately 10 million Sacred Pause reviews per day. A human reviewer working at sustainable pace (1 decision per 30 seconds, 6-hour productive review day) can process approximately 720 decisions per day. Clearing 10 million Sacred Pause reviews per day requires approximately 13,900 reviewers per day - or approximately 100,000 reviewers accounting for scheduling, turnover, training, and quality review.</w:t>
      </w:r>
    </w:p>
    <w:p>
      <w:pPr>
        <w:spacing w:after="60"/>
      </w:pPr>
      <w:r>
        <w:t xml:space="preserve"/>
      </w:r>
    </w:p>
    <w:p>
      <w:pPr>
        <w:spacing w:after="140"/>
      </w:pPr>
      <w:r>
        <w:rPr>
          <w:rFonts w:ascii="Calibri" w:cs="Calibri" w:eastAsia="Calibri" w:hAnsi="Calibri"/>
          <w:color w:val="1F2D3D"/>
          <w:sz w:val="22"/>
          <w:szCs w:val="22"/>
        </w:rPr>
        <w:t xml:space="preserve">This workforce does not exist in organized form. The $52 million PTSD settlement covering 11,250 Meta content moderators at existing scale demonstrates that the psychological burden of this work is real and documentable. Scaling to 100,000 reviewers without addressing the structural causes of that burden (exposure volume, inadequate support, inadequate pay) would produce a larger-scale version of the same harm.</w:t>
      </w:r>
    </w:p>
    <w:p>
      <w:pPr>
        <w:spacing w:after="60"/>
      </w:pPr>
      <w:r>
        <w:t xml:space="preserve"/>
      </w:r>
    </w:p>
    <w:p>
      <w:pPr>
        <w:spacing w:after="140"/>
      </w:pPr>
      <w:r>
        <w:rPr>
          <w:rFonts w:ascii="Calibri" w:cs="Calibri" w:eastAsia="Calibri" w:hAnsi="Calibri"/>
          <w:color w:val="1F2D3D"/>
          <w:sz w:val="22"/>
          <w:szCs w:val="22"/>
        </w:rPr>
        <w:t xml:space="preserve">TML cannot replace this human workforce with AI automation without collapsing its own architecture. Sacred Pause exists precisely because AI systems are insufficiently reliable for the moral judgments it requires. Automating Sacred Pause resolution would reproduce the failure mode TML is designed to correct. This is not an oversight in TML's design - it is an honest acknowledgment of what genuine ethical governance costs.</w:t>
      </w:r>
    </w:p>
    <w:p>
      <w:pPr>
        <w:spacing w:after="60"/>
      </w:pPr>
      <w:r>
        <w:t xml:space="preserve"/>
      </w:r>
    </w:p>
    <w:p>
      <w:pPr>
        <w:spacing w:after="140"/>
      </w:pPr>
      <w:r>
        <w:rPr>
          <w:rFonts w:ascii="Calibri" w:cs="Calibri" w:eastAsia="Calibri" w:hAnsi="Calibri"/>
          <w:color w:val="1F2D3D"/>
          <w:sz w:val="22"/>
          <w:szCs w:val="22"/>
        </w:rPr>
        <w:t xml:space="preserve">The workforce implication is that TML's full implementation requires: a new labor category (trained ethical reviewer, distinct from current content moderation), compensation structures that reflect the skilled judgment required (not current contractor rates), psychological support infrastructure comparable to trauma-informed professions (not current platform contractor arrangements), and training curricula that do not yet exist. Building this workforce is a precondition for TML's full implementation, not a downstream consequence of it.</w:t>
      </w:r>
    </w:p>
    <w:p>
      <w:pPr>
        <w:spacing w:after="60"/>
      </w:pPr>
      <w:r>
        <w:t xml:space="preserve"/>
      </w:r>
    </w:p>
    <w:p>
      <w:pPr>
        <w:pStyle w:val="Heading2"/>
        <w:spacing w:after="140" w:before="320"/>
      </w:pPr>
      <w:r>
        <w:rPr>
          <w:rFonts w:ascii="Calibri" w:cs="Calibri" w:eastAsia="Calibri" w:hAnsi="Calibri"/>
          <w:b/>
          <w:bCs/>
          <w:color w:val="2E4057"/>
          <w:sz w:val="26"/>
          <w:szCs w:val="26"/>
        </w:rPr>
        <w:t xml:space="preserve">H.5 Terminal Judgment</w:t>
      </w:r>
    </w:p>
    <w:p>
      <w:pPr>
        <w:spacing w:after="140"/>
      </w:pPr>
      <w:r>
        <w:rPr>
          <w:rFonts w:ascii="Calibri" w:cs="Calibri" w:eastAsia="Calibri" w:hAnsi="Calibri"/>
          <w:color w:val="1F2D3D"/>
          <w:sz w:val="22"/>
          <w:szCs w:val="22"/>
        </w:rPr>
        <w:t xml:space="preserve">Four terminal judgments follow from this analysis:</w:t>
      </w:r>
    </w:p>
    <w:p>
      <w:pPr>
        <w:spacing w:after="60"/>
      </w:pPr>
      <w:r>
        <w:t xml:space="preserve"/>
      </w:r>
    </w:p>
    <w:p>
      <w:pPr>
        <w:spacing w:after="140"/>
      </w:pPr>
      <w:r>
        <w:rPr>
          <w:rFonts w:ascii="Calibri" w:cs="Calibri" w:eastAsia="Calibri" w:hAnsi="Calibri"/>
          <w:color w:val="1F2D3D"/>
          <w:sz w:val="22"/>
          <w:szCs w:val="22"/>
        </w:rPr>
        <w:t xml:space="preserve">Judgment 1 - Technical achievability: TML's core architecture is technically achievable at platform scale. The Dual-Lane Latency design is sound. Merkle-batched logging is proven. Blockchain anchoring at required volume is feasible. The technical barriers are real but surmountable with dedicated engineering investment. Confidence: High.</w:t>
      </w:r>
    </w:p>
    <w:p>
      <w:pPr>
        <w:spacing w:after="60"/>
      </w:pPr>
      <w:r>
        <w:t xml:space="preserve"/>
      </w:r>
    </w:p>
    <w:p>
      <w:pPr>
        <w:spacing w:after="140"/>
      </w:pPr>
      <w:r>
        <w:rPr>
          <w:rFonts w:ascii="Calibri" w:cs="Calibri" w:eastAsia="Calibri" w:hAnsi="Calibri"/>
          <w:color w:val="1F2D3D"/>
          <w:sz w:val="22"/>
          <w:szCs w:val="22"/>
        </w:rPr>
        <w:t xml:space="preserve">Judgment 2 - Economic realism: TML imposes real but bounded costs ($50-100M/year at Meta scale for the Governance Lane) and structurally constrains a revenue-generating mechanism (amplification of high-engagement borderline content). These costs make voluntary adoption irrational under current business models. They do not make TML economically prohibitive under regulatory mandate with cost-sharing mechanisms. Confidence: Medium (revenue constraint is structural; magnitude requires empirical pilot data).</w:t>
      </w:r>
    </w:p>
    <w:p>
      <w:pPr>
        <w:spacing w:after="60"/>
      </w:pPr>
      <w:r>
        <w:t xml:space="preserve"/>
      </w:r>
    </w:p>
    <w:p>
      <w:pPr>
        <w:spacing w:after="140"/>
      </w:pPr>
      <w:r>
        <w:rPr>
          <w:rFonts w:ascii="Calibri" w:cs="Calibri" w:eastAsia="Calibri" w:hAnsi="Calibri"/>
          <w:color w:val="1F2D3D"/>
          <w:sz w:val="22"/>
          <w:szCs w:val="22"/>
        </w:rPr>
        <w:t xml:space="preserve">Judgment 3 - Political achievability: Voluntary adoption by major VLOPs is not achievable. EU DSA mandate is achievable within a 3-5 year enforcement trajectory if the Commission escalates from process to architectural requirements. US adoption pathway is uncertain and contingent on Section 230 litigation outcomes. The mandate gap is political, not technical or economic. Confidence: Medium (regulatory trajectory is directional, not determinate).</w:t>
      </w:r>
    </w:p>
    <w:p>
      <w:pPr>
        <w:spacing w:after="60"/>
      </w:pPr>
      <w:r>
        <w:t xml:space="preserve"/>
      </w:r>
    </w:p>
    <w:p>
      <w:pPr>
        <w:spacing w:after="140"/>
      </w:pPr>
      <w:r>
        <w:rPr>
          <w:rFonts w:ascii="Calibri" w:cs="Calibri" w:eastAsia="Calibri" w:hAnsi="Calibri"/>
          <w:color w:val="1F2D3D"/>
          <w:sz w:val="22"/>
          <w:szCs w:val="22"/>
        </w:rPr>
        <w:t xml:space="preserve">Judgment 4 - Conditional achievability: TML can reform social media feed ranking under four conditions: (1) EU DSA mandate requiring Governance Lane-equivalent architecture for VLOPs; (2) Tri-Cameral Governance with constitutionally specified independence (not advisory-only); (3) human review workforce built at scale with appropriate compensation and support; (4) Always Memory logs subject to external audit with blockchain anchoring providing tamper evidence. Under these conditions, TML is achievable and would constitute a structural change in the accountability architecture of social media. Without all four conditions, TML risks becoming governance theater - the pattern that has characterized every prior governance framework that stopped short of architectural mandate.</w:t>
      </w:r>
    </w:p>
    <w:p>
      <w:pPr>
        <w:spacing w:after="60"/>
      </w:pPr>
      <w:r>
        <w:t xml:space="preserve"/>
      </w:r>
    </w:p>
    <w:p>
      <w:pPr>
        <w:pBdr>
          <w:left w:val="single" w:color="1A5276" w:sz="14" w:space="12"/>
        </w:pBdr>
        <w:spacing w:after="160" w:before="160"/>
        <w:ind w:left="720"/>
      </w:pPr>
      <w:r>
        <w:rPr>
          <w:rFonts w:ascii="Calibri" w:cs="Calibri" w:eastAsia="Calibri" w:hAnsi="Calibri"/>
          <w:i/>
          <w:iCs/>
          <w:color w:val="5D6D7E"/>
          <w:sz w:val="22"/>
          <w:szCs w:val="22"/>
        </w:rPr>
        <w:t xml:space="preserve">The framework is ready. The mandate is not yet. The distance between those two facts is not a technical gap. It is the exact size of the political will that does not yet exist - and the exact cost of continuing to pretend that it does not need to.</w:t>
      </w:r>
    </w:p>
    <w:p>
      <w:r>
        <w:br w:type="page"/>
      </w:r>
    </w:p>
    <w:p>
      <w:pPr>
        <w:pBdr>
          <w:bottom w:val="single" w:color="CCCCCC" w:sz="4" w:space="4"/>
        </w:pBdr>
        <w:spacing w:after="200" w:before="200"/>
      </w:pPr>
      <w:r>
        <w:t xml:space="preserve"/>
      </w:r>
    </w:p>
    <w:p>
      <w:pPr>
        <w:spacing w:after="120" w:before="200"/>
        <w:jc w:val="center"/>
      </w:pPr>
      <w:r>
        <w:rPr>
          <w:rFonts w:ascii="Calibri" w:cs="Calibri" w:eastAsia="Calibri" w:hAnsi="Calibri"/>
          <w:b/>
          <w:bCs/>
          <w:color w:val="5D6D7E"/>
          <w:sz w:val="20"/>
          <w:szCs w:val="20"/>
        </w:rPr>
        <w:t xml:space="preserve">END OF REPORT</w:t>
      </w:r>
    </w:p>
    <w:p>
      <w:pPr>
        <w:spacing w:after="120"/>
        <w:jc w:val="center"/>
      </w:pPr>
      <w:r>
        <w:rPr>
          <w:rFonts w:ascii="Calibri" w:cs="Calibri" w:eastAsia="Calibri" w:hAnsi="Calibri"/>
          <w:b/>
          <w:bCs/>
          <w:color w:val="1A5276"/>
          <w:sz w:val="26"/>
          <w:szCs w:val="26"/>
        </w:rPr>
        <w:t xml:space="preserve">Can TML Reform Social Media?</w:t>
      </w:r>
    </w:p>
    <w:p>
      <w:pPr>
        <w:spacing w:after="60"/>
        <w:jc w:val="center"/>
      </w:pPr>
      <w:r>
        <w:rPr>
          <w:rFonts w:ascii="Calibri" w:cs="Calibri" w:eastAsia="Calibri" w:hAnsi="Calibri"/>
          <w:color w:val="5D6D7E"/>
          <w:sz w:val="20"/>
          <w:szCs w:val="20"/>
        </w:rPr>
        <w:t xml:space="preserve">Lev Goukassian - Independent Researcher, AI Governance</w:t>
      </w:r>
    </w:p>
    <w:p>
      <w:pPr>
        <w:spacing w:after="200"/>
        <w:jc w:val="center"/>
      </w:pPr>
      <w:r>
        <w:rPr>
          <w:rFonts w:ascii="Calibri" w:cs="Calibri" w:eastAsia="Calibri" w:hAnsi="Calibri"/>
          <w:color w:val="5D6D7E"/>
          <w:sz w:val="20"/>
          <w:szCs w:val="20"/>
        </w:rPr>
        <w:t xml:space="preserve">TML DOI: 10.1007/s43681-025-00910-6  |  AI Symphony Node 1  |  October 2026</w:t>
      </w:r>
    </w:p>
    <w:p>
      <w:pPr>
        <w:pBdr>
          <w:bottom w:val="single" w:color="CCCCCC" w:sz="4" w:space="4"/>
        </w:pBdr>
        <w:spacing w:after="200" w:before="200"/>
      </w:pPr>
      <w:r>
        <w:t xml:space="preserve"/>
      </w:r>
    </w:p>
    <w:p>
      <w:pPr>
        <w:spacing w:after="60"/>
      </w:pPr>
      <w:r>
        <w:t xml:space="preserve"/>
      </w:r>
    </w:p>
    <w:p>
      <w:pPr>
        <w:spacing w:after="60" w:before="200"/>
        <w:jc w:val="center"/>
      </w:pPr>
      <w:r>
        <w:rPr>
          <w:rFonts w:ascii="Calibri" w:cs="Calibri" w:eastAsia="Calibri" w:hAnsi="Calibri"/>
          <w:i/>
          <w:iCs/>
          <w:color w:val="5D6D7E"/>
          <w:sz w:val="22"/>
          <w:szCs w:val="22"/>
        </w:rPr>
        <w:t xml:space="preserve">"A stress test that only confirms what you hoped is not a stress test. It is a press release." - Lev Goukassian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TML Reform Social Media? - Full Research Report</dc:title>
  <dc:creator>Lev Goukassian</dc:creator>
  <dc:description>Complete research report: Can Algorithmic Governance Be Constitutionalized? TML and Social Media. AI Symphony Node 1.</dc:description>
  <cp:lastModifiedBy>Un-named</cp:lastModifiedBy>
  <cp:revision>1</cp:revision>
  <dcterms:created xsi:type="dcterms:W3CDTF">2026-10-27T19:42:15.756Z</dcterms:created>
  <dcterms:modified xsi:type="dcterms:W3CDTF">2026-10-27T19:42:15.773Z</dcterms:modified>
</cp:coreProperties>
</file>

<file path=docProps/custom.xml><?xml version="1.0" encoding="utf-8"?>
<Properties xmlns="http://schemas.openxmlformats.org/officeDocument/2006/custom-properties" xmlns:vt="http://schemas.openxmlformats.org/officeDocument/2006/docPropsVTypes"/>
</file>