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77" w:rsidRDefault="001C7B77" w:rsidP="001C7B77">
      <w:pPr>
        <w:pStyle w:val="Heading1"/>
        <w:numPr>
          <w:ilvl w:val="0"/>
          <w:numId w:val="1"/>
        </w:numPr>
      </w:pPr>
      <w:bookmarkStart w:id="0" w:name="_GoBack"/>
      <w:bookmarkEnd w:id="0"/>
      <w:r>
        <w:t>METHODOLOGY</w:t>
      </w:r>
    </w:p>
    <w:p w:rsidR="001C7B77" w:rsidRPr="00982607" w:rsidRDefault="001C7B77" w:rsidP="001C7B77">
      <w:pPr>
        <w:pStyle w:val="Heading2"/>
        <w:numPr>
          <w:ilvl w:val="1"/>
          <w:numId w:val="1"/>
        </w:numPr>
      </w:pPr>
      <w:r>
        <w:t>Empirical model</w:t>
      </w:r>
    </w:p>
    <w:p w:rsidR="001C7B77" w:rsidRPr="00982607" w:rsidRDefault="001C7B77" w:rsidP="001C7B77">
      <w:pPr>
        <w:spacing w:line="360" w:lineRule="auto"/>
        <w:jc w:val="both"/>
        <w:rPr>
          <w:rFonts w:ascii="Times New Roman" w:hAnsi="Times New Roman" w:cs="Times New Roman"/>
          <w:sz w:val="24"/>
          <w:szCs w:val="24"/>
        </w:rPr>
      </w:pPr>
      <w:r w:rsidRPr="00982607">
        <w:rPr>
          <w:rFonts w:ascii="Times New Roman" w:hAnsi="Times New Roman" w:cs="Times New Roman"/>
          <w:sz w:val="24"/>
          <w:szCs w:val="24"/>
        </w:rPr>
        <w:t xml:space="preserve">To estimate the effect </w:t>
      </w:r>
      <w:r>
        <w:rPr>
          <w:rFonts w:ascii="Times New Roman" w:hAnsi="Times New Roman" w:cs="Times New Roman"/>
          <w:sz w:val="24"/>
          <w:szCs w:val="24"/>
        </w:rPr>
        <w:t>of credit to government and state owned enterprises on banking sector</w:t>
      </w:r>
      <w:r w:rsidRPr="00982607">
        <w:rPr>
          <w:rFonts w:ascii="Times New Roman" w:hAnsi="Times New Roman" w:cs="Times New Roman"/>
          <w:sz w:val="24"/>
          <w:szCs w:val="24"/>
        </w:rPr>
        <w:t xml:space="preserve"> development, this study uses a modified version of the model used by </w:t>
      </w:r>
      <w:r w:rsidRPr="00982607">
        <w:rPr>
          <w:rFonts w:ascii="Times New Roman" w:hAnsi="Times New Roman" w:cs="Times New Roman"/>
          <w:sz w:val="24"/>
          <w:szCs w:val="24"/>
        </w:rPr>
        <w:fldChar w:fldCharType="begin" w:fldLock="1"/>
      </w:r>
      <w:r w:rsidRPr="00982607">
        <w:rPr>
          <w:rFonts w:ascii="Times New Roman" w:hAnsi="Times New Roman" w:cs="Times New Roman"/>
          <w:sz w:val="24"/>
          <w:szCs w:val="24"/>
        </w:rPr>
        <w:instrText>ADDIN CSL_CITATION { "citationItems" : [ { "id" : "ITEM-1", "itemData" : { "DOI" : "10.1111/jmcb.12092", "ISBN" : "10", "ISSN" : "00222879", "abstract" : "Over the past two decades, foreign banks have become much more important in domestic financial intermediation, heightening the need to understand their behavior. We introduce a new, comprehensive database, made publicly available, on bank ownership (including the home country of foreign banks) for 5,324 banks in 137 countries over the period 1995-2009. We document large increases in foreign bank presence in many countries, but with substantial heterogeneity in terms of host and banks\u2019 home countries, bilateral investment patterns, and bank characteristics. In terms of impact, we document that the relation between private credit and foreign bank presence importantly depends on host country and banks\u2019 characteristics. Specifically, foreign banks only seem to have a negative impact on credit in low-income countries, in countries where they have a limited market share, where enforcing contracts is costly and where credit information is limited available, and when they come from distant home countries. This shows that accounting for heterogeneity, including bilateral ownership, is crucial to better understand the implications of foreign bank ownership", "author" : [ { "dropping-particle" : "", "family" : "Claessens", "given" : "Stijn", "non-dropping-particle" : "", "parse-names" : false, "suffix" : "" }, { "dropping-particle" : "", "family" : "Horen", "given" : "Neeltje", "non-dropping-particle" : "Van", "parse-names" : false, "suffix" : "" } ], "container-title" : "Journal of Money, Credit and Banking", "id" : "ITEM-1", "issue" : "SUPPL.1", "issued" : { "date-parts" : [ [ "2014" ] ] }, "page" : "295-326", "title" : "Foreign banks: Trends and impact", "type" : "article-journal", "volume" : "46" }, "uris" : [ "http://www.mendeley.com/documents/?uuid=54efee07-607a-4b20-8e31-107d5a1be2b7" ] } ], "mendeley" : { "formattedCitation" : "(Claessens and Van Horen, 2014)", "manualFormatting" : "Claessens and Van Horen (2014)", "plainTextFormattedCitation" : "(Claessens and Van Horen, 2014)", "previouslyFormattedCitation" : "(Claessens and Van Horen, 2014)" }, "properties" : { "noteIndex" : 7 }, "schema" : "https://github.com/citation-style-language/schema/raw/master/csl-citation.json" }</w:instrText>
      </w:r>
      <w:r w:rsidRPr="00982607">
        <w:rPr>
          <w:rFonts w:ascii="Times New Roman" w:hAnsi="Times New Roman" w:cs="Times New Roman"/>
          <w:sz w:val="24"/>
          <w:szCs w:val="24"/>
        </w:rPr>
        <w:fldChar w:fldCharType="separate"/>
      </w:r>
      <w:r>
        <w:rPr>
          <w:rFonts w:ascii="Times New Roman" w:hAnsi="Times New Roman" w:cs="Times New Roman"/>
          <w:noProof/>
          <w:sz w:val="24"/>
          <w:szCs w:val="24"/>
        </w:rPr>
        <w:t>Anyanwu et al.</w:t>
      </w:r>
      <w:r w:rsidRPr="00982607">
        <w:rPr>
          <w:rFonts w:ascii="Times New Roman" w:hAnsi="Times New Roman" w:cs="Times New Roman"/>
          <w:noProof/>
          <w:sz w:val="24"/>
          <w:szCs w:val="24"/>
        </w:rPr>
        <w:t xml:space="preserve"> (</w:t>
      </w:r>
      <w:r>
        <w:rPr>
          <w:rFonts w:ascii="Times New Roman" w:hAnsi="Times New Roman" w:cs="Times New Roman"/>
          <w:noProof/>
          <w:sz w:val="24"/>
          <w:szCs w:val="24"/>
        </w:rPr>
        <w:t>2017</w:t>
      </w:r>
      <w:r w:rsidRPr="00982607">
        <w:rPr>
          <w:rFonts w:ascii="Times New Roman" w:hAnsi="Times New Roman" w:cs="Times New Roman"/>
          <w:noProof/>
          <w:sz w:val="24"/>
          <w:szCs w:val="24"/>
        </w:rPr>
        <w:t>)</w:t>
      </w:r>
      <w:r w:rsidRPr="00982607">
        <w:rPr>
          <w:rFonts w:ascii="Times New Roman" w:hAnsi="Times New Roman" w:cs="Times New Roman"/>
          <w:sz w:val="24"/>
          <w:szCs w:val="24"/>
        </w:rPr>
        <w:fldChar w:fldCharType="end"/>
      </w:r>
      <w:r w:rsidRPr="00982607">
        <w:rPr>
          <w:rFonts w:ascii="Times New Roman" w:hAnsi="Times New Roman" w:cs="Times New Roman"/>
          <w:sz w:val="24"/>
          <w:szCs w:val="24"/>
        </w:rPr>
        <w:t>. The model is specified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213"/>
        <w:gridCol w:w="496"/>
      </w:tblGrid>
      <w:tr w:rsidR="001C7B77" w:rsidTr="006B2CEB">
        <w:tc>
          <w:tcPr>
            <w:tcW w:w="533" w:type="dxa"/>
          </w:tcPr>
          <w:p w:rsidR="001C7B77" w:rsidRDefault="001C7B77" w:rsidP="006B2CEB">
            <w:pPr>
              <w:spacing w:line="360" w:lineRule="auto"/>
              <w:jc w:val="both"/>
              <w:rPr>
                <w:rFonts w:ascii="Times New Roman" w:hAnsi="Times New Roman"/>
                <w:sz w:val="24"/>
                <w:szCs w:val="24"/>
              </w:rPr>
            </w:pPr>
          </w:p>
        </w:tc>
        <w:tc>
          <w:tcPr>
            <w:tcW w:w="8213" w:type="dxa"/>
            <w:vAlign w:val="center"/>
          </w:tcPr>
          <w:p w:rsidR="001C7B77" w:rsidRDefault="003D77C3" w:rsidP="006B2CEB">
            <w:pPr>
              <w:spacing w:line="360" w:lineRule="auto"/>
              <w:jc w:val="center"/>
              <w:rPr>
                <w:rFonts w:ascii="Times New Roman" w:hAnsi="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FD</m:t>
                    </m:r>
                    <m:ctrlPr>
                      <w:rPr>
                        <w:rFonts w:ascii="Cambria Math" w:hAnsi="Cambria Math" w:cs="Times New Roman"/>
                        <w:sz w:val="24"/>
                        <w:szCs w:val="24"/>
                      </w:rPr>
                    </m:ctrlPr>
                  </m:e>
                  <m:sub>
                    <m:r>
                      <w:rPr>
                        <w:rFonts w:ascii="Cambria Math" w:hAnsi="Cambria Math" w:cs="Times New Roman"/>
                        <w:sz w:val="24"/>
                        <w:szCs w:val="24"/>
                      </w:rPr>
                      <m:t>it</m:t>
                    </m:r>
                  </m:sub>
                </m:sSub>
                <m:r>
                  <m:rPr>
                    <m:sty m:val="p"/>
                  </m:rPr>
                  <w:rPr>
                    <w:rFonts w:ascii="Cambria Math" w:hAnsi="Cambria Math" w:cs="Times New Roman"/>
                    <w:sz w:val="24"/>
                    <w:szCs w:val="24"/>
                  </w:rPr>
                  <m:t>= β0</m:t>
                </m:r>
                <m:r>
                  <w:rPr>
                    <w:rFonts w:ascii="Cambria Math" w:hAnsi="Cambria Math" w:cs="Times New Roman"/>
                    <w:sz w:val="24"/>
                    <w:szCs w:val="24"/>
                  </w:rPr>
                  <m:t xml:space="preserve">+ </m:t>
                </m:r>
                <m:r>
                  <m:rPr>
                    <m:sty m:val="p"/>
                  </m:rPr>
                  <w:rPr>
                    <w:rFonts w:ascii="Cambria Math" w:hAnsi="Cambria Math" w:cs="Times New Roman"/>
                    <w:sz w:val="24"/>
                    <w:szCs w:val="24"/>
                  </w:rPr>
                  <m:t>β</m:t>
                </m:r>
                <m:r>
                  <w:rPr>
                    <w:rFonts w:ascii="Cambria Math" w:hAnsi="Cambria Math" w:cs="Times New Roman"/>
                    <w:sz w:val="24"/>
                    <w:szCs w:val="24"/>
                  </w:rPr>
                  <m:t>1</m:t>
                </m:r>
                <m:sSub>
                  <m:sSubPr>
                    <m:ctrlPr>
                      <w:rPr>
                        <w:rFonts w:ascii="Cambria Math" w:hAnsi="Cambria Math" w:cs="Times New Roman"/>
                        <w:i/>
                        <w:sz w:val="24"/>
                        <w:szCs w:val="24"/>
                      </w:rPr>
                    </m:ctrlPr>
                  </m:sSubPr>
                  <m:e>
                    <m:r>
                      <m:rPr>
                        <m:sty m:val="p"/>
                      </m:rPr>
                      <w:rPr>
                        <w:rFonts w:ascii="Cambria Math" w:hAnsi="Cambria Math" w:cs="Times New Roman"/>
                        <w:sz w:val="24"/>
                        <w:szCs w:val="24"/>
                      </w:rPr>
                      <m:t>Credgov</m:t>
                    </m:r>
                    <m:ctrlPr>
                      <w:rPr>
                        <w:rFonts w:ascii="Cambria Math" w:hAnsi="Cambria Math" w:cs="Times New Roman"/>
                        <w:sz w:val="24"/>
                        <w:szCs w:val="24"/>
                      </w:rPr>
                    </m:ctrlPr>
                  </m:e>
                  <m:sub>
                    <m:r>
                      <w:rPr>
                        <w:rFonts w:ascii="Cambria Math" w:hAnsi="Cambria Math" w:cs="Times New Roman"/>
                        <w:sz w:val="24"/>
                        <w:szCs w:val="24"/>
                      </w:rPr>
                      <m:t>it</m:t>
                    </m:r>
                  </m:sub>
                </m:sSub>
                <m:r>
                  <w:rPr>
                    <w:rFonts w:ascii="Cambria Math" w:hAnsi="Cambria Math" w:cs="Times New Roman"/>
                    <w:sz w:val="24"/>
                    <w:szCs w:val="24"/>
                  </w:rPr>
                  <m:t>+γ</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ctrlPr>
                      <w:rPr>
                        <w:rFonts w:ascii="Cambria Math" w:hAnsi="Cambria Math" w:cs="Times New Roman"/>
                        <w:sz w:val="24"/>
                        <w:szCs w:val="24"/>
                      </w:rPr>
                    </m:ctrlPr>
                  </m:e>
                  <m:sub>
                    <m:r>
                      <w:rPr>
                        <w:rFonts w:ascii="Cambria Math" w:hAnsi="Cambria Math" w:cs="Times New Roman"/>
                        <w:sz w:val="24"/>
                        <w:szCs w:val="24"/>
                      </w:rPr>
                      <m:t>it</m:t>
                    </m:r>
                  </m:sub>
                </m:sSub>
              </m:oMath>
            </m:oMathPara>
          </w:p>
        </w:tc>
        <w:tc>
          <w:tcPr>
            <w:tcW w:w="496" w:type="dxa"/>
            <w:vAlign w:val="center"/>
          </w:tcPr>
          <w:p w:rsidR="001C7B77" w:rsidRDefault="001C7B77" w:rsidP="006B2CEB">
            <w:pPr>
              <w:spacing w:line="360" w:lineRule="auto"/>
              <w:jc w:val="right"/>
              <w:rPr>
                <w:rFonts w:ascii="Times New Roman" w:hAnsi="Times New Roman"/>
                <w:sz w:val="24"/>
                <w:szCs w:val="24"/>
              </w:rPr>
            </w:pPr>
            <w:r>
              <w:rPr>
                <w:rFonts w:ascii="Times New Roman" w:hAnsi="Times New Roman"/>
                <w:sz w:val="24"/>
                <w:szCs w:val="24"/>
              </w:rPr>
              <w:t>(1)</w:t>
            </w:r>
          </w:p>
        </w:tc>
      </w:tr>
    </w:tbl>
    <w:p w:rsidR="001C7B77" w:rsidRPr="0055141B"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t>The dependent variable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FD</m:t>
            </m:r>
            <m:ctrlPr>
              <w:rPr>
                <w:rFonts w:ascii="Cambria Math" w:hAnsi="Cambria Math" w:cs="Times New Roman"/>
                <w:sz w:val="24"/>
                <w:szCs w:val="24"/>
              </w:rPr>
            </m:ctrlPr>
          </m:e>
          <m:sub>
            <m:r>
              <w:rPr>
                <w:rFonts w:ascii="Cambria Math" w:hAnsi="Cambria Math" w:cs="Times New Roman"/>
                <w:sz w:val="24"/>
                <w:szCs w:val="24"/>
              </w:rPr>
              <m:t>it</m:t>
            </m:r>
          </m:sub>
        </m:sSub>
      </m:oMath>
      <w:r>
        <w:rPr>
          <w:rFonts w:ascii="Times New Roman" w:hAnsi="Times New Roman" w:cs="Times New Roman"/>
          <w:sz w:val="24"/>
          <w:szCs w:val="24"/>
        </w:rPr>
        <w:t>) refers to banking sector development. Credit to government and state owned enterprises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Credgov</m:t>
            </m:r>
            <m:ctrlPr>
              <w:rPr>
                <w:rFonts w:ascii="Cambria Math" w:hAnsi="Cambria Math" w:cs="Times New Roman"/>
                <w:sz w:val="24"/>
                <w:szCs w:val="24"/>
              </w:rPr>
            </m:ctrlPr>
          </m:e>
          <m:sub>
            <m:r>
              <w:rPr>
                <w:rFonts w:ascii="Cambria Math" w:hAnsi="Cambria Math" w:cs="Times New Roman"/>
                <w:sz w:val="24"/>
                <w:szCs w:val="24"/>
              </w:rPr>
              <m:t>it</m:t>
            </m:r>
          </m:sub>
        </m:sSub>
        <m:r>
          <w:rPr>
            <w:rFonts w:ascii="Cambria Math" w:hAnsi="Cambria Math" w:cs="Times New Roman"/>
            <w:sz w:val="24"/>
            <w:szCs w:val="24"/>
          </w:rPr>
          <m:t xml:space="preserve">) </m:t>
        </m:r>
      </m:oMath>
      <w:r>
        <w:rPr>
          <w:rFonts w:ascii="Times New Roman" w:hAnsi="Times New Roman" w:cs="Times New Roman"/>
          <w:sz w:val="24"/>
          <w:szCs w:val="24"/>
        </w:rPr>
        <w:t>is the main explanatory variable</w:t>
      </w:r>
      <w:r w:rsidRPr="0055141B">
        <w:rPr>
          <w:rFonts w:ascii="Times New Roman" w:hAnsi="Times New Roman" w:cs="Times New Roman"/>
          <w:sz w:val="24"/>
          <w:szCs w:val="24"/>
        </w:rPr>
        <w:t xml:space="preserve"> of interest. </w:t>
      </w:r>
      <w:proofErr w:type="spellStart"/>
      <w:r w:rsidRPr="0055141B">
        <w:rPr>
          <w:rFonts w:ascii="Times New Roman" w:hAnsi="Times New Roman" w:cs="Times New Roman"/>
          <w:i/>
          <w:sz w:val="24"/>
          <w:szCs w:val="24"/>
        </w:rPr>
        <w:t>X</w:t>
      </w:r>
      <w:r w:rsidRPr="0055141B">
        <w:rPr>
          <w:rFonts w:ascii="Times New Roman" w:hAnsi="Times New Roman" w:cs="Times New Roman"/>
          <w:i/>
          <w:sz w:val="24"/>
          <w:szCs w:val="24"/>
          <w:vertAlign w:val="subscript"/>
        </w:rPr>
        <w:t>it</w:t>
      </w:r>
      <w:proofErr w:type="spellEnd"/>
      <w:r w:rsidRPr="0055141B">
        <w:rPr>
          <w:rFonts w:ascii="Times New Roman" w:hAnsi="Times New Roman" w:cs="Times New Roman"/>
          <w:sz w:val="24"/>
          <w:szCs w:val="24"/>
        </w:rPr>
        <w:t xml:space="preserve"> represents a vector </w:t>
      </w:r>
      <w:r>
        <w:rPr>
          <w:rFonts w:ascii="Times New Roman" w:hAnsi="Times New Roman" w:cs="Times New Roman"/>
          <w:sz w:val="24"/>
          <w:szCs w:val="24"/>
        </w:rPr>
        <w:t>of control variables as</w:t>
      </w:r>
      <w:r w:rsidRPr="0055141B">
        <w:rPr>
          <w:rFonts w:ascii="Times New Roman" w:hAnsi="Times New Roman" w:cs="Times New Roman"/>
          <w:sz w:val="24"/>
          <w:szCs w:val="24"/>
        </w:rPr>
        <w:t xml:space="preserve"> </w:t>
      </w:r>
      <w:r>
        <w:rPr>
          <w:rFonts w:ascii="Times New Roman" w:hAnsi="Times New Roman" w:cs="Times New Roman"/>
          <w:sz w:val="24"/>
          <w:szCs w:val="24"/>
        </w:rPr>
        <w:t xml:space="preserve">standard </w:t>
      </w:r>
      <w:r w:rsidRPr="0055141B">
        <w:rPr>
          <w:rFonts w:ascii="Times New Roman" w:hAnsi="Times New Roman" w:cs="Times New Roman"/>
          <w:sz w:val="24"/>
          <w:szCs w:val="24"/>
        </w:rPr>
        <w:t xml:space="preserve">determinants of banking </w:t>
      </w:r>
      <w:r>
        <w:rPr>
          <w:rFonts w:ascii="Times New Roman" w:hAnsi="Times New Roman" w:cs="Times New Roman"/>
          <w:sz w:val="24"/>
          <w:szCs w:val="24"/>
        </w:rPr>
        <w:t>sector development: GDP per capita</w:t>
      </w:r>
      <w:r w:rsidRPr="0055141B">
        <w:rPr>
          <w:rFonts w:ascii="Times New Roman" w:hAnsi="Times New Roman" w:cs="Times New Roman"/>
          <w:sz w:val="24"/>
          <w:szCs w:val="24"/>
        </w:rPr>
        <w:t>,</w:t>
      </w:r>
      <w:r>
        <w:rPr>
          <w:rFonts w:ascii="Times New Roman" w:hAnsi="Times New Roman" w:cs="Times New Roman"/>
          <w:sz w:val="24"/>
          <w:szCs w:val="24"/>
        </w:rPr>
        <w:t xml:space="preserve"> inflation, financial openness, and an institutional quality indicator. The variables and data sources are described as:</w:t>
      </w:r>
    </w:p>
    <w:p w:rsidR="001C7B77" w:rsidRPr="0055141B" w:rsidRDefault="003D77C3" w:rsidP="001C7B7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FD</m:t>
            </m:r>
            <m:ctrlPr>
              <w:rPr>
                <w:rFonts w:ascii="Cambria Math" w:hAnsi="Cambria Math" w:cs="Times New Roman"/>
                <w:sz w:val="24"/>
                <w:szCs w:val="24"/>
              </w:rPr>
            </m:ctrlPr>
          </m:e>
          <m:sub>
            <m:r>
              <w:rPr>
                <w:rFonts w:ascii="Cambria Math" w:hAnsi="Cambria Math" w:cs="Times New Roman"/>
                <w:sz w:val="24"/>
                <w:szCs w:val="24"/>
              </w:rPr>
              <m:t>it</m:t>
            </m:r>
          </m:sub>
        </m:sSub>
      </m:oMath>
      <w:r w:rsidR="001C7B77">
        <w:rPr>
          <w:rFonts w:ascii="Times New Roman" w:hAnsi="Times New Roman" w:cs="Times New Roman"/>
          <w:sz w:val="24"/>
          <w:szCs w:val="24"/>
        </w:rPr>
        <w:t xml:space="preserve"> = Banking sector development</w:t>
      </w:r>
      <w:r w:rsidR="001C7B77" w:rsidRPr="0055141B">
        <w:rPr>
          <w:rFonts w:ascii="Times New Roman" w:hAnsi="Times New Roman" w:cs="Times New Roman"/>
          <w:sz w:val="24"/>
          <w:szCs w:val="24"/>
        </w:rPr>
        <w:t xml:space="preserve"> is measure</w:t>
      </w:r>
      <w:r w:rsidR="001C7B77">
        <w:rPr>
          <w:rFonts w:ascii="Times New Roman" w:hAnsi="Times New Roman" w:cs="Times New Roman"/>
          <w:sz w:val="24"/>
          <w:szCs w:val="24"/>
        </w:rPr>
        <w:t xml:space="preserve">d as private credit by deposit money banks and other financial institutions to GDP (%) </w:t>
      </w:r>
      <w:r w:rsidR="001C7B77" w:rsidRPr="0055141B">
        <w:rPr>
          <w:rFonts w:ascii="Times New Roman" w:hAnsi="Times New Roman" w:cs="Times New Roman"/>
          <w:sz w:val="24"/>
          <w:szCs w:val="24"/>
        </w:rPr>
        <w:t xml:space="preserve">of country </w:t>
      </w:r>
      <w:proofErr w:type="spellStart"/>
      <w:r w:rsidR="001C7B77">
        <w:rPr>
          <w:rFonts w:ascii="Times New Roman" w:hAnsi="Times New Roman" w:cs="Times New Roman"/>
          <w:i/>
          <w:sz w:val="24"/>
          <w:szCs w:val="24"/>
        </w:rPr>
        <w:t>i</w:t>
      </w:r>
      <w:proofErr w:type="spellEnd"/>
      <w:r w:rsidR="001C7B77">
        <w:rPr>
          <w:rFonts w:ascii="Times New Roman" w:hAnsi="Times New Roman" w:cs="Times New Roman"/>
          <w:i/>
          <w:sz w:val="24"/>
          <w:szCs w:val="24"/>
        </w:rPr>
        <w:t xml:space="preserve"> </w:t>
      </w:r>
      <w:r w:rsidR="001C7B77" w:rsidRPr="0055141B">
        <w:rPr>
          <w:rFonts w:ascii="Times New Roman" w:hAnsi="Times New Roman" w:cs="Times New Roman"/>
          <w:sz w:val="24"/>
          <w:szCs w:val="24"/>
        </w:rPr>
        <w:t xml:space="preserve">at year </w:t>
      </w:r>
      <w:r w:rsidR="001C7B77" w:rsidRPr="0055141B">
        <w:rPr>
          <w:rFonts w:ascii="Times New Roman" w:hAnsi="Times New Roman" w:cs="Times New Roman"/>
          <w:i/>
          <w:sz w:val="24"/>
          <w:szCs w:val="24"/>
        </w:rPr>
        <w:t>t</w:t>
      </w:r>
      <w:r w:rsidR="001C7B77">
        <w:rPr>
          <w:rFonts w:ascii="Times New Roman" w:hAnsi="Times New Roman" w:cs="Times New Roman"/>
          <w:sz w:val="24"/>
          <w:szCs w:val="24"/>
        </w:rPr>
        <w:t>. The variable is</w:t>
      </w:r>
      <w:r w:rsidR="001C7B77" w:rsidRPr="006C7AAD">
        <w:rPr>
          <w:rFonts w:ascii="Times New Roman" w:hAnsi="Times New Roman" w:cs="Times New Roman"/>
          <w:sz w:val="24"/>
          <w:szCs w:val="24"/>
        </w:rPr>
        <w:t xml:space="preserve"> obtained from the World Bank Global Financial Development Database.</w:t>
      </w:r>
    </w:p>
    <w:p w:rsidR="001C7B77" w:rsidRDefault="003D77C3" w:rsidP="001C7B7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Credit to government</m:t>
            </m:r>
            <m:ctrlPr>
              <w:rPr>
                <w:rFonts w:ascii="Cambria Math" w:hAnsi="Cambria Math" w:cs="Times New Roman"/>
                <w:sz w:val="24"/>
                <w:szCs w:val="24"/>
              </w:rPr>
            </m:ctrlPr>
          </m:e>
          <m:sub>
            <m:r>
              <w:rPr>
                <w:rFonts w:ascii="Cambria Math" w:hAnsi="Cambria Math" w:cs="Times New Roman"/>
                <w:sz w:val="24"/>
                <w:szCs w:val="24"/>
              </w:rPr>
              <m:t>it</m:t>
            </m:r>
          </m:sub>
        </m:sSub>
      </m:oMath>
      <w:r w:rsidR="001C7B77">
        <w:rPr>
          <w:rFonts w:ascii="Times New Roman" w:eastAsiaTheme="minorEastAsia" w:hAnsi="Times New Roman" w:cs="Times New Roman"/>
          <w:sz w:val="24"/>
          <w:szCs w:val="24"/>
        </w:rPr>
        <w:t xml:space="preserve"> = Credit to government and state owned enterprises to GDP (%) </w:t>
      </w:r>
      <w:r w:rsidR="001C7B77" w:rsidRPr="0055141B">
        <w:rPr>
          <w:rFonts w:ascii="Times New Roman" w:hAnsi="Times New Roman" w:cs="Times New Roman"/>
          <w:sz w:val="24"/>
          <w:szCs w:val="24"/>
        </w:rPr>
        <w:t xml:space="preserve">of country </w:t>
      </w:r>
      <w:proofErr w:type="spellStart"/>
      <w:r w:rsidR="001C7B77">
        <w:rPr>
          <w:rFonts w:ascii="Times New Roman" w:hAnsi="Times New Roman" w:cs="Times New Roman"/>
          <w:i/>
          <w:sz w:val="24"/>
          <w:szCs w:val="24"/>
        </w:rPr>
        <w:t>i</w:t>
      </w:r>
      <w:proofErr w:type="spellEnd"/>
      <w:r w:rsidR="001C7B77">
        <w:rPr>
          <w:rFonts w:ascii="Times New Roman" w:hAnsi="Times New Roman" w:cs="Times New Roman"/>
          <w:i/>
          <w:sz w:val="24"/>
          <w:szCs w:val="24"/>
        </w:rPr>
        <w:t xml:space="preserve"> </w:t>
      </w:r>
      <w:r w:rsidR="001C7B77" w:rsidRPr="0055141B">
        <w:rPr>
          <w:rFonts w:ascii="Times New Roman" w:hAnsi="Times New Roman" w:cs="Times New Roman"/>
          <w:sz w:val="24"/>
          <w:szCs w:val="24"/>
        </w:rPr>
        <w:t xml:space="preserve">at year </w:t>
      </w:r>
      <w:r w:rsidR="001C7B77" w:rsidRPr="0055141B">
        <w:rPr>
          <w:rFonts w:ascii="Times New Roman" w:hAnsi="Times New Roman" w:cs="Times New Roman"/>
          <w:i/>
          <w:sz w:val="24"/>
          <w:szCs w:val="24"/>
        </w:rPr>
        <w:t>t</w:t>
      </w:r>
      <w:r w:rsidR="001C7B77">
        <w:rPr>
          <w:rFonts w:ascii="Times New Roman" w:eastAsiaTheme="minorEastAsia" w:hAnsi="Times New Roman" w:cs="Times New Roman"/>
          <w:sz w:val="24"/>
          <w:szCs w:val="24"/>
        </w:rPr>
        <w:t xml:space="preserve"> with the variable obtained from </w:t>
      </w:r>
      <w:r w:rsidR="001C7B77" w:rsidRPr="006C7AAD">
        <w:rPr>
          <w:rFonts w:ascii="Times New Roman" w:hAnsi="Times New Roman" w:cs="Times New Roman"/>
          <w:sz w:val="24"/>
          <w:szCs w:val="24"/>
        </w:rPr>
        <w:t>the World Bank Global</w:t>
      </w:r>
      <w:r w:rsidR="001C7B77">
        <w:rPr>
          <w:rFonts w:ascii="Times New Roman" w:hAnsi="Times New Roman" w:cs="Times New Roman"/>
          <w:sz w:val="24"/>
          <w:szCs w:val="24"/>
        </w:rPr>
        <w:t xml:space="preserve"> Financial Development Database.</w:t>
      </w:r>
    </w:p>
    <w:p w:rsidR="001C7B77" w:rsidRPr="0055141B" w:rsidRDefault="003D77C3" w:rsidP="001C7B7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GDPpc</m:t>
            </m:r>
            <m:ctrlPr>
              <w:rPr>
                <w:rFonts w:ascii="Cambria Math" w:hAnsi="Cambria Math" w:cs="Times New Roman"/>
                <w:sz w:val="24"/>
                <w:szCs w:val="24"/>
              </w:rPr>
            </m:ctrlPr>
          </m:e>
          <m:sub>
            <m:r>
              <w:rPr>
                <w:rFonts w:ascii="Cambria Math" w:hAnsi="Cambria Math" w:cs="Times New Roman"/>
                <w:sz w:val="24"/>
                <w:szCs w:val="24"/>
              </w:rPr>
              <m:t>it</m:t>
            </m:r>
          </m:sub>
        </m:sSub>
      </m:oMath>
      <w:r w:rsidR="001C7B77">
        <w:rPr>
          <w:rFonts w:ascii="Times New Roman" w:hAnsi="Times New Roman" w:cs="Times New Roman"/>
          <w:sz w:val="24"/>
          <w:szCs w:val="24"/>
        </w:rPr>
        <w:t xml:space="preserve"> = GDP per capita (log) (constant 2010</w:t>
      </w:r>
      <w:r w:rsidR="001C7B77" w:rsidRPr="0055141B">
        <w:rPr>
          <w:rFonts w:ascii="Times New Roman" w:hAnsi="Times New Roman" w:cs="Times New Roman"/>
          <w:sz w:val="24"/>
          <w:szCs w:val="24"/>
        </w:rPr>
        <w:t xml:space="preserve"> US$) of country </w:t>
      </w:r>
      <w:proofErr w:type="spellStart"/>
      <w:r w:rsidR="001C7B77" w:rsidRPr="0055141B">
        <w:rPr>
          <w:rFonts w:ascii="Times New Roman" w:hAnsi="Times New Roman" w:cs="Times New Roman"/>
          <w:i/>
          <w:sz w:val="24"/>
          <w:szCs w:val="24"/>
        </w:rPr>
        <w:t>i</w:t>
      </w:r>
      <w:proofErr w:type="spellEnd"/>
      <w:r w:rsidR="001C7B77" w:rsidRPr="0055141B">
        <w:rPr>
          <w:rFonts w:ascii="Times New Roman" w:hAnsi="Times New Roman" w:cs="Times New Roman"/>
          <w:sz w:val="24"/>
          <w:szCs w:val="24"/>
        </w:rPr>
        <w:t xml:space="preserve"> at year </w:t>
      </w:r>
      <w:r w:rsidR="001C7B77" w:rsidRPr="0055141B">
        <w:rPr>
          <w:rFonts w:ascii="Times New Roman" w:hAnsi="Times New Roman" w:cs="Times New Roman"/>
          <w:i/>
          <w:sz w:val="24"/>
          <w:szCs w:val="24"/>
        </w:rPr>
        <w:t>t</w:t>
      </w:r>
      <w:r w:rsidR="001C7B77">
        <w:rPr>
          <w:rFonts w:ascii="Times New Roman" w:hAnsi="Times New Roman" w:cs="Times New Roman"/>
          <w:i/>
          <w:sz w:val="24"/>
          <w:szCs w:val="24"/>
        </w:rPr>
        <w:t xml:space="preserve"> </w:t>
      </w:r>
      <w:r w:rsidR="001C7B77" w:rsidRPr="006C7AAD">
        <w:rPr>
          <w:rFonts w:ascii="Times New Roman" w:hAnsi="Times New Roman" w:cs="Times New Roman"/>
          <w:sz w:val="24"/>
          <w:szCs w:val="24"/>
        </w:rPr>
        <w:t>obtained from the World Bank WDI.</w:t>
      </w:r>
    </w:p>
    <w:p w:rsidR="001C7B77" w:rsidRPr="0055141B" w:rsidRDefault="003D77C3" w:rsidP="001C7B77">
      <w:pPr>
        <w:spacing w:line="360" w:lineRule="auto"/>
        <w:contextualSpacing/>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Inflation</m:t>
            </m:r>
            <m:ctrlPr>
              <w:rPr>
                <w:rFonts w:ascii="Cambria Math" w:hAnsi="Cambria Math" w:cs="Times New Roman"/>
                <w:sz w:val="24"/>
                <w:szCs w:val="24"/>
              </w:rPr>
            </m:ctrlPr>
          </m:e>
          <m:sub>
            <m:r>
              <w:rPr>
                <w:rFonts w:ascii="Cambria Math" w:hAnsi="Cambria Math" w:cs="Times New Roman"/>
                <w:sz w:val="24"/>
                <w:szCs w:val="24"/>
              </w:rPr>
              <m:t>it</m:t>
            </m:r>
          </m:sub>
        </m:sSub>
      </m:oMath>
      <w:r w:rsidR="001C7B77" w:rsidRPr="0055141B">
        <w:rPr>
          <w:rFonts w:ascii="Times New Roman" w:hAnsi="Times New Roman" w:cs="Times New Roman"/>
          <w:sz w:val="24"/>
          <w:szCs w:val="24"/>
        </w:rPr>
        <w:t xml:space="preserve"> = Consumer price index (log) (2010=100) of country </w:t>
      </w:r>
      <w:proofErr w:type="spellStart"/>
      <w:r w:rsidR="001C7B77" w:rsidRPr="0055141B">
        <w:rPr>
          <w:rFonts w:ascii="Times New Roman" w:hAnsi="Times New Roman" w:cs="Times New Roman"/>
          <w:i/>
          <w:sz w:val="24"/>
          <w:szCs w:val="24"/>
        </w:rPr>
        <w:t>i</w:t>
      </w:r>
      <w:proofErr w:type="spellEnd"/>
      <w:r w:rsidR="001C7B77" w:rsidRPr="0055141B">
        <w:rPr>
          <w:rFonts w:ascii="Times New Roman" w:hAnsi="Times New Roman" w:cs="Times New Roman"/>
          <w:sz w:val="24"/>
          <w:szCs w:val="24"/>
        </w:rPr>
        <w:t xml:space="preserve"> at year </w:t>
      </w:r>
      <w:r w:rsidR="001C7B77" w:rsidRPr="0055141B">
        <w:rPr>
          <w:rFonts w:ascii="Times New Roman" w:hAnsi="Times New Roman" w:cs="Times New Roman"/>
          <w:i/>
          <w:sz w:val="24"/>
          <w:szCs w:val="24"/>
        </w:rPr>
        <w:t>t</w:t>
      </w:r>
      <w:r w:rsidR="001C7B77">
        <w:rPr>
          <w:rFonts w:ascii="Times New Roman" w:hAnsi="Times New Roman" w:cs="Times New Roman"/>
          <w:i/>
          <w:sz w:val="24"/>
          <w:szCs w:val="24"/>
        </w:rPr>
        <w:t xml:space="preserve"> </w:t>
      </w:r>
      <w:r w:rsidR="001C7B77" w:rsidRPr="006C7AAD">
        <w:rPr>
          <w:rFonts w:ascii="Times New Roman" w:hAnsi="Times New Roman" w:cs="Times New Roman"/>
          <w:sz w:val="24"/>
          <w:szCs w:val="24"/>
        </w:rPr>
        <w:t>obtained from the World Bank WDI.</w:t>
      </w:r>
    </w:p>
    <w:p w:rsidR="001C7B77" w:rsidRDefault="003D77C3" w:rsidP="001C7B7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Financial Openness</m:t>
            </m:r>
            <m:ctrlPr>
              <w:rPr>
                <w:rFonts w:ascii="Cambria Math" w:hAnsi="Cambria Math" w:cs="Times New Roman"/>
                <w:sz w:val="24"/>
                <w:szCs w:val="24"/>
              </w:rPr>
            </m:ctrlPr>
          </m:e>
          <m:sub>
            <m:r>
              <w:rPr>
                <w:rFonts w:ascii="Cambria Math" w:hAnsi="Cambria Math" w:cs="Times New Roman"/>
                <w:sz w:val="24"/>
                <w:szCs w:val="24"/>
              </w:rPr>
              <m:t>it</m:t>
            </m:r>
          </m:sub>
        </m:sSub>
      </m:oMath>
      <w:r w:rsidR="001C7B77">
        <w:rPr>
          <w:rFonts w:ascii="Times New Roman" w:hAnsi="Times New Roman" w:cs="Times New Roman"/>
          <w:sz w:val="24"/>
          <w:szCs w:val="24"/>
        </w:rPr>
        <w:t xml:space="preserve"> = Stock of foreign </w:t>
      </w:r>
      <w:r w:rsidR="001C7B77" w:rsidRPr="0055141B">
        <w:rPr>
          <w:rFonts w:ascii="Times New Roman" w:hAnsi="Times New Roman" w:cs="Times New Roman"/>
          <w:sz w:val="24"/>
          <w:szCs w:val="24"/>
        </w:rPr>
        <w:t xml:space="preserve">liabilities/GDP of country </w:t>
      </w:r>
      <w:proofErr w:type="spellStart"/>
      <w:r w:rsidR="001C7B77" w:rsidRPr="0055141B">
        <w:rPr>
          <w:rFonts w:ascii="Times New Roman" w:hAnsi="Times New Roman" w:cs="Times New Roman"/>
          <w:i/>
          <w:sz w:val="24"/>
          <w:szCs w:val="24"/>
        </w:rPr>
        <w:t>i</w:t>
      </w:r>
      <w:proofErr w:type="spellEnd"/>
      <w:r w:rsidR="001C7B77" w:rsidRPr="0055141B">
        <w:rPr>
          <w:rFonts w:ascii="Times New Roman" w:hAnsi="Times New Roman" w:cs="Times New Roman"/>
          <w:sz w:val="24"/>
          <w:szCs w:val="24"/>
        </w:rPr>
        <w:t xml:space="preserve"> at year </w:t>
      </w:r>
      <w:r w:rsidR="001C7B77" w:rsidRPr="0055141B">
        <w:rPr>
          <w:rFonts w:ascii="Times New Roman" w:hAnsi="Times New Roman" w:cs="Times New Roman"/>
          <w:i/>
          <w:sz w:val="24"/>
          <w:szCs w:val="24"/>
        </w:rPr>
        <w:t>t</w:t>
      </w:r>
      <w:r w:rsidR="001C7B77">
        <w:rPr>
          <w:rFonts w:ascii="Times New Roman" w:hAnsi="Times New Roman" w:cs="Times New Roman"/>
          <w:sz w:val="24"/>
          <w:szCs w:val="24"/>
        </w:rPr>
        <w:t xml:space="preserve"> following </w:t>
      </w:r>
      <w:proofErr w:type="spellStart"/>
      <w:r w:rsidR="001C7B77">
        <w:rPr>
          <w:rFonts w:ascii="Times New Roman" w:hAnsi="Times New Roman" w:cs="Times New Roman"/>
          <w:sz w:val="24"/>
          <w:szCs w:val="24"/>
        </w:rPr>
        <w:t>Gehringer</w:t>
      </w:r>
      <w:proofErr w:type="spellEnd"/>
      <w:r w:rsidR="001C7B77">
        <w:rPr>
          <w:rFonts w:ascii="Times New Roman" w:hAnsi="Times New Roman" w:cs="Times New Roman"/>
          <w:sz w:val="24"/>
          <w:szCs w:val="24"/>
        </w:rPr>
        <w:t xml:space="preserve"> (2013) with the data obtained from</w:t>
      </w:r>
      <w:r w:rsidR="001C7B77" w:rsidRPr="0055141B">
        <w:rPr>
          <w:rFonts w:ascii="Times New Roman" w:hAnsi="Times New Roman" w:cs="Times New Roman"/>
          <w:sz w:val="24"/>
          <w:szCs w:val="24"/>
        </w:rPr>
        <w:t xml:space="preserve"> the “External Wealth of Nations Mark II” database (updated) of Lane and </w:t>
      </w:r>
      <w:proofErr w:type="spellStart"/>
      <w:r w:rsidR="001C7B77" w:rsidRPr="0055141B">
        <w:rPr>
          <w:rFonts w:ascii="Times New Roman" w:hAnsi="Times New Roman" w:cs="Times New Roman"/>
          <w:sz w:val="24"/>
          <w:szCs w:val="24"/>
        </w:rPr>
        <w:t>Milesi</w:t>
      </w:r>
      <w:proofErr w:type="spellEnd"/>
      <w:r w:rsidR="001C7B77" w:rsidRPr="0055141B">
        <w:rPr>
          <w:rFonts w:ascii="Times New Roman" w:hAnsi="Times New Roman" w:cs="Times New Roman"/>
          <w:sz w:val="24"/>
          <w:szCs w:val="24"/>
        </w:rPr>
        <w:t>-Ferretti (2007)</w:t>
      </w:r>
      <w:r w:rsidR="001C7B77">
        <w:rPr>
          <w:rFonts w:ascii="Times New Roman" w:hAnsi="Times New Roman" w:cs="Times New Roman"/>
          <w:sz w:val="24"/>
          <w:szCs w:val="24"/>
        </w:rPr>
        <w:t>.</w:t>
      </w:r>
    </w:p>
    <w:p w:rsidR="001C7B77" w:rsidRDefault="003D77C3" w:rsidP="001C7B77">
      <w:pPr>
        <w:spacing w:line="360" w:lineRule="auto"/>
        <w:contextualSpacing/>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Institutional quality</m:t>
            </m:r>
            <m:ctrlPr>
              <w:rPr>
                <w:rFonts w:ascii="Cambria Math" w:hAnsi="Cambria Math" w:cs="Times New Roman"/>
                <w:sz w:val="24"/>
                <w:szCs w:val="24"/>
              </w:rPr>
            </m:ctrlPr>
          </m:e>
          <m:sub>
            <m:r>
              <w:rPr>
                <w:rFonts w:ascii="Cambria Math" w:hAnsi="Cambria Math" w:cs="Times New Roman"/>
                <w:sz w:val="24"/>
                <w:szCs w:val="24"/>
              </w:rPr>
              <m:t>it</m:t>
            </m:r>
          </m:sub>
        </m:sSub>
      </m:oMath>
      <w:r w:rsidR="001C7B77">
        <w:rPr>
          <w:rFonts w:ascii="Times New Roman" w:hAnsi="Times New Roman" w:cs="Times New Roman"/>
          <w:sz w:val="24"/>
          <w:szCs w:val="24"/>
        </w:rPr>
        <w:t xml:space="preserve"> = Institutional quality </w:t>
      </w:r>
      <w:r w:rsidR="001C7B77" w:rsidRPr="0055141B">
        <w:rPr>
          <w:rFonts w:ascii="Times New Roman" w:hAnsi="Times New Roman" w:cs="Times New Roman"/>
          <w:sz w:val="24"/>
          <w:szCs w:val="24"/>
        </w:rPr>
        <w:t xml:space="preserve">of country </w:t>
      </w:r>
      <w:proofErr w:type="spellStart"/>
      <w:r w:rsidR="001C7B77" w:rsidRPr="0055141B">
        <w:rPr>
          <w:rFonts w:ascii="Times New Roman" w:hAnsi="Times New Roman" w:cs="Times New Roman"/>
          <w:i/>
          <w:sz w:val="24"/>
          <w:szCs w:val="24"/>
        </w:rPr>
        <w:t>i</w:t>
      </w:r>
      <w:proofErr w:type="spellEnd"/>
      <w:r w:rsidR="001C7B77" w:rsidRPr="0055141B">
        <w:rPr>
          <w:rFonts w:ascii="Times New Roman" w:hAnsi="Times New Roman" w:cs="Times New Roman"/>
          <w:sz w:val="24"/>
          <w:szCs w:val="24"/>
        </w:rPr>
        <w:t xml:space="preserve"> at year </w:t>
      </w:r>
      <w:r w:rsidR="001C7B77" w:rsidRPr="0055141B">
        <w:rPr>
          <w:rFonts w:ascii="Times New Roman" w:hAnsi="Times New Roman" w:cs="Times New Roman"/>
          <w:i/>
          <w:sz w:val="24"/>
          <w:szCs w:val="24"/>
        </w:rPr>
        <w:t>t</w:t>
      </w:r>
      <w:r w:rsidR="001C7B77">
        <w:rPr>
          <w:rFonts w:ascii="Times New Roman" w:hAnsi="Times New Roman" w:cs="Times New Roman"/>
          <w:sz w:val="24"/>
          <w:szCs w:val="24"/>
        </w:rPr>
        <w:t xml:space="preserve">. The Heritage Foundation’s Index of Economic Freedom is used as proxy for institutional quality following </w:t>
      </w:r>
      <w:r w:rsidR="001C7B77" w:rsidRPr="00982607">
        <w:rPr>
          <w:rFonts w:ascii="Times New Roman" w:hAnsi="Times New Roman" w:cs="Times New Roman"/>
          <w:sz w:val="24"/>
          <w:szCs w:val="24"/>
        </w:rPr>
        <w:fldChar w:fldCharType="begin" w:fldLock="1"/>
      </w:r>
      <w:r w:rsidR="001C7B77" w:rsidRPr="00982607">
        <w:rPr>
          <w:rFonts w:ascii="Times New Roman" w:hAnsi="Times New Roman" w:cs="Times New Roman"/>
          <w:sz w:val="24"/>
          <w:szCs w:val="24"/>
        </w:rPr>
        <w:instrText>ADDIN CSL_CITATION { "citationItems" : [ { "id" : "ITEM-1", "itemData" : { "DOI" : "10.1111/jmcb.12092", "ISBN" : "10", "ISSN" : "00222879", "abstract" : "Over the past two decades, foreign banks have become much more important in domestic financial intermediation, heightening the need to understand their behavior. We introduce a new, comprehensive database, made publicly available, on bank ownership (including the home country of foreign banks) for 5,324 banks in 137 countries over the period 1995-2009. We document large increases in foreign bank presence in many countries, but with substantial heterogeneity in terms of host and banks\u2019 home countries, bilateral investment patterns, and bank characteristics. In terms of impact, we document that the relation between private credit and foreign bank presence importantly depends on host country and banks\u2019 characteristics. Specifically, foreign banks only seem to have a negative impact on credit in low-income countries, in countries where they have a limited market share, where enforcing contracts is costly and where credit information is limited available, and when they come from distant home countries. This shows that accounting for heterogeneity, including bilateral ownership, is crucial to better understand the implications of foreign bank ownership", "author" : [ { "dropping-particle" : "", "family" : "Claessens", "given" : "Stijn", "non-dropping-particle" : "", "parse-names" : false, "suffix" : "" }, { "dropping-particle" : "", "family" : "Horen", "given" : "Neeltje", "non-dropping-particle" : "Van", "parse-names" : false, "suffix" : "" } ], "container-title" : "Journal of Money, Credit and Banking", "id" : "ITEM-1", "issue" : "SUPPL.1", "issued" : { "date-parts" : [ [ "2014" ] ] }, "page" : "295-326", "title" : "Foreign banks: Trends and impact", "type" : "article-journal", "volume" : "46" }, "uris" : [ "http://www.mendeley.com/documents/?uuid=54efee07-607a-4b20-8e31-107d5a1be2b7" ] } ], "mendeley" : { "formattedCitation" : "(Claessens and Van Horen, 2014)", "manualFormatting" : "Claessens and Van Horen (2014)", "plainTextFormattedCitation" : "(Claessens and Van Horen, 2014)", "previouslyFormattedCitation" : "(Claessens and Van Horen, 2014)" }, "properties" : { "noteIndex" : 7 }, "schema" : "https://github.com/citation-style-language/schema/raw/master/csl-citation.json" }</w:instrText>
      </w:r>
      <w:r w:rsidR="001C7B77" w:rsidRPr="00982607">
        <w:rPr>
          <w:rFonts w:ascii="Times New Roman" w:hAnsi="Times New Roman" w:cs="Times New Roman"/>
          <w:sz w:val="24"/>
          <w:szCs w:val="24"/>
        </w:rPr>
        <w:fldChar w:fldCharType="separate"/>
      </w:r>
      <w:r w:rsidR="001C7B77">
        <w:rPr>
          <w:rFonts w:ascii="Times New Roman" w:hAnsi="Times New Roman" w:cs="Times New Roman"/>
          <w:noProof/>
          <w:sz w:val="24"/>
          <w:szCs w:val="24"/>
        </w:rPr>
        <w:t>Anyanwu et al.</w:t>
      </w:r>
      <w:r w:rsidR="001C7B77" w:rsidRPr="00982607">
        <w:rPr>
          <w:rFonts w:ascii="Times New Roman" w:hAnsi="Times New Roman" w:cs="Times New Roman"/>
          <w:noProof/>
          <w:sz w:val="24"/>
          <w:szCs w:val="24"/>
        </w:rPr>
        <w:t xml:space="preserve"> </w:t>
      </w:r>
      <w:r w:rsidR="001C7B77" w:rsidRPr="00982607">
        <w:rPr>
          <w:rFonts w:ascii="Times New Roman" w:hAnsi="Times New Roman" w:cs="Times New Roman"/>
          <w:noProof/>
          <w:sz w:val="24"/>
          <w:szCs w:val="24"/>
        </w:rPr>
        <w:lastRenderedPageBreak/>
        <w:t>(</w:t>
      </w:r>
      <w:r w:rsidR="001C7B77">
        <w:rPr>
          <w:rFonts w:ascii="Times New Roman" w:hAnsi="Times New Roman" w:cs="Times New Roman"/>
          <w:noProof/>
          <w:sz w:val="24"/>
          <w:szCs w:val="24"/>
        </w:rPr>
        <w:t>2017</w:t>
      </w:r>
      <w:r w:rsidR="001C7B77" w:rsidRPr="00982607">
        <w:rPr>
          <w:rFonts w:ascii="Times New Roman" w:hAnsi="Times New Roman" w:cs="Times New Roman"/>
          <w:noProof/>
          <w:sz w:val="24"/>
          <w:szCs w:val="24"/>
        </w:rPr>
        <w:t>)</w:t>
      </w:r>
      <w:r w:rsidR="001C7B77" w:rsidRPr="00982607">
        <w:rPr>
          <w:rFonts w:ascii="Times New Roman" w:hAnsi="Times New Roman" w:cs="Times New Roman"/>
          <w:sz w:val="24"/>
          <w:szCs w:val="24"/>
        </w:rPr>
        <w:fldChar w:fldCharType="end"/>
      </w:r>
      <w:r w:rsidR="001C7B77">
        <w:rPr>
          <w:rFonts w:ascii="Times New Roman" w:hAnsi="Times New Roman" w:cs="Times New Roman"/>
          <w:sz w:val="24"/>
          <w:szCs w:val="24"/>
        </w:rPr>
        <w:t>. The index provides an overall score that aggregates 10 components with equal weight namely: property rights, government integrity, tax burden, government spending, business freedom, labour freedom, monetary freedom, trade freedom, investment freedom, and financial freedom. The index range from 0-100 with higher scores corresponding to higher levels of institutional quality.</w:t>
      </w:r>
    </w:p>
    <w:p w:rsidR="001C7B77" w:rsidRDefault="001C7B77" w:rsidP="001C7B77">
      <w:pPr>
        <w:spacing w:line="360" w:lineRule="auto"/>
        <w:contextualSpacing/>
        <w:jc w:val="both"/>
        <w:rPr>
          <w:rFonts w:ascii="Times New Roman" w:hAnsi="Times New Roman" w:cs="Times New Roman"/>
          <w:sz w:val="24"/>
          <w:szCs w:val="24"/>
        </w:rPr>
      </w:pPr>
    </w:p>
    <w:p w:rsidR="001C7B77" w:rsidRDefault="001C7B77" w:rsidP="001C7B7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Public debt could be beneficial for financial development up to a certain threshold, after which it may become detrimental (</w:t>
      </w:r>
      <w:proofErr w:type="spellStart"/>
      <w:r>
        <w:rPr>
          <w:rFonts w:ascii="Times New Roman" w:hAnsi="Times New Roman" w:cs="Times New Roman"/>
          <w:sz w:val="24"/>
          <w:szCs w:val="24"/>
        </w:rPr>
        <w:t>Hauner</w:t>
      </w:r>
      <w:proofErr w:type="spellEnd"/>
      <w:r>
        <w:rPr>
          <w:rFonts w:ascii="Times New Roman" w:hAnsi="Times New Roman" w:cs="Times New Roman"/>
          <w:sz w:val="24"/>
          <w:szCs w:val="24"/>
        </w:rPr>
        <w:t>, 2009). A second model is specified where the quadratic term of credit to government and state owned enterprises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(Credgov²</m:t>
            </m:r>
            <m:ctrlPr>
              <w:rPr>
                <w:rFonts w:ascii="Cambria Math" w:hAnsi="Cambria Math" w:cs="Times New Roman"/>
                <w:sz w:val="24"/>
                <w:szCs w:val="24"/>
              </w:rPr>
            </m:ctrlPr>
          </m:e>
          <m:sub>
            <m:r>
              <w:rPr>
                <w:rFonts w:ascii="Cambria Math" w:hAnsi="Cambria Math" w:cs="Times New Roman"/>
                <w:sz w:val="24"/>
                <w:szCs w:val="24"/>
              </w:rPr>
              <m:t>it</m:t>
            </m:r>
          </m:sub>
        </m:sSub>
        <m:r>
          <w:rPr>
            <w:rFonts w:ascii="Cambria Math" w:hAnsi="Cambria Math" w:cs="Times New Roman"/>
            <w:sz w:val="24"/>
            <w:szCs w:val="24"/>
          </w:rPr>
          <m:t>)</m:t>
        </m:r>
      </m:oMath>
      <w:r>
        <w:rPr>
          <w:rFonts w:ascii="Times New Roman" w:hAnsi="Times New Roman" w:cs="Times New Roman"/>
          <w:sz w:val="24"/>
          <w:szCs w:val="24"/>
        </w:rPr>
        <w:t xml:space="preserve"> captures the possible non-linear relationship between credit to government and financial development.</w:t>
      </w:r>
    </w:p>
    <w:p w:rsidR="001C7B77" w:rsidRDefault="001C7B77" w:rsidP="001C7B77">
      <w:pPr>
        <w:spacing w:line="360" w:lineRule="auto"/>
        <w:contextual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213"/>
        <w:gridCol w:w="496"/>
      </w:tblGrid>
      <w:tr w:rsidR="001C7B77" w:rsidTr="006B2CEB">
        <w:tc>
          <w:tcPr>
            <w:tcW w:w="533" w:type="dxa"/>
          </w:tcPr>
          <w:p w:rsidR="001C7B77" w:rsidRDefault="001C7B77" w:rsidP="006B2CEB">
            <w:pPr>
              <w:spacing w:line="360" w:lineRule="auto"/>
              <w:jc w:val="both"/>
              <w:rPr>
                <w:rFonts w:ascii="Times New Roman" w:hAnsi="Times New Roman"/>
                <w:sz w:val="24"/>
                <w:szCs w:val="24"/>
              </w:rPr>
            </w:pPr>
          </w:p>
        </w:tc>
        <w:tc>
          <w:tcPr>
            <w:tcW w:w="8213" w:type="dxa"/>
            <w:vAlign w:val="center"/>
          </w:tcPr>
          <w:p w:rsidR="001C7B77" w:rsidRDefault="003D77C3" w:rsidP="006B2CEB">
            <w:pPr>
              <w:spacing w:line="360" w:lineRule="auto"/>
              <w:jc w:val="center"/>
              <w:rPr>
                <w:rFonts w:ascii="Times New Roman" w:hAnsi="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FD</m:t>
                    </m:r>
                    <m:ctrlPr>
                      <w:rPr>
                        <w:rFonts w:ascii="Cambria Math" w:hAnsi="Cambria Math" w:cs="Times New Roman"/>
                        <w:sz w:val="24"/>
                        <w:szCs w:val="24"/>
                      </w:rPr>
                    </m:ctrlPr>
                  </m:e>
                  <m:sub>
                    <m:r>
                      <w:rPr>
                        <w:rFonts w:ascii="Cambria Math" w:hAnsi="Cambria Math" w:cs="Times New Roman"/>
                        <w:sz w:val="24"/>
                        <w:szCs w:val="24"/>
                      </w:rPr>
                      <m:t>it</m:t>
                    </m:r>
                  </m:sub>
                </m:sSub>
                <m:r>
                  <m:rPr>
                    <m:sty m:val="p"/>
                  </m:rPr>
                  <w:rPr>
                    <w:rFonts w:ascii="Cambria Math" w:hAnsi="Cambria Math" w:cs="Times New Roman"/>
                    <w:sz w:val="24"/>
                    <w:szCs w:val="24"/>
                  </w:rPr>
                  <m:t>= β0</m:t>
                </m:r>
                <m:r>
                  <w:rPr>
                    <w:rFonts w:ascii="Cambria Math" w:hAnsi="Cambria Math" w:cs="Times New Roman"/>
                    <w:sz w:val="24"/>
                    <w:szCs w:val="24"/>
                  </w:rPr>
                  <m:t xml:space="preserve">+ </m:t>
                </m:r>
                <m:r>
                  <m:rPr>
                    <m:sty m:val="p"/>
                  </m:rPr>
                  <w:rPr>
                    <w:rFonts w:ascii="Cambria Math" w:hAnsi="Cambria Math" w:cs="Times New Roman"/>
                    <w:sz w:val="24"/>
                    <w:szCs w:val="24"/>
                  </w:rPr>
                  <m:t>β</m:t>
                </m:r>
                <m:r>
                  <w:rPr>
                    <w:rFonts w:ascii="Cambria Math" w:hAnsi="Cambria Math" w:cs="Times New Roman"/>
                    <w:sz w:val="24"/>
                    <w:szCs w:val="24"/>
                  </w:rPr>
                  <m:t>1</m:t>
                </m:r>
                <m:sSub>
                  <m:sSubPr>
                    <m:ctrlPr>
                      <w:rPr>
                        <w:rFonts w:ascii="Cambria Math" w:hAnsi="Cambria Math" w:cs="Times New Roman"/>
                        <w:i/>
                        <w:sz w:val="24"/>
                        <w:szCs w:val="24"/>
                      </w:rPr>
                    </m:ctrlPr>
                  </m:sSubPr>
                  <m:e>
                    <m:r>
                      <m:rPr>
                        <m:sty m:val="p"/>
                      </m:rPr>
                      <w:rPr>
                        <w:rFonts w:ascii="Cambria Math" w:hAnsi="Cambria Math" w:cs="Times New Roman"/>
                        <w:sz w:val="24"/>
                        <w:szCs w:val="24"/>
                      </w:rPr>
                      <m:t>Credgov</m:t>
                    </m:r>
                    <m:ctrlPr>
                      <w:rPr>
                        <w:rFonts w:ascii="Cambria Math" w:hAnsi="Cambria Math" w:cs="Times New Roman"/>
                        <w:sz w:val="24"/>
                        <w:szCs w:val="24"/>
                      </w:rPr>
                    </m:ctrlP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Credgov²</m:t>
                    </m:r>
                    <m:ctrlPr>
                      <w:rPr>
                        <w:rFonts w:ascii="Cambria Math" w:hAnsi="Cambria Math" w:cs="Times New Roman"/>
                        <w:sz w:val="24"/>
                        <w:szCs w:val="24"/>
                      </w:rPr>
                    </m:ctrlPr>
                  </m:e>
                  <m:sub>
                    <m:r>
                      <w:rPr>
                        <w:rFonts w:ascii="Cambria Math" w:hAnsi="Cambria Math" w:cs="Times New Roman"/>
                        <w:sz w:val="24"/>
                        <w:szCs w:val="24"/>
                      </w:rPr>
                      <m:t>it</m:t>
                    </m:r>
                  </m:sub>
                </m:sSub>
                <m:r>
                  <w:rPr>
                    <w:rFonts w:ascii="Cambria Math" w:hAnsi="Cambria Math" w:cs="Times New Roman"/>
                    <w:sz w:val="24"/>
                    <w:szCs w:val="24"/>
                  </w:rPr>
                  <m:t xml:space="preserve"> +γ</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ε</m:t>
                    </m:r>
                    <m:ctrlPr>
                      <w:rPr>
                        <w:rFonts w:ascii="Cambria Math" w:hAnsi="Cambria Math" w:cs="Times New Roman"/>
                        <w:sz w:val="24"/>
                        <w:szCs w:val="24"/>
                      </w:rPr>
                    </m:ctrlPr>
                  </m:e>
                  <m:sub>
                    <m:r>
                      <w:rPr>
                        <w:rFonts w:ascii="Cambria Math" w:hAnsi="Cambria Math" w:cs="Times New Roman"/>
                        <w:sz w:val="24"/>
                        <w:szCs w:val="24"/>
                      </w:rPr>
                      <m:t>it</m:t>
                    </m:r>
                  </m:sub>
                </m:sSub>
              </m:oMath>
            </m:oMathPara>
          </w:p>
        </w:tc>
        <w:tc>
          <w:tcPr>
            <w:tcW w:w="496" w:type="dxa"/>
            <w:vAlign w:val="center"/>
          </w:tcPr>
          <w:p w:rsidR="001C7B77" w:rsidRDefault="001C7B77" w:rsidP="006B2CEB">
            <w:pPr>
              <w:spacing w:line="360" w:lineRule="auto"/>
              <w:jc w:val="right"/>
              <w:rPr>
                <w:rFonts w:ascii="Times New Roman" w:hAnsi="Times New Roman"/>
                <w:sz w:val="24"/>
                <w:szCs w:val="24"/>
              </w:rPr>
            </w:pPr>
            <w:r>
              <w:rPr>
                <w:rFonts w:ascii="Times New Roman" w:hAnsi="Times New Roman"/>
                <w:sz w:val="24"/>
                <w:szCs w:val="24"/>
              </w:rPr>
              <w:t>(2)</w:t>
            </w:r>
          </w:p>
        </w:tc>
      </w:tr>
    </w:tbl>
    <w:p w:rsidR="001C7B77" w:rsidRDefault="001C7B77" w:rsidP="001C7B77">
      <w:pPr>
        <w:spacing w:line="360" w:lineRule="auto"/>
        <w:contextualSpacing/>
        <w:jc w:val="both"/>
        <w:rPr>
          <w:rFonts w:ascii="Times New Roman" w:hAnsi="Times New Roman" w:cs="Times New Roman"/>
          <w:sz w:val="24"/>
          <w:szCs w:val="24"/>
        </w:rPr>
      </w:pPr>
    </w:p>
    <w:p w:rsidR="001C7B77" w:rsidRDefault="001C7B77" w:rsidP="001C7B77">
      <w:pPr>
        <w:pStyle w:val="Heading2"/>
        <w:numPr>
          <w:ilvl w:val="1"/>
          <w:numId w:val="1"/>
        </w:numPr>
      </w:pPr>
      <w:r>
        <w:t>Theoretical underpinning of the model</w:t>
      </w:r>
    </w:p>
    <w:p w:rsidR="001C7B77"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existing theoretical and empirical literature has revealed that the relationship between public debt and financial development still presents open and unresolved questions. For sub-Saharan Africa, Christenson (2004) found that domestic debt use crowded out private sector lending while </w:t>
      </w:r>
      <w:proofErr w:type="spellStart"/>
      <w:r>
        <w:rPr>
          <w:rFonts w:ascii="Times New Roman" w:hAnsi="Times New Roman" w:cs="Times New Roman"/>
          <w:sz w:val="24"/>
          <w:szCs w:val="24"/>
        </w:rPr>
        <w:t>Mbulawa</w:t>
      </w:r>
      <w:proofErr w:type="spellEnd"/>
      <w:r>
        <w:rPr>
          <w:rFonts w:ascii="Times New Roman" w:hAnsi="Times New Roman" w:cs="Times New Roman"/>
          <w:sz w:val="24"/>
          <w:szCs w:val="24"/>
        </w:rPr>
        <w:t xml:space="preserve"> (2015) reported a positive relationship between credit to the public sector and financial development for Southern African Development Community countries. </w:t>
      </w:r>
      <w:proofErr w:type="spellStart"/>
      <w:r>
        <w:rPr>
          <w:rFonts w:ascii="Times New Roman" w:hAnsi="Times New Roman" w:cs="Times New Roman"/>
          <w:sz w:val="24"/>
          <w:szCs w:val="24"/>
        </w:rPr>
        <w:t>Hauner</w:t>
      </w:r>
      <w:proofErr w:type="spellEnd"/>
      <w:r>
        <w:rPr>
          <w:rFonts w:ascii="Times New Roman" w:hAnsi="Times New Roman" w:cs="Times New Roman"/>
          <w:sz w:val="24"/>
          <w:szCs w:val="24"/>
        </w:rPr>
        <w:t xml:space="preserve"> (2009) hypothesized that the “safe asset” and “lazy banks” view need not be mutually exclusive and this study similarly expects the “safe asset” view to prevail below a certain threshold after which the effect of credit to government on banking sector development becomes detrimental.</w:t>
      </w:r>
    </w:p>
    <w:p w:rsidR="001C7B77"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t>More developed countries usually have a higher level of private credit (</w:t>
      </w:r>
      <w:proofErr w:type="spellStart"/>
      <w:r>
        <w:rPr>
          <w:rFonts w:ascii="Times New Roman" w:hAnsi="Times New Roman" w:cs="Times New Roman"/>
          <w:sz w:val="24"/>
          <w:szCs w:val="24"/>
        </w:rPr>
        <w:t>Claessens</w:t>
      </w:r>
      <w:proofErr w:type="spellEnd"/>
      <w:r>
        <w:rPr>
          <w:rFonts w:ascii="Times New Roman" w:hAnsi="Times New Roman" w:cs="Times New Roman"/>
          <w:sz w:val="24"/>
          <w:szCs w:val="24"/>
        </w:rPr>
        <w:t xml:space="preserve"> and Van </w:t>
      </w:r>
      <w:proofErr w:type="spellStart"/>
      <w:r>
        <w:rPr>
          <w:rFonts w:ascii="Times New Roman" w:hAnsi="Times New Roman" w:cs="Times New Roman"/>
          <w:sz w:val="24"/>
          <w:szCs w:val="24"/>
        </w:rPr>
        <w:t>Horen</w:t>
      </w:r>
      <w:proofErr w:type="spellEnd"/>
      <w:r>
        <w:rPr>
          <w:rFonts w:ascii="Times New Roman" w:hAnsi="Times New Roman" w:cs="Times New Roman"/>
          <w:sz w:val="24"/>
          <w:szCs w:val="24"/>
        </w:rPr>
        <w:t>, 2014) with a positive relationship expected between GDP per capita and banking sector development. An increasing inflation rate decreases the real return on financial assets that increases credit market frictions resulting in credit rationing and a decrease in intermediary activity (Boyd et al., 2001). Therefore, this study expects a negative relationship between inflation and banking sector development.</w:t>
      </w:r>
    </w:p>
    <w:p w:rsidR="001C7B77"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Financial openness increases the size of markets generating increasing demand for financial services (David et al., 2015). Conversely, financial openness could induce volatile capital flows and volatile interest rates increasing countries’ vulnerability to crises episodes and external shocks (Hwang et al., 2013) negatively impacting banking sector development. The link between financial openness and banking sector development</w:t>
      </w:r>
      <w:r w:rsidRPr="00313D2D">
        <w:rPr>
          <w:rFonts w:ascii="Times New Roman" w:hAnsi="Times New Roman" w:cs="Times New Roman"/>
          <w:sz w:val="24"/>
          <w:szCs w:val="24"/>
        </w:rPr>
        <w:t xml:space="preserve"> is, therefore, a priori</w:t>
      </w:r>
      <w:r>
        <w:rPr>
          <w:rFonts w:ascii="Times New Roman" w:hAnsi="Times New Roman" w:cs="Times New Roman"/>
          <w:sz w:val="24"/>
          <w:szCs w:val="24"/>
        </w:rPr>
        <w:t xml:space="preserve"> </w:t>
      </w:r>
      <w:r w:rsidRPr="00313D2D">
        <w:rPr>
          <w:rFonts w:ascii="Times New Roman" w:hAnsi="Times New Roman" w:cs="Times New Roman"/>
          <w:sz w:val="24"/>
          <w:szCs w:val="24"/>
        </w:rPr>
        <w:t>unclear.</w:t>
      </w:r>
      <w:r>
        <w:rPr>
          <w:rFonts w:ascii="Times New Roman" w:hAnsi="Times New Roman" w:cs="Times New Roman"/>
          <w:sz w:val="24"/>
          <w:szCs w:val="24"/>
        </w:rPr>
        <w:t xml:space="preserve"> The importance of efficient institutions for financial development and positive financial reforms has been highlighted in the empirical literature (</w:t>
      </w:r>
      <w:proofErr w:type="spellStart"/>
      <w:r>
        <w:rPr>
          <w:rFonts w:ascii="Times New Roman" w:hAnsi="Times New Roman" w:cs="Times New Roman"/>
          <w:sz w:val="24"/>
          <w:szCs w:val="24"/>
        </w:rPr>
        <w:t>Trabelsi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Cherif</w:t>
      </w:r>
      <w:proofErr w:type="spellEnd"/>
      <w:r>
        <w:rPr>
          <w:rFonts w:ascii="Times New Roman" w:hAnsi="Times New Roman" w:cs="Times New Roman"/>
          <w:sz w:val="24"/>
          <w:szCs w:val="24"/>
        </w:rPr>
        <w:t>, 2017). This study therefore expects a positive relationship between institutional quality and banking sector development.</w:t>
      </w:r>
    </w:p>
    <w:p w:rsidR="001C7B77" w:rsidRDefault="001C7B77" w:rsidP="001C7B77">
      <w:pPr>
        <w:pStyle w:val="Heading2"/>
        <w:numPr>
          <w:ilvl w:val="1"/>
          <w:numId w:val="1"/>
        </w:numPr>
      </w:pPr>
      <w:r>
        <w:t>Estimation approach</w:t>
      </w:r>
    </w:p>
    <w:p w:rsidR="001C7B77"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t>As the availability of data having a greater frequency increases, the recent panel-data literature has focused on panel datasets where both the cross-sectional and time dimensions are reasonably large. This should be compared with more conventional panel datasets having large cross-sectional but small time dimensions that generally rely on traditional fixed- or random-effects estimators, or combining fixed-effects estimators with instrumental-variable estimators including the generalized method-of-moment estimators (Blackburne &amp; Frank, 2007). It has been shown that using these traditional estimators in a dynamic panel data setting when the time dimension is reasonably large can result in inconsistent and possibly misleading estimates unless the slope parameters are homogenous, often an inappropriate assumption (</w:t>
      </w:r>
      <w:proofErr w:type="spellStart"/>
      <w:r>
        <w:rPr>
          <w:rFonts w:ascii="Times New Roman" w:hAnsi="Times New Roman" w:cs="Times New Roman"/>
          <w:sz w:val="24"/>
          <w:szCs w:val="24"/>
        </w:rPr>
        <w:t>Pesaran</w:t>
      </w:r>
      <w:proofErr w:type="spellEnd"/>
      <w:r>
        <w:rPr>
          <w:rFonts w:ascii="Times New Roman" w:hAnsi="Times New Roman" w:cs="Times New Roman"/>
          <w:sz w:val="24"/>
          <w:szCs w:val="24"/>
        </w:rPr>
        <w:t xml:space="preserve"> &amp; Smith, 1995). In addition, as the time dimension in the panel dataset increases, unit root processes also becomes an issue.</w:t>
      </w:r>
    </w:p>
    <w:p w:rsidR="005338C0" w:rsidRPr="001C7B77" w:rsidRDefault="001C7B77" w:rsidP="001C7B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employs data for 27 sub-Saharan African countries covering the period 1996-2014. The sample countries are provided in Appendix B. Given the nature of the panel dataset and to account for heterogeneity in the short-run slope parameters and potential unit root processes, this study uses the PMG estimator of </w:t>
      </w:r>
      <w:proofErr w:type="spellStart"/>
      <w:r>
        <w:rPr>
          <w:rFonts w:ascii="Times New Roman" w:hAnsi="Times New Roman" w:cs="Times New Roman"/>
          <w:sz w:val="24"/>
          <w:szCs w:val="24"/>
        </w:rPr>
        <w:t>Peseran</w:t>
      </w:r>
      <w:proofErr w:type="spellEnd"/>
      <w:r>
        <w:rPr>
          <w:rFonts w:ascii="Times New Roman" w:hAnsi="Times New Roman" w:cs="Times New Roman"/>
          <w:sz w:val="24"/>
          <w:szCs w:val="24"/>
        </w:rPr>
        <w:t xml:space="preserve"> et al. (1999). The PMG estimator is an intermediate estimator that involves both pooling and averaging where the intercepts, short-run coefficients, and error variances differ across groups, but where the long-run coefficients are constraint to be similar (</w:t>
      </w:r>
      <w:proofErr w:type="spellStart"/>
      <w:r>
        <w:rPr>
          <w:rFonts w:ascii="Times New Roman" w:hAnsi="Times New Roman" w:cs="Times New Roman"/>
          <w:sz w:val="24"/>
          <w:szCs w:val="24"/>
        </w:rPr>
        <w:t>Pesaran</w:t>
      </w:r>
      <w:proofErr w:type="spellEnd"/>
      <w:r>
        <w:rPr>
          <w:rFonts w:ascii="Times New Roman" w:hAnsi="Times New Roman" w:cs="Times New Roman"/>
          <w:sz w:val="24"/>
          <w:szCs w:val="24"/>
        </w:rPr>
        <w:t xml:space="preserve"> et al., 1999). The mean group (MG) estimator of </w:t>
      </w:r>
      <w:proofErr w:type="spellStart"/>
      <w:r>
        <w:rPr>
          <w:rFonts w:ascii="Times New Roman" w:hAnsi="Times New Roman" w:cs="Times New Roman"/>
          <w:sz w:val="24"/>
          <w:szCs w:val="24"/>
        </w:rPr>
        <w:t>Pesaran</w:t>
      </w:r>
      <w:proofErr w:type="spellEnd"/>
      <w:r>
        <w:rPr>
          <w:rFonts w:ascii="Times New Roman" w:hAnsi="Times New Roman" w:cs="Times New Roman"/>
          <w:sz w:val="24"/>
          <w:szCs w:val="24"/>
        </w:rPr>
        <w:t xml:space="preserve"> and Smith (1995) for non-stationary heterogeneous panels that allows all parameters (short-run and long-run coefficients) to differ across groups is also employed. The </w:t>
      </w:r>
      <w:proofErr w:type="spellStart"/>
      <w:r>
        <w:rPr>
          <w:rFonts w:ascii="Times New Roman" w:hAnsi="Times New Roman" w:cs="Times New Roman"/>
          <w:sz w:val="24"/>
          <w:szCs w:val="24"/>
        </w:rPr>
        <w:t>Hausman</w:t>
      </w:r>
      <w:proofErr w:type="spellEnd"/>
      <w:r>
        <w:rPr>
          <w:rFonts w:ascii="Times New Roman" w:hAnsi="Times New Roman" w:cs="Times New Roman"/>
          <w:sz w:val="24"/>
          <w:szCs w:val="24"/>
        </w:rPr>
        <w:t xml:space="preserve"> specification test will subsequently be used to ascertain whether the PMG estimator is efficient and consistent when choosing between the PMG and MG estimator.</w:t>
      </w:r>
    </w:p>
    <w:sectPr w:rsidR="005338C0" w:rsidRPr="001C7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7C3" w:rsidRDefault="003D77C3" w:rsidP="003D77C3">
      <w:pPr>
        <w:spacing w:after="0" w:line="240" w:lineRule="auto"/>
      </w:pPr>
      <w:r>
        <w:separator/>
      </w:r>
    </w:p>
  </w:endnote>
  <w:endnote w:type="continuationSeparator" w:id="0">
    <w:p w:rsidR="003D77C3" w:rsidRDefault="003D77C3" w:rsidP="003D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7C3" w:rsidRDefault="003D77C3" w:rsidP="003D77C3">
      <w:pPr>
        <w:spacing w:after="0" w:line="240" w:lineRule="auto"/>
      </w:pPr>
      <w:r>
        <w:separator/>
      </w:r>
    </w:p>
  </w:footnote>
  <w:footnote w:type="continuationSeparator" w:id="0">
    <w:p w:rsidR="003D77C3" w:rsidRDefault="003D77C3" w:rsidP="003D7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114FF"/>
    <w:multiLevelType w:val="multilevel"/>
    <w:tmpl w:val="ED103030"/>
    <w:lvl w:ilvl="0">
      <w:start w:val="1"/>
      <w:numFmt w:val="decimal"/>
      <w:lvlText w:val="%1."/>
      <w:lvlJc w:val="left"/>
      <w:pPr>
        <w:ind w:left="720" w:hanging="360"/>
      </w:pPr>
      <w:rPr>
        <w:rFonts w:hint="default"/>
        <w:i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77"/>
    <w:rsid w:val="001C7B77"/>
    <w:rsid w:val="00292647"/>
    <w:rsid w:val="003D77C3"/>
    <w:rsid w:val="0053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3C3E07-AE0E-4E49-9EAC-BB50C854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B77"/>
    <w:pPr>
      <w:spacing w:after="200" w:line="276" w:lineRule="auto"/>
    </w:pPr>
    <w:rPr>
      <w:lang w:val="en-ZA"/>
    </w:rPr>
  </w:style>
  <w:style w:type="paragraph" w:styleId="Heading1">
    <w:name w:val="heading 1"/>
    <w:basedOn w:val="Normal"/>
    <w:next w:val="Normal"/>
    <w:link w:val="Heading1Char"/>
    <w:uiPriority w:val="9"/>
    <w:qFormat/>
    <w:rsid w:val="001C7B7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C7B7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77"/>
    <w:rPr>
      <w:rFonts w:asciiTheme="majorHAnsi" w:eastAsiaTheme="majorEastAsia" w:hAnsiTheme="majorHAnsi" w:cstheme="majorBidi"/>
      <w:b/>
      <w:bCs/>
      <w:color w:val="2E74B5" w:themeColor="accent1" w:themeShade="BF"/>
      <w:sz w:val="28"/>
      <w:szCs w:val="28"/>
      <w:lang w:val="en-ZA"/>
    </w:rPr>
  </w:style>
  <w:style w:type="character" w:customStyle="1" w:styleId="Heading2Char">
    <w:name w:val="Heading 2 Char"/>
    <w:basedOn w:val="DefaultParagraphFont"/>
    <w:link w:val="Heading2"/>
    <w:uiPriority w:val="9"/>
    <w:rsid w:val="001C7B77"/>
    <w:rPr>
      <w:rFonts w:asciiTheme="majorHAnsi" w:eastAsiaTheme="majorEastAsia" w:hAnsiTheme="majorHAnsi" w:cstheme="majorBidi"/>
      <w:b/>
      <w:bCs/>
      <w:color w:val="5B9BD5" w:themeColor="accent1"/>
      <w:sz w:val="26"/>
      <w:szCs w:val="26"/>
      <w:lang w:val="en-ZA"/>
    </w:rPr>
  </w:style>
  <w:style w:type="table" w:styleId="TableGrid">
    <w:name w:val="Table Grid"/>
    <w:basedOn w:val="TableNormal"/>
    <w:uiPriority w:val="59"/>
    <w:rsid w:val="001C7B77"/>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1703</Words>
  <Characters>9712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Hendricks, Gayle</cp:lastModifiedBy>
  <cp:revision>2</cp:revision>
  <dcterms:created xsi:type="dcterms:W3CDTF">2020-03-30T09:03:00Z</dcterms:created>
  <dcterms:modified xsi:type="dcterms:W3CDTF">2020-03-30T09:03:00Z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N4987772@fnbnamibia.com.na</vt:lpwstr>
  </property>
  <property fmtid="{D5CDD505-2E9C-101B-9397-08002B2CF9AE}" pid="5" name="MSIP_Label_216eec4e-c7b8-491d-b7d8-90a69632743d_SetDate">
    <vt:lpwstr>2020-03-30T09:03:39.7478503Z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58a819fa-e452-4a37-9427-47b0c95a16dd</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