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BF7" w:rsidRDefault="00097BF7" w:rsidP="00097BF7">
      <w:pPr>
        <w:pStyle w:val="Heading1"/>
        <w:numPr>
          <w:ilvl w:val="0"/>
          <w:numId w:val="0"/>
        </w:numPr>
        <w:jc w:val="left"/>
      </w:pPr>
      <w:bookmarkStart w:id="0" w:name="_Toc242713187"/>
      <w:bookmarkStart w:id="1" w:name="_GoBack"/>
      <w:bookmarkEnd w:id="1"/>
      <w:r>
        <w:t>Problem statement – Sample 1</w:t>
      </w:r>
    </w:p>
    <w:p w:rsidR="00C874DA" w:rsidRPr="005D27E6" w:rsidRDefault="00C874DA" w:rsidP="00C874DA">
      <w:r w:rsidRPr="005D27E6">
        <w:t xml:space="preserve">South Africa’s history and apartheid challenges have brought to the forefront the need for leadership teams in firms to align recruitment policies and strategies to government legislation, which affirms </w:t>
      </w:r>
      <w:r>
        <w:t>GD</w:t>
      </w:r>
      <w:r w:rsidRPr="005D27E6">
        <w:t xml:space="preserve"> and equality in </w:t>
      </w:r>
      <w:bookmarkStart w:id="2" w:name="_Hlk496782761"/>
      <w:r w:rsidRPr="005D27E6">
        <w:t>top</w:t>
      </w:r>
      <w:r>
        <w:t>-</w:t>
      </w:r>
      <w:r w:rsidRPr="005D27E6">
        <w:t>ranked positions</w:t>
      </w:r>
      <w:bookmarkEnd w:id="2"/>
      <w:r w:rsidRPr="005D27E6">
        <w:t xml:space="preserve">. It is also a key consideration by firms to </w:t>
      </w:r>
      <w:r w:rsidRPr="002836A3">
        <w:t xml:space="preserve">grow their enterprises and thus realise increased profitability. </w:t>
      </w:r>
      <w:proofErr w:type="spellStart"/>
      <w:r w:rsidRPr="002836A3">
        <w:t>Lehobo’s</w:t>
      </w:r>
      <w:proofErr w:type="spellEnd"/>
      <w:r w:rsidRPr="002836A3">
        <w:t xml:space="preserve"> (2011) finding that gender</w:t>
      </w:r>
      <w:r w:rsidRPr="005D27E6">
        <w:t xml:space="preserve"> diverse boards have a positive relationship with increased firm profitability in South Africa’s Top 40 </w:t>
      </w:r>
      <w:r>
        <w:t>JSE</w:t>
      </w:r>
      <w:r w:rsidRPr="005D27E6">
        <w:t xml:space="preserve"> listed firms provides further support to encourage female inclusion within corporate firms. </w:t>
      </w:r>
      <w:r w:rsidRPr="002836A3">
        <w:t xml:space="preserve">Furthermore, apart from financial returns, </w:t>
      </w:r>
      <w:proofErr w:type="spellStart"/>
      <w:r w:rsidRPr="002836A3">
        <w:t>Mutezo</w:t>
      </w:r>
      <w:proofErr w:type="spellEnd"/>
      <w:r w:rsidRPr="002836A3">
        <w:t xml:space="preserve"> (2014) notes that SRI/ESG disclosure of all JSE</w:t>
      </w:r>
      <w:r w:rsidRPr="005D27E6">
        <w:t xml:space="preserve"> SRI Index constituents has a positive relationship with firm performance and profitability. It is therefore of interest to establish whether gender-diverse boards of the Top 40 Listed firms </w:t>
      </w:r>
      <w:r>
        <w:t xml:space="preserve">have </w:t>
      </w:r>
      <w:r w:rsidRPr="005D27E6">
        <w:t>any effect on firm</w:t>
      </w:r>
      <w:r>
        <w:t>s’</w:t>
      </w:r>
      <w:r w:rsidRPr="005D27E6">
        <w:t xml:space="preserve"> ESG disclosure. </w:t>
      </w:r>
    </w:p>
    <w:p w:rsidR="00C874DA" w:rsidRPr="005D27E6" w:rsidRDefault="00C874DA" w:rsidP="00C874DA">
      <w:r w:rsidRPr="005D27E6">
        <w:t xml:space="preserve">Prior research has sought to establish a relationship between </w:t>
      </w:r>
      <w:r>
        <w:t>GD</w:t>
      </w:r>
      <w:r w:rsidRPr="005D27E6">
        <w:t xml:space="preserve"> and corporate social responsibility (</w:t>
      </w:r>
      <w:r w:rsidRPr="002836A3">
        <w:fldChar w:fldCharType="begin" w:fldLock="1"/>
      </w:r>
      <w:r w:rsidRPr="002836A3">
        <w:instrText>ADDIN CSL_CITATION { "citationItems" : [ { "id" : "ITEM-1", "itemData" : { "DOI" : "10.1007/s10551-010-0505-2", "ISBN" : "01674544", "ISSN" : "01674544", "PMID" : "55083312", "abstract" : "This article explores how the diversity of board resources and the number of women on boards affect firms\u2019 corporate social responsibility (CSR) ratings, and how, in turn, CSR influences corporate reputation. In addition, this article examines whether CSR ratings mediate the relationships among board resource diversity, gender composition, and corporate reputation. The OLS regression results using lagged data for independent and control variables were statistically significant for the gender composition hypotheses, but not for the resource diversity-based hypotheses. CSR ratings had a positive impact on reputation and mediated the relationship between the number of women on the board and corporate reputation.", "author" : [ { "dropping-particle" : "", "family" : "Bear", "given" : "Stephen", "non-dropping-particle" : "", "parse-names" : false, "suffix" : "" }, { "dropping-particle" : "", "family" : "Rahman", "given" : "Noushi", "non-dropping-particle" : "", "parse-names" : false, "suffix" : "" }, { "dropping-particle" : "", "family" : "Post", "given" : "Corinne", "non-dropping-particle" : "", "parse-names" : false, "suffix" : "" } ], "container-title" : "Journal of Business Ethics", "id" : "ITEM-1", "issue" : "2", "issued" : { "date-parts" : [ [ "2010" ] ] }, "page" : "207-221", "title" : "The Impact of Board Diversity and Gender Composition on Corporate Social Responsibility and Firm Reputation", "type" : "article-journal", "volume" : "97" }, "uris" : [ "http://www.mendeley.com/documents/?uuid=e4a50478-19c2-4c2b-89a7-7bccfa2ee224", "http://www.mendeley.com/documents/?uuid=0246e7bb-b8c4-4d25-8c02-bd63d533ab23" ] } ], "mendeley" : { "formattedCitation" : "(Bear, Rahman &amp; Post, 2010)", "manualFormatting" : "Bear, Rahman &amp; Post, 2010", "plainTextFormattedCitation" : "(Bear, Rahman &amp; Post, 2010)", "previouslyFormattedCitation" : "(Bear, Rahman &amp; Post, 2010)" }, "properties" : { "noteIndex" : 0 }, "schema" : "https://github.com/citation-style-language/schema/raw/master/csl-citation.json" }</w:instrText>
      </w:r>
      <w:r w:rsidRPr="002836A3">
        <w:fldChar w:fldCharType="separate"/>
      </w:r>
      <w:r w:rsidRPr="002836A3">
        <w:rPr>
          <w:noProof/>
        </w:rPr>
        <w:t>Bear, Rahman &amp; Post, 2010</w:t>
      </w:r>
      <w:r w:rsidRPr="002836A3">
        <w:fldChar w:fldCharType="end"/>
      </w:r>
      <w:r w:rsidRPr="002836A3">
        <w:t>;</w:t>
      </w:r>
      <w:r w:rsidR="00097BF7">
        <w:t xml:space="preserve"> </w:t>
      </w:r>
      <w:r w:rsidRPr="002836A3">
        <w:fldChar w:fldCharType="begin" w:fldLock="1"/>
      </w:r>
      <w:r w:rsidRPr="002836A3">
        <w:instrText>ADDIN CSL_CITATION { "citationItems" : [ { "id" : "ITEM-1", "itemData" : { "DOI" : "10.1007/s10551-014-2302-9", "ISBN" : "0167-4544", "ISSN" : "15730697", "abstract" : "The European Commission has recently pro- posed the introduction of legally binding quotas for women on corporate boards of European companies. This proposal has put the spotlight on the question of whether increasing female representation on the board brings economic ben- efits to the firm. In order to shed light on the issue, this study investigates the direct and indirect effects of women on the board on firm value. We use a simultaneous equa- tion model to estimate the effects of women on the board on firm value, financial performance, and compliance with ethical and social principles adopted by the firm. We find no evidence that a higher female representation on the board directly affects firm\u2019s value. However, we find indirect effects. Women on the board are positively related with financial performance (measured in terms of return on assets and return on sales) and with ethical and social compliance, which in turn are positively related with firm value. The findings in this study suggest that greater female representation on corporate boards of large European firms can increase firm value indirectly. Further, part of the indirect effect comes from stronger compliance with ethi- cal principles, something that is not captured by account- ing-based financial performance.", "author" : [ { "dropping-particle" : "", "family" : "Isidro", "given" : "Helena", "non-dropping-particle" : "", "parse-names" : false, "suffix" : "" }, { "dropping-particle" : "", "family" : "Sobral", "given" : "M\u00e1rcia", "non-dropping-particle" : "", "parse-names" : false, "suffix" : "" } ], "container-title" : "Journal of Business Ethics", "id" : "ITEM-1", "issue" : "1", "issued" : { "date-parts" : [ [ "2015" ] ] }, "page" : "1-19", "title" : "The Effects of Women on Corporate Boards on Firm Value, Financial Performance, and Ethical and Social Compliance", "type" : "article-journal", "volume" : "132" }, "uris" : [ "http://www.mendeley.com/documents/?uuid=f1846048-dfe1-4c08-81da-41480a5af823", "http://www.mendeley.com/documents/?uuid=9af6347f-c3a1-42a9-97dc-a498fb19add3" ] } ], "mendeley" : { "formattedCitation" : "(Isidro &amp; Sobral, 2015)", "manualFormatting" : "Isidro &amp; Sobral, 2015", "plainTextFormattedCitation" : "(Isidro &amp; Sobral, 2015)", "previouslyFormattedCitation" : "(Isidro &amp; Sobral, 2015)" }, "properties" : { "noteIndex" : 0 }, "schema" : "https://github.com/citation-style-language/schema/raw/master/csl-citation.json" }</w:instrText>
      </w:r>
      <w:r w:rsidRPr="002836A3">
        <w:fldChar w:fldCharType="separate"/>
      </w:r>
      <w:r w:rsidRPr="002836A3">
        <w:rPr>
          <w:noProof/>
        </w:rPr>
        <w:t>Isidro &amp; Sobral, 2015</w:t>
      </w:r>
      <w:r w:rsidRPr="002836A3">
        <w:fldChar w:fldCharType="end"/>
      </w:r>
      <w:r w:rsidRPr="002836A3">
        <w:t xml:space="preserve">; Byron &amp; Post, 2016). Gender diversity and CG </w:t>
      </w:r>
      <w:r w:rsidRPr="002836A3">
        <w:fldChar w:fldCharType="begin" w:fldLock="1"/>
      </w:r>
      <w:r w:rsidRPr="002836A3">
        <w:instrText>ADDIN CSL_CITATION { "citationItems" : [ { "id" : "ITEM-1", "itemData" : { "author" : [ { "dropping-particle" : "", "family" : "Denemark", "given" : "Encyclopedia", "non-dropping-particle" : "", "parse-names" : false, "suffix" : "" }, { "dropping-particle" : "", "family" : "Blackwell", "given" : "Robert A", "non-dropping-particle" : "", "parse-names" : false, "suffix" : "" } ], "id" : "ITEM-1", "issue" : "January 2010", "issued" : { "date-parts" : [ [ "2015" ] ] }, "title" : "Kronsell , Annica ( 2010 ) \u2019 Gender and Governance .\u2019 The International Studies", "type" : "article-journal", "volume" : "2050" }, "uris" : [ "http://www.mendeley.com/documents/?uuid=b5bf6b6e-f497-46f0-a618-4b2e62f57cf7", "http://www.mendeley.com/documents/?uuid=bfefdd36-37d5-4842-91fe-d8311dc01971" ] } ], "mendeley" : { "formattedCitation" : "(Denemark &amp; Blackwell, 2015)", "manualFormatting" : "(", "plainTextFormattedCitation" : "(Denemark &amp; Blackwell, 2015)", "previouslyFormattedCitation" : "(Denemark &amp; Blackwell, 2015)" }, "properties" : { "noteIndex" : 0 }, "schema" : "https://github.com/citation-style-language/schema/raw/master/csl-citation.json" }</w:instrText>
      </w:r>
      <w:r w:rsidRPr="002836A3">
        <w:fldChar w:fldCharType="separate"/>
      </w:r>
      <w:r w:rsidRPr="002836A3">
        <w:rPr>
          <w:noProof/>
        </w:rPr>
        <w:t>(</w:t>
      </w:r>
      <w:r w:rsidRPr="002836A3">
        <w:fldChar w:fldCharType="end"/>
      </w:r>
      <w:proofErr w:type="spellStart"/>
      <w:r w:rsidRPr="002836A3">
        <w:t>Erhardt</w:t>
      </w:r>
      <w:proofErr w:type="spellEnd"/>
      <w:r w:rsidRPr="002836A3">
        <w:t xml:space="preserve">, </w:t>
      </w:r>
      <w:proofErr w:type="spellStart"/>
      <w:r w:rsidRPr="002836A3">
        <w:t>Shrader</w:t>
      </w:r>
      <w:proofErr w:type="spellEnd"/>
      <w:r w:rsidRPr="002836A3">
        <w:t xml:space="preserve"> &amp; </w:t>
      </w:r>
      <w:proofErr w:type="spellStart"/>
      <w:r w:rsidRPr="002836A3">
        <w:t>Werbel</w:t>
      </w:r>
      <w:proofErr w:type="spellEnd"/>
      <w:r w:rsidRPr="002836A3">
        <w:t>, 2003</w:t>
      </w:r>
      <w:r w:rsidRPr="002836A3">
        <w:fldChar w:fldCharType="begin" w:fldLock="1"/>
      </w:r>
      <w:r w:rsidRPr="002836A3">
        <w:instrText>ADDIN CSL_CITATION { "citationItems" : [ { "id" : "ITEM-1", "itemData" : { "DOI" : "10.1108/MEDAR-01-2016-0001", "ISSN" : "2049-372X", "abstract" : "Purpose \u2013 By looking at both theoretical and empirical findings, this study aims to investigate whether gender diversity results in improved corporate governance and financial performance for companies. Design/methodology/approach \u2013 An analysis of the board composition of the Johannesburg Securities Exchange Top 40 companies as at 30 June 2013 and a comparison of the financial performance of the company were conducted. Findings \u2013 Female directors were found to make up, on average, 18.78 per cent of the board of directors, with the majority of these women being in non-executive positions. Women representation appears to influence company performance positively when using accounting-based measures of performance (such as return on assets and return on equity), but negatively when using market-based measures (such as Tobin\u2019s Q). The critical mass concept is also assessed and is found to have a positive effect. Originality/value \u2013 These findings are of relevance to the boards of directors adhering to corporate governance requirements by challenging the role of women on the board of directors, as well as that of investors and those in practice, to understand the current status of women representation. Keywords", "author" : [ { "dropping-particle" : "", "family" : "Willows", "given" : "Gizelle", "non-dropping-particle" : "", "parse-names" : false, "suffix" : "" }, { "dropping-particle" : "", "family" : "Linde", "given" : "Megan", "non-dropping-particle" : "van der", "parse-names" : false, "suffix" : "" } ], "container-title" : "Meditari Accountancy Research", "id" : "ITEM-1", "issue" : "2", "issued" : { "date-parts" : [ [ "2016" ] ] }, "page" : "211-225", "title" : "Women representation on boards:a South African perspective", "type" : "article-journal", "volume" : "24" }, "uris" : [ "http://www.mendeley.com/documents/?uuid=a195bc70-700f-48a2-917b-20d7a8ddd6a6", "http://www.mendeley.com/documents/?uuid=7f603323-e1aa-442a-9981-2533bd1b0f00", "http://www.mendeley.com/documents/?uuid=7edbcf0f-850e-4b1e-90c2-bfa57bd50f27" ] } ], "mendeley" : { "formattedCitation" : "(Willows &amp; van der Linde, 2016)", "manualFormatting" : ";Willows &amp; van der Linde, 2016)", "plainTextFormattedCitation" : "(Willows &amp; van der Linde, 2016)", "previouslyFormattedCitation" : "(Willows &amp; van der Linde, 2016)" }, "properties" : { "noteIndex" : 0 }, "schema" : "https://github.com/citation-style-language/schema/raw/master/csl-citation.json" }</w:instrText>
      </w:r>
      <w:r w:rsidRPr="002836A3">
        <w:fldChar w:fldCharType="separate"/>
      </w:r>
      <w:r w:rsidRPr="002836A3">
        <w:rPr>
          <w:noProof/>
        </w:rPr>
        <w:t>; Willows &amp; Van der Linde, 2016)</w:t>
      </w:r>
      <w:r w:rsidRPr="002836A3">
        <w:fldChar w:fldCharType="end"/>
      </w:r>
      <w:r w:rsidRPr="002836A3">
        <w:t xml:space="preserve"> has also been extensively researched, as has social</w:t>
      </w:r>
      <w:r w:rsidRPr="005D27E6">
        <w:t xml:space="preserve"> and environmental responsibility </w:t>
      </w:r>
      <w:r w:rsidRPr="005D27E6">
        <w:fldChar w:fldCharType="begin" w:fldLock="1"/>
      </w:r>
      <w:r w:rsidRPr="005D27E6">
        <w:instrText>ADDIN CSL_CITATION { "citationItems" : [ { "id" : "ITEM-1", "itemData" : { "ISSN" : "0038-4941", "author" : [ { "dropping-particle" : "", "family" : "Blocker", "given" : "T Jean", "non-dropping-particle" : "", "parse-names" : false, "suffix" : "" }, { "dropping-particle" : "", "family" : "Eckberg", "given" : "Douglas Lee", "non-dropping-particle" : "", "parse-names" : false, "suffix" : "" } ], "container-title" : "Social Science Quarterly", "id" : "ITEM-1", "issue" : "4", "issued" : { "date-parts" : [ [ "1997" ] ] }, "page" : "841", "title" : "Gender and environmentalism: results from the 1993 General Social Survey", "type" : "article-journal", "volume" : "78" }, "uris" : [ "http://www.mendeley.com/documents/?uuid=2eddf1a1-1f14-4770-a50b-8170f72ed4be", "http://www.mendeley.com/documents/?uuid=846c1c55-bac4-4dd1-9d34-244da96a4918" ] } ], "mendeley" : { "formattedCitation" : "(Blocker &amp; Eckberg, 1997a)", "manualFormatting" : "(Blocker &amp; Eckberg, 1997a", "plainTextFormattedCitation" : "(Blocker &amp; Eckberg, 1997a)", "previouslyFormattedCitation" : "(Blocker &amp; Eckberg, 1997a)" }, "properties" : { "noteIndex" : 0 }, "schema" : "https://github.com/citation-style-language/schema/raw/master/csl-citation.json" }</w:instrText>
      </w:r>
      <w:r w:rsidRPr="005D27E6">
        <w:fldChar w:fldCharType="separate"/>
      </w:r>
      <w:r w:rsidRPr="005D27E6">
        <w:rPr>
          <w:noProof/>
        </w:rPr>
        <w:t>(Blocker &amp; Eckberg, 1997</w:t>
      </w:r>
      <w:r w:rsidRPr="005D27E6">
        <w:fldChar w:fldCharType="end"/>
      </w:r>
      <w:r w:rsidRPr="005D27E6">
        <w:fldChar w:fldCharType="begin" w:fldLock="1"/>
      </w:r>
      <w:r w:rsidRPr="005D27E6">
        <w:instrText>ADDIN CSL_CITATION { "citationItems" : [ { "id" : "ITEM-1", "itemData" : { "DOI" : "10.1002/csr.1329", "ISBN" : "1535-3966", "ISSN" : "15353966", "abstract" : "Sustainable reports are the basic tool used to reflect and communicate stakeholder dialogue. Therefore, sustainability reporting has become a key element for strategic management. Companies' strategies are defined and developed by their boards of directors. This study explores the relationship between sustainability reporting and the existence of at least three women on the board of directors. Our results show that in countries with a higher proportion of boards of directors with at least three women, the levels of CSR reporting are higher. We also find that countries with higher gender equality have more companies with boards of directors with at least three women. We control for other variables that affect differences among countries and differences in CSR reporting as found in previous studies: cultural differences, law enforcement, GDP, industry and regulation. Our paper contributes to the literature by studying the relationship between board gender composition and CSR reporting.", "author" : [ { "dropping-particle" : "", "family" : "Fernandez-Feijoo", "given" : "Belen", "non-dropping-particle" : "", "parse-names" : false, "suffix" : "" }, { "dropping-particle" : "", "family" : "Romero", "given" : "Silvia", "non-dropping-particle" : "", "parse-names" : false, "suffix" : "" }, { "dropping-particle" : "", "family" : "Ruiz-Blanco", "given" : "Silvia", "non-dropping-particle" : "", "parse-names" : false, "suffix" : "" } ], "container-title" : "Corporate Social Responsibility and Environmental Management", "id" : "ITEM-1", "issue" : "6", "issued" : { "date-parts" : [ [ "2014" ] ] }, "page" : "351-364", "title" : "Women on boards: Do they affect sustainability reporting?", "type" : "article-journal", "volume" : "21" }, "uris" : [ "http://www.mendeley.com/documents/?uuid=f37e3806-d60b-4a09-a598-75ef546e56eb", "http://www.mendeley.com/documents/?uuid=bff63fe0-969e-4412-8a8f-d677c1cd78dd" ] } ], "mendeley" : { "formattedCitation" : "(Fernandez-Feijoo, Romero &amp; Ruiz-Blanco, 2014)", "manualFormatting" : ";Fernandez-Feijoo, Romero &amp; Ruiz-Blanco, 201", "plainTextFormattedCitation" : "(Fernandez-Feijoo, Romero &amp; Ruiz-Blanco, 2014)", "previouslyFormattedCitation" : "(Fernandez-Feijoo, Romero &amp; Ruiz-Blanco, 2014)" }, "properties" : { "noteIndex" : 0 }, "schema" : "https://github.com/citation-style-language/schema/raw/master/csl-citation.json" }</w:instrText>
      </w:r>
      <w:r w:rsidRPr="005D27E6">
        <w:fldChar w:fldCharType="separate"/>
      </w:r>
      <w:r w:rsidRPr="005D27E6">
        <w:rPr>
          <w:noProof/>
        </w:rPr>
        <w:t>;</w:t>
      </w:r>
      <w:r>
        <w:rPr>
          <w:noProof/>
        </w:rPr>
        <w:t xml:space="preserve"> </w:t>
      </w:r>
      <w:r w:rsidRPr="005D27E6">
        <w:rPr>
          <w:noProof/>
        </w:rPr>
        <w:t>Fernandez-Feijoo, Romero &amp; Ruiz-Blanco, 201</w:t>
      </w:r>
      <w:r w:rsidRPr="005D27E6">
        <w:fldChar w:fldCharType="end"/>
      </w:r>
      <w:r>
        <w:t>4;</w:t>
      </w:r>
      <w:r w:rsidRPr="005D27E6">
        <w:t xml:space="preserve"> </w:t>
      </w:r>
      <w:r w:rsidRPr="005D27E6">
        <w:fldChar w:fldCharType="begin" w:fldLock="1"/>
      </w:r>
      <w:r w:rsidRPr="005D27E6">
        <w:instrText>ADDIN CSL_CITATION { "citationItems" : [ { "id" : "ITEM-1", "itemData" : { "DOI" : "10.1108/ARA-09-2013-0060", "ISBN" : "1020130067", "ISSN" : "1321-7348", "abstract" : "Drawing on agency theory and legitimacy theory perspectives, the purpose of this paper is to investigate the influence of board characteristics on sustainability reporting of listed companies in the Colombo Stock Exchange (CSE), Sri Lanka.", "author" : [ { "dropping-particle" : "", "family" : "Shamil", "given" : "Mohamed M.", "non-dropping-particle" : "", "parse-names" : false, "suffix" : "" }, { "dropping-particle" : "", "family" : "Shaikh", "given" : "Junaid M.", "non-dropping-particle" : "", "parse-names" : false, "suffix" : "" }, { "dropping-particle" : "", "family" : "Ho", "given" : "Poh-Ling", "non-dropping-particle" : "", "parse-names" : false, "suffix" : "" }, { "dropping-particle" : "", "family" : "Krishnan", "given" : "Anbalagan", "non-dropping-particle" : "", "parse-names" : false, "suffix" : "" } ], "container-title" : "Asian Review of Accounting", "id" : "ITEM-1", "issue" : "2", "issued" : { "date-parts" : [ [ "2014" ] ] }, "page" : "78-97", "title" : "The influence of board characteristics on sustainability reporting : Empirical evidence from Sri Lankan firms", "type" : "article-journal", "volume" : "22" }, "uris" : [ "http://www.mendeley.com/documents/?uuid=ac965ac3-19a1-4429-ad08-d9eadf714fd3", "http://www.mendeley.com/documents/?uuid=88c67f45-9afe-4d97-881f-ae771debd974" ] } ], "mendeley" : { "formattedCitation" : "(Shamil, Shaikh, Ho &amp; Krishnan, 2014)", "manualFormatting" : "Shamil, Shaikh, Ho &amp; Krishnan, 2014", "plainTextFormattedCitation" : "(Shamil, Shaikh, Ho &amp; Krishnan, 2014)", "previouslyFormattedCitation" : "(Shamil, Shaikh, Ho &amp; Krishnan, 2014)" }, "properties" : { "noteIndex" : 0 }, "schema" : "https://github.com/citation-style-language/schema/raw/master/csl-citation.json" }</w:instrText>
      </w:r>
      <w:r w:rsidRPr="005D27E6">
        <w:fldChar w:fldCharType="separate"/>
      </w:r>
      <w:r w:rsidRPr="005D27E6">
        <w:rPr>
          <w:noProof/>
        </w:rPr>
        <w:t>Shamil, Shaikh, Ho &amp; Krishnan, 2014</w:t>
      </w:r>
      <w:r w:rsidRPr="005D27E6">
        <w:fldChar w:fldCharType="end"/>
      </w:r>
      <w:r w:rsidRPr="005D27E6">
        <w:t>).</w:t>
      </w:r>
      <w:r w:rsidR="00097BF7">
        <w:t xml:space="preserve"> </w:t>
      </w:r>
      <w:r w:rsidRPr="005D27E6">
        <w:t xml:space="preserve">In line with the focus of the study, </w:t>
      </w:r>
      <w:proofErr w:type="spellStart"/>
      <w:r w:rsidRPr="005D27E6">
        <w:t>Velte</w:t>
      </w:r>
      <w:proofErr w:type="spellEnd"/>
      <w:r w:rsidRPr="005D27E6">
        <w:t xml:space="preserve"> (2016)</w:t>
      </w:r>
      <w:r>
        <w:t>,</w:t>
      </w:r>
      <w:r w:rsidRPr="005D27E6">
        <w:t xml:space="preserve"> through a multivariate regression analysis on German and Austrian listed firms</w:t>
      </w:r>
      <w:r>
        <w:t>,</w:t>
      </w:r>
      <w:r w:rsidRPr="005D27E6">
        <w:t xml:space="preserve"> found that </w:t>
      </w:r>
      <w:r>
        <w:t>GD</w:t>
      </w:r>
      <w:r w:rsidRPr="005D27E6">
        <w:t xml:space="preserve"> is positively associated to ESG performance. To the best of the author’s knowledge, no empirical study has investigated the relationship between gender diverse boards and ESG disclosure within South Africa.</w:t>
      </w:r>
    </w:p>
    <w:bookmarkEnd w:id="0"/>
    <w:p w:rsidR="00C874DA" w:rsidRDefault="00C874DA" w:rsidP="00097BF7">
      <w:r w:rsidRPr="005D27E6">
        <w:t xml:space="preserve">Research on </w:t>
      </w:r>
      <w:r>
        <w:t>GD</w:t>
      </w:r>
      <w:r w:rsidR="00097BF7">
        <w:t xml:space="preserve"> and its relationship with </w:t>
      </w:r>
      <w:r w:rsidRPr="005D27E6">
        <w:t>ESG disclosure in an emerging African country such as South Africa may provide</w:t>
      </w:r>
      <w:r w:rsidR="00097BF7">
        <w:t xml:space="preserve"> n</w:t>
      </w:r>
      <w:r w:rsidRPr="005D27E6">
        <w:t xml:space="preserve">oteworthy consideration </w:t>
      </w:r>
      <w:r>
        <w:t xml:space="preserve">by policy makers and corporate South Africa </w:t>
      </w:r>
      <w:r w:rsidRPr="005D27E6">
        <w:t>for greater sustainability and advoca</w:t>
      </w:r>
      <w:r>
        <w:t>cy</w:t>
      </w:r>
      <w:r w:rsidRPr="005D27E6">
        <w:t xml:space="preserve"> for </w:t>
      </w:r>
      <w:r>
        <w:t>the inclusion of women</w:t>
      </w:r>
      <w:r w:rsidRPr="005D27E6">
        <w:t xml:space="preserve"> within the higher echelons of businesses, which are key s</w:t>
      </w:r>
      <w:r>
        <w:t xml:space="preserve">ustainable </w:t>
      </w:r>
      <w:r w:rsidRPr="005D27E6">
        <w:t>d</w:t>
      </w:r>
      <w:r>
        <w:t xml:space="preserve">evelopment </w:t>
      </w:r>
      <w:r w:rsidRPr="005D27E6">
        <w:t>g</w:t>
      </w:r>
      <w:r>
        <w:t>oals</w:t>
      </w:r>
      <w:r w:rsidRPr="005D27E6">
        <w:t>.</w:t>
      </w:r>
      <w:r w:rsidR="00097BF7">
        <w:t xml:space="preserve"> </w:t>
      </w:r>
      <w:r>
        <w:t>Increased ESG disclosure</w:t>
      </w:r>
      <w:r w:rsidR="00097BF7">
        <w:t xml:space="preserve"> </w:t>
      </w:r>
      <w:r>
        <w:t>may see corporate firms actin</w:t>
      </w:r>
      <w:r w:rsidR="00097BF7">
        <w:t>g more responsibly and improve</w:t>
      </w:r>
      <w:r>
        <w:t xml:space="preserve"> the relationship between people, planet and profits.</w:t>
      </w:r>
    </w:p>
    <w:p w:rsidR="005338C0" w:rsidRDefault="005338C0"/>
    <w:p w:rsidR="00097BF7" w:rsidRDefault="00097BF7"/>
    <w:p w:rsidR="00097BF7" w:rsidRDefault="00097BF7"/>
    <w:p w:rsidR="00097BF7" w:rsidRDefault="00097BF7" w:rsidP="00097BF7">
      <w:pPr>
        <w:pStyle w:val="Heading1"/>
        <w:numPr>
          <w:ilvl w:val="0"/>
          <w:numId w:val="0"/>
        </w:numPr>
        <w:jc w:val="left"/>
      </w:pPr>
      <w:r>
        <w:lastRenderedPageBreak/>
        <w:t>Problem statement – Sample 2</w:t>
      </w:r>
    </w:p>
    <w:p w:rsidR="00097BF7" w:rsidRPr="00B00679" w:rsidRDefault="00097BF7" w:rsidP="00097BF7">
      <w:r w:rsidRPr="00B00679">
        <w:t xml:space="preserve">To demonstrate the importance of financial </w:t>
      </w:r>
      <w:r>
        <w:t>liberalisation</w:t>
      </w:r>
      <w:r w:rsidRPr="00B00679">
        <w:t xml:space="preserve"> for economic growth, this study will examine </w:t>
      </w:r>
      <w:r>
        <w:t xml:space="preserve">the </w:t>
      </w:r>
      <w:r w:rsidRPr="00B00679">
        <w:t>relationship between financial openness and economic growth in Sub-Saharan Africa</w:t>
      </w:r>
      <w:r>
        <w:t xml:space="preserve"> (SSA)</w:t>
      </w:r>
      <w:r w:rsidRPr="00B00679">
        <w:t xml:space="preserve">.  </w:t>
      </w:r>
      <w:proofErr w:type="spellStart"/>
      <w:r w:rsidRPr="00B00679">
        <w:t>Fowowe</w:t>
      </w:r>
      <w:proofErr w:type="spellEnd"/>
      <w:r w:rsidRPr="00B00679">
        <w:t xml:space="preserve"> (2013) stated that the effect of financial </w:t>
      </w:r>
      <w:r>
        <w:t>liberalisation</w:t>
      </w:r>
      <w:r w:rsidRPr="00B00679">
        <w:t xml:space="preserve"> on economic growth in Sub-Saharan Africa is inconclusive because studies have yielded contrasting results. For instance, </w:t>
      </w:r>
      <w:proofErr w:type="spellStart"/>
      <w:r w:rsidRPr="00B00679">
        <w:t>Fowowe</w:t>
      </w:r>
      <w:proofErr w:type="spellEnd"/>
      <w:r w:rsidRPr="00B00679">
        <w:t xml:space="preserve"> (2008) found a positive relationship between financial </w:t>
      </w:r>
      <w:r>
        <w:t>liberalisation</w:t>
      </w:r>
      <w:r w:rsidRPr="00B00679">
        <w:t xml:space="preserve"> and economic growth in a panel data study of 19 Sub-Saharan African countries</w:t>
      </w:r>
      <w:r>
        <w:t>,</w:t>
      </w:r>
      <w:r w:rsidRPr="00B00679">
        <w:t xml:space="preserve"> while evidence from Ahmed (2013)</w:t>
      </w:r>
      <w:r>
        <w:t>,</w:t>
      </w:r>
      <w:r w:rsidRPr="00B00679">
        <w:t xml:space="preserve"> provided support for the sceptical view of financial </w:t>
      </w:r>
      <w:r>
        <w:t>liberalisation</w:t>
      </w:r>
      <w:r w:rsidRPr="00B00679">
        <w:t xml:space="preserve"> for a panel study of 21 Sub-Saharan African countries. The existing empirical literature for </w:t>
      </w:r>
      <w:r>
        <w:t>SSA</w:t>
      </w:r>
      <w:r w:rsidRPr="00B00679">
        <w:t xml:space="preserve"> regarding the link between financial openness and economic growth therefore still presents open and unresolved questions, and necessitates further investigation.</w:t>
      </w:r>
      <w:r>
        <w:t xml:space="preserve"> The study also uses a de facto measure of financial openness which has not been used by other Sub-Saharan African studies. </w:t>
      </w:r>
      <w:proofErr w:type="spellStart"/>
      <w:r>
        <w:t>Gehringer</w:t>
      </w:r>
      <w:proofErr w:type="spellEnd"/>
      <w:r>
        <w:t xml:space="preserve"> (2013) preferred using a de facto measure of financial openness because her study was interested in the economic dynamics resulting from actual capital movements. De jure indicators, e.g. the popularly used Chinn-Ito (2008) financial openness index, reports on the presence or not of restrictions on capital movements and hence a formally opened economy might not be actually so (</w:t>
      </w:r>
      <w:proofErr w:type="spellStart"/>
      <w:r>
        <w:t>Gehringer</w:t>
      </w:r>
      <w:proofErr w:type="spellEnd"/>
      <w:r>
        <w:t>, 2013).</w:t>
      </w:r>
    </w:p>
    <w:p w:rsidR="00097BF7" w:rsidRPr="00097BF7" w:rsidRDefault="00097BF7" w:rsidP="00097BF7"/>
    <w:p w:rsidR="00013050" w:rsidRDefault="00013050" w:rsidP="00013050">
      <w:pPr>
        <w:pStyle w:val="Heading1"/>
        <w:numPr>
          <w:ilvl w:val="0"/>
          <w:numId w:val="0"/>
        </w:numPr>
        <w:jc w:val="left"/>
      </w:pPr>
      <w:r>
        <w:lastRenderedPageBreak/>
        <w:t>Problem statement – Sample 3</w:t>
      </w:r>
    </w:p>
    <w:p w:rsidR="00013050" w:rsidRPr="00AF5A25" w:rsidRDefault="00013050" w:rsidP="00013050">
      <w:pPr>
        <w:rPr>
          <w:rFonts w:cs="Arial"/>
          <w:bCs/>
        </w:rPr>
      </w:pPr>
      <w:r w:rsidRPr="00AF5A25">
        <w:rPr>
          <w:rFonts w:cs="Arial"/>
          <w:bCs/>
        </w:rPr>
        <w:t xml:space="preserve">Concerns have risen regarding the stability of capital flows to developing economies. It has been argued that global capital flows could have a destabilizing role in developing economies in particular when a financial crisis causes a sudden reversal of such flows (Neumann et al., 2009). </w:t>
      </w:r>
      <w:r w:rsidRPr="00AF5A25">
        <w:rPr>
          <w:rFonts w:cs="Arial"/>
        </w:rPr>
        <w:t>The last decade witnessed an increase in capital flow volatility that could have numerous economic consequences (Forbes and Warnock, 2012). These consequences could include economic cycles being amplified by large capital flow increases and decreases, increased financial system vulnerabilities, and exacerbated macroeconomic instability. Capital inflow surges could overwhelm domestic financial markets and hamper the ability of macroeconomic policies’ ability to adjust through exchange rate appreciation, asset price bubbles, money market distortions, credit booms and creating unsustainable risk premium drops (IMF, 2012).</w:t>
      </w:r>
    </w:p>
    <w:p w:rsidR="00013050" w:rsidRPr="00AF5A25" w:rsidRDefault="00013050" w:rsidP="00013050">
      <w:pPr>
        <w:rPr>
          <w:rFonts w:cs="Arial"/>
          <w:bCs/>
        </w:rPr>
      </w:pPr>
      <w:r w:rsidRPr="00AF5A25">
        <w:rPr>
          <w:rFonts w:cs="Arial"/>
          <w:bCs/>
        </w:rPr>
        <w:t>Most empirical studies on capital flows focus on the determinants of capital flow levels with few studies on volatility, which is surprising given the link between the stability of capital flows and economic growth (</w:t>
      </w:r>
      <w:proofErr w:type="spellStart"/>
      <w:r w:rsidRPr="00AF5A25">
        <w:rPr>
          <w:rFonts w:cs="Arial"/>
          <w:bCs/>
        </w:rPr>
        <w:t>Broto</w:t>
      </w:r>
      <w:proofErr w:type="spellEnd"/>
      <w:r w:rsidRPr="00AF5A25">
        <w:rPr>
          <w:rFonts w:cs="Arial"/>
          <w:bCs/>
        </w:rPr>
        <w:t xml:space="preserve"> et al., 2011). </w:t>
      </w:r>
      <w:proofErr w:type="spellStart"/>
      <w:r w:rsidRPr="00AF5A25">
        <w:rPr>
          <w:rFonts w:cs="Arial"/>
          <w:bCs/>
        </w:rPr>
        <w:t>Demir</w:t>
      </w:r>
      <w:proofErr w:type="spellEnd"/>
      <w:r w:rsidRPr="00AF5A25">
        <w:rPr>
          <w:rFonts w:cs="Arial"/>
          <w:bCs/>
        </w:rPr>
        <w:t xml:space="preserve"> (2009) states that although the volume of capital flows to developing countries have increased substantially from the 1990s, their volatility has received very meagre attention in the literature. No study has focussed exclusively on sub-Saharan Africa when investigating the determinants of private capital flow volatility. The aim of this study is to investigate the impact of global and domestic factors on the determinants of the volatility of foreign direct investment (FDI), portfolio equity and cross-border bank lending inflows for sub-Saharan African countries.</w:t>
      </w:r>
    </w:p>
    <w:p w:rsidR="00013050" w:rsidRPr="00581091" w:rsidRDefault="00013050" w:rsidP="00013050">
      <w:pPr>
        <w:rPr>
          <w:rFonts w:cs="Arial"/>
          <w:bCs/>
        </w:rPr>
      </w:pPr>
      <w:r w:rsidRPr="00AF5A25">
        <w:rPr>
          <w:rFonts w:cs="Arial"/>
          <w:bCs/>
        </w:rPr>
        <w:t xml:space="preserve">A novel feature of our study is the use of clearly-delineated cross-border bank lending data from the Bank of International Settlements’ (BIS) Locational Banking Statistics. Prior empirical studies that analysed disaggregated flows (e.g. Neumann et al., 2009; </w:t>
      </w:r>
      <w:proofErr w:type="spellStart"/>
      <w:r w:rsidRPr="00AF5A25">
        <w:rPr>
          <w:rFonts w:cs="Arial"/>
          <w:bCs/>
        </w:rPr>
        <w:t>Broto</w:t>
      </w:r>
      <w:proofErr w:type="spellEnd"/>
      <w:r w:rsidRPr="00AF5A25">
        <w:rPr>
          <w:rFonts w:cs="Arial"/>
          <w:bCs/>
        </w:rPr>
        <w:t xml:space="preserve"> et al., 2011; Mercado and Park, 2011) have used balance of payments data from the IMF’s International Financial Statistics that incorporated a residual category, “other investment,” including cross-border bank lending as a subcomponent. Other forms of cross-border finance (e.g. trade finance and cash) are however also included in this category that fundamentally differs from bank loans (World Bank, 2014).</w:t>
      </w:r>
    </w:p>
    <w:p w:rsidR="00967682" w:rsidRDefault="00967682" w:rsidP="00967682">
      <w:pPr>
        <w:pStyle w:val="Heading1"/>
        <w:numPr>
          <w:ilvl w:val="0"/>
          <w:numId w:val="0"/>
        </w:numPr>
        <w:jc w:val="left"/>
      </w:pPr>
      <w:r>
        <w:t>Problem statement – Sample 4</w:t>
      </w:r>
    </w:p>
    <w:p w:rsidR="009A3AAE" w:rsidRPr="009A3AAE" w:rsidRDefault="009A3AAE" w:rsidP="009A3AAE">
      <w:pPr>
        <w:spacing w:after="160"/>
        <w:rPr>
          <w:rFonts w:cs="Arial"/>
          <w:lang w:val="en-US"/>
        </w:rPr>
      </w:pPr>
      <w:r w:rsidRPr="009A3AAE">
        <w:rPr>
          <w:rFonts w:cs="Arial"/>
          <w:lang w:val="en-US"/>
        </w:rPr>
        <w:t xml:space="preserve">Available empirical literature has not paid explicit attention regarding the link between cross-border banking and financial development in Africa (Beck, 2015). Given the increasing presence and importance of foreign banks for many sub-Saharan African countries, this study seeks to fill this gap in the literature by examining the impact of foreign bank presence on financial development using a new and comprehensive database on bank ownership from </w:t>
      </w:r>
      <w:r w:rsidRPr="009A3AAE">
        <w:rPr>
          <w:rFonts w:cs="Arial"/>
          <w:lang w:val="en-US"/>
        </w:rPr>
        <w:fldChar w:fldCharType="begin" w:fldLock="1"/>
      </w:r>
      <w:r w:rsidRPr="009A3AAE">
        <w:rPr>
          <w:rFonts w:cs="Arial"/>
          <w:lang w:val="en-US"/>
        </w:rPr>
        <w:instrText>ADDIN CSL_CITATION { "citationItems" : [ { "id" : "ITEM-1", "itemData" : { "DOI" : "10.1111/jmcb.12092", "ISBN" : "10", "ISSN" : "00222879", "abstract" : "Over the past two decades, foreign banks have become much more important in domestic financial intermediation, heightening the need to understand their behavior. We introduce a new, comprehensive database, made publicly available, on bank ownership (including the home country of foreign banks) for 5,324 banks in 137 countries over the period 1995-2009. We document large increases in foreign bank presence in many countries, but with substantial heterogeneity in terms of host and banks\u2019 home countries, bilateral investment patterns, and bank characteristics. In terms of impact, we document that the relation between private credit and foreign bank presence importantly depends on host country and banks\u2019 characteristics. Specifically, foreign banks only seem to have a negative impact on credit in low-income countries, in countries where they have a limited market share, where enforcing contracts is costly and where credit information is limited available, and when they come from distant home countries. This shows that accounting for heterogeneity, including bilateral ownership, is crucial to better understand the implications of foreign bank ownership", "author" : [ { "dropping-particle" : "", "family" : "Claessens", "given" : "Stijn", "non-dropping-particle" : "", "parse-names" : false, "suffix" : "" }, { "dropping-particle" : "", "family" : "Horen", "given" : "Neeltje", "non-dropping-particle" : "Van", "parse-names" : false, "suffix" : "" } ], "container-title" : "Journal of Money, Credit and Banking", "id" : "ITEM-1", "issue" : "SUPPL.1", "issued" : { "date-parts" : [ [ "2014" ] ] }, "page" : "295-326", "title" : "Foreign banks: Trends and impact", "type" : "article-journal", "volume" : "46" }, "uris" : [ "http://www.mendeley.com/documents/?uuid=54efee07-607a-4b20-8e31-107d5a1be2b7" ] } ], "mendeley" : { "formattedCitation" : "(Claessens and Van Horen, 2014)", "manualFormatting" : "Claessens and Van Horen (2014)", "plainTextFormattedCitation" : "(Claessens and Van Horen, 2014)", "previouslyFormattedCitation" : "(Claessens and Van Horen, 2014)" }, "properties" : { "noteIndex" : 4 }, "schema" : "https://github.com/citation-style-language/schema/raw/master/csl-citation.json" }</w:instrText>
      </w:r>
      <w:r w:rsidRPr="009A3AAE">
        <w:rPr>
          <w:rFonts w:cs="Arial"/>
          <w:lang w:val="en-US"/>
        </w:rPr>
        <w:fldChar w:fldCharType="separate"/>
      </w:r>
      <w:r w:rsidRPr="009A3AAE">
        <w:rPr>
          <w:rFonts w:cs="Arial"/>
          <w:noProof/>
          <w:lang w:val="en-US"/>
        </w:rPr>
        <w:t>Claessens and Van Horen (2014)</w:t>
      </w:r>
      <w:r w:rsidRPr="009A3AAE">
        <w:rPr>
          <w:rFonts w:cs="Arial"/>
          <w:lang w:val="en-US"/>
        </w:rPr>
        <w:fldChar w:fldCharType="end"/>
      </w:r>
      <w:r w:rsidRPr="009A3AAE">
        <w:rPr>
          <w:rFonts w:cs="Arial"/>
          <w:lang w:val="en-US"/>
        </w:rPr>
        <w:t>. While Beck (2015) explored the relationship between cross-border banking and firms’ access to finance in sub-Saharan Africa, our analysis is at country level. Furthermore, apart from investigating how foreign bank presence impact financial depth, we also examine the impact on financial efficiency.</w:t>
      </w:r>
    </w:p>
    <w:p w:rsidR="00967682" w:rsidRPr="00967682" w:rsidRDefault="00967682" w:rsidP="00967682"/>
    <w:p w:rsidR="00967682" w:rsidRPr="00967682" w:rsidRDefault="00967682" w:rsidP="00967682"/>
    <w:p w:rsidR="009A3AAE" w:rsidRDefault="009A3AAE" w:rsidP="009A3AAE">
      <w:pPr>
        <w:pStyle w:val="Heading1"/>
        <w:numPr>
          <w:ilvl w:val="0"/>
          <w:numId w:val="0"/>
        </w:numPr>
        <w:jc w:val="left"/>
      </w:pPr>
      <w:r>
        <w:t>Problem statement – Sample 5</w:t>
      </w:r>
    </w:p>
    <w:p w:rsidR="00397EC3" w:rsidRPr="00397EC3" w:rsidRDefault="00397EC3" w:rsidP="009A3AAE">
      <w:pPr>
        <w:rPr>
          <w:rFonts w:cs="Arial"/>
        </w:rPr>
      </w:pPr>
      <w:r w:rsidRPr="00397EC3">
        <w:rPr>
          <w:rFonts w:cs="Arial"/>
        </w:rPr>
        <w:t>Theoretical ambiguities have been identified in the literature regarding the effect of government borrowing on private sector credit and whether a crowding out or crowding in effect exist (</w:t>
      </w:r>
      <w:proofErr w:type="spellStart"/>
      <w:r w:rsidRPr="00397EC3">
        <w:rPr>
          <w:rFonts w:cs="Arial"/>
        </w:rPr>
        <w:t>Emran</w:t>
      </w:r>
      <w:proofErr w:type="spellEnd"/>
      <w:r w:rsidRPr="00397EC3">
        <w:rPr>
          <w:rFonts w:cs="Arial"/>
        </w:rPr>
        <w:t xml:space="preserve"> &amp; </w:t>
      </w:r>
      <w:proofErr w:type="spellStart"/>
      <w:r w:rsidRPr="00397EC3">
        <w:rPr>
          <w:rFonts w:cs="Arial"/>
        </w:rPr>
        <w:t>Farazi</w:t>
      </w:r>
      <w:proofErr w:type="spellEnd"/>
      <w:r w:rsidRPr="00397EC3">
        <w:rPr>
          <w:rFonts w:cs="Arial"/>
        </w:rPr>
        <w:t>, 2009). By providing collateral and serving as a benchmark, increased government borrowing could help develop the banking sector by providing a relatively safe asset. Conversely, banks that primarily engage in public sector lending could become complacent and lack initiative to develop banking markets when faced with adverse conditions (</w:t>
      </w:r>
      <w:proofErr w:type="spellStart"/>
      <w:r w:rsidRPr="00397EC3">
        <w:rPr>
          <w:rFonts w:cs="Arial"/>
        </w:rPr>
        <w:t>Hauner</w:t>
      </w:r>
      <w:proofErr w:type="spellEnd"/>
      <w:r w:rsidRPr="00397EC3">
        <w:rPr>
          <w:rFonts w:cs="Arial"/>
        </w:rPr>
        <w:t>, 2009).</w:t>
      </w:r>
    </w:p>
    <w:p w:rsidR="009A3AAE" w:rsidRPr="009A3AAE" w:rsidRDefault="009A3AAE" w:rsidP="009A3AAE">
      <w:pPr>
        <w:rPr>
          <w:rFonts w:cs="Arial"/>
        </w:rPr>
      </w:pPr>
      <w:r w:rsidRPr="009A3AAE">
        <w:rPr>
          <w:rFonts w:cs="Arial"/>
        </w:rPr>
        <w:t>Empirical analysis of whether government borrowing from the banking sector quantitatively contract private sector credit remains inconclusive (</w:t>
      </w:r>
      <w:proofErr w:type="spellStart"/>
      <w:r w:rsidRPr="009A3AAE">
        <w:rPr>
          <w:rFonts w:cs="Arial"/>
        </w:rPr>
        <w:t>Anyanwu</w:t>
      </w:r>
      <w:proofErr w:type="spellEnd"/>
      <w:r w:rsidRPr="009A3AAE">
        <w:rPr>
          <w:rFonts w:cs="Arial"/>
        </w:rPr>
        <w:t xml:space="preserve"> et al., 2017). The contribution of this study is three-fold. Firstly, given the increasing share of bank credit to sub-Saharan African governments in recent decades, this study is an attempt to investigate the consequences for banking sector development in the region previously neglected in the empirical literature. While Christensen (2004) investigated domestic debt markets in sub-Saharan Africa and found a significant crowding out effect on private sector lending, his study focussed on gross securitized domestic government debt comprising treasury bills as well as development stocks and bonds. Furthermore, his dataset excluded domestic public debt arising from commercial bank advances. This study concerns the possible crowding out or crowding in effect on private sector credit from commercial bank advances that includes claims on the central government, claims on the state and local government, and claims on nonfinancial public enterprises. Secondly, this study contributes to the literature by investigating the possible non-linear relationship between </w:t>
      </w:r>
      <w:proofErr w:type="gramStart"/>
      <w:r w:rsidRPr="009A3AAE">
        <w:rPr>
          <w:rFonts w:cs="Arial"/>
        </w:rPr>
        <w:t>credit</w:t>
      </w:r>
      <w:proofErr w:type="gramEnd"/>
      <w:r w:rsidRPr="009A3AAE">
        <w:rPr>
          <w:rFonts w:cs="Arial"/>
        </w:rPr>
        <w:t xml:space="preserve"> to government and banking sector development. Public debt could be beneficial for financial development up to a certain level, after which it may become detrimental (</w:t>
      </w:r>
      <w:proofErr w:type="spellStart"/>
      <w:r w:rsidRPr="009A3AAE">
        <w:rPr>
          <w:rFonts w:cs="Arial"/>
        </w:rPr>
        <w:t>Hauner</w:t>
      </w:r>
      <w:proofErr w:type="spellEnd"/>
      <w:r w:rsidRPr="009A3AAE">
        <w:rPr>
          <w:rFonts w:cs="Arial"/>
        </w:rPr>
        <w:t xml:space="preserve">, 2009). Thirdly, we address a methodological limitation of prior studies by using a panel data estimator that allows for heterogeneous slopes and unit root processes that is robust to </w:t>
      </w:r>
      <w:proofErr w:type="spellStart"/>
      <w:r w:rsidRPr="009A3AAE">
        <w:rPr>
          <w:rFonts w:cs="Arial"/>
        </w:rPr>
        <w:t>endogeneity</w:t>
      </w:r>
      <w:proofErr w:type="spellEnd"/>
      <w:r w:rsidRPr="009A3AAE">
        <w:rPr>
          <w:rFonts w:cs="Arial"/>
        </w:rPr>
        <w:t>.</w:t>
      </w:r>
    </w:p>
    <w:p w:rsidR="009A3AAE" w:rsidRPr="009A3AAE" w:rsidRDefault="009A3AAE" w:rsidP="009A3AAE"/>
    <w:p w:rsidR="00097BF7" w:rsidRDefault="00097BF7" w:rsidP="00097BF7">
      <w:pPr>
        <w:pStyle w:val="Heading1"/>
        <w:numPr>
          <w:ilvl w:val="0"/>
          <w:numId w:val="0"/>
        </w:numPr>
        <w:jc w:val="left"/>
      </w:pPr>
    </w:p>
    <w:p w:rsidR="00097BF7" w:rsidRPr="00097BF7" w:rsidRDefault="00097BF7" w:rsidP="00097BF7"/>
    <w:p w:rsidR="00097BF7" w:rsidRDefault="00097BF7"/>
    <w:sectPr w:rsidR="00097B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A6F" w:rsidRDefault="00B03A6F" w:rsidP="00B03A6F">
      <w:pPr>
        <w:spacing w:after="0" w:line="240" w:lineRule="auto"/>
      </w:pPr>
      <w:r>
        <w:separator/>
      </w:r>
    </w:p>
  </w:endnote>
  <w:endnote w:type="continuationSeparator" w:id="0">
    <w:p w:rsidR="00B03A6F" w:rsidRDefault="00B03A6F" w:rsidP="00B03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A6F" w:rsidRDefault="00B03A6F" w:rsidP="00B03A6F">
      <w:pPr>
        <w:spacing w:after="0" w:line="240" w:lineRule="auto"/>
      </w:pPr>
      <w:r>
        <w:separator/>
      </w:r>
    </w:p>
  </w:footnote>
  <w:footnote w:type="continuationSeparator" w:id="0">
    <w:p w:rsidR="00B03A6F" w:rsidRDefault="00B03A6F" w:rsidP="00B03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6E59"/>
    <w:multiLevelType w:val="multilevel"/>
    <w:tmpl w:val="7F36D7D0"/>
    <w:lvl w:ilvl="0">
      <w:start w:val="1"/>
      <w:numFmt w:val="decimal"/>
      <w:pStyle w:val="Heading1"/>
      <w:lvlText w:val="CHAPTER %1"/>
      <w:lvlJc w:val="center"/>
      <w:pPr>
        <w:ind w:left="5180" w:hanging="36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E00FDA"/>
    <w:multiLevelType w:val="multilevel"/>
    <w:tmpl w:val="C6B0C2E6"/>
    <w:lvl w:ilvl="0">
      <w:start w:val="1"/>
      <w:numFmt w:val="decimal"/>
      <w:pStyle w:val="USBBullets"/>
      <w:suff w:val="nothing"/>
      <w:lvlText w:val="Chapter %1"/>
      <w:lvlJc w:val="left"/>
      <w:pPr>
        <w:ind w:left="5104"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59BE25FC"/>
    <w:multiLevelType w:val="hybridMultilevel"/>
    <w:tmpl w:val="54DE2DAC"/>
    <w:name w:val="HTML-List1"/>
    <w:lvl w:ilvl="0" w:tplc="743C8594">
      <w:start w:val="1"/>
      <w:numFmt w:val="bullet"/>
      <w:lvlText w:val=""/>
      <w:lvlJc w:val="left"/>
      <w:pPr>
        <w:ind w:left="644" w:hanging="360"/>
      </w:pPr>
      <w:rPr>
        <w:rFonts w:ascii="Symbol" w:hAnsi="Symbol" w:hint="default"/>
      </w:rPr>
    </w:lvl>
    <w:lvl w:ilvl="1" w:tplc="2BEA2EFE">
      <w:start w:val="1"/>
      <w:numFmt w:val="bullet"/>
      <w:lvlText w:val="o"/>
      <w:lvlJc w:val="left"/>
      <w:pPr>
        <w:ind w:left="1364" w:hanging="360"/>
      </w:pPr>
      <w:rPr>
        <w:rFonts w:ascii="Courier New" w:hAnsi="Courier New" w:cs="Arial" w:hint="default"/>
      </w:rPr>
    </w:lvl>
    <w:lvl w:ilvl="2" w:tplc="2CB228D6" w:tentative="1">
      <w:start w:val="1"/>
      <w:numFmt w:val="bullet"/>
      <w:lvlText w:val=""/>
      <w:lvlJc w:val="left"/>
      <w:pPr>
        <w:ind w:left="2084" w:hanging="360"/>
      </w:pPr>
      <w:rPr>
        <w:rFonts w:ascii="Wingdings" w:hAnsi="Wingdings" w:hint="default"/>
      </w:rPr>
    </w:lvl>
    <w:lvl w:ilvl="3" w:tplc="F94ECFEC" w:tentative="1">
      <w:start w:val="1"/>
      <w:numFmt w:val="bullet"/>
      <w:lvlText w:val=""/>
      <w:lvlJc w:val="left"/>
      <w:pPr>
        <w:ind w:left="2804" w:hanging="360"/>
      </w:pPr>
      <w:rPr>
        <w:rFonts w:ascii="Symbol" w:hAnsi="Symbol" w:hint="default"/>
      </w:rPr>
    </w:lvl>
    <w:lvl w:ilvl="4" w:tplc="4DE0F8DE" w:tentative="1">
      <w:start w:val="1"/>
      <w:numFmt w:val="bullet"/>
      <w:lvlText w:val="o"/>
      <w:lvlJc w:val="left"/>
      <w:pPr>
        <w:ind w:left="3524" w:hanging="360"/>
      </w:pPr>
      <w:rPr>
        <w:rFonts w:ascii="Courier New" w:hAnsi="Courier New" w:cs="Arial" w:hint="default"/>
      </w:rPr>
    </w:lvl>
    <w:lvl w:ilvl="5" w:tplc="1A2C4FFC" w:tentative="1">
      <w:start w:val="1"/>
      <w:numFmt w:val="bullet"/>
      <w:lvlText w:val=""/>
      <w:lvlJc w:val="left"/>
      <w:pPr>
        <w:ind w:left="4244" w:hanging="360"/>
      </w:pPr>
      <w:rPr>
        <w:rFonts w:ascii="Wingdings" w:hAnsi="Wingdings" w:hint="default"/>
      </w:rPr>
    </w:lvl>
    <w:lvl w:ilvl="6" w:tplc="EE0E2464" w:tentative="1">
      <w:start w:val="1"/>
      <w:numFmt w:val="bullet"/>
      <w:lvlText w:val=""/>
      <w:lvlJc w:val="left"/>
      <w:pPr>
        <w:ind w:left="4964" w:hanging="360"/>
      </w:pPr>
      <w:rPr>
        <w:rFonts w:ascii="Symbol" w:hAnsi="Symbol" w:hint="default"/>
      </w:rPr>
    </w:lvl>
    <w:lvl w:ilvl="7" w:tplc="71A6695E" w:tentative="1">
      <w:start w:val="1"/>
      <w:numFmt w:val="bullet"/>
      <w:lvlText w:val="o"/>
      <w:lvlJc w:val="left"/>
      <w:pPr>
        <w:ind w:left="5684" w:hanging="360"/>
      </w:pPr>
      <w:rPr>
        <w:rFonts w:ascii="Courier New" w:hAnsi="Courier New" w:cs="Arial" w:hint="default"/>
      </w:rPr>
    </w:lvl>
    <w:lvl w:ilvl="8" w:tplc="9DF89E6A" w:tentative="1">
      <w:start w:val="1"/>
      <w:numFmt w:val="bullet"/>
      <w:lvlText w:val=""/>
      <w:lvlJc w:val="left"/>
      <w:pPr>
        <w:ind w:left="6404" w:hanging="360"/>
      </w:pPr>
      <w:rPr>
        <w:rFonts w:ascii="Wingdings" w:hAnsi="Wingdings" w:hint="default"/>
      </w:rPr>
    </w:lvl>
  </w:abstractNum>
  <w:abstractNum w:abstractNumId="3" w15:restartNumberingAfterBreak="0">
    <w:nsid w:val="67EF0195"/>
    <w:multiLevelType w:val="hybridMultilevel"/>
    <w:tmpl w:val="0D20FD14"/>
    <w:lvl w:ilvl="0" w:tplc="795A02EC">
      <w:start w:val="1"/>
      <w:numFmt w:val="bullet"/>
      <w:pStyle w:val="ABulletpoin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DA"/>
    <w:rsid w:val="00013050"/>
    <w:rsid w:val="00097BF7"/>
    <w:rsid w:val="00292647"/>
    <w:rsid w:val="00397EC3"/>
    <w:rsid w:val="005338C0"/>
    <w:rsid w:val="00581091"/>
    <w:rsid w:val="008C5EE4"/>
    <w:rsid w:val="00967682"/>
    <w:rsid w:val="009A3AAE"/>
    <w:rsid w:val="00AF5A25"/>
    <w:rsid w:val="00B03A6F"/>
    <w:rsid w:val="00C8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2015DD-5ACD-4909-B3E4-266E90EB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4DA"/>
    <w:pPr>
      <w:spacing w:after="240" w:line="360" w:lineRule="auto"/>
      <w:jc w:val="both"/>
    </w:pPr>
    <w:rPr>
      <w:rFonts w:ascii="Arial" w:hAnsi="Arial"/>
      <w:lang w:val="en-ZA"/>
    </w:rPr>
  </w:style>
  <w:style w:type="paragraph" w:styleId="Heading1">
    <w:name w:val="heading 1"/>
    <w:basedOn w:val="ListParagraph"/>
    <w:next w:val="Normal"/>
    <w:link w:val="Heading1Char"/>
    <w:qFormat/>
    <w:rsid w:val="00C874DA"/>
    <w:pPr>
      <w:pageBreakBefore/>
      <w:numPr>
        <w:numId w:val="1"/>
      </w:numPr>
      <w:spacing w:after="480"/>
      <w:ind w:left="0" w:firstLine="794"/>
      <w:jc w:val="center"/>
      <w:outlineLvl w:val="0"/>
    </w:pPr>
    <w:rPr>
      <w:b/>
      <w:caps/>
      <w:sz w:val="28"/>
    </w:rPr>
  </w:style>
  <w:style w:type="paragraph" w:styleId="Heading2">
    <w:name w:val="heading 2"/>
    <w:basedOn w:val="ListParagraph"/>
    <w:next w:val="Normal"/>
    <w:link w:val="Heading2Char"/>
    <w:autoRedefine/>
    <w:unhideWhenUsed/>
    <w:qFormat/>
    <w:rsid w:val="00C874DA"/>
    <w:pPr>
      <w:keepNext/>
      <w:numPr>
        <w:ilvl w:val="1"/>
        <w:numId w:val="1"/>
      </w:numPr>
      <w:tabs>
        <w:tab w:val="left" w:pos="357"/>
      </w:tabs>
      <w:spacing w:before="240" w:after="120"/>
      <w:ind w:left="851" w:hanging="851"/>
      <w:contextualSpacing w:val="0"/>
      <w:jc w:val="left"/>
      <w:outlineLvl w:val="1"/>
    </w:pPr>
    <w:rPr>
      <w:rFonts w:ascii="Arial Bold" w:hAnsi="Arial Bold"/>
      <w:b/>
      <w:caps/>
    </w:rPr>
  </w:style>
  <w:style w:type="paragraph" w:styleId="Heading3">
    <w:name w:val="heading 3"/>
    <w:basedOn w:val="ListParagraph"/>
    <w:next w:val="Normal"/>
    <w:link w:val="Heading3Char"/>
    <w:autoRedefine/>
    <w:unhideWhenUsed/>
    <w:qFormat/>
    <w:rsid w:val="00C874DA"/>
    <w:pPr>
      <w:keepNext/>
      <w:numPr>
        <w:ilvl w:val="2"/>
        <w:numId w:val="1"/>
      </w:numPr>
      <w:spacing w:before="240" w:after="120"/>
      <w:ind w:left="851" w:hanging="851"/>
      <w:contextualSpacing w:val="0"/>
      <w:jc w:val="left"/>
      <w:outlineLvl w:val="2"/>
    </w:pPr>
    <w:rPr>
      <w:b/>
      <w:lang w:val="en-US"/>
    </w:rPr>
  </w:style>
  <w:style w:type="paragraph" w:styleId="Heading4">
    <w:name w:val="heading 4"/>
    <w:basedOn w:val="Heading3"/>
    <w:next w:val="Normal"/>
    <w:link w:val="Heading4Char"/>
    <w:unhideWhenUsed/>
    <w:qFormat/>
    <w:rsid w:val="00C874DA"/>
    <w:pPr>
      <w:numPr>
        <w:ilvl w:val="3"/>
      </w:numPr>
      <w:ind w:left="720" w:hanging="720"/>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74DA"/>
    <w:rPr>
      <w:rFonts w:ascii="Arial" w:hAnsi="Arial"/>
      <w:b/>
      <w:caps/>
      <w:sz w:val="28"/>
      <w:lang w:val="en-ZA"/>
    </w:rPr>
  </w:style>
  <w:style w:type="character" w:customStyle="1" w:styleId="Heading2Char">
    <w:name w:val="Heading 2 Char"/>
    <w:basedOn w:val="DefaultParagraphFont"/>
    <w:link w:val="Heading2"/>
    <w:rsid w:val="00C874DA"/>
    <w:rPr>
      <w:rFonts w:ascii="Arial Bold" w:hAnsi="Arial Bold"/>
      <w:b/>
      <w:caps/>
      <w:lang w:val="en-ZA"/>
    </w:rPr>
  </w:style>
  <w:style w:type="character" w:customStyle="1" w:styleId="Heading3Char">
    <w:name w:val="Heading 3 Char"/>
    <w:basedOn w:val="DefaultParagraphFont"/>
    <w:link w:val="Heading3"/>
    <w:rsid w:val="00C874DA"/>
    <w:rPr>
      <w:rFonts w:ascii="Arial" w:hAnsi="Arial"/>
      <w:b/>
    </w:rPr>
  </w:style>
  <w:style w:type="character" w:customStyle="1" w:styleId="Heading4Char">
    <w:name w:val="Heading 4 Char"/>
    <w:basedOn w:val="DefaultParagraphFont"/>
    <w:link w:val="Heading4"/>
    <w:rsid w:val="00C874DA"/>
    <w:rPr>
      <w:rFonts w:ascii="Arial" w:hAnsi="Arial"/>
    </w:rPr>
  </w:style>
  <w:style w:type="paragraph" w:customStyle="1" w:styleId="ABulletpoint">
    <w:name w:val="A Bulletpoint"/>
    <w:basedOn w:val="Normal"/>
    <w:autoRedefine/>
    <w:qFormat/>
    <w:rsid w:val="00C874DA"/>
    <w:pPr>
      <w:numPr>
        <w:numId w:val="2"/>
      </w:numPr>
      <w:spacing w:after="120"/>
      <w:ind w:left="567" w:hanging="567"/>
    </w:pPr>
  </w:style>
  <w:style w:type="paragraph" w:customStyle="1" w:styleId="USBBullets">
    <w:name w:val="USB Bullets"/>
    <w:basedOn w:val="Normal"/>
    <w:link w:val="USBBulletsChar"/>
    <w:qFormat/>
    <w:rsid w:val="00C874DA"/>
    <w:pPr>
      <w:numPr>
        <w:numId w:val="3"/>
      </w:numPr>
      <w:tabs>
        <w:tab w:val="left" w:pos="567"/>
      </w:tabs>
      <w:ind w:left="567" w:hanging="567"/>
    </w:pPr>
    <w:rPr>
      <w:rFonts w:eastAsia="Times New Roman" w:cs="Arial"/>
      <w:noProof/>
      <w:lang w:val="en-GB"/>
    </w:rPr>
  </w:style>
  <w:style w:type="character" w:customStyle="1" w:styleId="USBBulletsChar">
    <w:name w:val="USB Bullets Char"/>
    <w:link w:val="USBBullets"/>
    <w:rsid w:val="00C874DA"/>
    <w:rPr>
      <w:rFonts w:ascii="Arial" w:eastAsia="Times New Roman" w:hAnsi="Arial" w:cs="Arial"/>
      <w:noProof/>
      <w:lang w:val="en-GB"/>
    </w:rPr>
  </w:style>
  <w:style w:type="paragraph" w:styleId="ListParagraph">
    <w:name w:val="List Paragraph"/>
    <w:basedOn w:val="Normal"/>
    <w:uiPriority w:val="34"/>
    <w:qFormat/>
    <w:rsid w:val="00C87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3850</Words>
  <Characters>21946</Characters>
  <Application>Microsoft Office Word</Application>
  <DocSecurity>4</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Hendricks, Gayle</cp:lastModifiedBy>
  <cp:revision>2</cp:revision>
  <dcterms:created xsi:type="dcterms:W3CDTF">2020-03-30T09:04:00Z</dcterms:created>
  <dcterms:modified xsi:type="dcterms:W3CDTF">2020-03-30T09:04:00Z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N4987772@fnbnamibia.com.na</vt:lpwstr>
  </property>
  <property fmtid="{D5CDD505-2E9C-101B-9397-08002B2CF9AE}" pid="5" name="MSIP_Label_216eec4e-c7b8-491d-b7d8-90a69632743d_SetDate">
    <vt:lpwstr>2020-03-30T09:04:33.7348120Z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d44b23ea-f915-4915-9ae9-00c336b7fc1a</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