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 Coach — Ampliación de Empleo Público</w:t>
        <w:br/>
        <w:t>Alicante y Castellón</w:t>
      </w:r>
    </w:p>
    <w:p>
      <w:pPr>
        <w:jc w:val="center"/>
      </w:pPr>
      <w:r>
        <w:rPr>
          <w:b/>
        </w:rPr>
        <w:t>Documento técnico de consolidación para iniciar implementación</w:t>
      </w:r>
    </w:p>
    <w:p>
      <w:r>
        <w:t>Estado consolidado: 18 de septiembre de 2026. Investigación terminada; no se han aplicado cambios de implementación durante esta fase.</w:t>
      </w:r>
    </w:p>
    <w:p>
      <w:pPr>
        <w:pStyle w:val="Heading1"/>
      </w:pPr>
      <w:r>
        <w:t>1. Objetivo y alcance</w:t>
      </w:r>
    </w:p>
    <w:p>
      <w:r>
        <w:t>Ampliar el módulo Empleo de Tu Coach, actualmente operativo para Generalitat Valenciana, Diputación de Valencia y entidades locales de la provincia de Valencia, para cubrir también Alicante y Castellón. El alcance se mantiene restringido a oportunidades de perfil administrativo; no se pretende importar todo el empleo público.</w:t>
      </w:r>
    </w:p>
    <w:p>
      <w:r>
        <w:t>El seguimiento debe informar únicamente de novedades relevantes para el candidato: apertura o cambio de plazo, listas provisionales/finales de admitidos o excluidos, fecha o lugar de examen, resultados, modificaciones relevantes de bases, variaciones de plazas, suspensión/cancelación/reanudación, tribunal cuando sea materialmente relevante y finalización/nombramiento cuando resulte útil.</w:t>
      </w:r>
    </w:p>
    <w:p>
      <w:pPr>
        <w:pStyle w:val="Heading1"/>
      </w:pPr>
      <w:r>
        <w:t>2. Estado real verificado</w:t>
      </w:r>
    </w:p>
    <w:p>
      <w:pPr>
        <w:pStyle w:val="Heading2"/>
      </w:pPr>
      <w:r>
        <w:t>2.1 Repositorios y servicio</w:t>
      </w:r>
    </w:p>
    <w:p>
      <w:pPr>
        <w:pStyle w:val="ListBullet"/>
      </w:pPr>
      <w:r>
        <w:t>Aplicación principal: repositorio GitHub Fragarre/OpoCoach-Web; directorio local C:\Users\fraga\OneDrive\Desktop\NetExamenes\NetReto-Web.</w:t>
      </w:r>
    </w:p>
    <w:p>
      <w:pPr>
        <w:pStyle w:val="ListBullet"/>
      </w:pPr>
      <w:r>
        <w:t>Motor especializado de Empleo: Fragarre/NetReto-Web-Empleo; directorio local C:\Users\fraga\OneDrive\Desktop\NetExamenes\NetReto-Web-Empleo.</w:t>
      </w:r>
    </w:p>
    <w:p>
      <w:pPr>
        <w:pStyle w:val="ListBullet"/>
      </w:pPr>
      <w:r>
        <w:t>OpoCoach-Web integra NetReto-Web-Empleo como submódulo en backend/employment_service.</w:t>
      </w:r>
    </w:p>
    <w:p>
      <w:pPr>
        <w:pStyle w:val="ListBullet"/>
      </w:pPr>
      <w:r>
        <w:t>Render ejecuta un único cron netreto-empleo-periodic con: python scripts/run_periodic_http.py --aplicar --dias 7.</w:t>
      </w:r>
    </w:p>
    <w:p>
      <w:pPr>
        <w:pStyle w:val="ListBullet"/>
      </w:pPr>
      <w:r>
        <w:t>El último estado revisado del cron era correcto tras la reparación de la fuente estatal.</w:t>
      </w:r>
    </w:p>
    <w:p>
      <w:pPr>
        <w:pStyle w:val="Heading2"/>
      </w:pPr>
      <w:r>
        <w:t>2.2 Supabase de producción</w:t>
      </w:r>
    </w:p>
    <w:p>
      <w:r>
        <w:t>Proyecto real auditado en SOLO LECTURA: netreto-empleo (PostgreSQL 17.6).</w:t>
      </w:r>
    </w:p>
    <w:p>
      <w:pPr>
        <w:pStyle w:val="ListBullet"/>
      </w:pPr>
      <w:r>
        <w:t>23 organismos.</w:t>
      </w:r>
    </w:p>
    <w:p>
      <w:pPr>
        <w:pStyle w:val="ListBullet"/>
      </w:pPr>
      <w:r>
        <w:t>6 fuentes.</w:t>
      </w:r>
    </w:p>
    <w:p>
      <w:pPr>
        <w:pStyle w:val="ListBullet"/>
      </w:pPr>
      <w:r>
        <w:t>199 procesos.</w:t>
      </w:r>
    </w:p>
    <w:p>
      <w:pPr>
        <w:pStyle w:val="ListBullet"/>
      </w:pPr>
      <w:r>
        <w:t>259 publicaciones.</w:t>
      </w:r>
    </w:p>
    <w:p>
      <w:pPr>
        <w:pStyle w:val="ListBullet"/>
      </w:pPr>
      <w:r>
        <w:t>255 cambios.</w:t>
      </w:r>
    </w:p>
    <w:p>
      <w:pPr>
        <w:pStyle w:val="ListBullet"/>
      </w:pPr>
      <w:r>
        <w:t>10 suscripciones.</w:t>
      </w:r>
    </w:p>
    <w:p>
      <w:pPr>
        <w:pStyle w:val="ListBullet"/>
      </w:pPr>
      <w:r>
        <w:t>173 procesos pertenecen a organismos de Valencia; 26 a Generalitat/sin provincia.</w:t>
      </w:r>
    </w:p>
    <w:p>
      <w:pPr>
        <w:pStyle w:val="ListBullet"/>
      </w:pPr>
      <w:r>
        <w:t>Procesos de Alicante: 0.</w:t>
      </w:r>
    </w:p>
    <w:p>
      <w:pPr>
        <w:pStyle w:val="ListBullet"/>
      </w:pPr>
      <w:r>
        <w:t>Procesos de Castellón: 0.</w:t>
      </w:r>
    </w:p>
    <w:p>
      <w:pPr>
        <w:pStyle w:val="ListBullet"/>
      </w:pPr>
      <w:r>
        <w:t>No se detectaron identificadores_estables duplicados ni organismos duplicados por nombre normalizado.</w:t>
      </w:r>
    </w:p>
    <w:p>
      <w:pPr>
        <w:pStyle w:val="ListBullet"/>
      </w:pPr>
      <w:r>
        <w:t>BOP Castellón existe como fuente (id 8), pero actualmente tiene 0 publicaciones y 0 procesos.</w:t>
      </w:r>
    </w:p>
    <w:p>
      <w:pPr>
        <w:pStyle w:val="ListBullet"/>
      </w:pPr>
      <w:r>
        <w:t>BOP Alicante y los organismos/fuentes históricos de Alicante definidos en seed_initial.sql no están presentes actualmente en la BD real.</w:t>
      </w:r>
    </w:p>
    <w:p>
      <w:r>
        <w:t>Consecuencia: no existe una migración histórica de Alicante/Castellón que reconciliar antes de ampliar. La base productiva ofrece un punto de partida limpio. La BD real y el código real deben considerarse fuente de verdad; seed_initial.sql es únicamente referencia histórica.</w:t>
      </w:r>
    </w:p>
    <w:p>
      <w:pPr>
        <w:pStyle w:val="Heading1"/>
      </w:pPr>
      <w:r>
        <w:t>3. Arquitectura actual reutilizable</w:t>
      </w:r>
    </w:p>
    <w:p>
      <w:r>
        <w:t>El esquema actual es suficiente. No se justifica crear tablas por provincia ni otra base de datos. Las entidades organismos, procesos, publicaciones, cambios, suscripciones y notificaciones ya permiten representar las tres provincias.</w:t>
      </w:r>
    </w:p>
    <w:p>
      <w:pPr>
        <w:pStyle w:val="ListBullet"/>
      </w:pPr>
      <w:r>
        <w:t>organismos ya dispone de provincia y municipio.</w:t>
      </w:r>
    </w:p>
    <w:p>
      <w:pPr>
        <w:pStyle w:val="ListBullet"/>
      </w:pPr>
      <w:r>
        <w:t>procesos tiene identificador_estable UNIQUE y referencia al organismo y fuente principal.</w:t>
      </w:r>
    </w:p>
    <w:p>
      <w:pPr>
        <w:pStyle w:val="ListBullet"/>
      </w:pPr>
      <w:r>
        <w:t>publicaciones conserva evidencias oficiales por fuente.</w:t>
      </w:r>
    </w:p>
    <w:p>
      <w:pPr>
        <w:pStyle w:val="ListBullet"/>
      </w:pPr>
      <w:r>
        <w:t>cambios puede actuar como capa de evento normalizado/significativo.</w:t>
      </w:r>
    </w:p>
    <w:p>
      <w:pPr>
        <w:pStyle w:val="ListBullet"/>
      </w:pPr>
      <w:r>
        <w:t>suscripciones y seguimiento no dependen de la provincia.</w:t>
      </w:r>
    </w:p>
    <w:p>
      <w:pPr>
        <w:pStyle w:val="ListBullet"/>
      </w:pPr>
      <w:r>
        <w:t>La página de detalle de un proceso es esencialmente genérica y reutilizable.</w:t>
      </w:r>
    </w:p>
    <w:p>
      <w:pPr>
        <w:pStyle w:val="Heading1"/>
      </w:pPr>
      <w:r>
        <w:t>4. Fuentes por provincia</w:t>
      </w:r>
    </w:p>
    <w:p>
      <w:pPr>
        <w:pStyle w:val="Heading2"/>
      </w:pPr>
      <w:r>
        <w:t>4.1 Valencia — patrón productivo de referencia</w:t>
      </w:r>
    </w:p>
    <w:p>
      <w:pPr>
        <w:pStyle w:val="ListBullet"/>
      </w:pPr>
      <w:r>
        <w:t>BOP Valencia Diputación.</w:t>
      </w:r>
    </w:p>
    <w:p>
      <w:pPr>
        <w:pStyle w:val="ListBullet"/>
      </w:pPr>
      <w:r>
        <w:t>BOP Valencia municipios.</w:t>
      </w:r>
    </w:p>
    <w:p>
      <w:pPr>
        <w:pStyle w:val="ListBullet"/>
      </w:pPr>
      <w:r>
        <w:t>BOE local.</w:t>
      </w:r>
    </w:p>
    <w:p>
      <w:pPr>
        <w:pStyle w:val="ListBullet"/>
      </w:pPr>
      <w:r>
        <w:t>GVA/DOGV.</w:t>
      </w:r>
    </w:p>
    <w:p>
      <w:r>
        <w:t>bop_valencia_municipios.py es actualmente el patrón más maduro: clasificación administrativa común, distinción entre convocatoria/seguimiento/ruido, solape temporal, idempotencia, SOLO_REVISION y vinculación conservadora de publicaciones a procesos.</w:t>
      </w:r>
    </w:p>
    <w:p>
      <w:pPr>
        <w:pStyle w:val="Heading2"/>
      </w:pPr>
      <w:r>
        <w:t>4.2 Alicante</w:t>
      </w:r>
    </w:p>
    <w:p>
      <w:pPr>
        <w:pStyle w:val="ListBullet"/>
      </w:pPr>
      <w:r>
        <w:t>Diputación de Alicante / agregador provincial y RSS: fuente preferente para descubrimiento.</w:t>
      </w:r>
    </w:p>
    <w:p>
      <w:pPr>
        <w:pStyle w:val="ListBullet"/>
      </w:pPr>
      <w:r>
        <w:t>BOP Alicante: fuente oficial central para bases y seguimiento.</w:t>
      </w:r>
    </w:p>
    <w:p>
      <w:pPr>
        <w:pStyle w:val="ListBullet"/>
      </w:pPr>
      <w:r>
        <w:t>BOE y GVA/DOGV: fuentes transversales de confirmación y detección.</w:t>
      </w:r>
    </w:p>
    <w:p>
      <w:pPr>
        <w:pStyle w:val="ListBullet"/>
      </w:pPr>
      <w:r>
        <w:t>Sedes municipales: sólo fallback para procesos conocidos cuando una novedad relevante no aparece en fuentes centrales.</w:t>
      </w:r>
    </w:p>
    <w:p>
      <w:r>
        <w:t>Ya existe código antiguo para Diputación de Alicante y Ayuntamiento de Alicante. Es aprovechable de forma selectiva, pero no debe activarse sin adaptación: usa IDs fijos, no está integrado en el cron actual y su modelo de cambios es menos conservador que el desarrollado posteriormente para Valencia.</w:t>
      </w:r>
    </w:p>
    <w:p>
      <w:pPr>
        <w:pStyle w:val="Heading2"/>
      </w:pPr>
      <w:r>
        <w:t>4.3 Castellón</w:t>
      </w:r>
    </w:p>
    <w:p>
      <w:pPr>
        <w:pStyle w:val="ListBullet"/>
      </w:pPr>
      <w:r>
        <w:t>BOP Castellón: fuente central; dispone de categoría temática de personal/oposiciones/oferta pública.</w:t>
      </w:r>
    </w:p>
    <w:p>
      <w:pPr>
        <w:pStyle w:val="ListBullet"/>
      </w:pPr>
      <w:r>
        <w:t>Diputación de Castellón: fichas de procesos con historial estructurado.</w:t>
      </w:r>
    </w:p>
    <w:p>
      <w:pPr>
        <w:pStyle w:val="ListBullet"/>
      </w:pPr>
      <w:r>
        <w:t>BOE y GVA/DOGV: fuentes transversales.</w:t>
      </w:r>
    </w:p>
    <w:p>
      <w:pPr>
        <w:pStyle w:val="ListBullet"/>
      </w:pPr>
      <w:r>
        <w:t>Sedes municipales: fallback excepcional, no estrategia general.</w:t>
      </w:r>
    </w:p>
    <w:p>
      <w:pPr>
        <w:pStyle w:val="Heading1"/>
      </w:pPr>
      <w:r>
        <w:t>5. Principios de implementación</w:t>
      </w:r>
    </w:p>
    <w:p>
      <w:pPr>
        <w:pStyle w:val="ListBullet"/>
      </w:pPr>
      <w:r>
        <w:t>Mantener UN SOLO CRON por coste y simplicidad operativa.</w:t>
      </w:r>
    </w:p>
    <w:p>
      <w:pPr>
        <w:pStyle w:val="ListBullet"/>
      </w:pPr>
      <w:r>
        <w:t>Cada fuente debe ejecutarse de forma aislada: un fallo de Alicante no debe impedir Valencia, Castellón, BOE o GVA.</w:t>
      </w:r>
    </w:p>
    <w:p>
      <w:pPr>
        <w:pStyle w:val="ListBullet"/>
      </w:pPr>
      <w:r>
        <w:t>Distinguir OK, ERROR, DEGRADADA y SIN_NOVEDADES. Cero resultados no debe confundirse con un scraper roto.</w:t>
      </w:r>
    </w:p>
    <w:p>
      <w:pPr>
        <w:pStyle w:val="ListBullet"/>
      </w:pPr>
      <w:r>
        <w:t>Conservar ventana de solape e idempotencia.</w:t>
      </w:r>
    </w:p>
    <w:p>
      <w:pPr>
        <w:pStyle w:val="ListBullet"/>
      </w:pPr>
      <w:r>
        <w:t>Toda nueva fuente debe disponer de modo SOLO_REVISION/diagnóstico antes de aplicar.</w:t>
      </w:r>
    </w:p>
    <w:p>
      <w:pPr>
        <w:pStyle w:val="ListBullet"/>
      </w:pPr>
      <w:r>
        <w:t>No recorrer sistemáticamente las webs de todos los ayuntamientos.</w:t>
      </w:r>
    </w:p>
    <w:p>
      <w:pPr>
        <w:pStyle w:val="ListBullet"/>
      </w:pPr>
      <w:r>
        <w:t>Reutilizar el clasificador administrativo común; no crear clasificadores provinciales separados.</w:t>
      </w:r>
    </w:p>
    <w:p>
      <w:pPr>
        <w:pStyle w:val="ListBullet"/>
      </w:pPr>
      <w:r>
        <w:t>Normalizar después de extraer: cada web puede tener un conector propio, pero debe producir el mismo modelo interno.</w:t>
      </w:r>
    </w:p>
    <w:p>
      <w:pPr>
        <w:pStyle w:val="Heading1"/>
      </w:pPr>
      <w:r>
        <w:t>6. Identidad, vinculación y deduplicación</w:t>
      </w:r>
    </w:p>
    <w:p>
      <w:r>
        <w:t>Debe mantenerse una distinción estricta entre identidad documental e identidad del proceso. Una convocatoria puede aparecer en BOP, BOE, DOGV/GVA y un agregador provincial sin que existan cuatro procesos.</w:t>
      </w:r>
    </w:p>
    <w:p>
      <w:pPr>
        <w:pStyle w:val="ListBullet"/>
      </w:pPr>
      <w:r>
        <w:t>Identidad de organismo: como mínimo tipo + provincia + municipio/nombre normalizado.</w:t>
      </w:r>
    </w:p>
    <w:p>
      <w:pPr>
        <w:pStyle w:val="ListBullet"/>
      </w:pPr>
      <w:r>
        <w:t>Identidad documental: referencia estable propia de cada fuente.</w:t>
      </w:r>
    </w:p>
    <w:p>
      <w:pPr>
        <w:pStyle w:val="ListBullet"/>
      </w:pPr>
      <w:r>
        <w:t>Vinculación: 0 candidatos inequívocos → proceso nuevo; 1 → vincular; más de 1 → REVISIÓN, nunca enlazar por heurística débil.</w:t>
      </w:r>
    </w:p>
    <w:p>
      <w:pPr>
        <w:pStyle w:val="ListBullet"/>
      </w:pPr>
      <w:r>
        <w:t>No fabricar una clave universal basada sólo en municipio + denominación + plazas + año.</w:t>
      </w:r>
    </w:p>
    <w:p>
      <w:pPr>
        <w:pStyle w:val="ListBullet"/>
      </w:pPr>
      <w:r>
        <w:t>No eliminar publicaciones de fuentes distintas aunque describan el mismo hecho: son evidencias oficiales independientes.</w:t>
      </w:r>
    </w:p>
    <w:p>
      <w:pPr>
        <w:pStyle w:val="ListBullet"/>
      </w:pPr>
      <w:r>
        <w:t>Deduplicar la novedad para el usuario en la capa evento/cambio, no destruyendo documentos.</w:t>
      </w:r>
    </w:p>
    <w:p>
      <w:pPr>
        <w:pStyle w:val="Heading1"/>
      </w:pPr>
      <w:r>
        <w:t>7. BOE y GVA</w:t>
      </w:r>
    </w:p>
    <w:p>
      <w:pPr>
        <w:pStyle w:val="Heading2"/>
      </w:pPr>
      <w:r>
        <w:t>7.1 BOE local</w:t>
      </w:r>
    </w:p>
    <w:p>
      <w:r>
        <w:t>El extractor ya obtiene convocatorias de otras provincias, pero boe_local_import.py descarta expresamente todo lo que no sea Valencia y crea nuevos organismos con provincia fija Valencia. Además, la vinculación actual busca identificadores BOPMUN:%, por lo que debe generalizarse a procesos locales descubiertos por cualquier fuente provincial.</w:t>
      </w:r>
    </w:p>
    <w:p>
      <w:r>
        <w:t>Función recomendada del BOE: confirmación de convocatoria y apertura de plazo; no fuente principal del seguimiento posterior.</w:t>
      </w:r>
    </w:p>
    <w:p>
      <w:pPr>
        <w:pStyle w:val="Heading2"/>
      </w:pPr>
      <w:r>
        <w:t>7.2 GVA/DOGV</w:t>
      </w:r>
    </w:p>
    <w:p>
      <w:r>
        <w:t>GVA dispone de información de entidades locales de las tres provincias y puede actuar como fuente transversal de detección/contraste. El conector productivo actual, sin embargo, está orientado a Generalitat y no debe reutilizarse sin separar claramente fuente informativa y organismo convocante.</w:t>
      </w:r>
    </w:p>
    <w:p>
      <w:r>
        <w:t>GVA puede servir además como señal secundaria de salud: si una fuente provincial informa cero novedades pero GVA registra actividad local relevante, debe generarse una alerta diagnóstica, no una importación automática basada en una suposición.</w:t>
      </w:r>
    </w:p>
    <w:p>
      <w:pPr>
        <w:pStyle w:val="Heading1"/>
      </w:pPr>
      <w:r>
        <w:t>8. Novedades y frontend</w:t>
      </w:r>
    </w:p>
    <w:p>
      <w:r>
        <w:t>Actualmente la relevancia de novedades está parcialmente definida en backend y repetida en tres componentes frontend. Los criterios no son idénticos. La ampliación no debe multiplicar esa deuda técnica.</w:t>
      </w:r>
    </w:p>
    <w:p>
      <w:pPr>
        <w:pStyle w:val="ListBullet"/>
      </w:pPr>
      <w:r>
        <w:t>Centralizar en backend la semántica de evento/novedad significativa.</w:t>
      </w:r>
    </w:p>
    <w:p>
      <w:pPr>
        <w:pStyle w:val="ListBullet"/>
      </w:pPr>
      <w:r>
        <w:t>El frontend debería presentar eventos ya clasificados, no reinterpretar cada nueva fuente.</w:t>
      </w:r>
    </w:p>
    <w:p>
      <w:pPr>
        <w:pStyle w:val="ListBullet"/>
      </w:pPr>
      <w:r>
        <w:t>La página /empleo está hardcodeada a Generalitat, Diputación de Valencia y ayuntamientos de Valencia; debe generalizarse para las tres provincias.</w:t>
      </w:r>
    </w:p>
    <w:p>
      <w:pPr>
        <w:pStyle w:val="ListBullet"/>
      </w:pPr>
      <w:r>
        <w:t>La página de detalle y el motor de suscripciones/seguimiento son esencialmente reutilizables.</w:t>
      </w:r>
    </w:p>
    <w:p>
      <w:pPr>
        <w:pStyle w:val="ListBullet"/>
      </w:pPr>
      <w:r>
        <w:t>Evitar IDs fijos de organismos en frontend y conectores.</w:t>
      </w:r>
    </w:p>
    <w:p>
      <w:pPr>
        <w:pStyle w:val="Heading1"/>
      </w:pPr>
      <w:r>
        <w:t>9. Cron objetivo</w:t>
      </w:r>
    </w:p>
    <w:p>
      <w:r>
        <w:rPr>
          <w:b/>
        </w:rPr>
        <w:t>Estructura conceptual:</w:t>
        <w:br/>
      </w:r>
      <w:r>
        <w:t>UN CRON</w:t>
        <w:br/>
        <w:t xml:space="preserve">  ├─ Valencia: Diputación + BOP municipios</w:t>
        <w:br/>
        <w:t xml:space="preserve">  ├─ Alicante: agregador/RSS + BOP</w:t>
        <w:br/>
        <w:t xml:space="preserve">  ├─ Castellón: BOP + Diputación</w:t>
        <w:br/>
        <w:t xml:space="preserve">  ├─ BOE local</w:t>
        <w:br/>
        <w:t xml:space="preserve">  └─ GVA/DOGV</w:t>
        <w:br/>
        <w:t xml:space="preserve">       ↓</w:t>
        <w:br/>
        <w:t xml:space="preserve">  normalización → procesos → publicaciones → eventos relevantes → seguimiento</w:t>
      </w:r>
    </w:p>
    <w:p>
      <w:r>
        <w:t>El orquestador debe capturar errores por fuente y continuar cuando sea seguro. El resultado del ciclo debe mostrar el estado individual de cada fuente.</w:t>
      </w:r>
    </w:p>
    <w:p>
      <w:pPr>
        <w:pStyle w:val="Heading1"/>
      </w:pPr>
      <w:r>
        <w:t>10. Orden propuesto de implementación</w:t>
      </w:r>
    </w:p>
    <w:p>
      <w:r>
        <w:rPr>
          <w:b/>
        </w:rPr>
        <w:t xml:space="preserve">Fase 0 — Salvaguardas. </w:t>
      </w:r>
      <w:r>
        <w:t>Confirmar ramas/commits actuales, estado de despliegues y BD. No cambiar funcionalidad todavía. Preparar pruebas de regresión de Valencia.</w:t>
      </w:r>
    </w:p>
    <w:p>
      <w:r>
        <w:rPr>
          <w:b/>
        </w:rPr>
        <w:t xml:space="preserve">Fase 1 — Infraestructura común. </w:t>
      </w:r>
      <w:r>
        <w:t>Eliminar dependencias provinciales innecesarias: resolución de organismos/fuentes sin IDs fijos, identidad provincia+municipio, orquestador tolerante a fallos y diagnóstico por fuente.</w:t>
      </w:r>
    </w:p>
    <w:p>
      <w:r>
        <w:rPr>
          <w:b/>
        </w:rPr>
        <w:t xml:space="preserve">Fase 2 — Generalizar BOE local. </w:t>
      </w:r>
      <w:r>
        <w:t>Aceptar Valencia/Alicante/Castellón y generalizar la vinculación a procesos locales sin depender de BOPMUN:% ni provincia fija.</w:t>
      </w:r>
    </w:p>
    <w:p>
      <w:r>
        <w:rPr>
          <w:b/>
        </w:rPr>
        <w:t xml:space="preserve">Fase 3 — Alicante. </w:t>
      </w:r>
      <w:r>
        <w:t>Adaptar/reutilizar el código existente de Diputación/RSS y desarrollar/integrar BOP Alicante con el patrón conservador de Valencia. Ejecutar primero SOLO_REVISION.</w:t>
      </w:r>
    </w:p>
    <w:p>
      <w:r>
        <w:rPr>
          <w:b/>
        </w:rPr>
        <w:t xml:space="preserve">Fase 4 — Castellón. </w:t>
      </w:r>
      <w:r>
        <w:t>Implementar BOP Castellón y, si aporta valor adicional, seguimiento de fichas de Diputación. Primero SOLO_REVISION.</w:t>
      </w:r>
    </w:p>
    <w:p>
      <w:r>
        <w:rPr>
          <w:b/>
        </w:rPr>
        <w:t xml:space="preserve">Fase 5 — GVA local. </w:t>
      </w:r>
      <w:r>
        <w:t>Añadir GVA como fuente transversal de detección/contraste para entidades locales sin confundirla con el organismo convocante.</w:t>
      </w:r>
    </w:p>
    <w:p>
      <w:r>
        <w:rPr>
          <w:b/>
        </w:rPr>
        <w:t xml:space="preserve">Fase 6 — Eventos relevantes. </w:t>
      </w:r>
      <w:r>
        <w:t>Centralizar la clasificación de novedades y deduplicar avisos entre fuentes manteniendo todas las publicaciones oficiales.</w:t>
      </w:r>
    </w:p>
    <w:p>
      <w:r>
        <w:rPr>
          <w:b/>
        </w:rPr>
        <w:t xml:space="preserve">Fase 7 — Frontend. </w:t>
      </w:r>
      <w:r>
        <w:t>Generalizar catálogo y agrupación por provincia; mantener detalle y seguimiento con el contrato API existente siempre que sea posible.</w:t>
      </w:r>
    </w:p>
    <w:p>
      <w:r>
        <w:rPr>
          <w:b/>
        </w:rPr>
        <w:t xml:space="preserve">Fase 8 — Integración cron. </w:t>
      </w:r>
      <w:r>
        <w:t>Incorporar las nuevas fuentes al único cron, medir duración/memoria, comprobar aislamiento de fallos y ventana de solape.</w:t>
      </w:r>
    </w:p>
    <w:p>
      <w:r>
        <w:rPr>
          <w:b/>
        </w:rPr>
        <w:t xml:space="preserve">Fase 9 — Validación. </w:t>
      </w:r>
      <w:r>
        <w:t>Pruebas de idempotencia, duplicados, matching ambiguo, regresión Valencia, seguimiento de usuario, errores parciales y comparación cruzada con fuentes oficiales.</w:t>
      </w:r>
    </w:p>
    <w:p>
      <w:r>
        <w:rPr>
          <w:b/>
        </w:rPr>
        <w:t xml:space="preserve">Fase 10 — Producción. </w:t>
      </w:r>
      <w:r>
        <w:t>Despliegue gradual, primera ejecución controlada, auditoría de resultados y vigilancia de salud por fuente.</w:t>
      </w:r>
    </w:p>
    <w:p>
      <w:pPr>
        <w:pStyle w:val="Heading1"/>
      </w:pPr>
      <w:r>
        <w:t>11. Criterios de aceptación</w:t>
      </w:r>
    </w:p>
    <w:p>
      <w:pPr>
        <w:pStyle w:val="ListBullet"/>
      </w:pPr>
      <w:r>
        <w:t>Valencia sigue funcionando sin regresiones.</w:t>
      </w:r>
    </w:p>
    <w:p>
      <w:pPr>
        <w:pStyle w:val="ListBullet"/>
      </w:pPr>
      <w:r>
        <w:t>Alicante y Castellón muestran únicamente oportunidades administrativas incluidas por las reglas comunes.</w:t>
      </w:r>
    </w:p>
    <w:p>
      <w:pPr>
        <w:pStyle w:val="ListBullet"/>
      </w:pPr>
      <w:r>
        <w:t>Una misma convocatoria detectada por varias fuentes produce un solo proceso.</w:t>
      </w:r>
    </w:p>
    <w:p>
      <w:pPr>
        <w:pStyle w:val="ListBullet"/>
      </w:pPr>
      <w:r>
        <w:t>Las publicaciones oficiales de fuentes distintas se conservan.</w:t>
      </w:r>
    </w:p>
    <w:p>
      <w:pPr>
        <w:pStyle w:val="ListBullet"/>
      </w:pPr>
      <w:r>
        <w:t>Una misma novedad relevante no genera avisos duplicados al usuario.</w:t>
      </w:r>
    </w:p>
    <w:p>
      <w:pPr>
        <w:pStyle w:val="ListBullet"/>
      </w:pPr>
      <w:r>
        <w:t>Un fallo de una fuente no aborta las demás.</w:t>
      </w:r>
    </w:p>
    <w:p>
      <w:pPr>
        <w:pStyle w:val="ListBullet"/>
      </w:pPr>
      <w:r>
        <w:t>Repetir el cron sobre la misma ventana no duplica procesos, publicaciones ni eventos.</w:t>
      </w:r>
    </w:p>
    <w:p>
      <w:pPr>
        <w:pStyle w:val="ListBullet"/>
      </w:pPr>
      <w:r>
        <w:t>Los casos ambiguos quedan en revisión y no se enlazan automáticamente.</w:t>
      </w:r>
    </w:p>
    <w:p>
      <w:pPr>
        <w:pStyle w:val="ListBullet"/>
      </w:pPr>
      <w:r>
        <w:t>El frontend muestra las tres provincias sin depender de IDs históricos.</w:t>
      </w:r>
    </w:p>
    <w:p>
      <w:pPr>
        <w:pStyle w:val="ListBullet"/>
      </w:pPr>
      <w:r>
        <w:t>Las fuentes pueden diagnosticarse individualmente y distinguir ausencia real de novedades de fallo de extracción.</w:t>
      </w:r>
    </w:p>
    <w:p>
      <w:pPr>
        <w:pStyle w:val="Heading1"/>
      </w:pPr>
      <w:r>
        <w:t>12. Restricciones para el nuevo chat de implementación</w:t>
      </w:r>
    </w:p>
    <w:p>
      <w:r>
        <w:t>El nuevo chat debe partir de este documento y verificar de nuevo el estado real antes de escribir. No debe reconstruir el proyecto desde cero ni reinterpretar investigaciones ya cerradas.</w:t>
      </w:r>
    </w:p>
    <w:p>
      <w:pPr>
        <w:pStyle w:val="ListBullet"/>
      </w:pPr>
      <w:r>
        <w:t>Trabajar sobre los repositorios reales Fragarre/OpoCoach-Web y Fragarre/NetReto-Web-Empleo.</w:t>
      </w:r>
    </w:p>
    <w:p>
      <w:pPr>
        <w:pStyle w:val="ListBullet"/>
      </w:pPr>
      <w:r>
        <w:t>Comprobar GitHub/Render/Supabase antes de cada cambio que dependa de su estado.</w:t>
      </w:r>
    </w:p>
    <w:p>
      <w:pPr>
        <w:pStyle w:val="ListBullet"/>
      </w:pPr>
      <w:r>
        <w:t>Cambios pequeños, revisables y verificables por fase.</w:t>
      </w:r>
    </w:p>
    <w:p>
      <w:pPr>
        <w:pStyle w:val="ListBullet"/>
      </w:pPr>
      <w:r>
        <w:t>No tocar la BD productiva sin una necesidad explícita, plan previo y autorización.</w:t>
      </w:r>
    </w:p>
    <w:p>
      <w:pPr>
        <w:pStyle w:val="ListBullet"/>
      </w:pPr>
      <w:r>
        <w:t>Priorizar SOLO_REVISION y pruebas antes de persistir nuevas provincias.</w:t>
      </w:r>
    </w:p>
    <w:p>
      <w:pPr>
        <w:pStyle w:val="ListBullet"/>
      </w:pPr>
      <w:r>
        <w:t>Mantener idempotencia y compatibilidad con Valencia como requisitos no negociables.</w:t>
      </w:r>
    </w:p>
    <w:p>
      <w:pPr>
        <w:pStyle w:val="ListBullet"/>
      </w:pPr>
      <w:r>
        <w:t>No desplegar cambios de varias fases de una sola vez.</w:t>
      </w:r>
    </w:p>
    <w:p>
      <w:pPr>
        <w:pStyle w:val="Heading1"/>
      </w:pPr>
      <w:r>
        <w:t>13. Texto recomendado para iniciar el nuevo chat</w:t>
      </w:r>
    </w:p>
    <w:p>
      <w:r>
        <w:rPr>
          <w:rFonts w:ascii="Consolas" w:hAnsi="Consolas"/>
          <w:sz w:val="18"/>
        </w:rPr>
        <w:t>CONTINUACIÓN TU COACH — AMPLIACIÓN DE EMPLEO A ALICANTE Y CASTELLÓN</w:t>
        <w:br/>
        <w:br/>
        <w:t>Vamos a implementar la ampliación del módulo Empleo de Tu Coach a Alicante y Castellón. Toma como contrato técnico el documento adjunto «Tu Coach — Ampliación de Empleo Público: Alicante y Castellón». No reconstruyas la investigación desde cero y no des por válido ningún estado operativo que pueda haber cambiado.</w:t>
        <w:br/>
        <w:br/>
        <w:t>Antes de modificar nada, verifica el estado REAL de los repositorios Fragarre/OpoCoach-Web y Fragarre/NetReto-Web-Empleo y, cuando corresponda, Render y Supabase netreto-empleo.</w:t>
        <w:br/>
        <w:br/>
        <w:t>Reglas: trabajar por fases; preservar Valencia; mantener idempotencia; usar SOLO_REVISION antes de persistir nuevas fuentes; no enlazar casos ambiguos; un fallo de una fuente no debe bloquear las demás; no modificar la BD productiva ni desplegar cambios mayores sin indicarlo previamente.</w:t>
        <w:br/>
        <w:br/>
        <w:t>Empieza por la Fase 0 y Fase 1 del documento. Primero inspecciona y presenta el cambio mínimo concreto que propones; después continúa con la implementación de forma controlada.</w:t>
      </w:r>
    </w:p>
    <w:p>
      <w:pPr>
        <w:pStyle w:val="Heading1"/>
      </w:pPr>
      <w:r>
        <w:t>14. Nota de evidencia</w:t>
      </w:r>
    </w:p>
    <w:p>
      <w:r>
        <w:t>Este documento consolida la investigación realizada sobre código real de GitHub, configuración de Render, consultas SOLO LECTURA a Supabase de producción y comprobaciones de fuentes oficiales. Las cifras de BD son una fotografía del 18/09/2026 y deben volver a verificarse si la implementación comienza en otro momento.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