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12"/>
        <w:ind w:left="0" w:firstLine="0"/>
        <w:jc w:val="left"/>
        <w:rPr>
          <w:rFonts w:ascii="Times New Roman"/>
        </w:rPr>
      </w:pPr>
    </w:p>
    <w:p>
      <w:pPr>
        <w:pStyle w:val="BodyText"/>
        <w:spacing w:line="490" w:lineRule="atLeast" w:before="0"/>
        <w:ind w:left="3182" w:right="3175" w:firstLine="711"/>
        <w:jc w:val="left"/>
      </w:pPr>
      <w:r>
        <w:rPr/>
        <w:t>Anexo IV TEMARIO</w:t>
      </w:r>
      <w:r>
        <w:rPr>
          <w:spacing w:val="-12"/>
        </w:rPr>
        <w:t> </w:t>
      </w:r>
      <w:r>
        <w:rPr/>
        <w:t>PARTE</w:t>
      </w:r>
      <w:r>
        <w:rPr>
          <w:spacing w:val="-11"/>
        </w:rPr>
        <w:t> </w:t>
      </w:r>
      <w:r>
        <w:rPr/>
        <w:t>GENERAL</w:t>
      </w:r>
    </w:p>
    <w:p>
      <w:pPr>
        <w:pStyle w:val="BodyText"/>
        <w:spacing w:before="3"/>
        <w:ind w:left="2" w:right="2" w:firstLine="0"/>
        <w:jc w:val="center"/>
      </w:pPr>
      <w:r>
        <w:rPr/>
        <w:t>(Común</w:t>
      </w:r>
      <w:r>
        <w:rPr>
          <w:spacing w:val="-6"/>
        </w:rPr>
        <w:t> </w:t>
      </w:r>
      <w:r>
        <w:rPr/>
        <w:t>a</w:t>
      </w:r>
      <w:r>
        <w:rPr>
          <w:spacing w:val="-4"/>
        </w:rPr>
        <w:t> </w:t>
      </w:r>
      <w:r>
        <w:rPr/>
        <w:t>todos</w:t>
      </w:r>
      <w:r>
        <w:rPr>
          <w:spacing w:val="-5"/>
        </w:rPr>
        <w:t> </w:t>
      </w:r>
      <w:r>
        <w:rPr/>
        <w:t>los</w:t>
      </w:r>
      <w:r>
        <w:rPr>
          <w:spacing w:val="-5"/>
        </w:rPr>
        <w:t> </w:t>
      </w:r>
      <w:r>
        <w:rPr/>
        <w:t>procesos</w:t>
      </w:r>
      <w:r>
        <w:rPr>
          <w:spacing w:val="-4"/>
        </w:rPr>
        <w:t> </w:t>
      </w:r>
      <w:r>
        <w:rPr/>
        <w:t>selectivos</w:t>
      </w:r>
      <w:r>
        <w:rPr>
          <w:spacing w:val="-5"/>
        </w:rPr>
        <w:t> </w:t>
      </w:r>
      <w:r>
        <w:rPr/>
        <w:t>del</w:t>
      </w:r>
      <w:r>
        <w:rPr>
          <w:spacing w:val="-5"/>
        </w:rPr>
        <w:t> </w:t>
      </w:r>
      <w:r>
        <w:rPr/>
        <w:t>Anexo</w:t>
      </w:r>
      <w:r>
        <w:rPr>
          <w:spacing w:val="-5"/>
        </w:rPr>
        <w:t> I)</w:t>
      </w:r>
    </w:p>
    <w:p>
      <w:pPr>
        <w:pStyle w:val="BodyText"/>
        <w:spacing w:before="2"/>
        <w:ind w:left="0" w:firstLine="0"/>
        <w:jc w:val="left"/>
      </w:pPr>
    </w:p>
    <w:p>
      <w:pPr>
        <w:pStyle w:val="Heading1"/>
        <w:numPr>
          <w:ilvl w:val="0"/>
          <w:numId w:val="1"/>
        </w:numPr>
        <w:tabs>
          <w:tab w:pos="360" w:val="left" w:leader="none"/>
        </w:tabs>
        <w:spacing w:line="240" w:lineRule="auto" w:before="0" w:after="0"/>
        <w:ind w:left="360" w:right="0" w:hanging="145"/>
        <w:jc w:val="left"/>
      </w:pPr>
      <w:r>
        <w:rPr/>
        <w:t>CONSTITUCIÓN</w:t>
      </w:r>
      <w:r>
        <w:rPr>
          <w:spacing w:val="-7"/>
        </w:rPr>
        <w:t> </w:t>
      </w:r>
      <w:r>
        <w:rPr/>
        <w:t>Y</w:t>
      </w:r>
      <w:r>
        <w:rPr>
          <w:spacing w:val="-7"/>
        </w:rPr>
        <w:t> </w:t>
      </w:r>
      <w:r>
        <w:rPr/>
        <w:t>ORGANIZACIÓN</w:t>
      </w:r>
      <w:r>
        <w:rPr>
          <w:spacing w:val="-6"/>
        </w:rPr>
        <w:t> </w:t>
      </w:r>
      <w:r>
        <w:rPr/>
        <w:t>DEL</w:t>
      </w:r>
      <w:r>
        <w:rPr>
          <w:spacing w:val="-6"/>
        </w:rPr>
        <w:t> </w:t>
      </w:r>
      <w:r>
        <w:rPr>
          <w:spacing w:val="-2"/>
        </w:rPr>
        <w:t>ESTADO</w:t>
      </w:r>
    </w:p>
    <w:p>
      <w:pPr>
        <w:pStyle w:val="ListParagraph"/>
        <w:numPr>
          <w:ilvl w:val="1"/>
          <w:numId w:val="1"/>
        </w:numPr>
        <w:tabs>
          <w:tab w:pos="924" w:val="left" w:leader="none"/>
        </w:tabs>
        <w:spacing w:line="240" w:lineRule="auto" w:before="49" w:after="0"/>
        <w:ind w:left="215" w:right="222" w:firstLine="474"/>
        <w:jc w:val="both"/>
        <w:rPr>
          <w:sz w:val="20"/>
        </w:rPr>
      </w:pPr>
      <w:r>
        <w:rPr>
          <w:sz w:val="20"/>
        </w:rPr>
        <w:t>La Constitución española de 1978. Características, estructura. Título Preliminar. De los derechos y deberes fundamentales. La Corona: su regulación en la Constitución española. Las Cortes Generales. Las cámaras: composición, organización y funciones. La función legislativa. Relaciones entre las cámaras. Los tratados internacionales. De la reforma constitucional.</w:t>
      </w:r>
    </w:p>
    <w:p>
      <w:pPr>
        <w:pStyle w:val="ListParagraph"/>
        <w:numPr>
          <w:ilvl w:val="1"/>
          <w:numId w:val="1"/>
        </w:numPr>
        <w:tabs>
          <w:tab w:pos="899" w:val="left" w:leader="none"/>
        </w:tabs>
        <w:spacing w:line="240" w:lineRule="auto" w:before="100" w:after="0"/>
        <w:ind w:left="215" w:right="217" w:firstLine="474"/>
        <w:jc w:val="both"/>
        <w:rPr>
          <w:sz w:val="20"/>
        </w:rPr>
      </w:pPr>
      <w:r>
        <w:rPr>
          <w:sz w:val="20"/>
        </w:rPr>
        <w:t>Del Gobierno y de la Administración. El presidente o presidenta del Gobierno. El Consejo de</w:t>
      </w:r>
      <w:r>
        <w:rPr>
          <w:spacing w:val="-1"/>
          <w:sz w:val="20"/>
        </w:rPr>
        <w:t> </w:t>
      </w:r>
      <w:r>
        <w:rPr>
          <w:sz w:val="20"/>
        </w:rPr>
        <w:t>ministros. Estatuto de los miembros del Gobierno.</w:t>
      </w:r>
      <w:r>
        <w:rPr>
          <w:spacing w:val="-1"/>
          <w:sz w:val="20"/>
        </w:rPr>
        <w:t> </w:t>
      </w:r>
      <w:r>
        <w:rPr>
          <w:sz w:val="20"/>
        </w:rPr>
        <w:t>Las funciones del Gobierno. Relaciones entre el Gobierno y las Cortes Generales.</w:t>
      </w:r>
    </w:p>
    <w:p>
      <w:pPr>
        <w:pStyle w:val="ListParagraph"/>
        <w:numPr>
          <w:ilvl w:val="1"/>
          <w:numId w:val="1"/>
        </w:numPr>
        <w:tabs>
          <w:tab w:pos="956" w:val="left" w:leader="none"/>
        </w:tabs>
        <w:spacing w:line="240" w:lineRule="auto" w:before="98" w:after="0"/>
        <w:ind w:left="215" w:right="221" w:firstLine="474"/>
        <w:jc w:val="both"/>
        <w:rPr>
          <w:sz w:val="20"/>
        </w:rPr>
      </w:pPr>
      <w:r>
        <w:rPr>
          <w:sz w:val="20"/>
        </w:rPr>
        <w:t>La Administración Pública: principios constitucionales que la informan. Gobierno y Administración.</w:t>
      </w:r>
      <w:r>
        <w:rPr>
          <w:spacing w:val="-5"/>
          <w:sz w:val="20"/>
        </w:rPr>
        <w:t> </w:t>
      </w:r>
      <w:r>
        <w:rPr>
          <w:sz w:val="20"/>
        </w:rPr>
        <w:t>La</w:t>
      </w:r>
      <w:r>
        <w:rPr>
          <w:spacing w:val="-5"/>
          <w:sz w:val="20"/>
        </w:rPr>
        <w:t> </w:t>
      </w:r>
      <w:r>
        <w:rPr>
          <w:sz w:val="20"/>
        </w:rPr>
        <w:t>Administración</w:t>
      </w:r>
      <w:r>
        <w:rPr>
          <w:spacing w:val="-5"/>
          <w:sz w:val="20"/>
        </w:rPr>
        <w:t> </w:t>
      </w:r>
      <w:r>
        <w:rPr>
          <w:sz w:val="20"/>
        </w:rPr>
        <w:t>General</w:t>
      </w:r>
      <w:r>
        <w:rPr>
          <w:spacing w:val="-5"/>
          <w:sz w:val="20"/>
        </w:rPr>
        <w:t> </w:t>
      </w:r>
      <w:r>
        <w:rPr>
          <w:sz w:val="20"/>
        </w:rPr>
        <w:t>del</w:t>
      </w:r>
      <w:r>
        <w:rPr>
          <w:spacing w:val="-4"/>
          <w:sz w:val="20"/>
        </w:rPr>
        <w:t> </w:t>
      </w:r>
      <w:r>
        <w:rPr>
          <w:sz w:val="20"/>
        </w:rPr>
        <w:t>Estado:</w:t>
      </w:r>
      <w:r>
        <w:rPr>
          <w:spacing w:val="-5"/>
          <w:sz w:val="20"/>
        </w:rPr>
        <w:t> </w:t>
      </w:r>
      <w:r>
        <w:rPr>
          <w:sz w:val="20"/>
        </w:rPr>
        <w:t>organización</w:t>
      </w:r>
      <w:r>
        <w:rPr>
          <w:spacing w:val="-5"/>
          <w:sz w:val="20"/>
        </w:rPr>
        <w:t> </w:t>
      </w:r>
      <w:r>
        <w:rPr>
          <w:sz w:val="20"/>
        </w:rPr>
        <w:t>administrativa.</w:t>
      </w:r>
      <w:r>
        <w:rPr>
          <w:spacing w:val="-5"/>
          <w:sz w:val="20"/>
        </w:rPr>
        <w:t> </w:t>
      </w:r>
      <w:r>
        <w:rPr>
          <w:sz w:val="20"/>
        </w:rPr>
        <w:t>Los</w:t>
      </w:r>
      <w:r>
        <w:rPr>
          <w:spacing w:val="-4"/>
          <w:sz w:val="20"/>
        </w:rPr>
        <w:t> </w:t>
      </w:r>
      <w:r>
        <w:rPr>
          <w:sz w:val="20"/>
        </w:rPr>
        <w:t>ministerios: estructura. Los órganos territoriales. Economía y hacienda: principios reguladores en la Constitución. El Tribunal de Cuentas en la Constitución.</w:t>
      </w:r>
    </w:p>
    <w:p>
      <w:pPr>
        <w:pStyle w:val="ListParagraph"/>
        <w:numPr>
          <w:ilvl w:val="1"/>
          <w:numId w:val="1"/>
        </w:numPr>
        <w:tabs>
          <w:tab w:pos="903" w:val="left" w:leader="none"/>
        </w:tabs>
        <w:spacing w:line="240" w:lineRule="auto" w:before="100" w:after="0"/>
        <w:ind w:left="215" w:right="221" w:firstLine="474"/>
        <w:jc w:val="both"/>
        <w:rPr>
          <w:sz w:val="20"/>
        </w:rPr>
      </w:pPr>
      <w:r>
        <w:rPr>
          <w:sz w:val="20"/>
        </w:rPr>
        <w:t>El Poder Judicial: la regulación constitucional de la justicia. El Consejo General del Poder Judicial: Composición y funciones. La regulación constitucional del Tribunal Constitucional. El Defensor del Pueblo: Naturaleza, competencias y resoluciones.</w:t>
      </w:r>
    </w:p>
    <w:p>
      <w:pPr>
        <w:pStyle w:val="ListParagraph"/>
        <w:numPr>
          <w:ilvl w:val="1"/>
          <w:numId w:val="1"/>
        </w:numPr>
        <w:tabs>
          <w:tab w:pos="893" w:val="left" w:leader="none"/>
        </w:tabs>
        <w:spacing w:line="240" w:lineRule="auto" w:before="99" w:after="0"/>
        <w:ind w:left="215" w:right="219" w:firstLine="474"/>
        <w:jc w:val="both"/>
        <w:rPr>
          <w:sz w:val="20"/>
        </w:rPr>
      </w:pPr>
      <w:r>
        <w:rPr>
          <w:sz w:val="20"/>
        </w:rPr>
        <w:t>Regulación constitucional de la organización territorial del Estado: Principios generales. La Administración Local. Las Comunidades Autónomas.</w:t>
      </w:r>
    </w:p>
    <w:p>
      <w:pPr>
        <w:pStyle w:val="Heading1"/>
        <w:numPr>
          <w:ilvl w:val="0"/>
          <w:numId w:val="1"/>
        </w:numPr>
        <w:tabs>
          <w:tab w:pos="410" w:val="left" w:leader="none"/>
        </w:tabs>
        <w:spacing w:line="240" w:lineRule="auto" w:before="192" w:after="0"/>
        <w:ind w:left="410" w:right="0" w:hanging="195"/>
        <w:jc w:val="left"/>
      </w:pPr>
      <w:r>
        <w:rPr>
          <w:spacing w:val="-2"/>
        </w:rPr>
        <w:t>ORGANIZACIÓN</w:t>
      </w:r>
      <w:r>
        <w:rPr>
          <w:spacing w:val="-1"/>
        </w:rPr>
        <w:t> </w:t>
      </w:r>
      <w:r>
        <w:rPr>
          <w:spacing w:val="-2"/>
        </w:rPr>
        <w:t>DE</w:t>
      </w:r>
      <w:r>
        <w:rPr/>
        <w:t> </w:t>
      </w:r>
      <w:r>
        <w:rPr>
          <w:spacing w:val="-2"/>
        </w:rPr>
        <w:t>LA COMUNITAT</w:t>
      </w:r>
      <w:r>
        <w:rPr/>
        <w:t> </w:t>
      </w:r>
      <w:r>
        <w:rPr>
          <w:spacing w:val="-2"/>
        </w:rPr>
        <w:t>VALENCIANA</w:t>
      </w:r>
    </w:p>
    <w:p>
      <w:pPr>
        <w:pStyle w:val="ListParagraph"/>
        <w:numPr>
          <w:ilvl w:val="0"/>
          <w:numId w:val="2"/>
        </w:numPr>
        <w:tabs>
          <w:tab w:pos="912" w:val="left" w:leader="none"/>
        </w:tabs>
        <w:spacing w:line="240" w:lineRule="auto" w:before="49" w:after="0"/>
        <w:ind w:left="215" w:right="225" w:firstLine="474"/>
        <w:jc w:val="both"/>
        <w:rPr>
          <w:sz w:val="20"/>
        </w:rPr>
      </w:pPr>
      <w:r>
        <w:rPr>
          <w:sz w:val="20"/>
        </w:rPr>
        <w:t>El Estatuto de Autonomía de la Comunitat Valenciana: La Comunitat Valenciana. De los derechos de los valencianos y valencianas. La Reforma del Estatuto. La Generalitat.</w:t>
      </w:r>
    </w:p>
    <w:p>
      <w:pPr>
        <w:pStyle w:val="ListParagraph"/>
        <w:numPr>
          <w:ilvl w:val="0"/>
          <w:numId w:val="2"/>
        </w:numPr>
        <w:tabs>
          <w:tab w:pos="910" w:val="left" w:leader="none"/>
        </w:tabs>
        <w:spacing w:line="240" w:lineRule="auto" w:before="97" w:after="0"/>
        <w:ind w:left="215" w:right="219" w:firstLine="474"/>
        <w:jc w:val="both"/>
        <w:rPr>
          <w:sz w:val="20"/>
        </w:rPr>
      </w:pPr>
      <w:r>
        <w:rPr>
          <w:sz w:val="20"/>
        </w:rPr>
        <w:t>El Estatuto de Autonomía de la Comunitat Valenciana: Las competencias. Las relaciones con el Estado y otras Comunidades Autónomas. Relaciones con la Unión Europea. Acción Exterior. Administración Local. Economía y Hacienda.</w:t>
      </w:r>
    </w:p>
    <w:p>
      <w:pPr>
        <w:pStyle w:val="ListParagraph"/>
        <w:numPr>
          <w:ilvl w:val="0"/>
          <w:numId w:val="2"/>
        </w:numPr>
        <w:tabs>
          <w:tab w:pos="894" w:val="left" w:leader="none"/>
        </w:tabs>
        <w:spacing w:line="240" w:lineRule="auto" w:before="99" w:after="0"/>
        <w:ind w:left="215" w:right="220" w:firstLine="474"/>
        <w:jc w:val="both"/>
        <w:rPr>
          <w:sz w:val="20"/>
        </w:rPr>
      </w:pPr>
      <w:r>
        <w:rPr>
          <w:sz w:val="20"/>
        </w:rPr>
        <w:t>Les Corts: el procedimiento legislativo. Control de las disposiciones del Consell con fuerza de Ley. El sistema electoral valenciano: el Derecho de sufragio, el sistema electoral y la convocatoria de elecciones.</w:t>
      </w:r>
    </w:p>
    <w:p>
      <w:pPr>
        <w:pStyle w:val="ListParagraph"/>
        <w:numPr>
          <w:ilvl w:val="0"/>
          <w:numId w:val="2"/>
        </w:numPr>
        <w:tabs>
          <w:tab w:pos="902" w:val="left" w:leader="none"/>
        </w:tabs>
        <w:spacing w:line="240" w:lineRule="auto" w:before="98" w:after="0"/>
        <w:ind w:left="215" w:right="221" w:firstLine="474"/>
        <w:jc w:val="both"/>
        <w:rPr>
          <w:sz w:val="20"/>
        </w:rPr>
      </w:pPr>
      <w:r>
        <w:rPr>
          <w:sz w:val="20"/>
        </w:rPr>
        <w:t>Ley 5/1983, de 30 de diciembre, del Consell: el President o Presidenta de la Generalitat: elección</w:t>
      </w:r>
      <w:r>
        <w:rPr>
          <w:spacing w:val="-3"/>
          <w:sz w:val="20"/>
        </w:rPr>
        <w:t> </w:t>
      </w:r>
      <w:r>
        <w:rPr>
          <w:sz w:val="20"/>
        </w:rPr>
        <w:t>y</w:t>
      </w:r>
      <w:r>
        <w:rPr>
          <w:spacing w:val="-3"/>
          <w:sz w:val="20"/>
        </w:rPr>
        <w:t> </w:t>
      </w:r>
      <w:r>
        <w:rPr>
          <w:sz w:val="20"/>
        </w:rPr>
        <w:t>estatuto</w:t>
      </w:r>
      <w:r>
        <w:rPr>
          <w:spacing w:val="-3"/>
          <w:sz w:val="20"/>
        </w:rPr>
        <w:t> </w:t>
      </w:r>
      <w:r>
        <w:rPr>
          <w:sz w:val="20"/>
        </w:rPr>
        <w:t>personal.</w:t>
      </w:r>
      <w:r>
        <w:rPr>
          <w:spacing w:val="-3"/>
          <w:sz w:val="20"/>
        </w:rPr>
        <w:t> </w:t>
      </w:r>
      <w:r>
        <w:rPr>
          <w:sz w:val="20"/>
        </w:rPr>
        <w:t>Atribuciones.</w:t>
      </w:r>
      <w:r>
        <w:rPr>
          <w:spacing w:val="-3"/>
          <w:sz w:val="20"/>
        </w:rPr>
        <w:t> </w:t>
      </w:r>
      <w:r>
        <w:rPr>
          <w:sz w:val="20"/>
        </w:rPr>
        <w:t>El</w:t>
      </w:r>
      <w:r>
        <w:rPr>
          <w:spacing w:val="-3"/>
          <w:sz w:val="20"/>
        </w:rPr>
        <w:t> </w:t>
      </w:r>
      <w:r>
        <w:rPr>
          <w:sz w:val="20"/>
        </w:rPr>
        <w:t>Consell:</w:t>
      </w:r>
      <w:r>
        <w:rPr>
          <w:spacing w:val="-3"/>
          <w:sz w:val="20"/>
        </w:rPr>
        <w:t> </w:t>
      </w:r>
      <w:r>
        <w:rPr>
          <w:sz w:val="20"/>
        </w:rPr>
        <w:t>composición.</w:t>
      </w:r>
      <w:r>
        <w:rPr>
          <w:spacing w:val="-3"/>
          <w:sz w:val="20"/>
        </w:rPr>
        <w:t> </w:t>
      </w:r>
      <w:r>
        <w:rPr>
          <w:sz w:val="20"/>
        </w:rPr>
        <w:t>Atribuciones</w:t>
      </w:r>
      <w:r>
        <w:rPr>
          <w:spacing w:val="-3"/>
          <w:sz w:val="20"/>
        </w:rPr>
        <w:t> </w:t>
      </w:r>
      <w:r>
        <w:rPr>
          <w:sz w:val="20"/>
        </w:rPr>
        <w:t>y</w:t>
      </w:r>
      <w:r>
        <w:rPr>
          <w:spacing w:val="-3"/>
          <w:sz w:val="20"/>
        </w:rPr>
        <w:t> </w:t>
      </w:r>
      <w:r>
        <w:rPr>
          <w:sz w:val="20"/>
        </w:rPr>
        <w:t>funcionamiento. La iniciativa legislativa y la potestad reglamentaria. Relaciones entre el Consell y Les Corts.</w:t>
      </w:r>
    </w:p>
    <w:p>
      <w:pPr>
        <w:pStyle w:val="ListParagraph"/>
        <w:numPr>
          <w:ilvl w:val="0"/>
          <w:numId w:val="2"/>
        </w:numPr>
        <w:tabs>
          <w:tab w:pos="993" w:val="left" w:leader="none"/>
        </w:tabs>
        <w:spacing w:line="240" w:lineRule="auto" w:before="99" w:after="0"/>
        <w:ind w:left="215" w:right="220" w:firstLine="474"/>
        <w:jc w:val="both"/>
        <w:rPr>
          <w:sz w:val="20"/>
        </w:rPr>
      </w:pPr>
      <w:r>
        <w:rPr>
          <w:sz w:val="20"/>
        </w:rPr>
        <w:t>Ley 5/1983, de 30 de diciembre, del Consell: Gobierno y Administración. Los consellers o conselleras. Estatuto personal. La Administración pública de la Generalitat. Organización, competencias y estructura. Organización territorial de las consellerias. Responsabilidad de los miembros del Consell y de la Administración pública de la Generalitat.</w:t>
      </w:r>
    </w:p>
    <w:p>
      <w:pPr>
        <w:pStyle w:val="ListParagraph"/>
        <w:numPr>
          <w:ilvl w:val="0"/>
          <w:numId w:val="2"/>
        </w:numPr>
        <w:tabs>
          <w:tab w:pos="996" w:val="left" w:leader="none"/>
        </w:tabs>
        <w:spacing w:line="240" w:lineRule="auto" w:before="100" w:after="0"/>
        <w:ind w:left="215" w:right="223" w:firstLine="474"/>
        <w:jc w:val="both"/>
        <w:rPr>
          <w:sz w:val="20"/>
        </w:rPr>
      </w:pPr>
      <w:r>
        <w:rPr>
          <w:sz w:val="20"/>
        </w:rPr>
        <w:t>La Síndica o el Síndic de Greuges, la Sindicatura de Comptes, el Consell Jurídic Consultiu, el Consell Valencià de Cultura, la Acadèmia Valenciana de la Llengua, el Comité Econòmic i Social. Leyes que regulan estas instituciones: objeto, funciones y competencias.</w:t>
      </w:r>
    </w:p>
    <w:p>
      <w:pPr>
        <w:pStyle w:val="Heading1"/>
        <w:numPr>
          <w:ilvl w:val="0"/>
          <w:numId w:val="1"/>
        </w:numPr>
        <w:tabs>
          <w:tab w:pos="460" w:val="left" w:leader="none"/>
        </w:tabs>
        <w:spacing w:line="240" w:lineRule="auto" w:before="194" w:after="0"/>
        <w:ind w:left="460" w:right="0" w:hanging="245"/>
        <w:jc w:val="left"/>
      </w:pPr>
      <w:r>
        <w:rPr/>
        <w:t>UNIÓN</w:t>
      </w:r>
      <w:r>
        <w:rPr>
          <w:spacing w:val="-7"/>
        </w:rPr>
        <w:t> </w:t>
      </w:r>
      <w:r>
        <w:rPr>
          <w:spacing w:val="-2"/>
        </w:rPr>
        <w:t>EUROPEA</w:t>
      </w:r>
    </w:p>
    <w:p>
      <w:pPr>
        <w:pStyle w:val="ListParagraph"/>
        <w:numPr>
          <w:ilvl w:val="0"/>
          <w:numId w:val="2"/>
        </w:numPr>
        <w:tabs>
          <w:tab w:pos="1050" w:val="left" w:leader="none"/>
        </w:tabs>
        <w:spacing w:line="240" w:lineRule="auto" w:before="49" w:after="0"/>
        <w:ind w:left="215" w:right="220" w:firstLine="474"/>
        <w:jc w:val="both"/>
        <w:rPr>
          <w:sz w:val="20"/>
        </w:rPr>
      </w:pPr>
      <w:r>
        <w:rPr>
          <w:sz w:val="20"/>
        </w:rPr>
        <w:t>Las instituciones y organismos de la Unión Europea. Composición y funciones: el Parlamento Europeo, el Consejo Europeo, el Consejo de la Unión Europea, La Comisión Europea, el</w:t>
      </w:r>
    </w:p>
    <w:p>
      <w:pPr>
        <w:pStyle w:val="ListParagraph"/>
        <w:spacing w:after="0" w:line="240" w:lineRule="auto"/>
        <w:jc w:val="both"/>
        <w:rPr>
          <w:sz w:val="20"/>
        </w:rPr>
        <w:sectPr>
          <w:headerReference w:type="default" r:id="rId5"/>
          <w:footerReference w:type="default" r:id="rId6"/>
          <w:type w:val="continuous"/>
          <w:pgSz w:w="11900" w:h="16840"/>
          <w:pgMar w:header="474" w:footer="397" w:top="2000" w:bottom="580" w:left="1700" w:right="1700"/>
          <w:pgNumType w:start="15"/>
        </w:sectPr>
      </w:pPr>
    </w:p>
    <w:p>
      <w:pPr>
        <w:pStyle w:val="BodyText"/>
        <w:spacing w:before="0"/>
        <w:ind w:left="0" w:firstLine="0"/>
        <w:jc w:val="left"/>
      </w:pPr>
    </w:p>
    <w:p>
      <w:pPr>
        <w:pStyle w:val="BodyText"/>
        <w:spacing w:before="200"/>
        <w:ind w:left="0" w:firstLine="0"/>
        <w:jc w:val="left"/>
      </w:pPr>
    </w:p>
    <w:p>
      <w:pPr>
        <w:pStyle w:val="BodyText"/>
        <w:spacing w:before="0"/>
        <w:ind w:right="228" w:firstLine="0"/>
      </w:pPr>
      <w:r>
        <w:rPr/>
        <w:t>Tribunal de Justicia de la Unión Europea, el Banco Central Europeo, el Tribunal de Cuentas. El Comité Económico y Social. El Comité de las Regiones.</w:t>
      </w:r>
    </w:p>
    <w:p>
      <w:pPr>
        <w:pStyle w:val="ListParagraph"/>
        <w:numPr>
          <w:ilvl w:val="0"/>
          <w:numId w:val="2"/>
        </w:numPr>
        <w:tabs>
          <w:tab w:pos="1013" w:val="left" w:leader="none"/>
        </w:tabs>
        <w:spacing w:line="240" w:lineRule="auto" w:before="97" w:after="0"/>
        <w:ind w:left="215" w:right="217" w:firstLine="474"/>
        <w:jc w:val="both"/>
        <w:rPr>
          <w:sz w:val="20"/>
        </w:rPr>
      </w:pPr>
      <w:r>
        <w:rPr>
          <w:sz w:val="20"/>
        </w:rPr>
        <w:t>Naturaleza, valores y finalidades y objetivos de la Unión Europea. Los miembros de la Unión Europea. Las competencias de la Unión Europea, delimitación, clasificación y principios de</w:t>
      </w:r>
      <w:r>
        <w:rPr>
          <w:spacing w:val="80"/>
          <w:sz w:val="20"/>
        </w:rPr>
        <w:t> </w:t>
      </w:r>
      <w:r>
        <w:rPr>
          <w:sz w:val="20"/>
        </w:rPr>
        <w:t>su ejercicio.</w:t>
      </w:r>
    </w:p>
    <w:p>
      <w:pPr>
        <w:pStyle w:val="Heading1"/>
        <w:numPr>
          <w:ilvl w:val="0"/>
          <w:numId w:val="1"/>
        </w:numPr>
        <w:tabs>
          <w:tab w:pos="453" w:val="left" w:leader="none"/>
        </w:tabs>
        <w:spacing w:line="240" w:lineRule="auto" w:before="194" w:after="0"/>
        <w:ind w:left="453" w:right="0" w:hanging="238"/>
        <w:jc w:val="left"/>
      </w:pPr>
      <w:r>
        <w:rPr>
          <w:spacing w:val="-2"/>
        </w:rPr>
        <w:t>MATERIAS</w:t>
      </w:r>
      <w:r>
        <w:rPr>
          <w:spacing w:val="-5"/>
        </w:rPr>
        <w:t> </w:t>
      </w:r>
      <w:r>
        <w:rPr>
          <w:spacing w:val="-2"/>
        </w:rPr>
        <w:t>TRANSVERSALES</w:t>
      </w:r>
    </w:p>
    <w:p>
      <w:pPr>
        <w:pStyle w:val="ListParagraph"/>
        <w:numPr>
          <w:ilvl w:val="0"/>
          <w:numId w:val="2"/>
        </w:numPr>
        <w:tabs>
          <w:tab w:pos="990" w:val="left" w:leader="none"/>
        </w:tabs>
        <w:spacing w:line="240" w:lineRule="auto" w:before="49" w:after="0"/>
        <w:ind w:left="215" w:right="224" w:firstLine="474"/>
        <w:jc w:val="both"/>
        <w:rPr>
          <w:sz w:val="20"/>
        </w:rPr>
      </w:pPr>
      <w:r>
        <w:rPr>
          <w:sz w:val="20"/>
        </w:rPr>
        <w:t>La Ley Orgánica 3/2007, de 22 de marzo, para la igualdad efectiva de mujeres y hombres. Ley 9/2003, de 2 de abril, de la Generalitat, para la igualdad de mujeres y hombres. Ley 4/2023, de 28 de febrero, para la igualdad real y efectiva de las personas trans y para la garantía de los derechos de las personas LGTBI: Deber de protección; Medidas en el ámbito administrativo.</w:t>
      </w:r>
    </w:p>
    <w:p>
      <w:pPr>
        <w:pStyle w:val="ListParagraph"/>
        <w:numPr>
          <w:ilvl w:val="0"/>
          <w:numId w:val="2"/>
        </w:numPr>
        <w:tabs>
          <w:tab w:pos="993" w:val="left" w:leader="none"/>
        </w:tabs>
        <w:spacing w:line="240" w:lineRule="auto" w:before="100" w:after="0"/>
        <w:ind w:left="215" w:right="220" w:firstLine="474"/>
        <w:jc w:val="both"/>
        <w:rPr>
          <w:sz w:val="20"/>
        </w:rPr>
      </w:pPr>
      <w:r>
        <w:rPr>
          <w:sz w:val="20"/>
        </w:rPr>
        <w:t>La Ley Orgánica 1/2004, de 28 de diciembre, de medidas de protección integral contra la violencia de género: objeto y principios rectores, medidas de sensibilización, prevención y detección; Derechos de las mujeres víctimas de violencia de género; Tutela Institucional.</w:t>
      </w:r>
    </w:p>
    <w:p>
      <w:pPr>
        <w:pStyle w:val="BodyText"/>
        <w:ind w:left="0" w:firstLine="0"/>
        <w:jc w:val="left"/>
      </w:pPr>
    </w:p>
    <w:p>
      <w:pPr>
        <w:pStyle w:val="Heading1"/>
        <w:spacing w:before="1"/>
        <w:ind w:left="2" w:firstLine="0"/>
        <w:jc w:val="center"/>
      </w:pPr>
      <w:r>
        <w:rPr>
          <w:spacing w:val="-2"/>
        </w:rPr>
        <w:t>TEMARIO</w:t>
      </w:r>
      <w:r>
        <w:rPr/>
        <w:t> </w:t>
      </w:r>
      <w:r>
        <w:rPr>
          <w:spacing w:val="-2"/>
        </w:rPr>
        <w:t>PARTE</w:t>
      </w:r>
      <w:r>
        <w:rPr>
          <w:spacing w:val="-1"/>
        </w:rPr>
        <w:t> </w:t>
      </w:r>
      <w:r>
        <w:rPr>
          <w:spacing w:val="-2"/>
        </w:rPr>
        <w:t>ESPECIAL</w:t>
      </w:r>
    </w:p>
    <w:p>
      <w:pPr>
        <w:pStyle w:val="BodyText"/>
        <w:spacing w:before="2"/>
        <w:ind w:left="0" w:firstLine="0"/>
        <w:jc w:val="left"/>
      </w:pPr>
    </w:p>
    <w:p>
      <w:pPr>
        <w:spacing w:before="0"/>
        <w:ind w:left="2" w:right="2" w:firstLine="0"/>
        <w:jc w:val="center"/>
        <w:rPr>
          <w:i/>
          <w:sz w:val="20"/>
        </w:rPr>
      </w:pPr>
      <w:r>
        <w:rPr>
          <w:i/>
          <w:sz w:val="20"/>
        </w:rPr>
        <w:t>Proceso</w:t>
      </w:r>
      <w:r>
        <w:rPr>
          <w:i/>
          <w:spacing w:val="-4"/>
          <w:sz w:val="20"/>
        </w:rPr>
        <w:t> </w:t>
      </w:r>
      <w:r>
        <w:rPr>
          <w:i/>
          <w:sz w:val="20"/>
        </w:rPr>
        <w:t>selectivo</w:t>
      </w:r>
      <w:r>
        <w:rPr>
          <w:i/>
          <w:spacing w:val="-5"/>
          <w:sz w:val="20"/>
        </w:rPr>
        <w:t> </w:t>
      </w:r>
      <w:r>
        <w:rPr>
          <w:i/>
          <w:sz w:val="20"/>
        </w:rPr>
        <w:t>1:</w:t>
      </w:r>
      <w:r>
        <w:rPr>
          <w:i/>
          <w:spacing w:val="-4"/>
          <w:sz w:val="20"/>
        </w:rPr>
        <w:t> </w:t>
      </w:r>
      <w:r>
        <w:rPr>
          <w:i/>
          <w:sz w:val="20"/>
        </w:rPr>
        <w:t>A1-01.</w:t>
      </w:r>
      <w:r>
        <w:rPr>
          <w:i/>
          <w:spacing w:val="-4"/>
          <w:sz w:val="20"/>
        </w:rPr>
        <w:t> </w:t>
      </w:r>
      <w:r>
        <w:rPr>
          <w:i/>
          <w:sz w:val="20"/>
        </w:rPr>
        <w:t>Superior</w:t>
      </w:r>
      <w:r>
        <w:rPr>
          <w:i/>
          <w:spacing w:val="-5"/>
          <w:sz w:val="20"/>
        </w:rPr>
        <w:t> </w:t>
      </w:r>
      <w:r>
        <w:rPr>
          <w:i/>
          <w:sz w:val="20"/>
        </w:rPr>
        <w:t>de</w:t>
      </w:r>
      <w:r>
        <w:rPr>
          <w:i/>
          <w:spacing w:val="-3"/>
          <w:sz w:val="20"/>
        </w:rPr>
        <w:t> </w:t>
      </w:r>
      <w:r>
        <w:rPr>
          <w:i/>
          <w:spacing w:val="-2"/>
          <w:sz w:val="20"/>
        </w:rPr>
        <w:t>administración</w:t>
      </w:r>
    </w:p>
    <w:p>
      <w:pPr>
        <w:pStyle w:val="BodyText"/>
        <w:spacing w:before="3"/>
        <w:ind w:left="0" w:firstLine="0"/>
        <w:jc w:val="left"/>
        <w:rPr>
          <w:i/>
        </w:rPr>
      </w:pPr>
    </w:p>
    <w:p>
      <w:pPr>
        <w:pStyle w:val="Heading1"/>
        <w:numPr>
          <w:ilvl w:val="0"/>
          <w:numId w:val="3"/>
        </w:numPr>
        <w:tabs>
          <w:tab w:pos="360" w:val="left" w:leader="none"/>
        </w:tabs>
        <w:spacing w:line="240" w:lineRule="auto" w:before="0" w:after="0"/>
        <w:ind w:left="360" w:right="0" w:hanging="145"/>
        <w:jc w:val="left"/>
      </w:pPr>
      <w:r>
        <w:rPr/>
        <w:t>DERECHO</w:t>
      </w:r>
      <w:r>
        <w:rPr>
          <w:spacing w:val="-5"/>
        </w:rPr>
        <w:t> </w:t>
      </w:r>
      <w:r>
        <w:rPr>
          <w:spacing w:val="-2"/>
        </w:rPr>
        <w:t>ADMINISTRATIVO</w:t>
      </w:r>
    </w:p>
    <w:p>
      <w:pPr>
        <w:pStyle w:val="ListParagraph"/>
        <w:numPr>
          <w:ilvl w:val="1"/>
          <w:numId w:val="3"/>
        </w:numPr>
        <w:tabs>
          <w:tab w:pos="902" w:val="left" w:leader="none"/>
        </w:tabs>
        <w:spacing w:line="240" w:lineRule="auto" w:before="49" w:after="0"/>
        <w:ind w:left="215" w:right="220" w:firstLine="474"/>
        <w:jc w:val="both"/>
        <w:rPr>
          <w:sz w:val="20"/>
        </w:rPr>
      </w:pPr>
      <w:r>
        <w:rPr>
          <w:sz w:val="20"/>
        </w:rPr>
        <w:t>Las fuentes del derecho administrativo (I): concepto de fuentes del derecho. Las normas jurídicas: aplicación y eficacia general. El derecho de la Unión Europea. Los tratados internacionales. La primacía del Derecho europeo respecto de la Constitución y sus consecuencias para el sistema de fuentes. La Constitución. La ley: sus clases. Los principios de legalidad, reserva</w:t>
      </w:r>
      <w:r>
        <w:rPr>
          <w:spacing w:val="40"/>
          <w:sz w:val="20"/>
        </w:rPr>
        <w:t> </w:t>
      </w:r>
      <w:r>
        <w:rPr>
          <w:sz w:val="20"/>
        </w:rPr>
        <w:t>de ley, de jerarquía normativa y de competencia. Los estatutos de autonomía. Las leyes de las comunidades autónomas. Referencia a la costumbre y principios generales del derecho.</w:t>
      </w:r>
    </w:p>
    <w:p>
      <w:pPr>
        <w:pStyle w:val="ListParagraph"/>
        <w:numPr>
          <w:ilvl w:val="1"/>
          <w:numId w:val="3"/>
        </w:numPr>
        <w:tabs>
          <w:tab w:pos="904" w:val="left" w:leader="none"/>
        </w:tabs>
        <w:spacing w:line="240" w:lineRule="auto" w:before="102" w:after="0"/>
        <w:ind w:left="215" w:right="222" w:firstLine="474"/>
        <w:jc w:val="both"/>
        <w:rPr>
          <w:sz w:val="20"/>
        </w:rPr>
      </w:pPr>
      <w:r>
        <w:rPr>
          <w:sz w:val="20"/>
        </w:rPr>
        <w:t>Las fuentes del derecho administrativo (II): el reglamento: concepto, clases y naturaleza. Fundamento y límites de la potestad reglamentaria. La inderogabilidad singular de las</w:t>
      </w:r>
      <w:r>
        <w:rPr>
          <w:spacing w:val="40"/>
          <w:sz w:val="20"/>
        </w:rPr>
        <w:t> </w:t>
      </w:r>
      <w:r>
        <w:rPr>
          <w:sz w:val="20"/>
        </w:rPr>
        <w:t>disposiciones generales. El control de la potestad reglamentaria.</w:t>
      </w:r>
    </w:p>
    <w:p>
      <w:pPr>
        <w:pStyle w:val="ListParagraph"/>
        <w:numPr>
          <w:ilvl w:val="1"/>
          <w:numId w:val="3"/>
        </w:numPr>
        <w:tabs>
          <w:tab w:pos="945" w:val="left" w:leader="none"/>
        </w:tabs>
        <w:spacing w:line="240" w:lineRule="auto" w:before="99" w:after="0"/>
        <w:ind w:left="215" w:right="220" w:firstLine="474"/>
        <w:jc w:val="both"/>
        <w:rPr>
          <w:sz w:val="20"/>
        </w:rPr>
      </w:pPr>
      <w:r>
        <w:rPr>
          <w:sz w:val="20"/>
        </w:rPr>
        <w:t>La Administración pública como persona jurídica. Las potestades administrativas. La actividad discrecional: sus límites y control. Las relaciones entre la administración y los tribunales de justicia. Conflictos de jurisdicción entre los tribunales de justicia y la Administración.</w:t>
      </w:r>
    </w:p>
    <w:p>
      <w:pPr>
        <w:pStyle w:val="ListParagraph"/>
        <w:numPr>
          <w:ilvl w:val="1"/>
          <w:numId w:val="3"/>
        </w:numPr>
        <w:tabs>
          <w:tab w:pos="939" w:val="left" w:leader="none"/>
        </w:tabs>
        <w:spacing w:line="240" w:lineRule="auto" w:before="98" w:after="0"/>
        <w:ind w:left="215" w:right="217" w:firstLine="474"/>
        <w:jc w:val="both"/>
        <w:rPr>
          <w:sz w:val="20"/>
        </w:rPr>
      </w:pPr>
      <w:r>
        <w:rPr>
          <w:sz w:val="20"/>
        </w:rPr>
        <w:t>Los actos jurídicos de la Administración: públicos y privados. El acto administrativo: concepto y elementos. Clasificación de los actos administrativos. Especial referencia a los actos de trámite y que ponen fin a la vía administrativa.</w:t>
      </w:r>
    </w:p>
    <w:p>
      <w:pPr>
        <w:pStyle w:val="ListParagraph"/>
        <w:numPr>
          <w:ilvl w:val="1"/>
          <w:numId w:val="3"/>
        </w:numPr>
        <w:tabs>
          <w:tab w:pos="935" w:val="left" w:leader="none"/>
        </w:tabs>
        <w:spacing w:line="240" w:lineRule="auto" w:before="98" w:after="0"/>
        <w:ind w:left="215" w:right="226" w:firstLine="474"/>
        <w:jc w:val="both"/>
        <w:rPr>
          <w:sz w:val="20"/>
        </w:rPr>
      </w:pPr>
      <w:r>
        <w:rPr>
          <w:sz w:val="20"/>
        </w:rPr>
        <w:t>La eficacia temporal de las normas. Su entrada en vigor y el fin de su vigencia. La derogación tácita. El Derecho transitorio. El principio de irretroactividad y los derechos adquiridos.</w:t>
      </w:r>
    </w:p>
    <w:p>
      <w:pPr>
        <w:pStyle w:val="ListParagraph"/>
        <w:numPr>
          <w:ilvl w:val="1"/>
          <w:numId w:val="3"/>
        </w:numPr>
        <w:tabs>
          <w:tab w:pos="894" w:val="left" w:leader="none"/>
        </w:tabs>
        <w:spacing w:line="240" w:lineRule="auto" w:before="98" w:after="0"/>
        <w:ind w:left="215" w:right="219" w:firstLine="474"/>
        <w:jc w:val="both"/>
        <w:rPr>
          <w:sz w:val="20"/>
        </w:rPr>
      </w:pPr>
      <w:r>
        <w:rPr>
          <w:sz w:val="20"/>
        </w:rPr>
        <w:t>La iniciativa legislativa y la potestad para dictar reglamentos y otras disposiciones. Forma, estructura y procedimiento de elaboración de los proyectos normativos de la Generalitat Las exigencias de calidad normativa y programación. Medidas frente a la hiperregulación.</w:t>
      </w:r>
    </w:p>
    <w:p>
      <w:pPr>
        <w:pStyle w:val="ListParagraph"/>
        <w:numPr>
          <w:ilvl w:val="1"/>
          <w:numId w:val="3"/>
        </w:numPr>
        <w:tabs>
          <w:tab w:pos="909" w:val="left" w:leader="none"/>
        </w:tabs>
        <w:spacing w:line="240" w:lineRule="auto" w:before="98" w:after="0"/>
        <w:ind w:left="215" w:right="221" w:firstLine="474"/>
        <w:jc w:val="both"/>
        <w:rPr>
          <w:sz w:val="20"/>
        </w:rPr>
      </w:pPr>
      <w:r>
        <w:rPr>
          <w:sz w:val="20"/>
        </w:rPr>
        <w:t>La jurisdicción contencioso-administrativa. Naturaleza. Cuestiones a las que se extiende. Órganos y competencias. Las partes y el objeto del recurso contencioso-administrativo. Ejecución de sentencias.</w:t>
      </w:r>
    </w:p>
    <w:p>
      <w:pPr>
        <w:pStyle w:val="ListParagraph"/>
        <w:numPr>
          <w:ilvl w:val="1"/>
          <w:numId w:val="3"/>
        </w:numPr>
        <w:tabs>
          <w:tab w:pos="958" w:val="left" w:leader="none"/>
        </w:tabs>
        <w:spacing w:line="240" w:lineRule="auto" w:before="99" w:after="0"/>
        <w:ind w:left="215" w:right="220" w:firstLine="474"/>
        <w:jc w:val="both"/>
        <w:rPr>
          <w:sz w:val="20"/>
        </w:rPr>
      </w:pPr>
      <w:r>
        <w:rPr>
          <w:sz w:val="20"/>
        </w:rPr>
        <w:t>Del Tribunal Constitucional, su organización y atribuciones. Los procedimientos de declaración</w:t>
      </w:r>
      <w:r>
        <w:rPr>
          <w:spacing w:val="80"/>
          <w:w w:val="150"/>
          <w:sz w:val="20"/>
        </w:rPr>
        <w:t> </w:t>
      </w:r>
      <w:r>
        <w:rPr>
          <w:sz w:val="20"/>
        </w:rPr>
        <w:t>de</w:t>
      </w:r>
      <w:r>
        <w:rPr>
          <w:spacing w:val="80"/>
          <w:w w:val="150"/>
          <w:sz w:val="20"/>
        </w:rPr>
        <w:t> </w:t>
      </w:r>
      <w:r>
        <w:rPr>
          <w:sz w:val="20"/>
        </w:rPr>
        <w:t>inconstitucionalidad.</w:t>
      </w:r>
      <w:r>
        <w:rPr>
          <w:spacing w:val="80"/>
          <w:w w:val="150"/>
          <w:sz w:val="20"/>
        </w:rPr>
        <w:t> </w:t>
      </w:r>
      <w:r>
        <w:rPr>
          <w:sz w:val="20"/>
        </w:rPr>
        <w:t>El</w:t>
      </w:r>
      <w:r>
        <w:rPr>
          <w:spacing w:val="80"/>
          <w:w w:val="150"/>
          <w:sz w:val="20"/>
        </w:rPr>
        <w:t> </w:t>
      </w:r>
      <w:r>
        <w:rPr>
          <w:sz w:val="20"/>
        </w:rPr>
        <w:t>recurso</w:t>
      </w:r>
      <w:r>
        <w:rPr>
          <w:spacing w:val="80"/>
          <w:w w:val="150"/>
          <w:sz w:val="20"/>
        </w:rPr>
        <w:t> </w:t>
      </w:r>
      <w:r>
        <w:rPr>
          <w:sz w:val="20"/>
        </w:rPr>
        <w:t>de</w:t>
      </w:r>
      <w:r>
        <w:rPr>
          <w:spacing w:val="80"/>
          <w:w w:val="150"/>
          <w:sz w:val="20"/>
        </w:rPr>
        <w:t> </w:t>
      </w:r>
      <w:r>
        <w:rPr>
          <w:sz w:val="20"/>
        </w:rPr>
        <w:t>amparo</w:t>
      </w:r>
      <w:r>
        <w:rPr>
          <w:spacing w:val="80"/>
          <w:w w:val="150"/>
          <w:sz w:val="20"/>
        </w:rPr>
        <w:t> </w:t>
      </w:r>
      <w:r>
        <w:rPr>
          <w:sz w:val="20"/>
        </w:rPr>
        <w:t>constitucional.</w:t>
      </w:r>
      <w:r>
        <w:rPr>
          <w:spacing w:val="80"/>
          <w:w w:val="150"/>
          <w:sz w:val="20"/>
        </w:rPr>
        <w:t> </w:t>
      </w:r>
      <w:r>
        <w:rPr>
          <w:sz w:val="20"/>
        </w:rPr>
        <w:t>Los</w:t>
      </w:r>
      <w:r>
        <w:rPr>
          <w:spacing w:val="80"/>
          <w:w w:val="150"/>
          <w:sz w:val="20"/>
        </w:rPr>
        <w:t> </w:t>
      </w:r>
      <w:r>
        <w:rPr>
          <w:sz w:val="20"/>
        </w:rPr>
        <w:t>conflictos</w:t>
      </w:r>
    </w:p>
    <w:p>
      <w:pPr>
        <w:pStyle w:val="ListParagraph"/>
        <w:spacing w:after="0" w:line="240" w:lineRule="auto"/>
        <w:jc w:val="both"/>
        <w:rPr>
          <w:sz w:val="20"/>
        </w:rPr>
        <w:sectPr>
          <w:pgSz w:w="11900" w:h="16840"/>
          <w:pgMar w:header="474" w:footer="397" w:top="2000" w:bottom="580" w:left="1700" w:right="1700"/>
        </w:sectPr>
      </w:pPr>
    </w:p>
    <w:p>
      <w:pPr>
        <w:pStyle w:val="BodyText"/>
        <w:spacing w:before="0"/>
        <w:ind w:left="0" w:firstLine="0"/>
        <w:jc w:val="left"/>
      </w:pPr>
    </w:p>
    <w:p>
      <w:pPr>
        <w:pStyle w:val="BodyText"/>
        <w:spacing w:before="200"/>
        <w:ind w:left="0" w:firstLine="0"/>
        <w:jc w:val="left"/>
      </w:pPr>
    </w:p>
    <w:p>
      <w:pPr>
        <w:pStyle w:val="BodyText"/>
        <w:spacing w:before="0"/>
        <w:ind w:right="224" w:firstLine="0"/>
      </w:pPr>
      <w:r>
        <w:rPr/>
        <w:t>constitucionales. La impugnación de disposiciones sin fuerza de Ley y resoluciones de las Comunidades Autónomas. El recurso previo de inconstitucionalidad contra Proyectos de Estatutos de Autonomía y sus propuestas de reforma.</w:t>
      </w:r>
    </w:p>
    <w:p>
      <w:pPr>
        <w:pStyle w:val="ListParagraph"/>
        <w:numPr>
          <w:ilvl w:val="1"/>
          <w:numId w:val="3"/>
        </w:numPr>
        <w:tabs>
          <w:tab w:pos="951" w:val="left" w:leader="none"/>
        </w:tabs>
        <w:spacing w:line="240" w:lineRule="auto" w:before="98" w:after="0"/>
        <w:ind w:left="215" w:right="220" w:firstLine="474"/>
        <w:jc w:val="both"/>
        <w:rPr>
          <w:sz w:val="20"/>
        </w:rPr>
      </w:pPr>
      <w:r>
        <w:rPr>
          <w:sz w:val="20"/>
        </w:rPr>
        <w:t>La Ley 39/2015, de 1 de octubre, del procedimiento administrativo común de las Administraciones Públicas: objeto y ámbito subjetivo de aplicación. Las personas interesadas en el procedimiento. La actividad de las administraciones públicas: normas generales de actuación. Términos y plazos. Especial referencia a la identificación, firma y la utilización de medios electrónicos, el registro y el archivo electrónico.</w:t>
      </w:r>
    </w:p>
    <w:p>
      <w:pPr>
        <w:pStyle w:val="ListParagraph"/>
        <w:numPr>
          <w:ilvl w:val="1"/>
          <w:numId w:val="3"/>
        </w:numPr>
        <w:tabs>
          <w:tab w:pos="1044" w:val="left" w:leader="none"/>
        </w:tabs>
        <w:spacing w:line="240" w:lineRule="auto" w:before="101" w:after="0"/>
        <w:ind w:left="215" w:right="217" w:firstLine="474"/>
        <w:jc w:val="both"/>
        <w:rPr>
          <w:sz w:val="20"/>
        </w:rPr>
      </w:pPr>
      <w:r>
        <w:rPr>
          <w:sz w:val="20"/>
        </w:rPr>
        <w:t>La Ley 39/2015, de 1 de octubre, del procedimiento administrativo común de las Administraciones Públicas: Los actos administrativos: requisitos. Eficacia de los actos. Nulidad y anulabilidad. Especial referencia a la notificación electrónica.</w:t>
      </w:r>
    </w:p>
    <w:p>
      <w:pPr>
        <w:pStyle w:val="ListParagraph"/>
        <w:numPr>
          <w:ilvl w:val="1"/>
          <w:numId w:val="3"/>
        </w:numPr>
        <w:tabs>
          <w:tab w:pos="1044" w:val="left" w:leader="none"/>
        </w:tabs>
        <w:spacing w:line="240" w:lineRule="auto" w:before="99" w:after="0"/>
        <w:ind w:left="215" w:right="217" w:firstLine="474"/>
        <w:jc w:val="both"/>
        <w:rPr>
          <w:sz w:val="20"/>
        </w:rPr>
      </w:pPr>
      <w:r>
        <w:rPr>
          <w:sz w:val="20"/>
        </w:rPr>
        <w:t>La Ley 39/2015, de 1 de octubre, del procedimiento administrativo común de las Administraciones Públicas: Disposiciones sobre los procedimientos administrativos: garantías</w:t>
      </w:r>
      <w:r>
        <w:rPr>
          <w:sz w:val="20"/>
        </w:rPr>
        <w:t> del procedimiento. Iniciación, ordenación, instrucción, finalización y ejecución del procedimiento. La tramitación simplificada. Especial referencia al procedimiento electrónico.</w:t>
      </w:r>
    </w:p>
    <w:p>
      <w:pPr>
        <w:pStyle w:val="ListParagraph"/>
        <w:numPr>
          <w:ilvl w:val="1"/>
          <w:numId w:val="3"/>
        </w:numPr>
        <w:tabs>
          <w:tab w:pos="1044" w:val="left" w:leader="none"/>
        </w:tabs>
        <w:spacing w:line="240" w:lineRule="auto" w:before="100" w:after="0"/>
        <w:ind w:left="215" w:right="217" w:firstLine="474"/>
        <w:jc w:val="both"/>
        <w:rPr>
          <w:sz w:val="20"/>
        </w:rPr>
      </w:pPr>
      <w:r>
        <w:rPr>
          <w:sz w:val="20"/>
        </w:rPr>
        <w:t>La Ley 39/2015, de 1 de octubre, del procedimiento administrativo común de las Administraciones Públicas: La revisión de los actos en vía administrativa: la revisión de oficio. Los recursos administrativos.</w:t>
      </w:r>
    </w:p>
    <w:p>
      <w:pPr>
        <w:pStyle w:val="ListParagraph"/>
        <w:numPr>
          <w:ilvl w:val="1"/>
          <w:numId w:val="3"/>
        </w:numPr>
        <w:tabs>
          <w:tab w:pos="1008" w:val="left" w:leader="none"/>
        </w:tabs>
        <w:spacing w:line="240" w:lineRule="auto" w:before="98" w:after="0"/>
        <w:ind w:left="215" w:right="221" w:firstLine="474"/>
        <w:jc w:val="both"/>
        <w:rPr>
          <w:sz w:val="20"/>
        </w:rPr>
      </w:pPr>
      <w:r>
        <w:rPr>
          <w:sz w:val="20"/>
        </w:rPr>
        <w:t>La Ley 40/2015, de 1 de octubre, de régimen jurídico del sector público: Disposiciones generales, principios de actuación y funcionamiento del sector público. Relaciones interadministrativas. Decreto 176/2014, de 10 de octubre, del Consell, por el que se regulan los convenios que suscriba la Generalitat y su registro.</w:t>
      </w:r>
    </w:p>
    <w:p>
      <w:pPr>
        <w:pStyle w:val="ListParagraph"/>
        <w:numPr>
          <w:ilvl w:val="1"/>
          <w:numId w:val="3"/>
        </w:numPr>
        <w:tabs>
          <w:tab w:pos="999" w:val="left" w:leader="none"/>
        </w:tabs>
        <w:spacing w:line="240" w:lineRule="auto" w:before="100" w:after="0"/>
        <w:ind w:left="215" w:right="230" w:firstLine="474"/>
        <w:jc w:val="both"/>
        <w:rPr>
          <w:sz w:val="20"/>
        </w:rPr>
      </w:pPr>
      <w:r>
        <w:rPr>
          <w:sz w:val="20"/>
        </w:rPr>
        <w:t>La Ley 40/2015, de 1 de octubre, de régimen jurídico del sector público: Administración General del Estado. Organización y funcionamiento del sector público institucional.</w:t>
      </w:r>
    </w:p>
    <w:p>
      <w:pPr>
        <w:pStyle w:val="ListParagraph"/>
        <w:numPr>
          <w:ilvl w:val="1"/>
          <w:numId w:val="3"/>
        </w:numPr>
        <w:tabs>
          <w:tab w:pos="1006" w:val="left" w:leader="none"/>
        </w:tabs>
        <w:spacing w:line="240" w:lineRule="auto" w:before="97" w:after="0"/>
        <w:ind w:left="215" w:right="223" w:firstLine="474"/>
        <w:jc w:val="both"/>
        <w:rPr>
          <w:sz w:val="20"/>
        </w:rPr>
      </w:pPr>
      <w:r>
        <w:rPr>
          <w:sz w:val="20"/>
        </w:rPr>
        <w:t>La potestad sancionadora de la Administración. Principios de la potestad sancionadora. Especialidades en los procedimientos sancionadores.</w:t>
      </w:r>
    </w:p>
    <w:p>
      <w:pPr>
        <w:pStyle w:val="ListParagraph"/>
        <w:numPr>
          <w:ilvl w:val="1"/>
          <w:numId w:val="3"/>
        </w:numPr>
        <w:tabs>
          <w:tab w:pos="1036" w:val="left" w:leader="none"/>
        </w:tabs>
        <w:spacing w:line="240" w:lineRule="auto" w:before="97" w:after="0"/>
        <w:ind w:left="215" w:right="221" w:firstLine="474"/>
        <w:jc w:val="both"/>
        <w:rPr>
          <w:sz w:val="20"/>
        </w:rPr>
      </w:pPr>
      <w:r>
        <w:rPr>
          <w:sz w:val="20"/>
        </w:rPr>
        <w:t>La responsabilidad patrimonial de la Administración Pública. Responsabilidad de las autoridades y personal al servicio de las administraciones públicas. Especialidades en los procedimientos en materia de Responsabilidad Patrimonial.</w:t>
      </w:r>
    </w:p>
    <w:p>
      <w:pPr>
        <w:pStyle w:val="ListParagraph"/>
        <w:numPr>
          <w:ilvl w:val="1"/>
          <w:numId w:val="3"/>
        </w:numPr>
        <w:tabs>
          <w:tab w:pos="1009" w:val="left" w:leader="none"/>
        </w:tabs>
        <w:spacing w:line="240" w:lineRule="auto" w:before="99" w:after="0"/>
        <w:ind w:left="215" w:right="225" w:firstLine="474"/>
        <w:jc w:val="both"/>
        <w:rPr>
          <w:sz w:val="20"/>
        </w:rPr>
      </w:pPr>
      <w:r>
        <w:rPr>
          <w:sz w:val="20"/>
        </w:rPr>
        <w:t>El patrimonio de las administraciones públicas: legislación básica del Estado. La Ley de patrimonio de la Generalitat.</w:t>
      </w:r>
    </w:p>
    <w:p>
      <w:pPr>
        <w:pStyle w:val="ListParagraph"/>
        <w:numPr>
          <w:ilvl w:val="1"/>
          <w:numId w:val="3"/>
        </w:numPr>
        <w:tabs>
          <w:tab w:pos="992" w:val="left" w:leader="none"/>
        </w:tabs>
        <w:spacing w:line="240" w:lineRule="auto" w:before="97" w:after="0"/>
        <w:ind w:left="215" w:right="218" w:firstLine="474"/>
        <w:jc w:val="both"/>
        <w:rPr>
          <w:sz w:val="20"/>
        </w:rPr>
      </w:pPr>
      <w:r>
        <w:rPr>
          <w:sz w:val="20"/>
        </w:rPr>
        <w:t>Las formas de actividad administrativa. Actividad de limitación o policía, de fomento y de servicio público: concepto y clases. Formas de gestión de los servicios públicos.</w:t>
      </w:r>
    </w:p>
    <w:p>
      <w:pPr>
        <w:pStyle w:val="ListParagraph"/>
        <w:numPr>
          <w:ilvl w:val="1"/>
          <w:numId w:val="3"/>
        </w:numPr>
        <w:tabs>
          <w:tab w:pos="1003" w:val="left" w:leader="none"/>
        </w:tabs>
        <w:spacing w:line="240" w:lineRule="auto" w:before="97" w:after="0"/>
        <w:ind w:left="215" w:right="219" w:firstLine="474"/>
        <w:jc w:val="both"/>
        <w:rPr>
          <w:sz w:val="20"/>
        </w:rPr>
      </w:pPr>
      <w:r>
        <w:rPr>
          <w:sz w:val="20"/>
        </w:rPr>
        <w:t>La Administración electrónica. El Real decreto 203/2021, de 30 de marzo, por el que se aprueba el Reglamento de actuación y funcionamiento del sector público por medios electrónicos: preceptos básicos. Decreto 54/2025, de 15 de abril, del Consell, de simplificación administrativa y transformación digital.</w:t>
      </w:r>
    </w:p>
    <w:p>
      <w:pPr>
        <w:pStyle w:val="ListParagraph"/>
        <w:numPr>
          <w:ilvl w:val="1"/>
          <w:numId w:val="3"/>
        </w:numPr>
        <w:tabs>
          <w:tab w:pos="993" w:val="left" w:leader="none"/>
        </w:tabs>
        <w:spacing w:line="240" w:lineRule="auto" w:before="100" w:after="0"/>
        <w:ind w:left="215" w:right="222" w:firstLine="474"/>
        <w:jc w:val="both"/>
        <w:rPr>
          <w:sz w:val="20"/>
        </w:rPr>
      </w:pPr>
      <w:r>
        <w:rPr>
          <w:sz w:val="20"/>
        </w:rPr>
        <w:t>Ley 38/2003, de 17 de noviembre, general de subvenciones. Ley 1/2015, de 6 de febrero de</w:t>
      </w:r>
      <w:r>
        <w:rPr>
          <w:spacing w:val="-2"/>
          <w:sz w:val="20"/>
        </w:rPr>
        <w:t> </w:t>
      </w:r>
      <w:r>
        <w:rPr>
          <w:sz w:val="20"/>
        </w:rPr>
        <w:t>la</w:t>
      </w:r>
      <w:r>
        <w:rPr>
          <w:spacing w:val="-1"/>
          <w:sz w:val="20"/>
        </w:rPr>
        <w:t> </w:t>
      </w:r>
      <w:r>
        <w:rPr>
          <w:sz w:val="20"/>
        </w:rPr>
        <w:t>Generalitat,</w:t>
      </w:r>
      <w:r>
        <w:rPr>
          <w:spacing w:val="-2"/>
          <w:sz w:val="20"/>
        </w:rPr>
        <w:t> </w:t>
      </w:r>
      <w:r>
        <w:rPr>
          <w:sz w:val="20"/>
        </w:rPr>
        <w:t>de</w:t>
      </w:r>
      <w:r>
        <w:rPr>
          <w:spacing w:val="-2"/>
          <w:sz w:val="20"/>
        </w:rPr>
        <w:t> </w:t>
      </w:r>
      <w:r>
        <w:rPr>
          <w:sz w:val="20"/>
        </w:rPr>
        <w:t>hacienda</w:t>
      </w:r>
      <w:r>
        <w:rPr>
          <w:spacing w:val="-1"/>
          <w:sz w:val="20"/>
        </w:rPr>
        <w:t> </w:t>
      </w:r>
      <w:r>
        <w:rPr>
          <w:sz w:val="20"/>
        </w:rPr>
        <w:t>pública,</w:t>
      </w:r>
      <w:r>
        <w:rPr>
          <w:spacing w:val="-2"/>
          <w:sz w:val="20"/>
        </w:rPr>
        <w:t> </w:t>
      </w:r>
      <w:r>
        <w:rPr>
          <w:sz w:val="20"/>
        </w:rPr>
        <w:t>del</w:t>
      </w:r>
      <w:r>
        <w:rPr>
          <w:spacing w:val="-1"/>
          <w:sz w:val="20"/>
        </w:rPr>
        <w:t> </w:t>
      </w:r>
      <w:r>
        <w:rPr>
          <w:sz w:val="20"/>
        </w:rPr>
        <w:t>sector</w:t>
      </w:r>
      <w:r>
        <w:rPr>
          <w:spacing w:val="-2"/>
          <w:sz w:val="20"/>
        </w:rPr>
        <w:t> </w:t>
      </w:r>
      <w:r>
        <w:rPr>
          <w:sz w:val="20"/>
        </w:rPr>
        <w:t>instrumental</w:t>
      </w:r>
      <w:r>
        <w:rPr>
          <w:spacing w:val="-2"/>
          <w:sz w:val="20"/>
        </w:rPr>
        <w:t> </w:t>
      </w:r>
      <w:r>
        <w:rPr>
          <w:sz w:val="20"/>
        </w:rPr>
        <w:t>y</w:t>
      </w:r>
      <w:r>
        <w:rPr>
          <w:spacing w:val="-2"/>
          <w:sz w:val="20"/>
        </w:rPr>
        <w:t> </w:t>
      </w:r>
      <w:r>
        <w:rPr>
          <w:sz w:val="20"/>
        </w:rPr>
        <w:t>de</w:t>
      </w:r>
      <w:r>
        <w:rPr>
          <w:spacing w:val="-2"/>
          <w:sz w:val="20"/>
        </w:rPr>
        <w:t> </w:t>
      </w:r>
      <w:r>
        <w:rPr>
          <w:sz w:val="20"/>
        </w:rPr>
        <w:t>subvenciones:</w:t>
      </w:r>
      <w:r>
        <w:rPr>
          <w:spacing w:val="-2"/>
          <w:sz w:val="20"/>
        </w:rPr>
        <w:t> </w:t>
      </w:r>
      <w:r>
        <w:rPr>
          <w:sz w:val="20"/>
        </w:rPr>
        <w:t>Título</w:t>
      </w:r>
      <w:r>
        <w:rPr>
          <w:spacing w:val="-2"/>
          <w:sz w:val="20"/>
        </w:rPr>
        <w:t> </w:t>
      </w:r>
      <w:r>
        <w:rPr>
          <w:sz w:val="20"/>
        </w:rPr>
        <w:t>X.</w:t>
      </w:r>
      <w:r>
        <w:rPr>
          <w:spacing w:val="-2"/>
          <w:sz w:val="20"/>
        </w:rPr>
        <w:t> </w:t>
      </w:r>
      <w:r>
        <w:rPr>
          <w:sz w:val="20"/>
        </w:rPr>
        <w:t>Decreto 128/2017, de 29 de septiembre, del Consell, por el que se regula el procedimiento de notificación</w:t>
      </w:r>
      <w:r>
        <w:rPr>
          <w:spacing w:val="80"/>
          <w:sz w:val="20"/>
        </w:rPr>
        <w:t> </w:t>
      </w:r>
      <w:r>
        <w:rPr>
          <w:sz w:val="20"/>
        </w:rPr>
        <w:t>y comunicación a la Comisión Europea de los proyectos de la Generalitat dirigidos a establecer, conceder o modificar ayudas públicas.</w:t>
      </w:r>
    </w:p>
    <w:p>
      <w:pPr>
        <w:pStyle w:val="ListParagraph"/>
        <w:numPr>
          <w:ilvl w:val="1"/>
          <w:numId w:val="3"/>
        </w:numPr>
        <w:tabs>
          <w:tab w:pos="999" w:val="left" w:leader="none"/>
        </w:tabs>
        <w:spacing w:line="240" w:lineRule="auto" w:before="101" w:after="0"/>
        <w:ind w:left="215" w:right="219" w:firstLine="474"/>
        <w:jc w:val="both"/>
        <w:rPr>
          <w:sz w:val="20"/>
        </w:rPr>
      </w:pPr>
      <w:r>
        <w:rPr>
          <w:sz w:val="20"/>
        </w:rPr>
        <w:t>Los contratos del sector público (I): Disposiciones generales. Configuración general de la contratación del sector público y elementos estructurales de los contratos.</w:t>
      </w:r>
    </w:p>
    <w:p>
      <w:pPr>
        <w:pStyle w:val="ListParagraph"/>
        <w:spacing w:after="0" w:line="240" w:lineRule="auto"/>
        <w:jc w:val="both"/>
        <w:rPr>
          <w:sz w:val="20"/>
        </w:rPr>
        <w:sectPr>
          <w:pgSz w:w="11900" w:h="16840"/>
          <w:pgMar w:header="474" w:footer="397" w:top="2000" w:bottom="580" w:left="1700" w:right="1700"/>
        </w:sectPr>
      </w:pPr>
    </w:p>
    <w:p>
      <w:pPr>
        <w:pStyle w:val="BodyText"/>
        <w:spacing w:before="0"/>
        <w:ind w:left="0" w:firstLine="0"/>
        <w:jc w:val="left"/>
      </w:pPr>
    </w:p>
    <w:p>
      <w:pPr>
        <w:pStyle w:val="BodyText"/>
        <w:spacing w:before="200"/>
        <w:ind w:left="0" w:firstLine="0"/>
        <w:jc w:val="left"/>
      </w:pPr>
    </w:p>
    <w:p>
      <w:pPr>
        <w:pStyle w:val="ListParagraph"/>
        <w:numPr>
          <w:ilvl w:val="1"/>
          <w:numId w:val="3"/>
        </w:numPr>
        <w:tabs>
          <w:tab w:pos="989" w:val="left" w:leader="none"/>
        </w:tabs>
        <w:spacing w:line="240" w:lineRule="auto" w:before="0" w:after="0"/>
        <w:ind w:left="215" w:right="221" w:firstLine="474"/>
        <w:jc w:val="both"/>
        <w:rPr>
          <w:sz w:val="20"/>
        </w:rPr>
      </w:pPr>
      <w:r>
        <w:rPr>
          <w:sz w:val="20"/>
        </w:rPr>
        <w:t>Los</w:t>
      </w:r>
      <w:r>
        <w:rPr>
          <w:spacing w:val="-1"/>
          <w:sz w:val="20"/>
        </w:rPr>
        <w:t> </w:t>
      </w:r>
      <w:r>
        <w:rPr>
          <w:sz w:val="20"/>
        </w:rPr>
        <w:t>contratos</w:t>
      </w:r>
      <w:r>
        <w:rPr>
          <w:spacing w:val="-1"/>
          <w:sz w:val="20"/>
        </w:rPr>
        <w:t> </w:t>
      </w:r>
      <w:r>
        <w:rPr>
          <w:sz w:val="20"/>
        </w:rPr>
        <w:t>del</w:t>
      </w:r>
      <w:r>
        <w:rPr>
          <w:spacing w:val="-1"/>
          <w:sz w:val="20"/>
        </w:rPr>
        <w:t> </w:t>
      </w:r>
      <w:r>
        <w:rPr>
          <w:sz w:val="20"/>
        </w:rPr>
        <w:t>sector</w:t>
      </w:r>
      <w:r>
        <w:rPr>
          <w:spacing w:val="-1"/>
          <w:sz w:val="20"/>
        </w:rPr>
        <w:t> </w:t>
      </w:r>
      <w:r>
        <w:rPr>
          <w:sz w:val="20"/>
        </w:rPr>
        <w:t>público</w:t>
      </w:r>
      <w:r>
        <w:rPr>
          <w:spacing w:val="-1"/>
          <w:sz w:val="20"/>
        </w:rPr>
        <w:t> </w:t>
      </w:r>
      <w:r>
        <w:rPr>
          <w:sz w:val="20"/>
        </w:rPr>
        <w:t>(II):</w:t>
      </w:r>
      <w:r>
        <w:rPr>
          <w:spacing w:val="-1"/>
          <w:sz w:val="20"/>
        </w:rPr>
        <w:t> </w:t>
      </w:r>
      <w:r>
        <w:rPr>
          <w:sz w:val="20"/>
        </w:rPr>
        <w:t>De</w:t>
      </w:r>
      <w:r>
        <w:rPr>
          <w:spacing w:val="-1"/>
          <w:sz w:val="20"/>
        </w:rPr>
        <w:t> </w:t>
      </w:r>
      <w:r>
        <w:rPr>
          <w:sz w:val="20"/>
        </w:rPr>
        <w:t>los</w:t>
      </w:r>
      <w:r>
        <w:rPr>
          <w:spacing w:val="-1"/>
          <w:sz w:val="20"/>
        </w:rPr>
        <w:t> </w:t>
      </w:r>
      <w:r>
        <w:rPr>
          <w:sz w:val="20"/>
        </w:rPr>
        <w:t>contratos</w:t>
      </w:r>
      <w:r>
        <w:rPr>
          <w:spacing w:val="-1"/>
          <w:sz w:val="20"/>
        </w:rPr>
        <w:t> </w:t>
      </w:r>
      <w:r>
        <w:rPr>
          <w:sz w:val="20"/>
        </w:rPr>
        <w:t>de</w:t>
      </w:r>
      <w:r>
        <w:rPr>
          <w:spacing w:val="-1"/>
          <w:sz w:val="20"/>
        </w:rPr>
        <w:t> </w:t>
      </w:r>
      <w:r>
        <w:rPr>
          <w:sz w:val="20"/>
        </w:rPr>
        <w:t>las</w:t>
      </w:r>
      <w:r>
        <w:rPr>
          <w:spacing w:val="-1"/>
          <w:sz w:val="20"/>
        </w:rPr>
        <w:t> </w:t>
      </w:r>
      <w:r>
        <w:rPr>
          <w:sz w:val="20"/>
        </w:rPr>
        <w:t>Administraciones</w:t>
      </w:r>
      <w:r>
        <w:rPr>
          <w:spacing w:val="-1"/>
          <w:sz w:val="20"/>
        </w:rPr>
        <w:t> </w:t>
      </w:r>
      <w:r>
        <w:rPr>
          <w:sz w:val="20"/>
        </w:rPr>
        <w:t>Públicas.</w:t>
      </w:r>
      <w:r>
        <w:rPr>
          <w:spacing w:val="-1"/>
          <w:sz w:val="20"/>
        </w:rPr>
        <w:t> </w:t>
      </w:r>
      <w:r>
        <w:rPr>
          <w:sz w:val="20"/>
        </w:rPr>
        <w:t>De los contratos de otros entes del sector público. Organización administrativa para la gestión de la </w:t>
      </w:r>
      <w:r>
        <w:rPr>
          <w:spacing w:val="-2"/>
          <w:sz w:val="20"/>
        </w:rPr>
        <w:t>contratación.</w:t>
      </w:r>
    </w:p>
    <w:p>
      <w:pPr>
        <w:pStyle w:val="ListParagraph"/>
        <w:numPr>
          <w:ilvl w:val="1"/>
          <w:numId w:val="3"/>
        </w:numPr>
        <w:tabs>
          <w:tab w:pos="1084" w:val="left" w:leader="none"/>
        </w:tabs>
        <w:spacing w:line="240" w:lineRule="auto" w:before="98" w:after="0"/>
        <w:ind w:left="215" w:right="215" w:firstLine="474"/>
        <w:jc w:val="both"/>
        <w:rPr>
          <w:sz w:val="20"/>
        </w:rPr>
      </w:pPr>
      <w:r>
        <w:rPr>
          <w:sz w:val="20"/>
        </w:rPr>
        <w:t>Expropiación forzosa: fundamento y naturaleza. Sujetos, objeto y causa de la expropiación. Procedimiento general. Peculiaridades del procedimiento de urgencia.</w:t>
      </w:r>
    </w:p>
    <w:p>
      <w:pPr>
        <w:pStyle w:val="ListParagraph"/>
        <w:numPr>
          <w:ilvl w:val="1"/>
          <w:numId w:val="3"/>
        </w:numPr>
        <w:tabs>
          <w:tab w:pos="1013" w:val="left" w:leader="none"/>
        </w:tabs>
        <w:spacing w:line="240" w:lineRule="auto" w:before="98" w:after="0"/>
        <w:ind w:left="215" w:right="221" w:firstLine="474"/>
        <w:jc w:val="both"/>
        <w:rPr>
          <w:sz w:val="20"/>
        </w:rPr>
      </w:pPr>
      <w:r>
        <w:rPr>
          <w:sz w:val="20"/>
        </w:rPr>
        <w:t>La Ley 7/1985, de 2 de abril, reguladora de las bases del régimen local. Disposiciones generales. El municipio. La provincia. Relaciones interadministrativas. Impugnación de actos y acuerdos y ejercicio de acciones.</w:t>
      </w:r>
    </w:p>
    <w:p>
      <w:pPr>
        <w:pStyle w:val="ListParagraph"/>
        <w:numPr>
          <w:ilvl w:val="1"/>
          <w:numId w:val="3"/>
        </w:numPr>
        <w:tabs>
          <w:tab w:pos="988" w:val="left" w:leader="none"/>
        </w:tabs>
        <w:spacing w:line="240" w:lineRule="auto" w:before="98" w:after="0"/>
        <w:ind w:left="215" w:right="219" w:firstLine="474"/>
        <w:jc w:val="both"/>
        <w:rPr>
          <w:sz w:val="20"/>
        </w:rPr>
      </w:pPr>
      <w:r>
        <w:rPr>
          <w:sz w:val="20"/>
        </w:rPr>
        <w:t>Relaciones</w:t>
      </w:r>
      <w:r>
        <w:rPr>
          <w:spacing w:val="-2"/>
          <w:sz w:val="20"/>
        </w:rPr>
        <w:t> </w:t>
      </w:r>
      <w:r>
        <w:rPr>
          <w:sz w:val="20"/>
        </w:rPr>
        <w:t>entre</w:t>
      </w:r>
      <w:r>
        <w:rPr>
          <w:spacing w:val="-2"/>
          <w:sz w:val="20"/>
        </w:rPr>
        <w:t> </w:t>
      </w:r>
      <w:r>
        <w:rPr>
          <w:sz w:val="20"/>
        </w:rPr>
        <w:t>la</w:t>
      </w:r>
      <w:r>
        <w:rPr>
          <w:spacing w:val="-2"/>
          <w:sz w:val="20"/>
        </w:rPr>
        <w:t> </w:t>
      </w:r>
      <w:r>
        <w:rPr>
          <w:sz w:val="20"/>
        </w:rPr>
        <w:t>Generalitat</w:t>
      </w:r>
      <w:r>
        <w:rPr>
          <w:spacing w:val="-2"/>
          <w:sz w:val="20"/>
        </w:rPr>
        <w:t> </w:t>
      </w:r>
      <w:r>
        <w:rPr>
          <w:sz w:val="20"/>
        </w:rPr>
        <w:t>y</w:t>
      </w:r>
      <w:r>
        <w:rPr>
          <w:spacing w:val="-2"/>
          <w:sz w:val="20"/>
        </w:rPr>
        <w:t> </w:t>
      </w:r>
      <w:r>
        <w:rPr>
          <w:sz w:val="20"/>
        </w:rPr>
        <w:t>su</w:t>
      </w:r>
      <w:r>
        <w:rPr>
          <w:spacing w:val="-2"/>
          <w:sz w:val="20"/>
        </w:rPr>
        <w:t> </w:t>
      </w:r>
      <w:r>
        <w:rPr>
          <w:sz w:val="20"/>
        </w:rPr>
        <w:t>Sector</w:t>
      </w:r>
      <w:r>
        <w:rPr>
          <w:spacing w:val="-2"/>
          <w:sz w:val="20"/>
        </w:rPr>
        <w:t> </w:t>
      </w:r>
      <w:r>
        <w:rPr>
          <w:sz w:val="20"/>
        </w:rPr>
        <w:t>público</w:t>
      </w:r>
      <w:r>
        <w:rPr>
          <w:spacing w:val="-2"/>
          <w:sz w:val="20"/>
        </w:rPr>
        <w:t> </w:t>
      </w:r>
      <w:r>
        <w:rPr>
          <w:sz w:val="20"/>
        </w:rPr>
        <w:t>instrumental</w:t>
      </w:r>
      <w:r>
        <w:rPr>
          <w:spacing w:val="-2"/>
          <w:sz w:val="20"/>
        </w:rPr>
        <w:t> </w:t>
      </w:r>
      <w:r>
        <w:rPr>
          <w:sz w:val="20"/>
        </w:rPr>
        <w:t>(SPI):</w:t>
      </w:r>
      <w:r>
        <w:rPr>
          <w:spacing w:val="-2"/>
          <w:sz w:val="20"/>
        </w:rPr>
        <w:t> </w:t>
      </w:r>
      <w:r>
        <w:rPr>
          <w:sz w:val="20"/>
        </w:rPr>
        <w:t>régimen</w:t>
      </w:r>
      <w:r>
        <w:rPr>
          <w:spacing w:val="-2"/>
          <w:sz w:val="20"/>
        </w:rPr>
        <w:t> </w:t>
      </w:r>
      <w:r>
        <w:rPr>
          <w:sz w:val="20"/>
        </w:rPr>
        <w:t>de</w:t>
      </w:r>
      <w:r>
        <w:rPr>
          <w:spacing w:val="-2"/>
          <w:sz w:val="20"/>
        </w:rPr>
        <w:t> </w:t>
      </w:r>
      <w:r>
        <w:rPr>
          <w:sz w:val="20"/>
        </w:rPr>
        <w:t>control, contratación, endeudamiento y recursos humanos en el Decreto Ley 1/2011, del Consell, de Medidas urgentes de Régimen Económico Financiero del SPI. Aplicación de la Ley 4/2021, de 16 de abril, de la Generalitat de la Función Pública Valenciana a su SPI. La Comisión de Diálogo Social del Sector Público (CDSSP). Criterios sobre Ofertas de empleo público, sus convocatorias, y bolsas de empleo temporal en el VI Acuerdo de la CDSSP.</w:t>
      </w:r>
    </w:p>
    <w:p>
      <w:pPr>
        <w:pStyle w:val="Heading1"/>
        <w:numPr>
          <w:ilvl w:val="0"/>
          <w:numId w:val="3"/>
        </w:numPr>
        <w:tabs>
          <w:tab w:pos="410" w:val="left" w:leader="none"/>
        </w:tabs>
        <w:spacing w:line="240" w:lineRule="auto" w:before="198" w:after="0"/>
        <w:ind w:left="410" w:right="0" w:hanging="195"/>
        <w:jc w:val="left"/>
      </w:pPr>
      <w:r>
        <w:rPr/>
        <w:t>GESTIÓN</w:t>
      </w:r>
      <w:r>
        <w:rPr>
          <w:spacing w:val="-6"/>
        </w:rPr>
        <w:t> </w:t>
      </w:r>
      <w:r>
        <w:rPr>
          <w:spacing w:val="-2"/>
        </w:rPr>
        <w:t>PÚBLICA</w:t>
      </w:r>
    </w:p>
    <w:p>
      <w:pPr>
        <w:pStyle w:val="ListParagraph"/>
        <w:numPr>
          <w:ilvl w:val="0"/>
          <w:numId w:val="4"/>
        </w:numPr>
        <w:tabs>
          <w:tab w:pos="987" w:val="left" w:leader="none"/>
        </w:tabs>
        <w:spacing w:line="240" w:lineRule="auto" w:before="49" w:after="0"/>
        <w:ind w:left="215" w:right="218" w:firstLine="474"/>
        <w:jc w:val="both"/>
        <w:rPr>
          <w:sz w:val="20"/>
        </w:rPr>
      </w:pPr>
      <w:r>
        <w:rPr>
          <w:sz w:val="20"/>
        </w:rPr>
        <w:t>Ley</w:t>
      </w:r>
      <w:r>
        <w:rPr>
          <w:spacing w:val="-3"/>
          <w:sz w:val="20"/>
        </w:rPr>
        <w:t> </w:t>
      </w:r>
      <w:r>
        <w:rPr>
          <w:sz w:val="20"/>
        </w:rPr>
        <w:t>6/2024,</w:t>
      </w:r>
      <w:r>
        <w:rPr>
          <w:spacing w:val="-4"/>
          <w:sz w:val="20"/>
        </w:rPr>
        <w:t> </w:t>
      </w:r>
      <w:r>
        <w:rPr>
          <w:sz w:val="20"/>
        </w:rPr>
        <w:t>de</w:t>
      </w:r>
      <w:r>
        <w:rPr>
          <w:spacing w:val="-3"/>
          <w:sz w:val="20"/>
        </w:rPr>
        <w:t> </w:t>
      </w:r>
      <w:r>
        <w:rPr>
          <w:sz w:val="20"/>
        </w:rPr>
        <w:t>5</w:t>
      </w:r>
      <w:r>
        <w:rPr>
          <w:spacing w:val="-3"/>
          <w:sz w:val="20"/>
        </w:rPr>
        <w:t> </w:t>
      </w:r>
      <w:r>
        <w:rPr>
          <w:sz w:val="20"/>
        </w:rPr>
        <w:t>de</w:t>
      </w:r>
      <w:r>
        <w:rPr>
          <w:spacing w:val="-3"/>
          <w:sz w:val="20"/>
        </w:rPr>
        <w:t> </w:t>
      </w:r>
      <w:r>
        <w:rPr>
          <w:sz w:val="20"/>
        </w:rPr>
        <w:t>diciembre,</w:t>
      </w:r>
      <w:r>
        <w:rPr>
          <w:spacing w:val="-4"/>
          <w:sz w:val="20"/>
        </w:rPr>
        <w:t> </w:t>
      </w:r>
      <w:r>
        <w:rPr>
          <w:sz w:val="20"/>
        </w:rPr>
        <w:t>de</w:t>
      </w:r>
      <w:r>
        <w:rPr>
          <w:spacing w:val="-3"/>
          <w:sz w:val="20"/>
        </w:rPr>
        <w:t> </w:t>
      </w:r>
      <w:r>
        <w:rPr>
          <w:sz w:val="20"/>
        </w:rPr>
        <w:t>la</w:t>
      </w:r>
      <w:r>
        <w:rPr>
          <w:spacing w:val="-3"/>
          <w:sz w:val="20"/>
        </w:rPr>
        <w:t> </w:t>
      </w:r>
      <w:r>
        <w:rPr>
          <w:sz w:val="20"/>
        </w:rPr>
        <w:t>Generalitat,</w:t>
      </w:r>
      <w:r>
        <w:rPr>
          <w:spacing w:val="-4"/>
          <w:sz w:val="20"/>
        </w:rPr>
        <w:t> </w:t>
      </w:r>
      <w:r>
        <w:rPr>
          <w:sz w:val="20"/>
        </w:rPr>
        <w:t>de</w:t>
      </w:r>
      <w:r>
        <w:rPr>
          <w:spacing w:val="-3"/>
          <w:sz w:val="20"/>
        </w:rPr>
        <w:t> </w:t>
      </w:r>
      <w:r>
        <w:rPr>
          <w:sz w:val="20"/>
        </w:rPr>
        <w:t>simplificación</w:t>
      </w:r>
      <w:r>
        <w:rPr>
          <w:spacing w:val="-4"/>
          <w:sz w:val="20"/>
        </w:rPr>
        <w:t> </w:t>
      </w:r>
      <w:r>
        <w:rPr>
          <w:sz w:val="20"/>
        </w:rPr>
        <w:t>administrativa:</w:t>
      </w:r>
      <w:r>
        <w:rPr>
          <w:spacing w:val="-3"/>
          <w:sz w:val="20"/>
        </w:rPr>
        <w:t> </w:t>
      </w:r>
      <w:r>
        <w:rPr>
          <w:sz w:val="20"/>
        </w:rPr>
        <w:t>Título</w:t>
      </w:r>
      <w:r>
        <w:rPr>
          <w:spacing w:val="-3"/>
          <w:sz w:val="20"/>
        </w:rPr>
        <w:t> </w:t>
      </w:r>
      <w:r>
        <w:rPr>
          <w:sz w:val="20"/>
        </w:rPr>
        <w:t>I. Regulación general de la simplificación administrativa. Normativa de desarrollo de la Generalitat sobre atención a la ciudadanía y oficinas de registro, personal funcionario habilitado, entidades colaboradoras de certificación y entes habilitados.</w:t>
      </w:r>
    </w:p>
    <w:p>
      <w:pPr>
        <w:pStyle w:val="ListParagraph"/>
        <w:numPr>
          <w:ilvl w:val="0"/>
          <w:numId w:val="4"/>
        </w:numPr>
        <w:tabs>
          <w:tab w:pos="1061" w:val="left" w:leader="none"/>
        </w:tabs>
        <w:spacing w:line="240" w:lineRule="auto" w:before="100" w:after="0"/>
        <w:ind w:left="215" w:right="218" w:firstLine="474"/>
        <w:jc w:val="both"/>
        <w:rPr>
          <w:sz w:val="20"/>
        </w:rPr>
      </w:pPr>
      <w:r>
        <w:rPr>
          <w:sz w:val="20"/>
        </w:rPr>
        <w:t>La transparencia y el buen gobierno: normativa básica estatal y autonómica. La protección de datos de carácter personal: normativa europea, básica estatal y autonómica.</w:t>
      </w:r>
      <w:r>
        <w:rPr>
          <w:spacing w:val="40"/>
          <w:sz w:val="20"/>
        </w:rPr>
        <w:t> </w:t>
      </w:r>
      <w:r>
        <w:rPr>
          <w:sz w:val="20"/>
        </w:rPr>
        <w:t>Especial referencia a los derechos digitales y a las figuras del Responsable y del Encargado del tratamiento de datos, y el Delegado de Protección de Datos.</w:t>
      </w:r>
    </w:p>
    <w:p>
      <w:pPr>
        <w:pStyle w:val="ListParagraph"/>
        <w:numPr>
          <w:ilvl w:val="0"/>
          <w:numId w:val="4"/>
        </w:numPr>
        <w:tabs>
          <w:tab w:pos="1023" w:val="left" w:leader="none"/>
        </w:tabs>
        <w:spacing w:line="240" w:lineRule="auto" w:before="99" w:after="0"/>
        <w:ind w:left="215" w:right="220" w:firstLine="474"/>
        <w:jc w:val="both"/>
        <w:rPr>
          <w:sz w:val="20"/>
        </w:rPr>
      </w:pPr>
      <w:r>
        <w:rPr>
          <w:sz w:val="20"/>
        </w:rPr>
        <w:t>El conflicto de interés: su regulación en la normativa europea, estatal y autonómica. Especial referencia al conflicto de interés en su aplicación en la gestión de fondos europeos. Incompatibilidades y Conflictos de Intereses de las Personas con Cargos Públicos no Electo y su régimen sancionador: disposiciones generales; infracciones y sanciones disciplinarias.</w:t>
      </w:r>
    </w:p>
    <w:p>
      <w:pPr>
        <w:pStyle w:val="Heading1"/>
        <w:numPr>
          <w:ilvl w:val="0"/>
          <w:numId w:val="3"/>
        </w:numPr>
        <w:tabs>
          <w:tab w:pos="460" w:val="left" w:leader="none"/>
        </w:tabs>
        <w:spacing w:line="240" w:lineRule="auto" w:before="196" w:after="0"/>
        <w:ind w:left="460" w:right="0" w:hanging="245"/>
        <w:jc w:val="left"/>
      </w:pPr>
      <w:r>
        <w:rPr/>
        <w:t>ORGANIZACIÓN</w:t>
      </w:r>
      <w:r>
        <w:rPr>
          <w:spacing w:val="-7"/>
        </w:rPr>
        <w:t> </w:t>
      </w:r>
      <w:r>
        <w:rPr/>
        <w:t>Y</w:t>
      </w:r>
      <w:r>
        <w:rPr>
          <w:spacing w:val="-6"/>
        </w:rPr>
        <w:t> </w:t>
      </w:r>
      <w:r>
        <w:rPr/>
        <w:t>RÉGIMEN</w:t>
      </w:r>
      <w:r>
        <w:rPr>
          <w:spacing w:val="-7"/>
        </w:rPr>
        <w:t> </w:t>
      </w:r>
      <w:r>
        <w:rPr/>
        <w:t>DE</w:t>
      </w:r>
      <w:r>
        <w:rPr>
          <w:spacing w:val="-5"/>
        </w:rPr>
        <w:t> </w:t>
      </w:r>
      <w:r>
        <w:rPr/>
        <w:t>LOS</w:t>
      </w:r>
      <w:r>
        <w:rPr>
          <w:spacing w:val="-6"/>
        </w:rPr>
        <w:t> </w:t>
      </w:r>
      <w:r>
        <w:rPr/>
        <w:t>EMPLEADOS</w:t>
      </w:r>
      <w:r>
        <w:rPr>
          <w:spacing w:val="-6"/>
        </w:rPr>
        <w:t> </w:t>
      </w:r>
      <w:r>
        <w:rPr>
          <w:spacing w:val="-2"/>
        </w:rPr>
        <w:t>PÚBLICOS</w:t>
      </w:r>
    </w:p>
    <w:p>
      <w:pPr>
        <w:pStyle w:val="ListParagraph"/>
        <w:numPr>
          <w:ilvl w:val="0"/>
          <w:numId w:val="4"/>
        </w:numPr>
        <w:tabs>
          <w:tab w:pos="1002" w:val="left" w:leader="none"/>
        </w:tabs>
        <w:spacing w:line="240" w:lineRule="auto" w:before="49" w:after="0"/>
        <w:ind w:left="215" w:right="219" w:firstLine="474"/>
        <w:jc w:val="both"/>
        <w:rPr>
          <w:sz w:val="20"/>
        </w:rPr>
      </w:pPr>
      <w:r>
        <w:rPr>
          <w:sz w:val="20"/>
        </w:rPr>
        <w:t>La regulación constitucional de la función pública. El Real decreto legislativo 5/2015, de 30 de octubre, por el que se aprueba el texto refundido de la Ley del Estatuto Básico del Empleado </w:t>
      </w:r>
      <w:r>
        <w:rPr>
          <w:spacing w:val="-2"/>
          <w:sz w:val="20"/>
        </w:rPr>
        <w:t>Público.</w:t>
      </w:r>
    </w:p>
    <w:p>
      <w:pPr>
        <w:pStyle w:val="ListParagraph"/>
        <w:numPr>
          <w:ilvl w:val="0"/>
          <w:numId w:val="4"/>
        </w:numPr>
        <w:tabs>
          <w:tab w:pos="1007" w:val="left" w:leader="none"/>
        </w:tabs>
        <w:spacing w:line="240" w:lineRule="auto" w:before="98" w:after="0"/>
        <w:ind w:left="215" w:right="222" w:firstLine="474"/>
        <w:jc w:val="both"/>
        <w:rPr>
          <w:sz w:val="20"/>
        </w:rPr>
      </w:pPr>
      <w:r>
        <w:rPr>
          <w:sz w:val="20"/>
        </w:rPr>
        <w:t>El sistema de la Seguridad Social: estructura y campo de aplicación. Régimen general y regímenes</w:t>
      </w:r>
      <w:r>
        <w:rPr>
          <w:spacing w:val="-2"/>
          <w:sz w:val="20"/>
        </w:rPr>
        <w:t> </w:t>
      </w:r>
      <w:r>
        <w:rPr>
          <w:sz w:val="20"/>
        </w:rPr>
        <w:t>especiales.</w:t>
      </w:r>
      <w:r>
        <w:rPr>
          <w:spacing w:val="-2"/>
          <w:sz w:val="20"/>
        </w:rPr>
        <w:t> </w:t>
      </w:r>
      <w:r>
        <w:rPr>
          <w:sz w:val="20"/>
        </w:rPr>
        <w:t>Afiliación</w:t>
      </w:r>
      <w:r>
        <w:rPr>
          <w:spacing w:val="-3"/>
          <w:sz w:val="20"/>
        </w:rPr>
        <w:t> </w:t>
      </w:r>
      <w:r>
        <w:rPr>
          <w:sz w:val="20"/>
        </w:rPr>
        <w:t>y</w:t>
      </w:r>
      <w:r>
        <w:rPr>
          <w:spacing w:val="-2"/>
          <w:sz w:val="20"/>
        </w:rPr>
        <w:t> </w:t>
      </w:r>
      <w:r>
        <w:rPr>
          <w:sz w:val="20"/>
        </w:rPr>
        <w:t>cotización.</w:t>
      </w:r>
      <w:r>
        <w:rPr>
          <w:spacing w:val="-2"/>
          <w:sz w:val="20"/>
        </w:rPr>
        <w:t> </w:t>
      </w:r>
      <w:r>
        <w:rPr>
          <w:sz w:val="20"/>
        </w:rPr>
        <w:t>Acción</w:t>
      </w:r>
      <w:r>
        <w:rPr>
          <w:spacing w:val="-2"/>
          <w:sz w:val="20"/>
        </w:rPr>
        <w:t> </w:t>
      </w:r>
      <w:r>
        <w:rPr>
          <w:sz w:val="20"/>
        </w:rPr>
        <w:t>protectora:</w:t>
      </w:r>
      <w:r>
        <w:rPr>
          <w:spacing w:val="-2"/>
          <w:sz w:val="20"/>
        </w:rPr>
        <w:t> </w:t>
      </w:r>
      <w:r>
        <w:rPr>
          <w:sz w:val="20"/>
        </w:rPr>
        <w:t>disposiciones</w:t>
      </w:r>
      <w:r>
        <w:rPr>
          <w:spacing w:val="-2"/>
          <w:sz w:val="20"/>
        </w:rPr>
        <w:t> </w:t>
      </w:r>
      <w:r>
        <w:rPr>
          <w:sz w:val="20"/>
        </w:rPr>
        <w:t>generales</w:t>
      </w:r>
      <w:r>
        <w:rPr>
          <w:spacing w:val="-2"/>
          <w:sz w:val="20"/>
        </w:rPr>
        <w:t> </w:t>
      </w:r>
      <w:r>
        <w:rPr>
          <w:sz w:val="20"/>
        </w:rPr>
        <w:t>y</w:t>
      </w:r>
      <w:r>
        <w:rPr>
          <w:spacing w:val="-2"/>
          <w:sz w:val="20"/>
        </w:rPr>
        <w:t> </w:t>
      </w:r>
      <w:r>
        <w:rPr>
          <w:sz w:val="20"/>
        </w:rPr>
        <w:t>aspectos </w:t>
      </w:r>
      <w:r>
        <w:rPr>
          <w:spacing w:val="-2"/>
          <w:sz w:val="20"/>
        </w:rPr>
        <w:t>comunes.</w:t>
      </w:r>
    </w:p>
    <w:p>
      <w:pPr>
        <w:pStyle w:val="ListParagraph"/>
        <w:numPr>
          <w:ilvl w:val="0"/>
          <w:numId w:val="4"/>
        </w:numPr>
        <w:tabs>
          <w:tab w:pos="987" w:val="left" w:leader="none"/>
        </w:tabs>
        <w:spacing w:line="240" w:lineRule="auto" w:before="99" w:after="0"/>
        <w:ind w:left="215" w:right="223" w:firstLine="474"/>
        <w:jc w:val="both"/>
        <w:rPr>
          <w:sz w:val="20"/>
        </w:rPr>
      </w:pPr>
      <w:r>
        <w:rPr>
          <w:sz w:val="20"/>
        </w:rPr>
        <w:t>La</w:t>
      </w:r>
      <w:r>
        <w:rPr>
          <w:spacing w:val="-1"/>
          <w:sz w:val="20"/>
        </w:rPr>
        <w:t> </w:t>
      </w:r>
      <w:r>
        <w:rPr>
          <w:sz w:val="20"/>
        </w:rPr>
        <w:t>Función Pública</w:t>
      </w:r>
      <w:r>
        <w:rPr>
          <w:spacing w:val="-1"/>
          <w:sz w:val="20"/>
        </w:rPr>
        <w:t> </w:t>
      </w:r>
      <w:r>
        <w:rPr>
          <w:sz w:val="20"/>
        </w:rPr>
        <w:t>en</w:t>
      </w:r>
      <w:r>
        <w:rPr>
          <w:spacing w:val="-1"/>
          <w:sz w:val="20"/>
        </w:rPr>
        <w:t> </w:t>
      </w:r>
      <w:r>
        <w:rPr>
          <w:sz w:val="20"/>
        </w:rPr>
        <w:t>la</w:t>
      </w:r>
      <w:r>
        <w:rPr>
          <w:spacing w:val="-1"/>
          <w:sz w:val="20"/>
        </w:rPr>
        <w:t> </w:t>
      </w:r>
      <w:r>
        <w:rPr>
          <w:sz w:val="20"/>
        </w:rPr>
        <w:t>Generalitat (I):</w:t>
      </w:r>
      <w:r>
        <w:rPr>
          <w:spacing w:val="-1"/>
          <w:sz w:val="20"/>
        </w:rPr>
        <w:t> </w:t>
      </w:r>
      <w:r>
        <w:rPr>
          <w:sz w:val="20"/>
        </w:rPr>
        <w:t>Ley</w:t>
      </w:r>
      <w:r>
        <w:rPr>
          <w:spacing w:val="-1"/>
          <w:sz w:val="20"/>
        </w:rPr>
        <w:t> </w:t>
      </w:r>
      <w:r>
        <w:rPr>
          <w:sz w:val="20"/>
        </w:rPr>
        <w:t>4/2021,</w:t>
      </w:r>
      <w:r>
        <w:rPr>
          <w:spacing w:val="-1"/>
          <w:sz w:val="20"/>
        </w:rPr>
        <w:t> </w:t>
      </w:r>
      <w:r>
        <w:rPr>
          <w:sz w:val="20"/>
        </w:rPr>
        <w:t>de</w:t>
      </w:r>
      <w:r>
        <w:rPr>
          <w:spacing w:val="-1"/>
          <w:sz w:val="20"/>
        </w:rPr>
        <w:t> </w:t>
      </w:r>
      <w:r>
        <w:rPr>
          <w:sz w:val="20"/>
        </w:rPr>
        <w:t>16 de</w:t>
      </w:r>
      <w:r>
        <w:rPr>
          <w:spacing w:val="-1"/>
          <w:sz w:val="20"/>
        </w:rPr>
        <w:t> </w:t>
      </w:r>
      <w:r>
        <w:rPr>
          <w:sz w:val="20"/>
        </w:rPr>
        <w:t>abril,</w:t>
      </w:r>
      <w:r>
        <w:rPr>
          <w:spacing w:val="-1"/>
          <w:sz w:val="20"/>
        </w:rPr>
        <w:t> </w:t>
      </w:r>
      <w:r>
        <w:rPr>
          <w:sz w:val="20"/>
        </w:rPr>
        <w:t>de</w:t>
      </w:r>
      <w:r>
        <w:rPr>
          <w:spacing w:val="-1"/>
          <w:sz w:val="20"/>
        </w:rPr>
        <w:t> </w:t>
      </w:r>
      <w:r>
        <w:rPr>
          <w:sz w:val="20"/>
        </w:rPr>
        <w:t>la</w:t>
      </w:r>
      <w:r>
        <w:rPr>
          <w:spacing w:val="-1"/>
          <w:sz w:val="20"/>
        </w:rPr>
        <w:t> </w:t>
      </w:r>
      <w:r>
        <w:rPr>
          <w:sz w:val="20"/>
        </w:rPr>
        <w:t>Generalitat,</w:t>
      </w:r>
      <w:r>
        <w:rPr>
          <w:spacing w:val="-1"/>
          <w:sz w:val="20"/>
        </w:rPr>
        <w:t> </w:t>
      </w:r>
      <w:r>
        <w:rPr>
          <w:sz w:val="20"/>
        </w:rPr>
        <w:t>de</w:t>
      </w:r>
      <w:r>
        <w:rPr>
          <w:spacing w:val="-1"/>
          <w:sz w:val="20"/>
        </w:rPr>
        <w:t> </w:t>
      </w:r>
      <w:r>
        <w:rPr>
          <w:sz w:val="20"/>
        </w:rPr>
        <w:t>la Función Pública Valenciana: Objeto, principios y ámbito de aplicación de la ley. Organización de la administración de la Generalitat en materia de función pública. Personal al servicio de las administraciones públicas.</w:t>
      </w:r>
    </w:p>
    <w:p>
      <w:pPr>
        <w:pStyle w:val="ListParagraph"/>
        <w:numPr>
          <w:ilvl w:val="0"/>
          <w:numId w:val="4"/>
        </w:numPr>
        <w:tabs>
          <w:tab w:pos="1003" w:val="left" w:leader="none"/>
        </w:tabs>
        <w:spacing w:line="240" w:lineRule="auto" w:before="99" w:after="0"/>
        <w:ind w:left="215" w:right="219" w:firstLine="474"/>
        <w:jc w:val="both"/>
        <w:rPr>
          <w:sz w:val="20"/>
        </w:rPr>
      </w:pPr>
      <w:r>
        <w:rPr>
          <w:sz w:val="20"/>
        </w:rPr>
        <w:t>La Función Pública en la Generalitat (II). Estructuración del empleo público. Ordenación de los puestos de trabajo. Instrumentos de planificación y ordenación del empleo público.</w:t>
      </w:r>
      <w:r>
        <w:rPr>
          <w:spacing w:val="40"/>
          <w:sz w:val="20"/>
        </w:rPr>
        <w:t> </w:t>
      </w:r>
      <w:r>
        <w:rPr>
          <w:sz w:val="20"/>
        </w:rPr>
        <w:t>Registros de personal.</w:t>
      </w:r>
    </w:p>
    <w:p>
      <w:pPr>
        <w:pStyle w:val="ListParagraph"/>
        <w:numPr>
          <w:ilvl w:val="0"/>
          <w:numId w:val="4"/>
        </w:numPr>
        <w:tabs>
          <w:tab w:pos="990" w:val="left" w:leader="none"/>
        </w:tabs>
        <w:spacing w:line="240" w:lineRule="auto" w:before="99" w:after="0"/>
        <w:ind w:left="215" w:right="225" w:firstLine="474"/>
        <w:jc w:val="both"/>
        <w:rPr>
          <w:sz w:val="20"/>
        </w:rPr>
      </w:pPr>
      <w:r>
        <w:rPr>
          <w:sz w:val="20"/>
        </w:rPr>
        <w:t>La Función Pública en la Generalitat (III). Nacimiento y extinción de la relación de servicio de</w:t>
      </w:r>
      <w:r>
        <w:rPr>
          <w:spacing w:val="40"/>
          <w:sz w:val="20"/>
        </w:rPr>
        <w:t> </w:t>
      </w:r>
      <w:r>
        <w:rPr>
          <w:sz w:val="20"/>
        </w:rPr>
        <w:t>los</w:t>
      </w:r>
      <w:r>
        <w:rPr>
          <w:spacing w:val="40"/>
          <w:sz w:val="20"/>
        </w:rPr>
        <w:t> </w:t>
      </w:r>
      <w:r>
        <w:rPr>
          <w:sz w:val="20"/>
        </w:rPr>
        <w:t>empleados</w:t>
      </w:r>
      <w:r>
        <w:rPr>
          <w:spacing w:val="40"/>
          <w:sz w:val="20"/>
        </w:rPr>
        <w:t> </w:t>
      </w:r>
      <w:r>
        <w:rPr>
          <w:sz w:val="20"/>
        </w:rPr>
        <w:t>públicos.</w:t>
      </w:r>
      <w:r>
        <w:rPr>
          <w:spacing w:val="40"/>
          <w:sz w:val="20"/>
        </w:rPr>
        <w:t> </w:t>
      </w:r>
      <w:r>
        <w:rPr>
          <w:sz w:val="20"/>
        </w:rPr>
        <w:t>Selección</w:t>
      </w:r>
      <w:r>
        <w:rPr>
          <w:spacing w:val="40"/>
          <w:sz w:val="20"/>
        </w:rPr>
        <w:t> </w:t>
      </w:r>
      <w:r>
        <w:rPr>
          <w:sz w:val="20"/>
        </w:rPr>
        <w:t>de</w:t>
      </w:r>
      <w:r>
        <w:rPr>
          <w:spacing w:val="40"/>
          <w:sz w:val="20"/>
        </w:rPr>
        <w:t> </w:t>
      </w:r>
      <w:r>
        <w:rPr>
          <w:sz w:val="20"/>
        </w:rPr>
        <w:t>personal.</w:t>
      </w:r>
      <w:r>
        <w:rPr>
          <w:spacing w:val="40"/>
          <w:sz w:val="20"/>
        </w:rPr>
        <w:t> </w:t>
      </w:r>
      <w:r>
        <w:rPr>
          <w:sz w:val="20"/>
        </w:rPr>
        <w:t>Adquisición</w:t>
      </w:r>
      <w:r>
        <w:rPr>
          <w:spacing w:val="40"/>
          <w:sz w:val="20"/>
        </w:rPr>
        <w:t> </w:t>
      </w:r>
      <w:r>
        <w:rPr>
          <w:sz w:val="20"/>
        </w:rPr>
        <w:t>y</w:t>
      </w:r>
      <w:r>
        <w:rPr>
          <w:spacing w:val="40"/>
          <w:sz w:val="20"/>
        </w:rPr>
        <w:t> </w:t>
      </w:r>
      <w:r>
        <w:rPr>
          <w:sz w:val="20"/>
        </w:rPr>
        <w:t>pérdida</w:t>
      </w:r>
      <w:r>
        <w:rPr>
          <w:spacing w:val="40"/>
          <w:sz w:val="20"/>
        </w:rPr>
        <w:t> </w:t>
      </w:r>
      <w:r>
        <w:rPr>
          <w:sz w:val="20"/>
        </w:rPr>
        <w:t>de</w:t>
      </w:r>
      <w:r>
        <w:rPr>
          <w:spacing w:val="40"/>
          <w:sz w:val="20"/>
        </w:rPr>
        <w:t> </w:t>
      </w:r>
      <w:r>
        <w:rPr>
          <w:sz w:val="20"/>
        </w:rPr>
        <w:t>la</w:t>
      </w:r>
      <w:r>
        <w:rPr>
          <w:spacing w:val="40"/>
          <w:sz w:val="20"/>
        </w:rPr>
        <w:t> </w:t>
      </w:r>
      <w:r>
        <w:rPr>
          <w:sz w:val="20"/>
        </w:rPr>
        <w:t>condición</w:t>
      </w:r>
      <w:r>
        <w:rPr>
          <w:spacing w:val="40"/>
          <w:sz w:val="20"/>
        </w:rPr>
        <w:t> </w:t>
      </w:r>
      <w:r>
        <w:rPr>
          <w:sz w:val="20"/>
        </w:rPr>
        <w:t>del</w:t>
      </w:r>
    </w:p>
    <w:p>
      <w:pPr>
        <w:pStyle w:val="ListParagraph"/>
        <w:spacing w:after="0" w:line="240" w:lineRule="auto"/>
        <w:jc w:val="both"/>
        <w:rPr>
          <w:sz w:val="20"/>
        </w:rPr>
        <w:sectPr>
          <w:pgSz w:w="11900" w:h="16840"/>
          <w:pgMar w:header="474" w:footer="397" w:top="2000" w:bottom="580" w:left="1700" w:right="1700"/>
        </w:sectPr>
      </w:pPr>
    </w:p>
    <w:p>
      <w:pPr>
        <w:pStyle w:val="BodyText"/>
        <w:spacing w:before="0"/>
        <w:ind w:left="0" w:firstLine="0"/>
        <w:jc w:val="left"/>
      </w:pPr>
    </w:p>
    <w:p>
      <w:pPr>
        <w:pStyle w:val="BodyText"/>
        <w:spacing w:before="200"/>
        <w:ind w:left="0" w:firstLine="0"/>
        <w:jc w:val="left"/>
      </w:pPr>
    </w:p>
    <w:p>
      <w:pPr>
        <w:pStyle w:val="BodyText"/>
        <w:spacing w:before="0"/>
        <w:ind w:right="223" w:firstLine="0"/>
      </w:pPr>
      <w:r>
        <w:rPr/>
        <w:t>personal empleado público. Provisión de puestos y movilidad. Promoción y carrera profesional. La evaluación del desempeño. El teletrabajo: principios y regulación en la Generalitat.</w:t>
      </w:r>
    </w:p>
    <w:p>
      <w:pPr>
        <w:pStyle w:val="ListParagraph"/>
        <w:numPr>
          <w:ilvl w:val="0"/>
          <w:numId w:val="4"/>
        </w:numPr>
        <w:tabs>
          <w:tab w:pos="1000" w:val="left" w:leader="none"/>
        </w:tabs>
        <w:spacing w:line="240" w:lineRule="auto" w:before="97" w:after="0"/>
        <w:ind w:left="215" w:right="218" w:firstLine="474"/>
        <w:jc w:val="both"/>
        <w:rPr>
          <w:sz w:val="20"/>
        </w:rPr>
      </w:pPr>
      <w:r>
        <w:rPr>
          <w:sz w:val="20"/>
        </w:rPr>
        <w:t>La Función Pública en la Generalitat (IV). Situaciones administrativas de los funcionarios</w:t>
      </w:r>
      <w:r>
        <w:rPr>
          <w:spacing w:val="40"/>
          <w:sz w:val="20"/>
        </w:rPr>
        <w:t> </w:t>
      </w:r>
      <w:r>
        <w:rPr>
          <w:sz w:val="20"/>
        </w:rPr>
        <w:t>al servicio de la Generalitat. Derechos, deberes e incompatibilidades del personal empleado público. La representación, negociación colectiva y participación institucional de los empleados </w:t>
      </w:r>
      <w:r>
        <w:rPr>
          <w:spacing w:val="-2"/>
          <w:sz w:val="20"/>
        </w:rPr>
        <w:t>públicos.</w:t>
      </w:r>
    </w:p>
    <w:p>
      <w:pPr>
        <w:pStyle w:val="Heading1"/>
        <w:numPr>
          <w:ilvl w:val="0"/>
          <w:numId w:val="3"/>
        </w:numPr>
        <w:tabs>
          <w:tab w:pos="453" w:val="left" w:leader="none"/>
        </w:tabs>
        <w:spacing w:line="240" w:lineRule="auto" w:before="195" w:after="0"/>
        <w:ind w:left="453" w:right="0" w:hanging="238"/>
        <w:jc w:val="left"/>
      </w:pPr>
      <w:r>
        <w:rPr>
          <w:spacing w:val="-2"/>
        </w:rPr>
        <w:t>GESTIÓN</w:t>
      </w:r>
      <w:r>
        <w:rPr>
          <w:spacing w:val="13"/>
        </w:rPr>
        <w:t> </w:t>
      </w:r>
      <w:r>
        <w:rPr>
          <w:spacing w:val="-2"/>
        </w:rPr>
        <w:t>ECONÓMICO-PRESUPUESTARIA</w:t>
      </w:r>
    </w:p>
    <w:p>
      <w:pPr>
        <w:pStyle w:val="ListParagraph"/>
        <w:numPr>
          <w:ilvl w:val="0"/>
          <w:numId w:val="4"/>
        </w:numPr>
        <w:tabs>
          <w:tab w:pos="1006" w:val="left" w:leader="none"/>
        </w:tabs>
        <w:spacing w:line="240" w:lineRule="auto" w:before="49" w:after="0"/>
        <w:ind w:left="215" w:right="217" w:firstLine="474"/>
        <w:jc w:val="both"/>
        <w:rPr>
          <w:sz w:val="20"/>
        </w:rPr>
      </w:pPr>
      <w:r>
        <w:rPr>
          <w:sz w:val="20"/>
        </w:rPr>
        <w:t>Financiación de las Comunidades Autónomas de régimen común. Necesidades globales de financiación. Recursos adicionales que se integran en el sistema. Recursos financieros. Capacidad tributaria. Fondos de Convergencia Autonómica. Cesión de tributos del Estado a las Comunidades Autónomas. La política tributaria de la Generalitat. Tributos propios y cedidos. Recursos de la Comunitat Valenciana. Competencias normativas y delegación de competencias. Anticipos de Tesorería. Resolución de conflictos. Beneficios fiscales. Fondo de Compensación </w:t>
      </w:r>
      <w:r>
        <w:rPr>
          <w:spacing w:val="-2"/>
          <w:sz w:val="20"/>
        </w:rPr>
        <w:t>Interterritorial</w:t>
      </w:r>
    </w:p>
    <w:p>
      <w:pPr>
        <w:pStyle w:val="ListParagraph"/>
        <w:numPr>
          <w:ilvl w:val="0"/>
          <w:numId w:val="4"/>
        </w:numPr>
        <w:tabs>
          <w:tab w:pos="993" w:val="left" w:leader="none"/>
        </w:tabs>
        <w:spacing w:line="240" w:lineRule="auto" w:before="104" w:after="0"/>
        <w:ind w:left="215" w:right="219" w:firstLine="474"/>
        <w:jc w:val="both"/>
        <w:rPr>
          <w:sz w:val="20"/>
        </w:rPr>
      </w:pPr>
      <w:r>
        <w:rPr>
          <w:sz w:val="20"/>
        </w:rPr>
        <w:t>La Ley 1/2015, de 6 de febrero, de la Generalitat, de hacienda pública, del sector público instrumental y de subvenciones: ámbito de aplicación y organización del sector público de la Generalitat. El régimen de la Hacienda Pública. El sector público instrumental de la Generalitat: los organismos públicos, las sociedades mercantiles, las fundaciones y los consorcios.</w:t>
      </w:r>
    </w:p>
    <w:p>
      <w:pPr>
        <w:pStyle w:val="ListParagraph"/>
        <w:numPr>
          <w:ilvl w:val="0"/>
          <w:numId w:val="4"/>
        </w:numPr>
        <w:tabs>
          <w:tab w:pos="1018" w:val="left" w:leader="none"/>
        </w:tabs>
        <w:spacing w:line="240" w:lineRule="auto" w:before="100" w:after="0"/>
        <w:ind w:left="215" w:right="217" w:firstLine="474"/>
        <w:jc w:val="both"/>
        <w:rPr>
          <w:sz w:val="20"/>
        </w:rPr>
      </w:pPr>
      <w:r>
        <w:rPr>
          <w:sz w:val="20"/>
        </w:rPr>
        <w:t>El presupuesto de la Generalitat (I). Concepto y naturaleza. Los principios y reglas de programación y gestión presupuestaria. La programación presupuestaria y el objetivo de estabilidad. Contenido y créditos iniciales, elaboración y estructura. Presupuestos consolidados. Tramitación y aprobación. Prórroga. Procedimiento de Gestión presupuestaria. Pagos a justificar. Anticipos de Caja Fija. Ley de presupuestos de la Generalitat vigente: normas generales de la gestión; normativa reglamentaria de la Generalitat sobre el procedimiento de gestión del </w:t>
      </w:r>
      <w:r>
        <w:rPr>
          <w:spacing w:val="-2"/>
          <w:sz w:val="20"/>
        </w:rPr>
        <w:t>presupuesto.</w:t>
      </w:r>
    </w:p>
    <w:p>
      <w:pPr>
        <w:pStyle w:val="ListParagraph"/>
        <w:numPr>
          <w:ilvl w:val="0"/>
          <w:numId w:val="4"/>
        </w:numPr>
        <w:tabs>
          <w:tab w:pos="1007" w:val="left" w:leader="none"/>
        </w:tabs>
        <w:spacing w:line="240" w:lineRule="auto" w:before="103" w:after="0"/>
        <w:ind w:left="215" w:right="220" w:firstLine="474"/>
        <w:jc w:val="both"/>
        <w:rPr>
          <w:sz w:val="20"/>
        </w:rPr>
      </w:pPr>
      <w:r>
        <w:rPr>
          <w:sz w:val="20"/>
        </w:rPr>
        <w:t>El presupuesto de la Generalitat (II). Los créditos presupuestarios y sus modificaciones. Ley de presupuestos de la Generalitat vigente: normas para la modificación de los presupuestos y competencias para su autorización. Carácter limitativo de los créditos. Su contabilización. Procedimiento de gestión del presupuesto de la Generalitat. Sector Público empresarial y </w:t>
      </w:r>
      <w:r>
        <w:rPr>
          <w:spacing w:val="-2"/>
          <w:sz w:val="20"/>
        </w:rPr>
        <w:t>fundacional.</w:t>
      </w:r>
    </w:p>
    <w:p>
      <w:pPr>
        <w:pStyle w:val="ListParagraph"/>
        <w:numPr>
          <w:ilvl w:val="0"/>
          <w:numId w:val="4"/>
        </w:numPr>
        <w:tabs>
          <w:tab w:pos="1003" w:val="left" w:leader="none"/>
        </w:tabs>
        <w:spacing w:line="240" w:lineRule="auto" w:before="101" w:after="0"/>
        <w:ind w:left="215" w:right="220" w:firstLine="474"/>
        <w:jc w:val="both"/>
        <w:rPr>
          <w:sz w:val="20"/>
        </w:rPr>
      </w:pPr>
      <w:r>
        <w:rPr>
          <w:sz w:val="20"/>
        </w:rPr>
        <w:t>El control interno de la gestión económico-financiera de la Generalitat efectuado por la Intervención General de la Generalitat: ámbito y objetivos, principios de actuación y prerrogativas, deberes y facultades del personal controlador, deber de colaboración y asistencia jurídica; planes anuales y elevación</w:t>
      </w:r>
      <w:r>
        <w:rPr>
          <w:spacing w:val="-1"/>
          <w:sz w:val="20"/>
        </w:rPr>
        <w:t> </w:t>
      </w:r>
      <w:r>
        <w:rPr>
          <w:sz w:val="20"/>
        </w:rPr>
        <w:t>al Consell de informes generales. La función</w:t>
      </w:r>
      <w:r>
        <w:rPr>
          <w:spacing w:val="-1"/>
          <w:sz w:val="20"/>
        </w:rPr>
        <w:t> </w:t>
      </w:r>
      <w:r>
        <w:rPr>
          <w:sz w:val="20"/>
        </w:rPr>
        <w:t>interventora.</w:t>
      </w:r>
      <w:r>
        <w:rPr>
          <w:spacing w:val="-1"/>
          <w:sz w:val="20"/>
        </w:rPr>
        <w:t> </w:t>
      </w:r>
      <w:r>
        <w:rPr>
          <w:sz w:val="20"/>
        </w:rPr>
        <w:t>El</w:t>
      </w:r>
      <w:r>
        <w:rPr>
          <w:spacing w:val="-1"/>
          <w:sz w:val="20"/>
        </w:rPr>
        <w:t> </w:t>
      </w:r>
      <w:r>
        <w:rPr>
          <w:sz w:val="20"/>
        </w:rPr>
        <w:t>control</w:t>
      </w:r>
      <w:r>
        <w:rPr>
          <w:spacing w:val="-1"/>
          <w:sz w:val="20"/>
        </w:rPr>
        <w:t> </w:t>
      </w:r>
      <w:r>
        <w:rPr>
          <w:sz w:val="20"/>
        </w:rPr>
        <w:t>financiero. La auditoría</w:t>
      </w:r>
      <w:r>
        <w:rPr>
          <w:spacing w:val="-1"/>
          <w:sz w:val="20"/>
        </w:rPr>
        <w:t> </w:t>
      </w:r>
      <w:r>
        <w:rPr>
          <w:sz w:val="20"/>
        </w:rPr>
        <w:t>pública.</w:t>
      </w:r>
      <w:r>
        <w:rPr>
          <w:spacing w:val="-1"/>
          <w:sz w:val="20"/>
        </w:rPr>
        <w:t> </w:t>
      </w:r>
      <w:r>
        <w:rPr>
          <w:sz w:val="20"/>
        </w:rPr>
        <w:t>La</w:t>
      </w:r>
      <w:r>
        <w:rPr>
          <w:spacing w:val="-1"/>
          <w:sz w:val="20"/>
        </w:rPr>
        <w:t> </w:t>
      </w:r>
      <w:r>
        <w:rPr>
          <w:sz w:val="20"/>
        </w:rPr>
        <w:t>supervisión</w:t>
      </w:r>
      <w:r>
        <w:rPr>
          <w:spacing w:val="-2"/>
          <w:sz w:val="20"/>
        </w:rPr>
        <w:t> </w:t>
      </w:r>
      <w:r>
        <w:rPr>
          <w:sz w:val="20"/>
        </w:rPr>
        <w:t>continua.</w:t>
      </w:r>
      <w:r>
        <w:rPr>
          <w:spacing w:val="-1"/>
          <w:sz w:val="20"/>
        </w:rPr>
        <w:t> </w:t>
      </w:r>
      <w:r>
        <w:rPr>
          <w:sz w:val="20"/>
        </w:rPr>
        <w:t>El</w:t>
      </w:r>
      <w:r>
        <w:rPr>
          <w:spacing w:val="-2"/>
          <w:sz w:val="20"/>
        </w:rPr>
        <w:t> </w:t>
      </w:r>
      <w:r>
        <w:rPr>
          <w:sz w:val="20"/>
        </w:rPr>
        <w:t>control</w:t>
      </w:r>
      <w:r>
        <w:rPr>
          <w:spacing w:val="-2"/>
          <w:sz w:val="20"/>
        </w:rPr>
        <w:t> </w:t>
      </w:r>
      <w:r>
        <w:rPr>
          <w:sz w:val="20"/>
        </w:rPr>
        <w:t>externo.</w:t>
      </w:r>
      <w:r>
        <w:rPr>
          <w:spacing w:val="-1"/>
          <w:sz w:val="20"/>
        </w:rPr>
        <w:t> </w:t>
      </w:r>
      <w:r>
        <w:rPr>
          <w:sz w:val="20"/>
        </w:rPr>
        <w:t>El</w:t>
      </w:r>
      <w:r>
        <w:rPr>
          <w:spacing w:val="-1"/>
          <w:sz w:val="20"/>
        </w:rPr>
        <w:t> </w:t>
      </w:r>
      <w:r>
        <w:rPr>
          <w:sz w:val="20"/>
        </w:rPr>
        <w:t>control</w:t>
      </w:r>
      <w:r>
        <w:rPr>
          <w:spacing w:val="-1"/>
          <w:sz w:val="20"/>
        </w:rPr>
        <w:t> </w:t>
      </w:r>
      <w:r>
        <w:rPr>
          <w:sz w:val="20"/>
        </w:rPr>
        <w:t>del</w:t>
      </w:r>
      <w:r>
        <w:rPr>
          <w:spacing w:val="-1"/>
          <w:sz w:val="20"/>
        </w:rPr>
        <w:t> </w:t>
      </w:r>
      <w:r>
        <w:rPr>
          <w:sz w:val="20"/>
        </w:rPr>
        <w:t>Tribunal</w:t>
      </w:r>
      <w:r>
        <w:rPr>
          <w:spacing w:val="-1"/>
          <w:sz w:val="20"/>
        </w:rPr>
        <w:t> </w:t>
      </w:r>
      <w:r>
        <w:rPr>
          <w:sz w:val="20"/>
        </w:rPr>
        <w:t>de</w:t>
      </w:r>
      <w:r>
        <w:rPr>
          <w:spacing w:val="-1"/>
          <w:sz w:val="20"/>
        </w:rPr>
        <w:t> </w:t>
      </w:r>
      <w:r>
        <w:rPr>
          <w:sz w:val="20"/>
        </w:rPr>
        <w:t>Cuentas: su función fiscalizadora, el enjuiciamiento contable y su relación con la Sindicatura de Comptes.</w:t>
      </w:r>
    </w:p>
    <w:p>
      <w:pPr>
        <w:pStyle w:val="Heading1"/>
        <w:numPr>
          <w:ilvl w:val="0"/>
          <w:numId w:val="3"/>
        </w:numPr>
        <w:tabs>
          <w:tab w:pos="403" w:val="left" w:leader="none"/>
        </w:tabs>
        <w:spacing w:line="240" w:lineRule="auto" w:before="198" w:after="0"/>
        <w:ind w:left="403" w:right="0" w:hanging="188"/>
        <w:jc w:val="left"/>
      </w:pPr>
      <w:r>
        <w:rPr/>
        <w:t>UNIÓN</w:t>
      </w:r>
      <w:r>
        <w:rPr>
          <w:spacing w:val="-6"/>
        </w:rPr>
        <w:t> </w:t>
      </w:r>
      <w:r>
        <w:rPr>
          <w:spacing w:val="-2"/>
        </w:rPr>
        <w:t>EUROPEA</w:t>
      </w:r>
    </w:p>
    <w:p>
      <w:pPr>
        <w:pStyle w:val="ListParagraph"/>
        <w:numPr>
          <w:ilvl w:val="0"/>
          <w:numId w:val="4"/>
        </w:numPr>
        <w:tabs>
          <w:tab w:pos="991" w:val="left" w:leader="none"/>
        </w:tabs>
        <w:spacing w:line="240" w:lineRule="auto" w:before="49" w:after="0"/>
        <w:ind w:left="215" w:right="222" w:firstLine="474"/>
        <w:jc w:val="both"/>
        <w:rPr>
          <w:sz w:val="20"/>
        </w:rPr>
      </w:pPr>
      <w:r>
        <w:rPr>
          <w:sz w:val="20"/>
        </w:rPr>
        <w:t>Características del ordenamiento jurídico de la Unión Europea. Fuentes del derecho de la Unión Europea. Tratados constitutivos. Actos jurídicos de la Unión: reglamentos, directivas, decisiones, recomendaciones y dictámenes.</w:t>
      </w:r>
    </w:p>
    <w:p>
      <w:pPr>
        <w:pStyle w:val="ListParagraph"/>
        <w:numPr>
          <w:ilvl w:val="0"/>
          <w:numId w:val="4"/>
        </w:numPr>
        <w:tabs>
          <w:tab w:pos="1063" w:val="left" w:leader="none"/>
        </w:tabs>
        <w:spacing w:line="240" w:lineRule="auto" w:before="99" w:after="0"/>
        <w:ind w:left="215" w:right="216" w:firstLine="474"/>
        <w:jc w:val="both"/>
        <w:rPr>
          <w:sz w:val="20"/>
        </w:rPr>
      </w:pPr>
      <w:r>
        <w:rPr>
          <w:sz w:val="20"/>
        </w:rPr>
        <w:t>Derechos fundamentales y ciudadanía de la Unión. El mercado interior: la libre circulación de mercancías, libre circulación de trabajadores, libre circulación de personas, servicios y capitales. Las competencias y garantías sobre el espacio de libertad, seguridad y justicia.</w:t>
      </w:r>
    </w:p>
    <w:p>
      <w:pPr>
        <w:pStyle w:val="ListParagraph"/>
        <w:numPr>
          <w:ilvl w:val="0"/>
          <w:numId w:val="4"/>
        </w:numPr>
        <w:tabs>
          <w:tab w:pos="1004" w:val="left" w:leader="none"/>
        </w:tabs>
        <w:spacing w:line="240" w:lineRule="auto" w:before="98" w:after="0"/>
        <w:ind w:left="215" w:right="227" w:firstLine="474"/>
        <w:jc w:val="both"/>
        <w:rPr>
          <w:sz w:val="20"/>
        </w:rPr>
      </w:pPr>
      <w:r>
        <w:rPr>
          <w:sz w:val="20"/>
        </w:rPr>
        <w:t>Derecho de la Unión Europea. El Derecho Primario y el Derecho Derivado. Jerarquía de</w:t>
      </w:r>
      <w:r>
        <w:rPr>
          <w:spacing w:val="40"/>
          <w:sz w:val="20"/>
        </w:rPr>
        <w:t> </w:t>
      </w:r>
      <w:r>
        <w:rPr>
          <w:sz w:val="20"/>
        </w:rPr>
        <w:t>las</w:t>
      </w:r>
      <w:r>
        <w:rPr>
          <w:spacing w:val="22"/>
          <w:sz w:val="20"/>
        </w:rPr>
        <w:t> </w:t>
      </w:r>
      <w:r>
        <w:rPr>
          <w:sz w:val="20"/>
        </w:rPr>
        <w:t>normas.</w:t>
      </w:r>
      <w:r>
        <w:rPr>
          <w:spacing w:val="21"/>
          <w:sz w:val="20"/>
        </w:rPr>
        <w:t> </w:t>
      </w:r>
      <w:r>
        <w:rPr>
          <w:sz w:val="20"/>
        </w:rPr>
        <w:t>La</w:t>
      </w:r>
      <w:r>
        <w:rPr>
          <w:spacing w:val="22"/>
          <w:sz w:val="20"/>
        </w:rPr>
        <w:t> </w:t>
      </w:r>
      <w:r>
        <w:rPr>
          <w:sz w:val="20"/>
        </w:rPr>
        <w:t>relación</w:t>
      </w:r>
      <w:r>
        <w:rPr>
          <w:spacing w:val="21"/>
          <w:sz w:val="20"/>
        </w:rPr>
        <w:t> </w:t>
      </w:r>
      <w:r>
        <w:rPr>
          <w:sz w:val="20"/>
        </w:rPr>
        <w:t>entre</w:t>
      </w:r>
      <w:r>
        <w:rPr>
          <w:spacing w:val="22"/>
          <w:sz w:val="20"/>
        </w:rPr>
        <w:t> </w:t>
      </w:r>
      <w:r>
        <w:rPr>
          <w:sz w:val="20"/>
        </w:rPr>
        <w:t>el</w:t>
      </w:r>
      <w:r>
        <w:rPr>
          <w:spacing w:val="22"/>
          <w:sz w:val="20"/>
        </w:rPr>
        <w:t> </w:t>
      </w:r>
      <w:r>
        <w:rPr>
          <w:sz w:val="20"/>
        </w:rPr>
        <w:t>Derecho</w:t>
      </w:r>
      <w:r>
        <w:rPr>
          <w:spacing w:val="22"/>
          <w:sz w:val="20"/>
        </w:rPr>
        <w:t> </w:t>
      </w:r>
      <w:r>
        <w:rPr>
          <w:sz w:val="20"/>
        </w:rPr>
        <w:t>de</w:t>
      </w:r>
      <w:r>
        <w:rPr>
          <w:spacing w:val="22"/>
          <w:sz w:val="20"/>
        </w:rPr>
        <w:t> </w:t>
      </w:r>
      <w:r>
        <w:rPr>
          <w:sz w:val="20"/>
        </w:rPr>
        <w:t>la</w:t>
      </w:r>
      <w:r>
        <w:rPr>
          <w:spacing w:val="21"/>
          <w:sz w:val="20"/>
        </w:rPr>
        <w:t> </w:t>
      </w:r>
      <w:r>
        <w:rPr>
          <w:sz w:val="20"/>
        </w:rPr>
        <w:t>Unión</w:t>
      </w:r>
      <w:r>
        <w:rPr>
          <w:spacing w:val="21"/>
          <w:sz w:val="20"/>
        </w:rPr>
        <w:t> </w:t>
      </w:r>
      <w:r>
        <w:rPr>
          <w:sz w:val="20"/>
        </w:rPr>
        <w:t>Europea</w:t>
      </w:r>
      <w:r>
        <w:rPr>
          <w:spacing w:val="21"/>
          <w:sz w:val="20"/>
        </w:rPr>
        <w:t> </w:t>
      </w:r>
      <w:r>
        <w:rPr>
          <w:sz w:val="20"/>
        </w:rPr>
        <w:t>y</w:t>
      </w:r>
      <w:r>
        <w:rPr>
          <w:spacing w:val="22"/>
          <w:sz w:val="20"/>
        </w:rPr>
        <w:t> </w:t>
      </w:r>
      <w:r>
        <w:rPr>
          <w:sz w:val="20"/>
        </w:rPr>
        <w:t>el</w:t>
      </w:r>
      <w:r>
        <w:rPr>
          <w:spacing w:val="21"/>
          <w:sz w:val="20"/>
        </w:rPr>
        <w:t> </w:t>
      </w:r>
      <w:r>
        <w:rPr>
          <w:sz w:val="20"/>
        </w:rPr>
        <w:t>ordenamiento</w:t>
      </w:r>
      <w:r>
        <w:rPr>
          <w:spacing w:val="22"/>
          <w:sz w:val="20"/>
        </w:rPr>
        <w:t> </w:t>
      </w:r>
      <w:r>
        <w:rPr>
          <w:sz w:val="20"/>
        </w:rPr>
        <w:t>jurídico</w:t>
      </w:r>
      <w:r>
        <w:rPr>
          <w:spacing w:val="22"/>
          <w:sz w:val="20"/>
        </w:rPr>
        <w:t> </w:t>
      </w:r>
      <w:r>
        <w:rPr>
          <w:sz w:val="20"/>
        </w:rPr>
        <w:t>de</w:t>
      </w:r>
      <w:r>
        <w:rPr>
          <w:spacing w:val="22"/>
          <w:sz w:val="20"/>
        </w:rPr>
        <w:t> </w:t>
      </w:r>
      <w:r>
        <w:rPr>
          <w:sz w:val="20"/>
        </w:rPr>
        <w:t>los</w:t>
      </w:r>
    </w:p>
    <w:p>
      <w:pPr>
        <w:pStyle w:val="ListParagraph"/>
        <w:spacing w:after="0" w:line="240" w:lineRule="auto"/>
        <w:jc w:val="both"/>
        <w:rPr>
          <w:sz w:val="20"/>
        </w:rPr>
        <w:sectPr>
          <w:pgSz w:w="11900" w:h="16840"/>
          <w:pgMar w:header="474" w:footer="397" w:top="2000" w:bottom="580" w:left="1700" w:right="1700"/>
        </w:sectPr>
      </w:pPr>
    </w:p>
    <w:p>
      <w:pPr>
        <w:pStyle w:val="BodyText"/>
        <w:spacing w:before="0"/>
        <w:ind w:left="0" w:firstLine="0"/>
        <w:jc w:val="left"/>
      </w:pPr>
    </w:p>
    <w:p>
      <w:pPr>
        <w:pStyle w:val="BodyText"/>
        <w:spacing w:before="200"/>
        <w:ind w:left="0" w:firstLine="0"/>
        <w:jc w:val="left"/>
      </w:pPr>
    </w:p>
    <w:p>
      <w:pPr>
        <w:pStyle w:val="BodyText"/>
        <w:spacing w:before="0"/>
        <w:ind w:firstLine="0"/>
        <w:jc w:val="left"/>
      </w:pPr>
      <w:r>
        <w:rPr/>
        <w:t>Estados Miembros. Principios y control. La participación de las Comunidades Autónomas y de la</w:t>
      </w:r>
      <w:r>
        <w:rPr>
          <w:spacing w:val="80"/>
        </w:rPr>
        <w:t> </w:t>
      </w:r>
      <w:r>
        <w:rPr/>
        <w:t>Generalitat en la formación y en la ejecución del derecho de la Unión Europea.</w:t>
      </w:r>
    </w:p>
    <w:p>
      <w:pPr>
        <w:pStyle w:val="Heading1"/>
        <w:numPr>
          <w:ilvl w:val="0"/>
          <w:numId w:val="3"/>
        </w:numPr>
        <w:tabs>
          <w:tab w:pos="473" w:val="left" w:leader="none"/>
        </w:tabs>
        <w:spacing w:line="240" w:lineRule="auto" w:before="193" w:after="0"/>
        <w:ind w:left="473" w:right="0" w:hanging="258"/>
        <w:jc w:val="left"/>
      </w:pPr>
      <w:r>
        <w:rPr/>
        <w:t>COMPETENCIAS</w:t>
      </w:r>
      <w:r>
        <w:rPr>
          <w:spacing w:val="-5"/>
        </w:rPr>
        <w:t> </w:t>
      </w:r>
      <w:r>
        <w:rPr/>
        <w:t>DE</w:t>
      </w:r>
      <w:r>
        <w:rPr>
          <w:spacing w:val="-5"/>
        </w:rPr>
        <w:t> </w:t>
      </w:r>
      <w:r>
        <w:rPr/>
        <w:t>LA</w:t>
      </w:r>
      <w:r>
        <w:rPr>
          <w:spacing w:val="-4"/>
        </w:rPr>
        <w:t> </w:t>
      </w:r>
      <w:r>
        <w:rPr>
          <w:spacing w:val="-2"/>
        </w:rPr>
        <w:t>GENERALITAT</w:t>
      </w:r>
    </w:p>
    <w:p>
      <w:pPr>
        <w:pStyle w:val="ListParagraph"/>
        <w:numPr>
          <w:ilvl w:val="0"/>
          <w:numId w:val="4"/>
        </w:numPr>
        <w:tabs>
          <w:tab w:pos="995" w:val="left" w:leader="none"/>
        </w:tabs>
        <w:spacing w:line="240" w:lineRule="auto" w:before="49" w:after="0"/>
        <w:ind w:left="215" w:right="218" w:firstLine="474"/>
        <w:jc w:val="both"/>
        <w:rPr>
          <w:sz w:val="20"/>
        </w:rPr>
      </w:pPr>
      <w:r>
        <w:rPr>
          <w:sz w:val="20"/>
        </w:rPr>
        <w:t>Las competencias de la Generalitat en materia de políticas de prestación social, servicios sociales, dependencia, personas con discapacidad, familias, infancia y adolescencia, adopciones, juventud, mujer, personas migrantes y voluntariado social. Principales normas reguladoras: aspectos generales.</w:t>
      </w:r>
    </w:p>
    <w:p>
      <w:pPr>
        <w:pStyle w:val="ListParagraph"/>
        <w:numPr>
          <w:ilvl w:val="0"/>
          <w:numId w:val="4"/>
        </w:numPr>
        <w:tabs>
          <w:tab w:pos="1040" w:val="left" w:leader="none"/>
        </w:tabs>
        <w:spacing w:line="240" w:lineRule="auto" w:before="99" w:after="0"/>
        <w:ind w:left="215" w:right="217" w:firstLine="474"/>
        <w:jc w:val="both"/>
        <w:rPr>
          <w:sz w:val="20"/>
        </w:rPr>
      </w:pPr>
      <w:r>
        <w:rPr>
          <w:sz w:val="20"/>
        </w:rPr>
        <w:t>Las competencias de la Generalitat en materia de Régimen Local, Justicia, Interior, Espectáculos, Protección Civil, Emergencias y Administración Pública. Principales normas reguladoras: aspectos generales.</w:t>
      </w:r>
    </w:p>
    <w:p>
      <w:pPr>
        <w:pStyle w:val="ListParagraph"/>
        <w:numPr>
          <w:ilvl w:val="0"/>
          <w:numId w:val="4"/>
        </w:numPr>
        <w:tabs>
          <w:tab w:pos="1033" w:val="left" w:leader="none"/>
        </w:tabs>
        <w:spacing w:line="240" w:lineRule="auto" w:before="99" w:after="0"/>
        <w:ind w:left="215" w:right="218" w:firstLine="474"/>
        <w:jc w:val="both"/>
        <w:rPr>
          <w:sz w:val="20"/>
        </w:rPr>
      </w:pPr>
      <w:r>
        <w:rPr>
          <w:sz w:val="20"/>
        </w:rPr>
        <w:t>Las competencias de la Generalitat en materia de educación, formación profesional reglada, política lingüística, universidades, ciencia, I+D+i. Principales normas reguladoras: aspectos </w:t>
      </w:r>
      <w:r>
        <w:rPr>
          <w:spacing w:val="-2"/>
          <w:sz w:val="20"/>
        </w:rPr>
        <w:t>generales.</w:t>
      </w:r>
    </w:p>
    <w:p>
      <w:pPr>
        <w:pStyle w:val="ListParagraph"/>
        <w:numPr>
          <w:ilvl w:val="0"/>
          <w:numId w:val="4"/>
        </w:numPr>
        <w:tabs>
          <w:tab w:pos="1035" w:val="left" w:leader="none"/>
        </w:tabs>
        <w:spacing w:line="240" w:lineRule="auto" w:before="98" w:after="0"/>
        <w:ind w:left="215" w:right="222" w:firstLine="474"/>
        <w:jc w:val="both"/>
        <w:rPr>
          <w:sz w:val="20"/>
        </w:rPr>
      </w:pPr>
      <w:r>
        <w:rPr>
          <w:sz w:val="20"/>
        </w:rPr>
        <w:t>Las competencias de la Generalitat en materia de sanidad, salud pública, farmacia. Principales normas reguladoras: aspectos generales.</w:t>
      </w:r>
    </w:p>
    <w:p>
      <w:pPr>
        <w:pStyle w:val="ListParagraph"/>
        <w:numPr>
          <w:ilvl w:val="0"/>
          <w:numId w:val="4"/>
        </w:numPr>
        <w:tabs>
          <w:tab w:pos="996" w:val="left" w:leader="none"/>
        </w:tabs>
        <w:spacing w:line="240" w:lineRule="auto" w:before="98" w:after="0"/>
        <w:ind w:left="215" w:right="225" w:firstLine="474"/>
        <w:jc w:val="both"/>
        <w:rPr>
          <w:sz w:val="20"/>
        </w:rPr>
      </w:pPr>
      <w:r>
        <w:rPr>
          <w:sz w:val="20"/>
        </w:rPr>
        <w:t>Las competencias de la Generalitat en materia de economía social, fomento del empleo, formación profesional ocupacional y continua, intermediación en el mercado laboral. Principales normas reguladoras: aspectos generales.</w:t>
      </w:r>
    </w:p>
    <w:p>
      <w:pPr>
        <w:pStyle w:val="ListParagraph"/>
        <w:numPr>
          <w:ilvl w:val="0"/>
          <w:numId w:val="4"/>
        </w:numPr>
        <w:tabs>
          <w:tab w:pos="1081" w:val="left" w:leader="none"/>
        </w:tabs>
        <w:spacing w:line="240" w:lineRule="auto" w:before="98" w:after="0"/>
        <w:ind w:left="215" w:right="222" w:firstLine="474"/>
        <w:jc w:val="both"/>
        <w:rPr>
          <w:sz w:val="20"/>
        </w:rPr>
      </w:pPr>
      <w:r>
        <w:rPr>
          <w:sz w:val="20"/>
        </w:rPr>
        <w:t>Las competencias de la Generalitat en materia de industria, energía, sectores productivos, comercio interior y exterior, turismo, ferias sectoriales y actividades promocionales, artesanía y consumo. Principales normas reguladoras: aspectos generales.</w:t>
      </w:r>
    </w:p>
    <w:p>
      <w:pPr>
        <w:pStyle w:val="ListParagraph"/>
        <w:numPr>
          <w:ilvl w:val="0"/>
          <w:numId w:val="4"/>
        </w:numPr>
        <w:tabs>
          <w:tab w:pos="1064" w:val="left" w:leader="none"/>
        </w:tabs>
        <w:spacing w:line="240" w:lineRule="auto" w:before="99" w:after="0"/>
        <w:ind w:left="215" w:right="216" w:firstLine="474"/>
        <w:jc w:val="both"/>
        <w:rPr>
          <w:sz w:val="20"/>
        </w:rPr>
      </w:pPr>
      <w:r>
        <w:rPr>
          <w:sz w:val="20"/>
        </w:rPr>
        <w:t>Las competencias de la Generalitat en materia de agricultura, ganadería, pesca, alimentación, desarrollo rural, política agraria común. Principales normas reguladoras: aspectos </w:t>
      </w:r>
      <w:r>
        <w:rPr>
          <w:spacing w:val="-2"/>
          <w:sz w:val="20"/>
        </w:rPr>
        <w:t>generales.</w:t>
      </w:r>
    </w:p>
    <w:p>
      <w:pPr>
        <w:pStyle w:val="ListParagraph"/>
        <w:numPr>
          <w:ilvl w:val="0"/>
          <w:numId w:val="4"/>
        </w:numPr>
        <w:tabs>
          <w:tab w:pos="1020" w:val="left" w:leader="none"/>
        </w:tabs>
        <w:spacing w:line="240" w:lineRule="auto" w:before="98" w:after="0"/>
        <w:ind w:left="215" w:right="219" w:firstLine="474"/>
        <w:jc w:val="both"/>
        <w:rPr>
          <w:sz w:val="20"/>
        </w:rPr>
      </w:pPr>
      <w:r>
        <w:rPr>
          <w:sz w:val="20"/>
        </w:rPr>
        <w:t>Las competencias de la Generalitat en materia de medio ambiente, montes, recursos hídricos, cambio climático, y prevención de incendios. Principales normas reguladoras: aspectos </w:t>
      </w:r>
      <w:r>
        <w:rPr>
          <w:spacing w:val="-2"/>
          <w:sz w:val="20"/>
        </w:rPr>
        <w:t>generales.</w:t>
      </w:r>
    </w:p>
    <w:p>
      <w:pPr>
        <w:pStyle w:val="ListParagraph"/>
        <w:numPr>
          <w:ilvl w:val="0"/>
          <w:numId w:val="4"/>
        </w:numPr>
        <w:tabs>
          <w:tab w:pos="1003" w:val="left" w:leader="none"/>
        </w:tabs>
        <w:spacing w:line="240" w:lineRule="auto" w:before="98" w:after="0"/>
        <w:ind w:left="215" w:right="220" w:firstLine="474"/>
        <w:jc w:val="both"/>
        <w:rPr>
          <w:sz w:val="20"/>
        </w:rPr>
      </w:pPr>
      <w:r>
        <w:rPr>
          <w:sz w:val="20"/>
        </w:rPr>
        <w:t>Las competencias de la Generalitat en materia de ordenación del territorio y del litoral, urbanismo, obras públicas, vivienda, transportes, puertos, costas y aeropuertos. Principales</w:t>
      </w:r>
      <w:r>
        <w:rPr>
          <w:spacing w:val="40"/>
          <w:sz w:val="20"/>
        </w:rPr>
        <w:t> </w:t>
      </w:r>
      <w:r>
        <w:rPr>
          <w:sz w:val="20"/>
        </w:rPr>
        <w:t>normas reguladoras: aspectos generales.</w:t>
      </w:r>
    </w:p>
    <w:p>
      <w:pPr>
        <w:pStyle w:val="ListParagraph"/>
        <w:numPr>
          <w:ilvl w:val="0"/>
          <w:numId w:val="4"/>
        </w:numPr>
        <w:tabs>
          <w:tab w:pos="1042" w:val="left" w:leader="none"/>
        </w:tabs>
        <w:spacing w:line="240" w:lineRule="auto" w:before="99" w:after="0"/>
        <w:ind w:left="215" w:right="223" w:firstLine="474"/>
        <w:jc w:val="both"/>
        <w:rPr>
          <w:sz w:val="20"/>
        </w:rPr>
      </w:pPr>
      <w:r>
        <w:rPr>
          <w:sz w:val="20"/>
        </w:rPr>
        <w:t>Las competencias de la Generalitat en materia de cultura. El patrimonio histórico. Normativa aplicable en la Comunitat Valenciana en materia de patrimonio cultural valenciano, archivos, bibliotecas y deporte. Principales normas reguladoras: aspectos generales.</w:t>
      </w:r>
    </w:p>
    <w:p>
      <w:pPr>
        <w:pStyle w:val="Heading1"/>
        <w:numPr>
          <w:ilvl w:val="0"/>
          <w:numId w:val="3"/>
        </w:numPr>
        <w:tabs>
          <w:tab w:pos="523" w:val="left" w:leader="none"/>
        </w:tabs>
        <w:spacing w:line="240" w:lineRule="auto" w:before="194" w:after="0"/>
        <w:ind w:left="523" w:right="0" w:hanging="308"/>
        <w:jc w:val="left"/>
      </w:pPr>
      <w:r>
        <w:rPr/>
        <w:t>GESTIÓN</w:t>
      </w:r>
      <w:r>
        <w:rPr>
          <w:spacing w:val="-7"/>
        </w:rPr>
        <w:t> </w:t>
      </w:r>
      <w:r>
        <w:rPr>
          <w:spacing w:val="-2"/>
        </w:rPr>
        <w:t>ADMINISTRATIVA</w:t>
      </w:r>
    </w:p>
    <w:p>
      <w:pPr>
        <w:pStyle w:val="ListParagraph"/>
        <w:numPr>
          <w:ilvl w:val="0"/>
          <w:numId w:val="4"/>
        </w:numPr>
        <w:tabs>
          <w:tab w:pos="1055" w:val="left" w:leader="none"/>
        </w:tabs>
        <w:spacing w:line="240" w:lineRule="auto" w:before="49" w:after="0"/>
        <w:ind w:left="215" w:right="218" w:firstLine="474"/>
        <w:jc w:val="both"/>
        <w:rPr>
          <w:sz w:val="20"/>
        </w:rPr>
      </w:pPr>
      <w:r>
        <w:rPr>
          <w:sz w:val="20"/>
        </w:rPr>
        <w:t>Gobierno abierto: principios. Grupos de interés. La participación ciudadana en la Administración Valenciana. La Gobernanza como paradigma de gestión pública. El libro blanco de</w:t>
      </w:r>
      <w:r>
        <w:rPr>
          <w:spacing w:val="40"/>
          <w:sz w:val="20"/>
        </w:rPr>
        <w:t> </w:t>
      </w:r>
      <w:r>
        <w:rPr>
          <w:sz w:val="20"/>
        </w:rPr>
        <w:t>la UE y los cinco principios de la buena gobernanza. El derecho a la buena administración en la normativa europea, estatal y autonómica. La Agenda 2030 y los Objetivos de Desarrollo Sostenible de Naciones Unidas.</w:t>
      </w:r>
    </w:p>
    <w:p>
      <w:pPr>
        <w:pStyle w:val="ListParagraph"/>
        <w:numPr>
          <w:ilvl w:val="0"/>
          <w:numId w:val="4"/>
        </w:numPr>
        <w:tabs>
          <w:tab w:pos="1018" w:val="left" w:leader="none"/>
        </w:tabs>
        <w:spacing w:line="240" w:lineRule="auto" w:before="101" w:after="0"/>
        <w:ind w:left="215" w:right="222" w:firstLine="474"/>
        <w:jc w:val="both"/>
        <w:rPr>
          <w:sz w:val="20"/>
        </w:rPr>
      </w:pPr>
      <w:r>
        <w:rPr>
          <w:sz w:val="20"/>
        </w:rPr>
        <w:t>Las Cartas de Servicios. El sistema de quejas y sugerencias de la Generalitat. Decreto 41/2016, de 15 de abril, del Consell. Gestión de la calidad y mejora continua de los servicios públicos. La gestión de la calidad en la Administración valenciana: Normativa, Metodología.</w:t>
      </w:r>
    </w:p>
    <w:p>
      <w:pPr>
        <w:pStyle w:val="ListParagraph"/>
        <w:spacing w:after="0" w:line="240" w:lineRule="auto"/>
        <w:jc w:val="both"/>
        <w:rPr>
          <w:sz w:val="20"/>
        </w:rPr>
        <w:sectPr>
          <w:pgSz w:w="11900" w:h="16840"/>
          <w:pgMar w:header="474" w:footer="397" w:top="2000" w:bottom="580" w:left="1700" w:right="1700"/>
        </w:sectPr>
      </w:pPr>
    </w:p>
    <w:p>
      <w:pPr>
        <w:pStyle w:val="BodyText"/>
        <w:spacing w:before="0"/>
        <w:ind w:left="0" w:firstLine="0"/>
        <w:jc w:val="left"/>
      </w:pPr>
    </w:p>
    <w:p>
      <w:pPr>
        <w:pStyle w:val="BodyText"/>
        <w:spacing w:before="200"/>
        <w:ind w:left="0" w:firstLine="0"/>
        <w:jc w:val="left"/>
      </w:pPr>
    </w:p>
    <w:p>
      <w:pPr>
        <w:pStyle w:val="ListParagraph"/>
        <w:numPr>
          <w:ilvl w:val="0"/>
          <w:numId w:val="4"/>
        </w:numPr>
        <w:tabs>
          <w:tab w:pos="1036" w:val="left" w:leader="none"/>
        </w:tabs>
        <w:spacing w:line="240" w:lineRule="auto" w:before="0" w:after="0"/>
        <w:ind w:left="215" w:right="221" w:firstLine="474"/>
        <w:jc w:val="both"/>
        <w:rPr>
          <w:sz w:val="20"/>
        </w:rPr>
      </w:pPr>
      <w:r>
        <w:rPr>
          <w:sz w:val="20"/>
        </w:rPr>
        <w:t>La planificación estratégica. Utilidad y marco normativo estatal y autonómico de la planificación. Ámbito objetivo, subjetivo y temporal de la planificación. Fases de la planificación. Fase 1: Análisis de situación. Fase 2: planificación operativa y elaboración de proyectos. Fase 3: seguimiento y evaluación de los planes de actuación. Estructura del plan y del informe de </w:t>
      </w:r>
      <w:r>
        <w:rPr>
          <w:spacing w:val="-2"/>
          <w:sz w:val="20"/>
        </w:rPr>
        <w:t>evaluación.</w:t>
      </w:r>
    </w:p>
    <w:p>
      <w:pPr>
        <w:pStyle w:val="ListParagraph"/>
        <w:numPr>
          <w:ilvl w:val="0"/>
          <w:numId w:val="4"/>
        </w:numPr>
        <w:tabs>
          <w:tab w:pos="1026" w:val="left" w:leader="none"/>
        </w:tabs>
        <w:spacing w:line="240" w:lineRule="auto" w:before="101" w:after="0"/>
        <w:ind w:left="215" w:right="219" w:firstLine="474"/>
        <w:jc w:val="both"/>
        <w:rPr>
          <w:sz w:val="20"/>
        </w:rPr>
      </w:pPr>
      <w:r>
        <w:rPr>
          <w:sz w:val="20"/>
        </w:rPr>
        <w:t>La protección de las personas que informen sobre irregularidades: marco europeo y estatal. La protección en la ley valenciana de función pública. El sistema interno de información de la Generalitat.</w:t>
      </w:r>
    </w:p>
    <w:p>
      <w:pPr>
        <w:pStyle w:val="ListParagraph"/>
        <w:numPr>
          <w:ilvl w:val="0"/>
          <w:numId w:val="4"/>
        </w:numPr>
        <w:tabs>
          <w:tab w:pos="989" w:val="left" w:leader="none"/>
        </w:tabs>
        <w:spacing w:line="240" w:lineRule="auto" w:before="98" w:after="0"/>
        <w:ind w:left="215" w:right="219" w:firstLine="474"/>
        <w:jc w:val="both"/>
        <w:rPr>
          <w:sz w:val="20"/>
        </w:rPr>
      </w:pPr>
      <w:r>
        <w:rPr>
          <w:sz w:val="20"/>
        </w:rPr>
        <w:t>La Ley</w:t>
      </w:r>
      <w:r>
        <w:rPr>
          <w:spacing w:val="-1"/>
          <w:sz w:val="20"/>
        </w:rPr>
        <w:t> </w:t>
      </w:r>
      <w:r>
        <w:rPr>
          <w:sz w:val="20"/>
        </w:rPr>
        <w:t>orgánica 2/2012, de 27 abril, de Estabilidad</w:t>
      </w:r>
      <w:r>
        <w:rPr>
          <w:spacing w:val="-1"/>
          <w:sz w:val="20"/>
        </w:rPr>
        <w:t> </w:t>
      </w:r>
      <w:r>
        <w:rPr>
          <w:sz w:val="20"/>
        </w:rPr>
        <w:t>Presupuestaria: ámbito</w:t>
      </w:r>
      <w:r>
        <w:rPr>
          <w:spacing w:val="-1"/>
          <w:sz w:val="20"/>
        </w:rPr>
        <w:t> </w:t>
      </w:r>
      <w:r>
        <w:rPr>
          <w:sz w:val="20"/>
        </w:rPr>
        <w:t>de aplicación</w:t>
      </w:r>
      <w:r>
        <w:rPr>
          <w:spacing w:val="-1"/>
          <w:sz w:val="20"/>
        </w:rPr>
        <w:t> </w:t>
      </w:r>
      <w:r>
        <w:rPr>
          <w:sz w:val="20"/>
        </w:rPr>
        <w:t>y de la Hacienda Pública de la Generalitat. Estabilidad presupuestaria y sostenibilidad financiera. Regla de gasto. Medidas preventivas, correctivas y coercitivas. Normativa sobre periodo medio de pago a proveedores. Instrumentación del principio de transparencia. Gestión presupuestaria.</w:t>
      </w:r>
    </w:p>
    <w:p>
      <w:pPr>
        <w:pStyle w:val="ListParagraph"/>
        <w:numPr>
          <w:ilvl w:val="0"/>
          <w:numId w:val="4"/>
        </w:numPr>
        <w:tabs>
          <w:tab w:pos="1032" w:val="left" w:leader="none"/>
        </w:tabs>
        <w:spacing w:line="240" w:lineRule="auto" w:before="100" w:after="0"/>
        <w:ind w:left="215" w:right="217" w:firstLine="474"/>
        <w:jc w:val="both"/>
        <w:rPr>
          <w:sz w:val="20"/>
        </w:rPr>
      </w:pPr>
      <w:r>
        <w:rPr>
          <w:sz w:val="20"/>
        </w:rPr>
        <w:t>La Tesorería de la Generalitat. Concepto. Funciones. Gestión de la Tesorería. Deuda Pública y Régimen de avales. Presupuestación y contabilización.</w:t>
      </w:r>
    </w:p>
    <w:p>
      <w:pPr>
        <w:pStyle w:val="ListParagraph"/>
        <w:numPr>
          <w:ilvl w:val="0"/>
          <w:numId w:val="4"/>
        </w:numPr>
        <w:tabs>
          <w:tab w:pos="1011" w:val="left" w:leader="none"/>
        </w:tabs>
        <w:spacing w:line="240" w:lineRule="auto" w:before="97" w:after="0"/>
        <w:ind w:left="215" w:right="225" w:firstLine="474"/>
        <w:jc w:val="both"/>
        <w:rPr>
          <w:sz w:val="20"/>
        </w:rPr>
      </w:pPr>
      <w:r>
        <w:rPr>
          <w:sz w:val="20"/>
        </w:rPr>
        <w:t>La Cuenta General. Operaciones de ejecución y fases. Ley 1/2015, de 6 de febrero, de hacienda pública, del sector público instrumental y de subvenciones: Título VII. Contabilidad del sector público de la Generalitat. Título VIII. Responsabilidades.</w:t>
      </w:r>
    </w:p>
    <w:p>
      <w:pPr>
        <w:pStyle w:val="ListParagraph"/>
        <w:numPr>
          <w:ilvl w:val="0"/>
          <w:numId w:val="4"/>
        </w:numPr>
        <w:tabs>
          <w:tab w:pos="1033" w:val="left" w:leader="none"/>
        </w:tabs>
        <w:spacing w:line="240" w:lineRule="auto" w:before="99" w:after="0"/>
        <w:ind w:left="215" w:right="217" w:firstLine="474"/>
        <w:jc w:val="both"/>
        <w:rPr>
          <w:sz w:val="20"/>
        </w:rPr>
      </w:pPr>
      <w:r>
        <w:rPr>
          <w:sz w:val="20"/>
        </w:rPr>
        <w:t>Tasas y precios públicos en la Generalitat. Ley de tasas de la Generalitat: Objeto y normativa</w:t>
      </w:r>
      <w:r>
        <w:rPr>
          <w:spacing w:val="-1"/>
          <w:sz w:val="20"/>
        </w:rPr>
        <w:t> </w:t>
      </w:r>
      <w:r>
        <w:rPr>
          <w:sz w:val="20"/>
        </w:rPr>
        <w:t>aplicable,</w:t>
      </w:r>
      <w:r>
        <w:rPr>
          <w:spacing w:val="-1"/>
          <w:sz w:val="20"/>
        </w:rPr>
        <w:t> </w:t>
      </w:r>
      <w:r>
        <w:rPr>
          <w:sz w:val="20"/>
        </w:rPr>
        <w:t>concepto,</w:t>
      </w:r>
      <w:r>
        <w:rPr>
          <w:spacing w:val="-1"/>
          <w:sz w:val="20"/>
        </w:rPr>
        <w:t> </w:t>
      </w:r>
      <w:r>
        <w:rPr>
          <w:sz w:val="20"/>
        </w:rPr>
        <w:t>principios</w:t>
      </w:r>
      <w:r>
        <w:rPr>
          <w:spacing w:val="-1"/>
          <w:sz w:val="20"/>
        </w:rPr>
        <w:t> </w:t>
      </w:r>
      <w:r>
        <w:rPr>
          <w:sz w:val="20"/>
        </w:rPr>
        <w:t>y</w:t>
      </w:r>
      <w:r>
        <w:rPr>
          <w:spacing w:val="-1"/>
          <w:sz w:val="20"/>
        </w:rPr>
        <w:t> </w:t>
      </w:r>
      <w:r>
        <w:rPr>
          <w:sz w:val="20"/>
        </w:rPr>
        <w:t>elementos</w:t>
      </w:r>
      <w:r>
        <w:rPr>
          <w:spacing w:val="-1"/>
          <w:sz w:val="20"/>
        </w:rPr>
        <w:t> </w:t>
      </w:r>
      <w:r>
        <w:rPr>
          <w:sz w:val="20"/>
        </w:rPr>
        <w:t>esenciales</w:t>
      </w:r>
      <w:r>
        <w:rPr>
          <w:spacing w:val="-1"/>
          <w:sz w:val="20"/>
        </w:rPr>
        <w:t> </w:t>
      </w:r>
      <w:r>
        <w:rPr>
          <w:sz w:val="20"/>
        </w:rPr>
        <w:t>de</w:t>
      </w:r>
      <w:r>
        <w:rPr>
          <w:spacing w:val="-1"/>
          <w:sz w:val="20"/>
        </w:rPr>
        <w:t> </w:t>
      </w:r>
      <w:r>
        <w:rPr>
          <w:sz w:val="20"/>
        </w:rPr>
        <w:t>la</w:t>
      </w:r>
      <w:r>
        <w:rPr>
          <w:spacing w:val="-1"/>
          <w:sz w:val="20"/>
        </w:rPr>
        <w:t> </w:t>
      </w:r>
      <w:r>
        <w:rPr>
          <w:sz w:val="20"/>
        </w:rPr>
        <w:t>tasa.</w:t>
      </w:r>
      <w:r>
        <w:rPr>
          <w:spacing w:val="-1"/>
          <w:sz w:val="20"/>
        </w:rPr>
        <w:t> </w:t>
      </w:r>
      <w:r>
        <w:rPr>
          <w:sz w:val="20"/>
        </w:rPr>
        <w:t>Aplicación</w:t>
      </w:r>
      <w:r>
        <w:rPr>
          <w:spacing w:val="-1"/>
          <w:sz w:val="20"/>
        </w:rPr>
        <w:t> </w:t>
      </w:r>
      <w:r>
        <w:rPr>
          <w:sz w:val="20"/>
        </w:rPr>
        <w:t>de</w:t>
      </w:r>
      <w:r>
        <w:rPr>
          <w:spacing w:val="-1"/>
          <w:sz w:val="20"/>
        </w:rPr>
        <w:t> </w:t>
      </w:r>
      <w:r>
        <w:rPr>
          <w:sz w:val="20"/>
        </w:rPr>
        <w:t>las</w:t>
      </w:r>
      <w:r>
        <w:rPr>
          <w:spacing w:val="-1"/>
          <w:sz w:val="20"/>
        </w:rPr>
        <w:t> </w:t>
      </w:r>
      <w:r>
        <w:rPr>
          <w:sz w:val="20"/>
        </w:rPr>
        <w:t>tasas. Potestad sancionadora en materia de tasas. Decreto 103/2014, de 4 de julio, del Consell, por el</w:t>
      </w:r>
      <w:r>
        <w:rPr>
          <w:spacing w:val="80"/>
          <w:sz w:val="20"/>
        </w:rPr>
        <w:t> </w:t>
      </w:r>
      <w:r>
        <w:rPr>
          <w:sz w:val="20"/>
        </w:rPr>
        <w:t>que se regulan los precios públicos de la Generalitat.</w:t>
      </w:r>
    </w:p>
    <w:p>
      <w:pPr>
        <w:pStyle w:val="BodyText"/>
        <w:spacing w:before="101"/>
        <w:ind w:left="0" w:firstLine="0"/>
        <w:jc w:val="left"/>
      </w:pPr>
    </w:p>
    <w:p>
      <w:pPr>
        <w:spacing w:before="0"/>
        <w:ind w:left="794" w:right="0" w:firstLine="0"/>
        <w:jc w:val="left"/>
        <w:rPr>
          <w:i/>
          <w:sz w:val="20"/>
        </w:rPr>
      </w:pPr>
      <w:r>
        <w:rPr>
          <w:i/>
          <w:sz w:val="20"/>
        </w:rPr>
        <w:t>Proceso</w:t>
      </w:r>
      <w:r>
        <w:rPr>
          <w:i/>
          <w:spacing w:val="-6"/>
          <w:sz w:val="20"/>
        </w:rPr>
        <w:t> </w:t>
      </w:r>
      <w:r>
        <w:rPr>
          <w:i/>
          <w:sz w:val="20"/>
        </w:rPr>
        <w:t>selectivo</w:t>
      </w:r>
      <w:r>
        <w:rPr>
          <w:i/>
          <w:spacing w:val="-6"/>
          <w:sz w:val="20"/>
        </w:rPr>
        <w:t> </w:t>
      </w:r>
      <w:r>
        <w:rPr>
          <w:i/>
          <w:sz w:val="20"/>
        </w:rPr>
        <w:t>2:</w:t>
      </w:r>
      <w:r>
        <w:rPr>
          <w:i/>
          <w:spacing w:val="-6"/>
          <w:sz w:val="20"/>
        </w:rPr>
        <w:t> </w:t>
      </w:r>
      <w:r>
        <w:rPr>
          <w:i/>
          <w:sz w:val="20"/>
        </w:rPr>
        <w:t>A1-01.</w:t>
      </w:r>
      <w:r>
        <w:rPr>
          <w:i/>
          <w:spacing w:val="-5"/>
          <w:sz w:val="20"/>
        </w:rPr>
        <w:t> </w:t>
      </w:r>
      <w:r>
        <w:rPr>
          <w:i/>
          <w:sz w:val="20"/>
        </w:rPr>
        <w:t>Superior</w:t>
      </w:r>
      <w:r>
        <w:rPr>
          <w:i/>
          <w:spacing w:val="-6"/>
          <w:sz w:val="20"/>
        </w:rPr>
        <w:t> </w:t>
      </w:r>
      <w:r>
        <w:rPr>
          <w:i/>
          <w:sz w:val="20"/>
        </w:rPr>
        <w:t>de</w:t>
      </w:r>
      <w:r>
        <w:rPr>
          <w:i/>
          <w:spacing w:val="-6"/>
          <w:sz w:val="20"/>
        </w:rPr>
        <w:t> </w:t>
      </w:r>
      <w:r>
        <w:rPr>
          <w:i/>
          <w:sz w:val="20"/>
        </w:rPr>
        <w:t>administración.</w:t>
      </w:r>
      <w:r>
        <w:rPr>
          <w:i/>
          <w:spacing w:val="-5"/>
          <w:sz w:val="20"/>
        </w:rPr>
        <w:t> </w:t>
      </w:r>
      <w:r>
        <w:rPr>
          <w:i/>
          <w:sz w:val="20"/>
        </w:rPr>
        <w:t>Especialidad</w:t>
      </w:r>
      <w:r>
        <w:rPr>
          <w:i/>
          <w:spacing w:val="-5"/>
          <w:sz w:val="20"/>
        </w:rPr>
        <w:t> </w:t>
      </w:r>
      <w:r>
        <w:rPr>
          <w:i/>
          <w:sz w:val="20"/>
        </w:rPr>
        <w:t>ciencias</w:t>
      </w:r>
      <w:r>
        <w:rPr>
          <w:i/>
          <w:spacing w:val="-6"/>
          <w:sz w:val="20"/>
        </w:rPr>
        <w:t> </w:t>
      </w:r>
      <w:r>
        <w:rPr>
          <w:i/>
          <w:spacing w:val="-2"/>
          <w:sz w:val="20"/>
        </w:rPr>
        <w:t>jurídicas</w:t>
      </w:r>
    </w:p>
    <w:p>
      <w:pPr>
        <w:pStyle w:val="BodyText"/>
        <w:spacing w:before="2"/>
        <w:ind w:left="0" w:firstLine="0"/>
        <w:jc w:val="left"/>
        <w:rPr>
          <w:i/>
        </w:rPr>
      </w:pPr>
    </w:p>
    <w:p>
      <w:pPr>
        <w:pStyle w:val="Heading1"/>
        <w:ind w:left="215" w:firstLine="0"/>
      </w:pPr>
      <w:r>
        <w:rPr/>
        <w:t>I.</w:t>
      </w:r>
      <w:r>
        <w:rPr>
          <w:spacing w:val="-5"/>
        </w:rPr>
        <w:t> </w:t>
      </w:r>
      <w:r>
        <w:rPr/>
        <w:t>DERECHO</w:t>
      </w:r>
      <w:r>
        <w:rPr>
          <w:spacing w:val="-3"/>
        </w:rPr>
        <w:t> </w:t>
      </w:r>
      <w:r>
        <w:rPr>
          <w:spacing w:val="-2"/>
        </w:rPr>
        <w:t>ADMINISTRATIVO</w:t>
      </w:r>
    </w:p>
    <w:p>
      <w:pPr>
        <w:pStyle w:val="ListParagraph"/>
        <w:numPr>
          <w:ilvl w:val="0"/>
          <w:numId w:val="5"/>
        </w:numPr>
        <w:tabs>
          <w:tab w:pos="902" w:val="left" w:leader="none"/>
        </w:tabs>
        <w:spacing w:line="240" w:lineRule="auto" w:before="2" w:after="0"/>
        <w:ind w:left="215" w:right="220" w:firstLine="474"/>
        <w:jc w:val="both"/>
        <w:rPr>
          <w:sz w:val="20"/>
        </w:rPr>
      </w:pPr>
      <w:r>
        <w:rPr>
          <w:sz w:val="20"/>
        </w:rPr>
        <w:t>Las fuentes del derecho administrativo (I): concepto de fuentes del derecho. Las normas jurídicas: aplicación y eficacia general. El derecho de la Unión Europea. Los tratados internacionales. La primacía del Derecho europeo respecto de la Constitución y sus consecuencias para el sistema de fuentes. La Constitución. La ley: sus clases. Los principios de legalidad, reserva</w:t>
      </w:r>
      <w:r>
        <w:rPr>
          <w:spacing w:val="40"/>
          <w:sz w:val="20"/>
        </w:rPr>
        <w:t> </w:t>
      </w:r>
      <w:r>
        <w:rPr>
          <w:sz w:val="20"/>
        </w:rPr>
        <w:t>de ley, de jerarquía normativa y de competencia. Los estatutos de autonomía. Las leyes de las comunidades autónomas. Referencia a la costumbre y principios generales del derecho.</w:t>
      </w:r>
    </w:p>
    <w:p>
      <w:pPr>
        <w:pStyle w:val="ListParagraph"/>
        <w:numPr>
          <w:ilvl w:val="0"/>
          <w:numId w:val="5"/>
        </w:numPr>
        <w:tabs>
          <w:tab w:pos="904" w:val="left" w:leader="none"/>
        </w:tabs>
        <w:spacing w:line="240" w:lineRule="auto" w:before="102" w:after="0"/>
        <w:ind w:left="215" w:right="222" w:firstLine="474"/>
        <w:jc w:val="both"/>
        <w:rPr>
          <w:sz w:val="20"/>
        </w:rPr>
      </w:pPr>
      <w:r>
        <w:rPr>
          <w:sz w:val="20"/>
        </w:rPr>
        <w:t>Las fuentes del derecho administrativo (II): el reglamento: concepto, clases y naturaleza. Fundamento y límites de la potestad reglamentaria. La inderogabilidad singular de las</w:t>
      </w:r>
      <w:r>
        <w:rPr>
          <w:spacing w:val="40"/>
          <w:sz w:val="20"/>
        </w:rPr>
        <w:t> </w:t>
      </w:r>
      <w:r>
        <w:rPr>
          <w:sz w:val="20"/>
        </w:rPr>
        <w:t>disposiciones generales. El control de la potestad reglamentaria.</w:t>
      </w:r>
    </w:p>
    <w:p>
      <w:pPr>
        <w:pStyle w:val="ListParagraph"/>
        <w:numPr>
          <w:ilvl w:val="0"/>
          <w:numId w:val="5"/>
        </w:numPr>
        <w:tabs>
          <w:tab w:pos="945" w:val="left" w:leader="none"/>
        </w:tabs>
        <w:spacing w:line="240" w:lineRule="auto" w:before="98" w:after="0"/>
        <w:ind w:left="215" w:right="220" w:firstLine="474"/>
        <w:jc w:val="both"/>
        <w:rPr>
          <w:sz w:val="20"/>
        </w:rPr>
      </w:pPr>
      <w:r>
        <w:rPr>
          <w:sz w:val="20"/>
        </w:rPr>
        <w:t>La Administración pública como persona jurídica. Las potestades administrativas. La actividad discrecional: sus límites y control. Las relaciones entre la administración y los tribunales de justicia. Conflictos de jurisdicción entre los tribunales de justicia y la Administración.</w:t>
      </w:r>
    </w:p>
    <w:p>
      <w:pPr>
        <w:pStyle w:val="ListParagraph"/>
        <w:numPr>
          <w:ilvl w:val="0"/>
          <w:numId w:val="5"/>
        </w:numPr>
        <w:tabs>
          <w:tab w:pos="939" w:val="left" w:leader="none"/>
        </w:tabs>
        <w:spacing w:line="240" w:lineRule="auto" w:before="99" w:after="0"/>
        <w:ind w:left="215" w:right="217" w:firstLine="474"/>
        <w:jc w:val="both"/>
        <w:rPr>
          <w:sz w:val="20"/>
        </w:rPr>
      </w:pPr>
      <w:r>
        <w:rPr>
          <w:sz w:val="20"/>
        </w:rPr>
        <w:t>Los actos jurídicos de la Administración: públicos y privados. El acto administrativo: concepto y elementos. Clasificación de los actos administrativos. Especial referencia a los actos de trámite y que ponen fin a la vía administrativa.</w:t>
      </w:r>
    </w:p>
    <w:p>
      <w:pPr>
        <w:pStyle w:val="ListParagraph"/>
        <w:numPr>
          <w:ilvl w:val="0"/>
          <w:numId w:val="5"/>
        </w:numPr>
        <w:tabs>
          <w:tab w:pos="935" w:val="left" w:leader="none"/>
        </w:tabs>
        <w:spacing w:line="240" w:lineRule="auto" w:before="98" w:after="0"/>
        <w:ind w:left="215" w:right="226" w:firstLine="474"/>
        <w:jc w:val="both"/>
        <w:rPr>
          <w:sz w:val="20"/>
        </w:rPr>
      </w:pPr>
      <w:r>
        <w:rPr>
          <w:sz w:val="20"/>
        </w:rPr>
        <w:t>La eficacia temporal de las normas. Su entrada en vigor y el fin de su vigencia. La derogación tácita. El Derecho transitorio. El principio de irretroactividad y los derechos adquiridos.</w:t>
      </w:r>
    </w:p>
    <w:p>
      <w:pPr>
        <w:pStyle w:val="ListParagraph"/>
        <w:numPr>
          <w:ilvl w:val="0"/>
          <w:numId w:val="5"/>
        </w:numPr>
        <w:tabs>
          <w:tab w:pos="894" w:val="left" w:leader="none"/>
        </w:tabs>
        <w:spacing w:line="240" w:lineRule="auto" w:before="98" w:after="0"/>
        <w:ind w:left="215" w:right="219" w:firstLine="474"/>
        <w:jc w:val="both"/>
        <w:rPr>
          <w:sz w:val="20"/>
        </w:rPr>
      </w:pPr>
      <w:r>
        <w:rPr>
          <w:sz w:val="20"/>
        </w:rPr>
        <w:t>La iniciativa legislativa y la potestad para dictar reglamentos y otras disposiciones. Forma, estructura y procedimiento de elaboración de los proyectos normativos de la Generalitat Las exigencias de calidad normativa y programación. Medidas frente a la hiperregulación.</w:t>
      </w:r>
    </w:p>
    <w:sectPr>
      <w:pgSz w:w="11900" w:h="16840"/>
      <w:pgMar w:header="474" w:footer="397" w:top="2000" w:bottom="5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pPr>
    <w:r>
      <w:rPr/>
      <mc:AlternateContent>
        <mc:Choice Requires="wps">
          <w:drawing>
            <wp:anchor distT="0" distB="0" distL="0" distR="0" allowOverlap="1" layoutInCell="1" locked="0" behindDoc="1" simplePos="0" relativeHeight="487491072">
              <wp:simplePos x="0" y="0"/>
              <wp:positionH relativeFrom="page">
                <wp:posOffset>612012</wp:posOffset>
              </wp:positionH>
              <wp:positionV relativeFrom="page">
                <wp:posOffset>10268331</wp:posOffset>
              </wp:positionV>
              <wp:extent cx="633285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32855" cy="1270"/>
                      </a:xfrm>
                      <a:custGeom>
                        <a:avLst/>
                        <a:gdLst/>
                        <a:ahLst/>
                        <a:cxnLst/>
                        <a:rect l="l" t="t" r="r" b="b"/>
                        <a:pathLst>
                          <a:path w="6332855" h="0">
                            <a:moveTo>
                              <a:pt x="0" y="0"/>
                            </a:moveTo>
                            <a:lnTo>
                              <a:pt x="2110867" y="0"/>
                            </a:lnTo>
                          </a:path>
                          <a:path w="6332855" h="0">
                            <a:moveTo>
                              <a:pt x="2110867" y="0"/>
                            </a:moveTo>
                            <a:lnTo>
                              <a:pt x="4221607" y="0"/>
                            </a:lnTo>
                          </a:path>
                          <a:path w="6332855" h="0">
                            <a:moveTo>
                              <a:pt x="4221607" y="0"/>
                            </a:moveTo>
                            <a:lnTo>
                              <a:pt x="633247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9999pt;margin-top:808.530029pt;width:498.65pt;height:.1pt;mso-position-horizontal-relative:page;mso-position-vertical-relative:page;z-index:-15825408" id="docshape4" coordorigin="964,16171" coordsize="9973,0" path="m964,16171l4288,16171m4288,16171l7612,16171m7612,16171l10936,16171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491584">
              <wp:simplePos x="0" y="0"/>
              <wp:positionH relativeFrom="page">
                <wp:posOffset>599312</wp:posOffset>
              </wp:positionH>
              <wp:positionV relativeFrom="page">
                <wp:posOffset>10274017</wp:posOffset>
              </wp:positionV>
              <wp:extent cx="1644014" cy="1803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44014" cy="180340"/>
                      </a:xfrm>
                      <a:prstGeom prst="rect">
                        <a:avLst/>
                      </a:prstGeom>
                    </wps:spPr>
                    <wps:txbx>
                      <w:txbxContent>
                        <w:p>
                          <w:pPr>
                            <w:spacing w:before="10"/>
                            <w:ind w:left="20" w:right="0" w:firstLine="0"/>
                            <w:jc w:val="left"/>
                            <w:rPr>
                              <w:rFonts w:ascii="Times New Roman"/>
                              <w:sz w:val="22"/>
                            </w:rPr>
                          </w:pPr>
                          <w:r>
                            <w:rPr>
                              <w:rFonts w:ascii="Times New Roman"/>
                              <w:sz w:val="22"/>
                            </w:rPr>
                            <w:t>CVE: DOGV-C-2026-</w:t>
                          </w:r>
                          <w:r>
                            <w:rPr>
                              <w:rFonts w:ascii="Times New Roman"/>
                              <w:spacing w:val="-2"/>
                              <w:sz w:val="22"/>
                            </w:rPr>
                            <w:t>23238</w:t>
                          </w:r>
                        </w:p>
                      </w:txbxContent>
                    </wps:txbx>
                    <wps:bodyPr wrap="square" lIns="0" tIns="0" rIns="0" bIns="0" rtlCol="0">
                      <a:noAutofit/>
                    </wps:bodyPr>
                  </wps:wsp>
                </a:graphicData>
              </a:graphic>
            </wp:anchor>
          </w:drawing>
        </mc:Choice>
        <mc:Fallback>
          <w:pict>
            <v:shape style="position:absolute;margin-left:47.189999pt;margin-top:808.977783pt;width:129.4500pt;height:14.2pt;mso-position-horizontal-relative:page;mso-position-vertical-relative:page;z-index:-15824896" type="#_x0000_t202" id="docshape5" filled="false" stroked="false">
              <v:textbox inset="0,0,0,0">
                <w:txbxContent>
                  <w:p>
                    <w:pPr>
                      <w:spacing w:before="10"/>
                      <w:ind w:left="20" w:right="0" w:firstLine="0"/>
                      <w:jc w:val="left"/>
                      <w:rPr>
                        <w:rFonts w:ascii="Times New Roman"/>
                        <w:sz w:val="22"/>
                      </w:rPr>
                    </w:pPr>
                    <w:r>
                      <w:rPr>
                        <w:rFonts w:ascii="Times New Roman"/>
                        <w:sz w:val="22"/>
                      </w:rPr>
                      <w:t>CVE: DOGV-C-2026-</w:t>
                    </w:r>
                    <w:r>
                      <w:rPr>
                        <w:rFonts w:ascii="Times New Roman"/>
                        <w:spacing w:val="-2"/>
                        <w:sz w:val="22"/>
                      </w:rPr>
                      <w:t>23238</w:t>
                    </w:r>
                  </w:p>
                </w:txbxContent>
              </v:textbox>
              <w10:wrap type="none"/>
            </v:shape>
          </w:pict>
        </mc:Fallback>
      </mc:AlternateContent>
    </w:r>
    <w:r>
      <w:rPr/>
      <mc:AlternateContent>
        <mc:Choice Requires="wps">
          <w:drawing>
            <wp:anchor distT="0" distB="0" distL="0" distR="0" allowOverlap="1" layoutInCell="1" locked="0" behindDoc="1" simplePos="0" relativeHeight="487492096">
              <wp:simplePos x="0" y="0"/>
              <wp:positionH relativeFrom="page">
                <wp:posOffset>3218942</wp:posOffset>
              </wp:positionH>
              <wp:positionV relativeFrom="page">
                <wp:posOffset>10274017</wp:posOffset>
              </wp:positionV>
              <wp:extent cx="1120140" cy="1803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20140" cy="180340"/>
                      </a:xfrm>
                      <a:prstGeom prst="rect">
                        <a:avLst/>
                      </a:prstGeom>
                    </wps:spPr>
                    <wps:txbx>
                      <w:txbxContent>
                        <w:p>
                          <w:pPr>
                            <w:spacing w:before="10"/>
                            <w:ind w:left="20" w:right="0" w:firstLine="0"/>
                            <w:jc w:val="left"/>
                            <w:rPr>
                              <w:rFonts w:ascii="Times New Roman"/>
                              <w:sz w:val="22"/>
                            </w:rPr>
                          </w:pPr>
                          <w:hyperlink r:id="rId1">
                            <w:r>
                              <w:rPr>
                                <w:rFonts w:ascii="Times New Roman"/>
                                <w:spacing w:val="-2"/>
                                <w:sz w:val="22"/>
                              </w:rPr>
                              <w:t>https://dogv.gva.es/</w:t>
                            </w:r>
                          </w:hyperlink>
                        </w:p>
                      </w:txbxContent>
                    </wps:txbx>
                    <wps:bodyPr wrap="square" lIns="0" tIns="0" rIns="0" bIns="0" rtlCol="0">
                      <a:noAutofit/>
                    </wps:bodyPr>
                  </wps:wsp>
                </a:graphicData>
              </a:graphic>
            </wp:anchor>
          </w:drawing>
        </mc:Choice>
        <mc:Fallback>
          <w:pict>
            <v:shape style="position:absolute;margin-left:253.460007pt;margin-top:808.977783pt;width:88.2pt;height:14.2pt;mso-position-horizontal-relative:page;mso-position-vertical-relative:page;z-index:-15824384" type="#_x0000_t202" id="docshape6" filled="false" stroked="false">
              <v:textbox inset="0,0,0,0">
                <w:txbxContent>
                  <w:p>
                    <w:pPr>
                      <w:spacing w:before="10"/>
                      <w:ind w:left="20" w:right="0" w:firstLine="0"/>
                      <w:jc w:val="left"/>
                      <w:rPr>
                        <w:rFonts w:ascii="Times New Roman"/>
                        <w:sz w:val="22"/>
                      </w:rPr>
                    </w:pPr>
                    <w:hyperlink r:id="rId1">
                      <w:r>
                        <w:rPr>
                          <w:rFonts w:ascii="Times New Roman"/>
                          <w:spacing w:val="-2"/>
                          <w:sz w:val="22"/>
                        </w:rPr>
                        <w:t>https://dogv.gva.es/</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pPr>
    <w:r>
      <w:rPr/>
      <w:drawing>
        <wp:anchor distT="0" distB="0" distL="0" distR="0" allowOverlap="1" layoutInCell="1" locked="0" behindDoc="1" simplePos="0" relativeHeight="487489024">
          <wp:simplePos x="0" y="0"/>
          <wp:positionH relativeFrom="page">
            <wp:posOffset>3023167</wp:posOffset>
          </wp:positionH>
          <wp:positionV relativeFrom="page">
            <wp:posOffset>300966</wp:posOffset>
          </wp:positionV>
          <wp:extent cx="1569587" cy="5473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69587" cy="547390"/>
                  </a:xfrm>
                  <a:prstGeom prst="rect">
                    <a:avLst/>
                  </a:prstGeom>
                </pic:spPr>
              </pic:pic>
            </a:graphicData>
          </a:graphic>
        </wp:anchor>
      </w:drawing>
    </w:r>
    <w:r>
      <w:rPr/>
      <mc:AlternateContent>
        <mc:Choice Requires="wps">
          <w:drawing>
            <wp:anchor distT="0" distB="0" distL="0" distR="0" allowOverlap="1" layoutInCell="1" locked="0" behindDoc="1" simplePos="0" relativeHeight="487489536">
              <wp:simplePos x="0" y="0"/>
              <wp:positionH relativeFrom="page">
                <wp:posOffset>612012</wp:posOffset>
              </wp:positionH>
              <wp:positionV relativeFrom="page">
                <wp:posOffset>884682</wp:posOffset>
              </wp:positionV>
              <wp:extent cx="633285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332855" cy="1270"/>
                      </a:xfrm>
                      <a:custGeom>
                        <a:avLst/>
                        <a:gdLst/>
                        <a:ahLst/>
                        <a:cxnLst/>
                        <a:rect l="l" t="t" r="r" b="b"/>
                        <a:pathLst>
                          <a:path w="6332855" h="0">
                            <a:moveTo>
                              <a:pt x="3967734" y="0"/>
                            </a:moveTo>
                            <a:lnTo>
                              <a:pt x="2364740" y="0"/>
                            </a:lnTo>
                          </a:path>
                          <a:path w="6332855" h="0">
                            <a:moveTo>
                              <a:pt x="2364740" y="0"/>
                            </a:moveTo>
                            <a:lnTo>
                              <a:pt x="0" y="0"/>
                            </a:lnTo>
                          </a:path>
                          <a:path w="6332855" h="0">
                            <a:moveTo>
                              <a:pt x="6332473" y="0"/>
                            </a:moveTo>
                            <a:lnTo>
                              <a:pt x="396773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9999pt;margin-top:69.660004pt;width:498.65pt;height:.1pt;mso-position-horizontal-relative:page;mso-position-vertical-relative:page;z-index:-15826944" id="docshape1" coordorigin="964,1393" coordsize="9973,0" path="m7212,1393l4688,1393m4688,1393l964,1393m10936,1393l7212,1393e" filled="false" stroked="true" strokeweight=".7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490048">
              <wp:simplePos x="0" y="0"/>
              <wp:positionH relativeFrom="page">
                <wp:posOffset>599312</wp:posOffset>
              </wp:positionH>
              <wp:positionV relativeFrom="page">
                <wp:posOffset>696693</wp:posOffset>
              </wp:positionV>
              <wp:extent cx="1461770" cy="1803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61770" cy="180340"/>
                      </a:xfrm>
                      <a:prstGeom prst="rect">
                        <a:avLst/>
                      </a:prstGeom>
                    </wps:spPr>
                    <wps:txbx>
                      <w:txbxContent>
                        <w:p>
                          <w:pPr>
                            <w:spacing w:before="10"/>
                            <w:ind w:left="20" w:right="0" w:firstLine="0"/>
                            <w:jc w:val="left"/>
                            <w:rPr>
                              <w:rFonts w:ascii="Times New Roman" w:hAnsi="Times New Roman"/>
                              <w:sz w:val="22"/>
                            </w:rPr>
                          </w:pPr>
                          <w:r>
                            <w:rPr>
                              <w:rFonts w:ascii="Times New Roman" w:hAnsi="Times New Roman"/>
                              <w:sz w:val="22"/>
                            </w:rPr>
                            <w:t>Núm. 10400 / </w:t>
                          </w:r>
                          <w:r>
                            <w:rPr>
                              <w:rFonts w:ascii="Times New Roman" w:hAnsi="Times New Roman"/>
                              <w:spacing w:val="-2"/>
                              <w:sz w:val="22"/>
                            </w:rPr>
                            <w:t>08.07.2026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189999pt;margin-top:54.857754pt;width:115.1pt;height:14.2pt;mso-position-horizontal-relative:page;mso-position-vertical-relative:page;z-index:-15826432" type="#_x0000_t202" id="docshape2" filled="false" stroked="false">
              <v:textbox inset="0,0,0,0">
                <w:txbxContent>
                  <w:p>
                    <w:pPr>
                      <w:spacing w:before="10"/>
                      <w:ind w:left="20" w:right="0" w:firstLine="0"/>
                      <w:jc w:val="left"/>
                      <w:rPr>
                        <w:rFonts w:ascii="Times New Roman" w:hAnsi="Times New Roman"/>
                        <w:sz w:val="22"/>
                      </w:rPr>
                    </w:pPr>
                    <w:r>
                      <w:rPr>
                        <w:rFonts w:ascii="Times New Roman" w:hAnsi="Times New Roman"/>
                        <w:sz w:val="22"/>
                      </w:rPr>
                      <w:t>Núm. 10400 / </w:t>
                    </w:r>
                    <w:r>
                      <w:rPr>
                        <w:rFonts w:ascii="Times New Roman" w:hAnsi="Times New Roman"/>
                        <w:spacing w:val="-2"/>
                        <w:sz w:val="22"/>
                      </w:rPr>
                      <w:t>08.07.2026</w:t>
                    </w:r>
                  </w:p>
                </w:txbxContent>
              </v:textbox>
              <w10:wrap type="none"/>
            </v:shape>
          </w:pict>
        </mc:Fallback>
      </mc:AlternateContent>
    </w:r>
    <w:r>
      <w:rPr/>
      <mc:AlternateContent>
        <mc:Choice Requires="wps">
          <w:drawing>
            <wp:anchor distT="0" distB="0" distL="0" distR="0" allowOverlap="1" layoutInCell="1" locked="0" behindDoc="1" simplePos="0" relativeHeight="487490560">
              <wp:simplePos x="0" y="0"/>
              <wp:positionH relativeFrom="page">
                <wp:posOffset>6518402</wp:posOffset>
              </wp:positionH>
              <wp:positionV relativeFrom="page">
                <wp:posOffset>696693</wp:posOffset>
              </wp:positionV>
              <wp:extent cx="439420" cy="1803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9420" cy="180340"/>
                      </a:xfrm>
                      <a:prstGeom prst="rect">
                        <a:avLst/>
                      </a:prstGeom>
                    </wps:spPr>
                    <wps:txbx>
                      <w:txbxContent>
                        <w:p>
                          <w:pPr>
                            <w:spacing w:before="10"/>
                            <w:ind w:left="60" w:right="0" w:firstLine="0"/>
                            <w:jc w:val="left"/>
                            <w:rPr>
                              <w:rFonts w:ascii="Times New Roman"/>
                              <w:sz w:val="22"/>
                            </w:rPr>
                          </w:pPr>
                          <w:r>
                            <w:rPr>
                              <w:rFonts w:ascii="Times New Roman"/>
                              <w:sz w:val="22"/>
                            </w:rPr>
                            <w:fldChar w:fldCharType="begin"/>
                          </w:r>
                          <w:r>
                            <w:rPr>
                              <w:rFonts w:ascii="Times New Roman"/>
                              <w:sz w:val="22"/>
                            </w:rPr>
                            <w:instrText> PAGE </w:instrText>
                          </w:r>
                          <w:r>
                            <w:rPr>
                              <w:rFonts w:ascii="Times New Roman"/>
                              <w:sz w:val="22"/>
                            </w:rPr>
                            <w:fldChar w:fldCharType="separate"/>
                          </w:r>
                          <w:r>
                            <w:rPr>
                              <w:rFonts w:ascii="Times New Roman"/>
                              <w:sz w:val="22"/>
                            </w:rPr>
                            <w:t>15</w:t>
                          </w:r>
                          <w:r>
                            <w:rPr>
                              <w:rFonts w:ascii="Times New Roman"/>
                              <w:sz w:val="22"/>
                            </w:rPr>
                            <w:fldChar w:fldCharType="end"/>
                          </w:r>
                          <w:r>
                            <w:rPr>
                              <w:rFonts w:ascii="Times New Roman"/>
                              <w:sz w:val="22"/>
                            </w:rPr>
                            <w:t> / </w:t>
                          </w:r>
                          <w:r>
                            <w:rPr>
                              <w:rFonts w:ascii="Times New Roman"/>
                              <w:spacing w:val="-5"/>
                              <w:sz w:val="22"/>
                            </w:rPr>
                            <w:t>32</w:t>
                          </w:r>
                        </w:p>
                      </w:txbxContent>
                    </wps:txbx>
                    <wps:bodyPr wrap="square" lIns="0" tIns="0" rIns="0" bIns="0" rtlCol="0">
                      <a:noAutofit/>
                    </wps:bodyPr>
                  </wps:wsp>
                </a:graphicData>
              </a:graphic>
            </wp:anchor>
          </w:drawing>
        </mc:Choice>
        <mc:Fallback>
          <w:pict>
            <v:shape style="position:absolute;margin-left:513.26001pt;margin-top:54.857754pt;width:34.6pt;height:14.2pt;mso-position-horizontal-relative:page;mso-position-vertical-relative:page;z-index:-15825920" type="#_x0000_t202" id="docshape3" filled="false" stroked="false">
              <v:textbox inset="0,0,0,0">
                <w:txbxContent>
                  <w:p>
                    <w:pPr>
                      <w:spacing w:before="10"/>
                      <w:ind w:left="60" w:right="0" w:firstLine="0"/>
                      <w:jc w:val="left"/>
                      <w:rPr>
                        <w:rFonts w:ascii="Times New Roman"/>
                        <w:sz w:val="22"/>
                      </w:rPr>
                    </w:pPr>
                    <w:r>
                      <w:rPr>
                        <w:rFonts w:ascii="Times New Roman"/>
                        <w:sz w:val="22"/>
                      </w:rPr>
                      <w:fldChar w:fldCharType="begin"/>
                    </w:r>
                    <w:r>
                      <w:rPr>
                        <w:rFonts w:ascii="Times New Roman"/>
                        <w:sz w:val="22"/>
                      </w:rPr>
                      <w:instrText> PAGE </w:instrText>
                    </w:r>
                    <w:r>
                      <w:rPr>
                        <w:rFonts w:ascii="Times New Roman"/>
                        <w:sz w:val="22"/>
                      </w:rPr>
                      <w:fldChar w:fldCharType="separate"/>
                    </w:r>
                    <w:r>
                      <w:rPr>
                        <w:rFonts w:ascii="Times New Roman"/>
                        <w:sz w:val="22"/>
                      </w:rPr>
                      <w:t>15</w:t>
                    </w:r>
                    <w:r>
                      <w:rPr>
                        <w:rFonts w:ascii="Times New Roman"/>
                        <w:sz w:val="22"/>
                      </w:rPr>
                      <w:fldChar w:fldCharType="end"/>
                    </w:r>
                    <w:r>
                      <w:rPr>
                        <w:rFonts w:ascii="Times New Roman"/>
                        <w:sz w:val="22"/>
                      </w:rPr>
                      <w:t> / </w:t>
                    </w:r>
                    <w:r>
                      <w:rPr>
                        <w:rFonts w:ascii="Times New Roman"/>
                        <w:spacing w:val="-5"/>
                        <w:sz w:val="22"/>
                      </w:rPr>
                      <w:t>32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215" w:hanging="215"/>
        <w:jc w:val="left"/>
      </w:pPr>
      <w:rPr>
        <w:rFonts w:hint="default" w:ascii="Calibri" w:hAnsi="Calibri" w:eastAsia="Calibri" w:cs="Calibri"/>
        <w:b w:val="0"/>
        <w:bCs w:val="0"/>
        <w:i w:val="0"/>
        <w:iCs w:val="0"/>
        <w:spacing w:val="-1"/>
        <w:w w:val="100"/>
        <w:sz w:val="20"/>
        <w:szCs w:val="20"/>
        <w:lang w:val="es-ES" w:eastAsia="en-US" w:bidi="ar-SA"/>
      </w:rPr>
    </w:lvl>
    <w:lvl w:ilvl="1">
      <w:start w:val="0"/>
      <w:numFmt w:val="bullet"/>
      <w:lvlText w:val="•"/>
      <w:lvlJc w:val="left"/>
      <w:pPr>
        <w:ind w:left="1048" w:hanging="215"/>
      </w:pPr>
      <w:rPr>
        <w:rFonts w:hint="default"/>
        <w:lang w:val="es-ES" w:eastAsia="en-US" w:bidi="ar-SA"/>
      </w:rPr>
    </w:lvl>
    <w:lvl w:ilvl="2">
      <w:start w:val="0"/>
      <w:numFmt w:val="bullet"/>
      <w:lvlText w:val="•"/>
      <w:lvlJc w:val="left"/>
      <w:pPr>
        <w:ind w:left="1876" w:hanging="215"/>
      </w:pPr>
      <w:rPr>
        <w:rFonts w:hint="default"/>
        <w:lang w:val="es-ES" w:eastAsia="en-US" w:bidi="ar-SA"/>
      </w:rPr>
    </w:lvl>
    <w:lvl w:ilvl="3">
      <w:start w:val="0"/>
      <w:numFmt w:val="bullet"/>
      <w:lvlText w:val="•"/>
      <w:lvlJc w:val="left"/>
      <w:pPr>
        <w:ind w:left="2704" w:hanging="215"/>
      </w:pPr>
      <w:rPr>
        <w:rFonts w:hint="default"/>
        <w:lang w:val="es-ES" w:eastAsia="en-US" w:bidi="ar-SA"/>
      </w:rPr>
    </w:lvl>
    <w:lvl w:ilvl="4">
      <w:start w:val="0"/>
      <w:numFmt w:val="bullet"/>
      <w:lvlText w:val="•"/>
      <w:lvlJc w:val="left"/>
      <w:pPr>
        <w:ind w:left="3532" w:hanging="215"/>
      </w:pPr>
      <w:rPr>
        <w:rFonts w:hint="default"/>
        <w:lang w:val="es-ES" w:eastAsia="en-US" w:bidi="ar-SA"/>
      </w:rPr>
    </w:lvl>
    <w:lvl w:ilvl="5">
      <w:start w:val="0"/>
      <w:numFmt w:val="bullet"/>
      <w:lvlText w:val="•"/>
      <w:lvlJc w:val="left"/>
      <w:pPr>
        <w:ind w:left="4360" w:hanging="215"/>
      </w:pPr>
      <w:rPr>
        <w:rFonts w:hint="default"/>
        <w:lang w:val="es-ES" w:eastAsia="en-US" w:bidi="ar-SA"/>
      </w:rPr>
    </w:lvl>
    <w:lvl w:ilvl="6">
      <w:start w:val="0"/>
      <w:numFmt w:val="bullet"/>
      <w:lvlText w:val="•"/>
      <w:lvlJc w:val="left"/>
      <w:pPr>
        <w:ind w:left="5188" w:hanging="215"/>
      </w:pPr>
      <w:rPr>
        <w:rFonts w:hint="default"/>
        <w:lang w:val="es-ES" w:eastAsia="en-US" w:bidi="ar-SA"/>
      </w:rPr>
    </w:lvl>
    <w:lvl w:ilvl="7">
      <w:start w:val="0"/>
      <w:numFmt w:val="bullet"/>
      <w:lvlText w:val="•"/>
      <w:lvlJc w:val="left"/>
      <w:pPr>
        <w:ind w:left="6016" w:hanging="215"/>
      </w:pPr>
      <w:rPr>
        <w:rFonts w:hint="default"/>
        <w:lang w:val="es-ES" w:eastAsia="en-US" w:bidi="ar-SA"/>
      </w:rPr>
    </w:lvl>
    <w:lvl w:ilvl="8">
      <w:start w:val="0"/>
      <w:numFmt w:val="bullet"/>
      <w:lvlText w:val="•"/>
      <w:lvlJc w:val="left"/>
      <w:pPr>
        <w:ind w:left="6844" w:hanging="215"/>
      </w:pPr>
      <w:rPr>
        <w:rFonts w:hint="default"/>
        <w:lang w:val="es-ES" w:eastAsia="en-US" w:bidi="ar-SA"/>
      </w:rPr>
    </w:lvl>
  </w:abstractNum>
  <w:abstractNum w:abstractNumId="3">
    <w:multiLevelType w:val="hybridMultilevel"/>
    <w:lvl w:ilvl="0">
      <w:start w:val="26"/>
      <w:numFmt w:val="decimal"/>
      <w:lvlText w:val="%1."/>
      <w:lvlJc w:val="left"/>
      <w:pPr>
        <w:ind w:left="215" w:hanging="300"/>
        <w:jc w:val="left"/>
      </w:pPr>
      <w:rPr>
        <w:rFonts w:hint="default" w:ascii="Calibri" w:hAnsi="Calibri" w:eastAsia="Calibri" w:cs="Calibri"/>
        <w:b w:val="0"/>
        <w:bCs w:val="0"/>
        <w:i w:val="0"/>
        <w:iCs w:val="0"/>
        <w:spacing w:val="-1"/>
        <w:w w:val="100"/>
        <w:sz w:val="20"/>
        <w:szCs w:val="20"/>
        <w:lang w:val="es-ES" w:eastAsia="en-US" w:bidi="ar-SA"/>
      </w:rPr>
    </w:lvl>
    <w:lvl w:ilvl="1">
      <w:start w:val="0"/>
      <w:numFmt w:val="bullet"/>
      <w:lvlText w:val="•"/>
      <w:lvlJc w:val="left"/>
      <w:pPr>
        <w:ind w:left="1048" w:hanging="300"/>
      </w:pPr>
      <w:rPr>
        <w:rFonts w:hint="default"/>
        <w:lang w:val="es-ES" w:eastAsia="en-US" w:bidi="ar-SA"/>
      </w:rPr>
    </w:lvl>
    <w:lvl w:ilvl="2">
      <w:start w:val="0"/>
      <w:numFmt w:val="bullet"/>
      <w:lvlText w:val="•"/>
      <w:lvlJc w:val="left"/>
      <w:pPr>
        <w:ind w:left="1876" w:hanging="300"/>
      </w:pPr>
      <w:rPr>
        <w:rFonts w:hint="default"/>
        <w:lang w:val="es-ES" w:eastAsia="en-US" w:bidi="ar-SA"/>
      </w:rPr>
    </w:lvl>
    <w:lvl w:ilvl="3">
      <w:start w:val="0"/>
      <w:numFmt w:val="bullet"/>
      <w:lvlText w:val="•"/>
      <w:lvlJc w:val="left"/>
      <w:pPr>
        <w:ind w:left="2704" w:hanging="300"/>
      </w:pPr>
      <w:rPr>
        <w:rFonts w:hint="default"/>
        <w:lang w:val="es-ES" w:eastAsia="en-US" w:bidi="ar-SA"/>
      </w:rPr>
    </w:lvl>
    <w:lvl w:ilvl="4">
      <w:start w:val="0"/>
      <w:numFmt w:val="bullet"/>
      <w:lvlText w:val="•"/>
      <w:lvlJc w:val="left"/>
      <w:pPr>
        <w:ind w:left="3532" w:hanging="300"/>
      </w:pPr>
      <w:rPr>
        <w:rFonts w:hint="default"/>
        <w:lang w:val="es-ES" w:eastAsia="en-US" w:bidi="ar-SA"/>
      </w:rPr>
    </w:lvl>
    <w:lvl w:ilvl="5">
      <w:start w:val="0"/>
      <w:numFmt w:val="bullet"/>
      <w:lvlText w:val="•"/>
      <w:lvlJc w:val="left"/>
      <w:pPr>
        <w:ind w:left="4360" w:hanging="300"/>
      </w:pPr>
      <w:rPr>
        <w:rFonts w:hint="default"/>
        <w:lang w:val="es-ES" w:eastAsia="en-US" w:bidi="ar-SA"/>
      </w:rPr>
    </w:lvl>
    <w:lvl w:ilvl="6">
      <w:start w:val="0"/>
      <w:numFmt w:val="bullet"/>
      <w:lvlText w:val="•"/>
      <w:lvlJc w:val="left"/>
      <w:pPr>
        <w:ind w:left="5188" w:hanging="300"/>
      </w:pPr>
      <w:rPr>
        <w:rFonts w:hint="default"/>
        <w:lang w:val="es-ES" w:eastAsia="en-US" w:bidi="ar-SA"/>
      </w:rPr>
    </w:lvl>
    <w:lvl w:ilvl="7">
      <w:start w:val="0"/>
      <w:numFmt w:val="bullet"/>
      <w:lvlText w:val="•"/>
      <w:lvlJc w:val="left"/>
      <w:pPr>
        <w:ind w:left="6016" w:hanging="300"/>
      </w:pPr>
      <w:rPr>
        <w:rFonts w:hint="default"/>
        <w:lang w:val="es-ES" w:eastAsia="en-US" w:bidi="ar-SA"/>
      </w:rPr>
    </w:lvl>
    <w:lvl w:ilvl="8">
      <w:start w:val="0"/>
      <w:numFmt w:val="bullet"/>
      <w:lvlText w:val="•"/>
      <w:lvlJc w:val="left"/>
      <w:pPr>
        <w:ind w:left="6844" w:hanging="300"/>
      </w:pPr>
      <w:rPr>
        <w:rFonts w:hint="default"/>
        <w:lang w:val="es-ES" w:eastAsia="en-US" w:bidi="ar-SA"/>
      </w:rPr>
    </w:lvl>
  </w:abstractNum>
  <w:abstractNum w:abstractNumId="2">
    <w:multiLevelType w:val="hybridMultilevel"/>
    <w:lvl w:ilvl="0">
      <w:start w:val="1"/>
      <w:numFmt w:val="upperRoman"/>
      <w:lvlText w:val="%1."/>
      <w:lvlJc w:val="left"/>
      <w:pPr>
        <w:ind w:left="361" w:hanging="147"/>
        <w:jc w:val="left"/>
      </w:pPr>
      <w:rPr>
        <w:rFonts w:hint="default" w:ascii="Calibri" w:hAnsi="Calibri" w:eastAsia="Calibri" w:cs="Calibri"/>
        <w:b w:val="0"/>
        <w:bCs w:val="0"/>
        <w:i w:val="0"/>
        <w:iCs w:val="0"/>
        <w:spacing w:val="-1"/>
        <w:w w:val="100"/>
        <w:sz w:val="20"/>
        <w:szCs w:val="20"/>
        <w:lang w:val="es-ES" w:eastAsia="en-US" w:bidi="ar-SA"/>
      </w:rPr>
    </w:lvl>
    <w:lvl w:ilvl="1">
      <w:start w:val="1"/>
      <w:numFmt w:val="decimal"/>
      <w:lvlText w:val="%2."/>
      <w:lvlJc w:val="left"/>
      <w:pPr>
        <w:ind w:left="215" w:hanging="215"/>
        <w:jc w:val="left"/>
      </w:pPr>
      <w:rPr>
        <w:rFonts w:hint="default" w:ascii="Calibri" w:hAnsi="Calibri" w:eastAsia="Calibri" w:cs="Calibri"/>
        <w:b w:val="0"/>
        <w:bCs w:val="0"/>
        <w:i w:val="0"/>
        <w:iCs w:val="0"/>
        <w:spacing w:val="-1"/>
        <w:w w:val="100"/>
        <w:sz w:val="20"/>
        <w:szCs w:val="20"/>
        <w:lang w:val="es-ES" w:eastAsia="en-US" w:bidi="ar-SA"/>
      </w:rPr>
    </w:lvl>
    <w:lvl w:ilvl="2">
      <w:start w:val="0"/>
      <w:numFmt w:val="bullet"/>
      <w:lvlText w:val="•"/>
      <w:lvlJc w:val="left"/>
      <w:pPr>
        <w:ind w:left="1264" w:hanging="215"/>
      </w:pPr>
      <w:rPr>
        <w:rFonts w:hint="default"/>
        <w:lang w:val="es-ES" w:eastAsia="en-US" w:bidi="ar-SA"/>
      </w:rPr>
    </w:lvl>
    <w:lvl w:ilvl="3">
      <w:start w:val="0"/>
      <w:numFmt w:val="bullet"/>
      <w:lvlText w:val="•"/>
      <w:lvlJc w:val="left"/>
      <w:pPr>
        <w:ind w:left="2168" w:hanging="215"/>
      </w:pPr>
      <w:rPr>
        <w:rFonts w:hint="default"/>
        <w:lang w:val="es-ES" w:eastAsia="en-US" w:bidi="ar-SA"/>
      </w:rPr>
    </w:lvl>
    <w:lvl w:ilvl="4">
      <w:start w:val="0"/>
      <w:numFmt w:val="bullet"/>
      <w:lvlText w:val="•"/>
      <w:lvlJc w:val="left"/>
      <w:pPr>
        <w:ind w:left="3073" w:hanging="215"/>
      </w:pPr>
      <w:rPr>
        <w:rFonts w:hint="default"/>
        <w:lang w:val="es-ES" w:eastAsia="en-US" w:bidi="ar-SA"/>
      </w:rPr>
    </w:lvl>
    <w:lvl w:ilvl="5">
      <w:start w:val="0"/>
      <w:numFmt w:val="bullet"/>
      <w:lvlText w:val="•"/>
      <w:lvlJc w:val="left"/>
      <w:pPr>
        <w:ind w:left="3977" w:hanging="215"/>
      </w:pPr>
      <w:rPr>
        <w:rFonts w:hint="default"/>
        <w:lang w:val="es-ES" w:eastAsia="en-US" w:bidi="ar-SA"/>
      </w:rPr>
    </w:lvl>
    <w:lvl w:ilvl="6">
      <w:start w:val="0"/>
      <w:numFmt w:val="bullet"/>
      <w:lvlText w:val="•"/>
      <w:lvlJc w:val="left"/>
      <w:pPr>
        <w:ind w:left="4882" w:hanging="215"/>
      </w:pPr>
      <w:rPr>
        <w:rFonts w:hint="default"/>
        <w:lang w:val="es-ES" w:eastAsia="en-US" w:bidi="ar-SA"/>
      </w:rPr>
    </w:lvl>
    <w:lvl w:ilvl="7">
      <w:start w:val="0"/>
      <w:numFmt w:val="bullet"/>
      <w:lvlText w:val="•"/>
      <w:lvlJc w:val="left"/>
      <w:pPr>
        <w:ind w:left="5786" w:hanging="215"/>
      </w:pPr>
      <w:rPr>
        <w:rFonts w:hint="default"/>
        <w:lang w:val="es-ES" w:eastAsia="en-US" w:bidi="ar-SA"/>
      </w:rPr>
    </w:lvl>
    <w:lvl w:ilvl="8">
      <w:start w:val="0"/>
      <w:numFmt w:val="bullet"/>
      <w:lvlText w:val="•"/>
      <w:lvlJc w:val="left"/>
      <w:pPr>
        <w:ind w:left="6691" w:hanging="215"/>
      </w:pPr>
      <w:rPr>
        <w:rFonts w:hint="default"/>
        <w:lang w:val="es-ES" w:eastAsia="en-US" w:bidi="ar-SA"/>
      </w:rPr>
    </w:lvl>
  </w:abstractNum>
  <w:abstractNum w:abstractNumId="1">
    <w:multiLevelType w:val="hybridMultilevel"/>
    <w:lvl w:ilvl="0">
      <w:start w:val="6"/>
      <w:numFmt w:val="decimal"/>
      <w:lvlText w:val="%1."/>
      <w:lvlJc w:val="left"/>
      <w:pPr>
        <w:ind w:left="215" w:hanging="225"/>
        <w:jc w:val="left"/>
      </w:pPr>
      <w:rPr>
        <w:rFonts w:hint="default" w:ascii="Calibri" w:hAnsi="Calibri" w:eastAsia="Calibri" w:cs="Calibri"/>
        <w:b w:val="0"/>
        <w:bCs w:val="0"/>
        <w:i w:val="0"/>
        <w:iCs w:val="0"/>
        <w:spacing w:val="-1"/>
        <w:w w:val="100"/>
        <w:sz w:val="20"/>
        <w:szCs w:val="20"/>
        <w:lang w:val="es-ES" w:eastAsia="en-US" w:bidi="ar-SA"/>
      </w:rPr>
    </w:lvl>
    <w:lvl w:ilvl="1">
      <w:start w:val="0"/>
      <w:numFmt w:val="bullet"/>
      <w:lvlText w:val="•"/>
      <w:lvlJc w:val="left"/>
      <w:pPr>
        <w:ind w:left="1048" w:hanging="225"/>
      </w:pPr>
      <w:rPr>
        <w:rFonts w:hint="default"/>
        <w:lang w:val="es-ES" w:eastAsia="en-US" w:bidi="ar-SA"/>
      </w:rPr>
    </w:lvl>
    <w:lvl w:ilvl="2">
      <w:start w:val="0"/>
      <w:numFmt w:val="bullet"/>
      <w:lvlText w:val="•"/>
      <w:lvlJc w:val="left"/>
      <w:pPr>
        <w:ind w:left="1876" w:hanging="225"/>
      </w:pPr>
      <w:rPr>
        <w:rFonts w:hint="default"/>
        <w:lang w:val="es-ES" w:eastAsia="en-US" w:bidi="ar-SA"/>
      </w:rPr>
    </w:lvl>
    <w:lvl w:ilvl="3">
      <w:start w:val="0"/>
      <w:numFmt w:val="bullet"/>
      <w:lvlText w:val="•"/>
      <w:lvlJc w:val="left"/>
      <w:pPr>
        <w:ind w:left="2704" w:hanging="225"/>
      </w:pPr>
      <w:rPr>
        <w:rFonts w:hint="default"/>
        <w:lang w:val="es-ES" w:eastAsia="en-US" w:bidi="ar-SA"/>
      </w:rPr>
    </w:lvl>
    <w:lvl w:ilvl="4">
      <w:start w:val="0"/>
      <w:numFmt w:val="bullet"/>
      <w:lvlText w:val="•"/>
      <w:lvlJc w:val="left"/>
      <w:pPr>
        <w:ind w:left="3532" w:hanging="225"/>
      </w:pPr>
      <w:rPr>
        <w:rFonts w:hint="default"/>
        <w:lang w:val="es-ES" w:eastAsia="en-US" w:bidi="ar-SA"/>
      </w:rPr>
    </w:lvl>
    <w:lvl w:ilvl="5">
      <w:start w:val="0"/>
      <w:numFmt w:val="bullet"/>
      <w:lvlText w:val="•"/>
      <w:lvlJc w:val="left"/>
      <w:pPr>
        <w:ind w:left="4360" w:hanging="225"/>
      </w:pPr>
      <w:rPr>
        <w:rFonts w:hint="default"/>
        <w:lang w:val="es-ES" w:eastAsia="en-US" w:bidi="ar-SA"/>
      </w:rPr>
    </w:lvl>
    <w:lvl w:ilvl="6">
      <w:start w:val="0"/>
      <w:numFmt w:val="bullet"/>
      <w:lvlText w:val="•"/>
      <w:lvlJc w:val="left"/>
      <w:pPr>
        <w:ind w:left="5188" w:hanging="225"/>
      </w:pPr>
      <w:rPr>
        <w:rFonts w:hint="default"/>
        <w:lang w:val="es-ES" w:eastAsia="en-US" w:bidi="ar-SA"/>
      </w:rPr>
    </w:lvl>
    <w:lvl w:ilvl="7">
      <w:start w:val="0"/>
      <w:numFmt w:val="bullet"/>
      <w:lvlText w:val="•"/>
      <w:lvlJc w:val="left"/>
      <w:pPr>
        <w:ind w:left="6016" w:hanging="225"/>
      </w:pPr>
      <w:rPr>
        <w:rFonts w:hint="default"/>
        <w:lang w:val="es-ES" w:eastAsia="en-US" w:bidi="ar-SA"/>
      </w:rPr>
    </w:lvl>
    <w:lvl w:ilvl="8">
      <w:start w:val="0"/>
      <w:numFmt w:val="bullet"/>
      <w:lvlText w:val="•"/>
      <w:lvlJc w:val="left"/>
      <w:pPr>
        <w:ind w:left="6844" w:hanging="225"/>
      </w:pPr>
      <w:rPr>
        <w:rFonts w:hint="default"/>
        <w:lang w:val="es-ES" w:eastAsia="en-US" w:bidi="ar-SA"/>
      </w:rPr>
    </w:lvl>
  </w:abstractNum>
  <w:abstractNum w:abstractNumId="0">
    <w:multiLevelType w:val="hybridMultilevel"/>
    <w:lvl w:ilvl="0">
      <w:start w:val="1"/>
      <w:numFmt w:val="upperRoman"/>
      <w:lvlText w:val="%1."/>
      <w:lvlJc w:val="left"/>
      <w:pPr>
        <w:ind w:left="361" w:hanging="147"/>
        <w:jc w:val="left"/>
      </w:pPr>
      <w:rPr>
        <w:rFonts w:hint="default" w:ascii="Calibri" w:hAnsi="Calibri" w:eastAsia="Calibri" w:cs="Calibri"/>
        <w:b w:val="0"/>
        <w:bCs w:val="0"/>
        <w:i w:val="0"/>
        <w:iCs w:val="0"/>
        <w:spacing w:val="-1"/>
        <w:w w:val="100"/>
        <w:sz w:val="20"/>
        <w:szCs w:val="20"/>
        <w:lang w:val="es-ES" w:eastAsia="en-US" w:bidi="ar-SA"/>
      </w:rPr>
    </w:lvl>
    <w:lvl w:ilvl="1">
      <w:start w:val="1"/>
      <w:numFmt w:val="decimal"/>
      <w:lvlText w:val="%2."/>
      <w:lvlJc w:val="left"/>
      <w:pPr>
        <w:ind w:left="215" w:hanging="236"/>
        <w:jc w:val="left"/>
      </w:pPr>
      <w:rPr>
        <w:rFonts w:hint="default" w:ascii="Calibri" w:hAnsi="Calibri" w:eastAsia="Calibri" w:cs="Calibri"/>
        <w:b w:val="0"/>
        <w:bCs w:val="0"/>
        <w:i w:val="0"/>
        <w:iCs w:val="0"/>
        <w:spacing w:val="-1"/>
        <w:w w:val="100"/>
        <w:sz w:val="20"/>
        <w:szCs w:val="20"/>
        <w:lang w:val="es-ES" w:eastAsia="en-US" w:bidi="ar-SA"/>
      </w:rPr>
    </w:lvl>
    <w:lvl w:ilvl="2">
      <w:start w:val="0"/>
      <w:numFmt w:val="bullet"/>
      <w:lvlText w:val="•"/>
      <w:lvlJc w:val="left"/>
      <w:pPr>
        <w:ind w:left="1264" w:hanging="236"/>
      </w:pPr>
      <w:rPr>
        <w:rFonts w:hint="default"/>
        <w:lang w:val="es-ES" w:eastAsia="en-US" w:bidi="ar-SA"/>
      </w:rPr>
    </w:lvl>
    <w:lvl w:ilvl="3">
      <w:start w:val="0"/>
      <w:numFmt w:val="bullet"/>
      <w:lvlText w:val="•"/>
      <w:lvlJc w:val="left"/>
      <w:pPr>
        <w:ind w:left="2168" w:hanging="236"/>
      </w:pPr>
      <w:rPr>
        <w:rFonts w:hint="default"/>
        <w:lang w:val="es-ES" w:eastAsia="en-US" w:bidi="ar-SA"/>
      </w:rPr>
    </w:lvl>
    <w:lvl w:ilvl="4">
      <w:start w:val="0"/>
      <w:numFmt w:val="bullet"/>
      <w:lvlText w:val="•"/>
      <w:lvlJc w:val="left"/>
      <w:pPr>
        <w:ind w:left="3073" w:hanging="236"/>
      </w:pPr>
      <w:rPr>
        <w:rFonts w:hint="default"/>
        <w:lang w:val="es-ES" w:eastAsia="en-US" w:bidi="ar-SA"/>
      </w:rPr>
    </w:lvl>
    <w:lvl w:ilvl="5">
      <w:start w:val="0"/>
      <w:numFmt w:val="bullet"/>
      <w:lvlText w:val="•"/>
      <w:lvlJc w:val="left"/>
      <w:pPr>
        <w:ind w:left="3977" w:hanging="236"/>
      </w:pPr>
      <w:rPr>
        <w:rFonts w:hint="default"/>
        <w:lang w:val="es-ES" w:eastAsia="en-US" w:bidi="ar-SA"/>
      </w:rPr>
    </w:lvl>
    <w:lvl w:ilvl="6">
      <w:start w:val="0"/>
      <w:numFmt w:val="bullet"/>
      <w:lvlText w:val="•"/>
      <w:lvlJc w:val="left"/>
      <w:pPr>
        <w:ind w:left="4882" w:hanging="236"/>
      </w:pPr>
      <w:rPr>
        <w:rFonts w:hint="default"/>
        <w:lang w:val="es-ES" w:eastAsia="en-US" w:bidi="ar-SA"/>
      </w:rPr>
    </w:lvl>
    <w:lvl w:ilvl="7">
      <w:start w:val="0"/>
      <w:numFmt w:val="bullet"/>
      <w:lvlText w:val="•"/>
      <w:lvlJc w:val="left"/>
      <w:pPr>
        <w:ind w:left="5786" w:hanging="236"/>
      </w:pPr>
      <w:rPr>
        <w:rFonts w:hint="default"/>
        <w:lang w:val="es-ES" w:eastAsia="en-US" w:bidi="ar-SA"/>
      </w:rPr>
    </w:lvl>
    <w:lvl w:ilvl="8">
      <w:start w:val="0"/>
      <w:numFmt w:val="bullet"/>
      <w:lvlText w:val="•"/>
      <w:lvlJc w:val="left"/>
      <w:pPr>
        <w:ind w:left="6691" w:hanging="236"/>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spacing w:before="99"/>
      <w:ind w:left="215" w:firstLine="474"/>
      <w:jc w:val="both"/>
    </w:pPr>
    <w:rPr>
      <w:rFonts w:ascii="Calibri" w:hAnsi="Calibri" w:eastAsia="Calibri" w:cs="Calibri"/>
      <w:sz w:val="20"/>
      <w:szCs w:val="20"/>
      <w:lang w:val="es-ES" w:eastAsia="en-US" w:bidi="ar-SA"/>
    </w:rPr>
  </w:style>
  <w:style w:styleId="Heading1" w:type="paragraph">
    <w:name w:val="Heading 1"/>
    <w:basedOn w:val="Normal"/>
    <w:uiPriority w:val="1"/>
    <w:qFormat/>
    <w:pPr>
      <w:ind w:left="360" w:hanging="245"/>
      <w:outlineLvl w:val="1"/>
    </w:pPr>
    <w:rPr>
      <w:rFonts w:ascii="Calibri" w:hAnsi="Calibri" w:eastAsia="Calibri" w:cs="Calibri"/>
      <w:sz w:val="20"/>
      <w:szCs w:val="20"/>
      <w:lang w:val="es-ES" w:eastAsia="en-US" w:bidi="ar-SA"/>
    </w:rPr>
  </w:style>
  <w:style w:styleId="ListParagraph" w:type="paragraph">
    <w:name w:val="List Paragraph"/>
    <w:basedOn w:val="Normal"/>
    <w:uiPriority w:val="1"/>
    <w:qFormat/>
    <w:pPr>
      <w:spacing w:before="98"/>
      <w:ind w:left="215" w:right="220" w:firstLine="474"/>
      <w:jc w:val="both"/>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dogv.gva.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2026-09-03T20:52:31Z</dcterms:created>
  <dcterms:modified xsi:type="dcterms:W3CDTF">2026-09-03T20:52:31Z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LastSaved">
    <vt:filetime>2026-09-03T00:00:00Z</vt:filetime>
  </property>
  <property fmtid="{D5CDD505-2E9C-101B-9397-08002B2CF9AE}" pid="5" name="Producer">
    <vt:lpwstr>iLovePDF</vt:lpwstr>
  </property>
</Properties>
</file>