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Guía de publicación de materiales Tu Coach</w:t>
      </w:r>
    </w:p>
    <w:p>
      <w:r>
        <w:rPr>
          <w:b/>
        </w:rPr>
        <w:t xml:space="preserve">Propósito. </w:t>
      </w:r>
      <w:r>
        <w:t>Esta guía explica cómo llevar resúmenes, extractos y normativa completa desde Mantenimiento hasta la web, qué se publica en Supabase y qué debe desplegarse como archivo en el backend.</w:t>
      </w:r>
    </w:p>
    <w:p>
      <w:r>
        <w:rPr>
          <w:b/>
        </w:rPr>
        <w:t xml:space="preserve">Conclusión operativa. </w:t>
      </w:r>
      <w:r>
        <w:t>Actualizar Supabase es necesario para corpus, temarios y permisos de acceso, pero no publica por sí solo los PDFs de resumen. Los resúmenes requieren además copiar el catálogo y los archivos PDF al backend de TuCoach Web y desplegar esa versión.</w:t>
      </w:r>
    </w:p>
    <w:p>
      <w:pPr>
        <w:pStyle w:val="Heading1"/>
      </w:pPr>
      <w:r>
        <w:t>Arquitectura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No sustituye 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Mantenimiento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Genera, audita y conserva resúmenes; construye extractos por convocatoria; valida el corpus RAG.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El despliegue de archivos al backend web.</w:t>
            </w:r>
          </w:p>
        </w:tc>
      </w:tr>
      <w:tr>
        <w:tc>
          <w:tcPr>
            <w:tcW w:type="dxa" w:w="1800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Supabase contenidos</w:t>
            </w:r>
          </w:p>
        </w:tc>
        <w:tc>
          <w:tcPr>
            <w:tcW w:type="dxa" w:w="3960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Sirve convocatorias, normas, referencias y artículos; comprueba que una norma pertenece a la convocatoria.</w:t>
            </w:r>
          </w:p>
        </w:tc>
        <w:tc>
          <w:tcPr>
            <w:tcW w:type="dxa" w:w="3960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El almacenamiento del PDF de resumen preparado.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TuCoach Web backend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Contiene y sirve materiales/resumenes, sus PDFs y catalogo_resumenes.json.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La actualización de contenidos.* en Supabase.</w:t>
            </w:r>
          </w:p>
        </w:tc>
      </w:tr>
      <w:tr>
        <w:tc>
          <w:tcPr>
            <w:tcW w:type="dxa" w:w="1800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Despliegue web</w:t>
            </w:r>
          </w:p>
        </w:tc>
        <w:tc>
          <w:tcPr>
            <w:tcW w:type="dxa" w:w="3960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Publica la versión del backend que incorpora archivos nuevos.</w:t>
            </w:r>
          </w:p>
        </w:tc>
        <w:tc>
          <w:tcPr>
            <w:tcW w:type="dxa" w:w="3960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La generación o auditoría jurídica del material.</w:t>
            </w:r>
          </w:p>
        </w:tc>
      </w:tr>
    </w:tbl>
    <w:p>
      <w:pPr>
        <w:pStyle w:val="Heading1"/>
      </w:pPr>
      <w:r>
        <w:t>Tipos de material y origen</w:t>
      </w:r>
    </w:p>
    <w:p>
      <w:pPr>
        <w:pStyle w:val="ListBullet"/>
        <w:spacing w:after="60"/>
      </w:pPr>
      <w:r>
        <w:t>Resumen para estudiar. PDF previamente generado y auditado. La web lo localiza en backend/materiales/resumenes mediante catalogo_resumenes.json.</w:t>
      </w:r>
    </w:p>
    <w:p>
      <w:pPr>
        <w:pStyle w:val="ListBullet"/>
        <w:spacing w:after="60"/>
      </w:pPr>
      <w:r>
        <w:t>Extracto para esta oposición. Selecciona los artículos que el temario vincula a una norma y los presenta de forma literal. Debe regenerarse cuando cambien referencias o texto fuente.</w:t>
      </w:r>
    </w:p>
    <w:p>
      <w:pPr>
        <w:pStyle w:val="ListBullet"/>
        <w:spacing w:after="60"/>
      </w:pPr>
      <w:r>
        <w:t>Ley completa. Se obtiene de la fuente consolidada del corpus. Antes de ofrecerla, la norma debe estar íntegra y validada por el proveedor RAG correspondiente.</w:t>
      </w:r>
    </w:p>
    <w:p>
      <w:pPr>
        <w:pStyle w:val="Heading1"/>
      </w:pPr>
      <w:r>
        <w:t>Proceso recomendado de publicación</w:t>
      </w:r>
    </w:p>
    <w:p>
      <w:pPr>
        <w:spacing w:before="100"/>
      </w:pPr>
      <w:r>
        <w:rPr>
          <w:b/>
        </w:rPr>
        <w:t xml:space="preserve">1. Planificar. </w:t>
      </w:r>
      <w:r>
        <w:t>En menu_mantenimiento, Administración, opción 8, seleccione la convocatoria. Ejecute primero el plan. Revise normas, artículos, corpus y presupuesto estimado.</w:t>
      </w:r>
    </w:p>
    <w:p>
      <w:pPr>
        <w:spacing w:before="100"/>
      </w:pPr>
      <w:r>
        <w:rPr>
          <w:b/>
        </w:rPr>
        <w:t xml:space="preserve">2. Validar RAG. </w:t>
      </w:r>
      <w:r>
        <w:t>Confirme que la fuente completa de cada norma supera el validador BOE, DOGV, DOUE o PDF local. Si falla, no genere ni publique ese material.</w:t>
      </w:r>
    </w:p>
    <w:p>
      <w:pPr>
        <w:spacing w:before="100"/>
      </w:pPr>
      <w:r>
        <w:rPr>
          <w:b/>
        </w:rPr>
        <w:t xml:space="preserve">3. Construir materiales. </w:t>
      </w:r>
      <w:r>
        <w:t>Cree o actualice extractos. Genere resúmenes pendientes sólo cuando haya presupuesto IA y el corpus sea válido. El proceso usa huellas para no repetir trabajo sin cambios.</w:t>
      </w:r>
    </w:p>
    <w:p>
      <w:pPr>
        <w:spacing w:before="100"/>
      </w:pPr>
      <w:r>
        <w:rPr>
          <w:b/>
        </w:rPr>
        <w:t xml:space="preserve">4. Auditar. </w:t>
      </w:r>
      <w:r>
        <w:t>Ejecute la auditoría de materiales. Un resumen publicable debe quedar en estado OK y su PDF debe existir con la huella actual del corpus.</w:t>
      </w:r>
    </w:p>
    <w:p>
      <w:pPr>
        <w:spacing w:before="100"/>
      </w:pPr>
      <w:r>
        <w:rPr>
          <w:b/>
        </w:rPr>
        <w:t xml:space="preserve">5. Publicar archivos. </w:t>
      </w:r>
      <w:r>
        <w:t>Ejecute scripts/publicar_materiales_web.py con aplicar. Copia los PDFs auditados y catalogo_resumenes.json a TuCoach Web/backend/materiales/resumenes, con copia de seguridad.</w:t>
      </w:r>
    </w:p>
    <w:p>
      <w:pPr>
        <w:spacing w:before="100"/>
      </w:pPr>
      <w:r>
        <w:rPr>
          <w:b/>
        </w:rPr>
        <w:t xml:space="preserve">6. Desplegar web. </w:t>
      </w:r>
      <w:r>
        <w:t>Despliegue la versión de TuCoach Web que contiene los archivos nuevos. Sin este paso, producción no verá el PDF aunque Supabase esté actualizado.</w:t>
      </w:r>
    </w:p>
    <w:p>
      <w:pPr>
        <w:spacing w:before="100"/>
      </w:pPr>
      <w:r>
        <w:rPr>
          <w:b/>
        </w:rPr>
        <w:t xml:space="preserve">7. Sincronizar Supabase cuando proceda. </w:t>
      </w:r>
      <w:r>
        <w:t>Prepare una publicación de contenidos y use la opción de actualización de Supabase si cambiaron temarios, normas, referencias o corpus. La transacción afecta contenidos.*.</w:t>
      </w:r>
    </w:p>
    <w:p>
      <w:pPr>
        <w:spacing w:before="100"/>
      </w:pPr>
      <w:r>
        <w:rPr>
          <w:b/>
        </w:rPr>
        <w:t xml:space="preserve">8. Verificar en producción. </w:t>
      </w:r>
      <w:r>
        <w:t>Ejecute backend/scripts/verificar_materiales_supabase.py y descargue en la interfaz un resumen, un extracto y una ley completa de la convocatoria afectada.</w:t>
      </w:r>
    </w:p>
    <w:p>
      <w:pPr>
        <w:pStyle w:val="Heading1"/>
      </w:pPr>
      <w:r>
        <w:t>Reglas de recurrencia e idempotencia</w:t>
      </w:r>
    </w:p>
    <w:p>
      <w:pPr>
        <w:pStyle w:val="ListBullet"/>
        <w:spacing w:after="60"/>
      </w:pPr>
      <w:r>
        <w:t>El extracto registra una huella de convocatoria, norma y artículos. Si no cambia, una nueva ejecución informa SIN CAMBIOS y no reescribe el PDF.</w:t>
      </w:r>
    </w:p>
    <w:p>
      <w:pPr>
        <w:pStyle w:val="ListBullet"/>
        <w:spacing w:after="60"/>
      </w:pPr>
      <w:r>
        <w:t>El resumen compara la huella del corpus con el catálogo. Sólo procesa estados NUEVA o DESACTUALIZADO, salvo regeneración explícita.</w:t>
      </w:r>
    </w:p>
    <w:p>
      <w:pPr>
        <w:pStyle w:val="ListBullet"/>
        <w:spacing w:after="60"/>
      </w:pPr>
      <w:r>
        <w:t>Los checkpoints conservan hechos jurídicos ya validados. Una interrupción se reanuda sin volver a pagar bloques comprobados.</w:t>
      </w:r>
    </w:p>
    <w:p>
      <w:pPr>
        <w:pStyle w:val="ListBullet"/>
        <w:spacing w:after="60"/>
      </w:pPr>
      <w:r>
        <w:t>Una modificación de temario, corpus o plantilla debe activar plan, auditoría y nueva publicación de los materiales afectados.</w:t>
      </w:r>
    </w:p>
    <w:p>
      <w:pPr>
        <w:pStyle w:val="Heading1"/>
      </w:pPr>
      <w:r>
        <w:t>Checklist antes de publicar</w:t>
      </w:r>
    </w:p>
    <w:p>
      <w:pPr>
        <w:pStyle w:val="ListBullet"/>
      </w:pPr>
      <w:r>
        <w:t>☐ La convocatoria está activa y sus referencias están normalizadas.</w:t>
      </w:r>
    </w:p>
    <w:p>
      <w:pPr>
        <w:pStyle w:val="ListBullet"/>
      </w:pPr>
      <w:r>
        <w:t>☐ Cada artículo seleccionado tiene texto fuente y la fuente completa supera la validación RAG.</w:t>
      </w:r>
    </w:p>
    <w:p>
      <w:pPr>
        <w:pStyle w:val="ListBullet"/>
      </w:pPr>
      <w:r>
        <w:t>☐ El extracto contiene exactamente los artículos enlazados al temario y abre correctamente.</w:t>
      </w:r>
    </w:p>
    <w:p>
      <w:pPr>
        <w:pStyle w:val="ListBullet"/>
      </w:pPr>
      <w:r>
        <w:t>☐ El resumen figura como OK en la auditoría y el PDF no tiene secciones vacías ni defectos visuales.</w:t>
      </w:r>
    </w:p>
    <w:p>
      <w:pPr>
        <w:pStyle w:val="ListBullet"/>
      </w:pPr>
      <w:r>
        <w:t>☐ Los PDFs y catalogo_resumenes.json se han copiado al backend web.</w:t>
      </w:r>
    </w:p>
    <w:p>
      <w:pPr>
        <w:pStyle w:val="ListBullet"/>
      </w:pPr>
      <w:r>
        <w:t>☐ La versión del backend con esos archivos se ha desplegado.</w:t>
      </w:r>
    </w:p>
    <w:p>
      <w:pPr>
        <w:pStyle w:val="ListBullet"/>
      </w:pPr>
      <w:r>
        <w:t>☐ Supabase se ha actualizado si cambiaron contenidos, y la verificación catálogo Supabase es satisfactoria.</w:t>
      </w:r>
    </w:p>
    <w:p>
      <w:pPr>
        <w:pStyle w:val="ListBullet"/>
      </w:pPr>
      <w:r>
        <w:t>☐ La descarga se ha probado desde la interfaz con la convocatoria correcta.</w:t>
      </w:r>
    </w:p>
    <w:p>
      <w:pPr>
        <w:pStyle w:val="Heading1"/>
      </w:pPr>
      <w:r>
        <w:t>Diagnóstico rápido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4968"/>
            <w:shd w:fill="17365D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La norma aparece pero no hay resumen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Compruebe el catálogo local y el estado de auditoría. Después copie el PDF y catálogo al backend y despliegue.</w:t>
            </w:r>
          </w:p>
        </w:tc>
      </w:tr>
      <w:tr>
        <w:tc>
          <w:tcPr>
            <w:tcW w:type="dxa" w:w="4968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El extracto no coincide con el temario</w:t>
            </w:r>
          </w:p>
        </w:tc>
        <w:tc>
          <w:tcPr>
            <w:tcW w:type="dxa" w:w="4968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Revise temario_referencias y regenere el material de la convocatoria; no edite el PDF manualmente.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No se puede descargar la ley completa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Valide la fuente RAG completa y repare el corpus antes de publicar.</w:t>
            </w:r>
          </w:p>
        </w:tc>
      </w:tr>
      <w:tr>
        <w:tc>
          <w:tcPr>
            <w:tcW w:type="dxa" w:w="4968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Supabase está actualizado pero el PDF no aparece</w:t>
            </w:r>
          </w:p>
        </w:tc>
        <w:tc>
          <w:tcPr>
            <w:tcW w:type="dxa" w:w="4968"/>
            <w:shd w:fill="F3F7FC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Verifique backend/materiales/resumenes, catalogo_resumenes.json y el despliegue web; Supabase no contiene ese PDF.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Tu Coach · Guía operativa de materiales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