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60"/>
        <w:jc w:val="center"/>
      </w:pPr>
      <w:r>
        <w:rPr>
          <w:b/>
          <w:color w:val="1D3F5F"/>
          <w:sz w:val="48"/>
        </w:rPr>
        <w:t>03b Revision Plan</w:t>
      </w:r>
    </w:p>
    <w:p>
      <w:pPr>
        <w:spacing w:after="200"/>
        <w:jc w:val="center"/>
      </w:pPr>
      <w:r>
        <w:rPr>
          <w:i/>
          <w:color w:val="4D4D4D"/>
          <w:sz w:val="26"/>
        </w:rPr>
        <w:t>Converting the current deterministic continuum-limit paper into the Fractal Gas QFT regulator formulation</w:t>
      </w:r>
    </w:p>
    <w:tbl>
      <w:tblPr>
        <w:tblW w:type="auto" w:w="0"/>
        <w:jc w:val="center"/>
        <w:tblLook w:firstColumn="1" w:firstRow="1" w:lastColumn="0" w:lastRow="0" w:noHBand="0" w:noVBand="1" w:val="04A0"/>
        <w:tblBorders>
          <w:top w:val="single" w:sz="10" w:space="0" w:color="C7D8ED"/>
          <w:left w:val="single" w:sz="10" w:space="0" w:color="C7D8ED"/>
          <w:bottom w:val="single" w:sz="10" w:space="0" w:color="C7D8ED"/>
          <w:right w:val="single" w:sz="10" w:space="0" w:color="C7D8ED"/>
          <w:insideH w:val="single" w:sz="10" w:space="0" w:color="C7D8ED"/>
          <w:insideV w:val="single" w:sz="10" w:space="0" w:color="C7D8ED"/>
        </w:tblBorders>
      </w:tblPr>
      <w:tblGrid>
        <w:gridCol w:w="9648"/>
      </w:tblGrid>
      <w:tr>
        <w:tc>
          <w:tcPr>
            <w:tcW w:type="dxa" w:w="9648"/>
            <w:shd w:fill="EEF4FB"/>
            <w:vAlign w:val="center"/>
          </w:tcPr>
          <w:p>
            <w:pPr>
              <w:spacing w:after="60" w:line="259" w:lineRule="auto"/>
            </w:pPr>
            <w:r>
              <w:rPr>
                <w:b/>
                <w:color w:val="1D3F5F"/>
              </w:rPr>
              <w:t>Purpose</w:t>
            </w:r>
          </w:p>
          <w:p>
            <w:pPr>
              <w:spacing w:after="0" w:line="259" w:lineRule="auto"/>
            </w:pPr>
            <w:r>
              <w:t>This document gives a section-by-section rewrite plan for 03b. It identifies which parts of the current paper should be deleted, demoted, kept, or rewritten; it also specifies the new theorem stack, the new finite regulator, the new gauge variables, and the exact export package needed for the Euclidean QFT paper.</w:t>
            </w:r>
          </w:p>
        </w:tc>
      </w:tr>
    </w:tbl>
    <w:p>
      <w:pPr>
        <w:spacing w:after="0"/>
      </w:pPr>
    </w:p>
    <w:p>
      <w:pPr>
        <w:spacing w:after="200" w:before="0" w:line="269" w:lineRule="auto"/>
      </w:pPr>
      <w:r>
        <w:t>Source anchors used while drafting this plan include: 03b’s abstract and Sections 4–7 on the deterministic flat regulator and sampled lattice field; 04b’s Euclidean path-space and gauge-sector sections; and the Fractal Gas definitions of the Fractal Set, gauge connection on edges, Wilson loops, plaquette holonomy, and Wilson action.</w:t>
      </w:r>
    </w:p>
    <w:p>
      <w:r>
        <w:br w:type="page"/>
      </w:r>
    </w:p>
    <w:p>
      <w:pPr>
        <w:pStyle w:val="Heading1"/>
        <w:spacing w:after="80" w:before="0" w:line="269" w:lineRule="auto"/>
      </w:pPr>
      <w:r>
        <w:t>Executive summary</w:t>
      </w:r>
    </w:p>
    <w:p>
      <w:pPr>
        <w:spacing w:after="120" w:before="0" w:line="269" w:lineRule="auto"/>
      </w:pPr>
      <w:r>
        <w:t>The current 03b proves a classical continuum-limit statement for a deterministic flat regulator whose link variables are sampled from one stationary mean-field color profile. That is exactly the structural feature that must change. The revised paper should instead define the finite gauge theory on the random Fractal interaction complex generated by the stochastic swarm itself. Its gauge variables should be realized edge transports on that random complex, its Wilson action should be a random observable, and its finite-volume gauge law should be the pushforward of the swarm path law.</w:t>
      </w:r>
    </w:p>
    <w:p>
      <w:pPr>
        <w:spacing w:after="60" w:line="259" w:lineRule="auto"/>
        <w:ind w:left="288" w:hanging="216"/>
      </w:pPr>
      <w:r>
        <w:rPr>
          <w:b/>
        </w:rPr>
        <w:t xml:space="preserve">• </w:t>
      </w:r>
      <w:r>
        <w:t>The deterministic flat lattice is no longer the primary regulator. It becomes, at most, a comparison geometry or a local coordinate chart used only in the final classical-consistency theorem.</w:t>
      </w:r>
    </w:p>
    <w:p>
      <w:pPr>
        <w:spacing w:after="60" w:line="259" w:lineRule="auto"/>
        <w:ind w:left="288" w:hanging="216"/>
      </w:pPr>
      <w:r>
        <w:rPr>
          <w:b/>
        </w:rPr>
        <w:t xml:space="preserve">• </w:t>
      </w:r>
      <w:r>
        <w:t>The stochastic swarm trajectory from 01 becomes the foundational probability space. The realized Fractal Set extracted from that trajectory becomes the finite regulator.</w:t>
      </w:r>
    </w:p>
    <w:p>
      <w:pPr>
        <w:spacing w:after="60" w:line="259" w:lineRule="auto"/>
        <w:ind w:left="288" w:hanging="216"/>
      </w:pPr>
      <w:r>
        <w:rPr>
          <w:b/>
        </w:rPr>
        <w:t xml:space="preserve">• </w:t>
      </w:r>
      <w:r>
        <w:t>The finite link variables must be assigned from realized local state data on the Fractal Set, not from midpoint samples of a pre-averaged background connection.</w:t>
      </w:r>
    </w:p>
    <w:p>
      <w:pPr>
        <w:spacing w:after="60" w:line="259" w:lineRule="auto"/>
        <w:ind w:left="288" w:hanging="216"/>
      </w:pPr>
      <w:r>
        <w:rPr>
          <w:b/>
        </w:rPr>
        <w:t xml:space="preserve">• </w:t>
      </w:r>
      <w:r>
        <w:t>Plaquette holonomies and Wilson loops remain central, but now they live on a random oriented 2-complex and therefore become genuine random variables.</w:t>
      </w:r>
    </w:p>
    <w:p>
      <w:pPr>
        <w:spacing w:after="60" w:line="259" w:lineRule="auto"/>
        <w:ind w:left="288" w:hanging="216"/>
      </w:pPr>
      <w:r>
        <w:rPr>
          <w:b/>
        </w:rPr>
        <w:t xml:space="preserve">• </w:t>
      </w:r>
      <w:r>
        <w:t>A new theorem must define the induced gauge measure as the pushforward of the swarm path law to the realized gauge configurations.</w:t>
      </w:r>
    </w:p>
    <w:p>
      <w:pPr>
        <w:spacing w:after="60" w:line="259" w:lineRule="auto"/>
        <w:ind w:left="288" w:hanging="216"/>
      </w:pPr>
      <w:r>
        <w:rPr>
          <w:b/>
        </w:rPr>
        <w:t xml:space="preserve">• </w:t>
      </w:r>
      <w:r>
        <w:t>The old continuum field A^∞ and its curvature F^∞ should be retained only as the classical comparison object that controls the expected small-loop limit.</w:t>
      </w:r>
    </w:p>
    <w:tbl>
      <w:tblPr>
        <w:tblW w:type="auto" w:w="0"/>
        <w:jc w:val="center"/>
        <w:tblLook w:firstColumn="1" w:firstRow="1" w:lastColumn="0" w:lastRow="0" w:noHBand="0" w:noVBand="1" w:val="04A0"/>
        <w:tblBorders>
          <w:top w:val="single" w:sz="10" w:space="0" w:color="C7D8ED"/>
          <w:left w:val="single" w:sz="10" w:space="0" w:color="C7D8ED"/>
          <w:bottom w:val="single" w:sz="10" w:space="0" w:color="C7D8ED"/>
          <w:right w:val="single" w:sz="10" w:space="0" w:color="C7D8ED"/>
          <w:insideH w:val="single" w:sz="10" w:space="0" w:color="C7D8ED"/>
          <w:insideV w:val="single" w:sz="10" w:space="0" w:color="C7D8ED"/>
        </w:tblBorders>
      </w:tblPr>
      <w:tblGrid>
        <w:gridCol w:w="9648"/>
      </w:tblGrid>
      <w:tr>
        <w:tc>
          <w:tcPr>
            <w:tcW w:type="dxa" w:w="9648"/>
            <w:shd w:fill="EEF4FB"/>
            <w:vAlign w:val="center"/>
          </w:tcPr>
          <w:p>
            <w:pPr>
              <w:spacing w:after="60" w:line="259" w:lineRule="auto"/>
            </w:pPr>
            <w:r>
              <w:rPr>
                <w:b/>
                <w:color w:val="1D3F5F"/>
              </w:rPr>
              <w:t>Bottom-line design rule</w:t>
            </w:r>
          </w:p>
          <w:p>
            <w:pPr>
              <w:spacing w:after="0" w:line="259" w:lineRule="auto"/>
            </w:pPr>
            <w:r>
              <w:t>Replace “sample one deterministic continuum connection on a fixed flat lattice” with “construct a random gauge field on the realized Fractal regulator and derive its law from the swarm.”</w:t>
            </w:r>
          </w:p>
        </w:tc>
      </w:tr>
    </w:tbl>
    <w:p>
      <w:pPr>
        <w:spacing w:after="0"/>
      </w:pPr>
    </w:p>
    <w:p>
      <w:pPr>
        <w:pStyle w:val="Heading1"/>
        <w:spacing w:after="80" w:before="160" w:line="269" w:lineRule="auto"/>
      </w:pPr>
      <w:r>
        <w:t>1. Diagnosis of the current 03b</w:t>
      </w:r>
    </w:p>
    <w:p>
      <w:pPr>
        <w:spacing w:after="120" w:before="0" w:line="269" w:lineRule="auto"/>
      </w:pPr>
      <w:r>
        <w:t>At present, 03b is organized around a deterministic flat SU(3) regulator with coordinate edges and coordinate plaquettes, and the finite link variables are obtained by sampling one stationary mean-field gauge profile on that fixed lattice. The paper even states that the finite regulator no longer uses the random companion graph to define its geometry. This design is the opposite of the Fractal Gas approach, where the discrete geometry is part of the stochastic dynamics and the gauge data live directly on the realized Fractal Set.</w:t>
      </w:r>
    </w:p>
    <w:tbl>
      <w:tblPr>
        <w:tblStyle w:val="TableGrid"/>
        <w:tblW w:type="auto" w:w="0"/>
        <w:jc w:val="center"/>
        <w:tblLayout w:type="fixed"/>
        <w:tblLook w:firstColumn="1" w:firstRow="1" w:lastColumn="0" w:lastRow="0" w:noHBand="0" w:noVBand="1" w:val="04A0"/>
        <w:tblBorders>
          <w:top w:val="single" w:sz="8" w:space="0" w:color="C7D8ED"/>
          <w:left w:val="single" w:sz="8" w:space="0" w:color="C7D8ED"/>
          <w:bottom w:val="single" w:sz="8" w:space="0" w:color="C7D8ED"/>
          <w:right w:val="single" w:sz="8" w:space="0" w:color="C7D8ED"/>
          <w:insideH w:val="single" w:sz="8" w:space="0" w:color="C7D8ED"/>
          <w:insideV w:val="single" w:sz="8" w:space="0" w:color="C7D8ED"/>
        </w:tblBorders>
      </w:tblPr>
      <w:tblGrid>
        <w:gridCol w:w="3216"/>
        <w:gridCol w:w="3216"/>
        <w:gridCol w:w="3216"/>
      </w:tblGrid>
      <w:tr>
        <w:tc>
          <w:tcPr>
            <w:tcW w:type="dxa" w:w="3024"/>
            <w:vAlign w:val="center"/>
            <w:shd w:fill="DCE6F1"/>
          </w:tcPr>
          <w:p>
            <w:pPr>
              <w:spacing w:after="40" w:before="40"/>
              <w:jc w:val="center"/>
            </w:pPr>
            <w:r>
              <w:rPr>
                <w:b/>
                <w:color w:val="1D3F5F"/>
                <w:sz w:val="19"/>
              </w:rPr>
              <w:t>Current 03b feature</w:t>
            </w:r>
          </w:p>
        </w:tc>
        <w:tc>
          <w:tcPr>
            <w:tcW w:type="dxa" w:w="4032"/>
            <w:vAlign w:val="center"/>
            <w:shd w:fill="DCE6F1"/>
          </w:tcPr>
          <w:p>
            <w:pPr>
              <w:spacing w:after="40" w:before="40"/>
              <w:jc w:val="center"/>
            </w:pPr>
            <w:r>
              <w:rPr>
                <w:b/>
                <w:color w:val="1D3F5F"/>
                <w:sz w:val="19"/>
              </w:rPr>
              <w:t>Why it conflicts with the Fractal Gas approach</w:t>
            </w:r>
          </w:p>
        </w:tc>
        <w:tc>
          <w:tcPr>
            <w:tcW w:type="dxa" w:w="2880"/>
            <w:vAlign w:val="center"/>
            <w:shd w:fill="DCE6F1"/>
          </w:tcPr>
          <w:p>
            <w:pPr>
              <w:spacing w:after="40" w:before="40"/>
              <w:jc w:val="center"/>
            </w:pPr>
            <w:r>
              <w:rPr>
                <w:b/>
                <w:color w:val="1D3F5F"/>
                <w:sz w:val="19"/>
              </w:rPr>
              <w:t>Required change</w:t>
            </w:r>
          </w:p>
        </w:tc>
      </w:tr>
      <w:tr>
        <w:tc>
          <w:tcPr>
            <w:tcW w:type="dxa" w:w="3024"/>
            <w:vAlign w:val="center"/>
          </w:tcPr>
          <w:p>
            <w:pPr>
              <w:spacing w:after="40" w:before="40" w:line="250" w:lineRule="auto"/>
              <w:jc w:val="left"/>
            </w:pPr>
            <w:r>
              <w:rPr>
                <w:sz w:val="18"/>
              </w:rPr>
              <w:t>Deterministic regulator scales and flat lattice</w:t>
            </w:r>
          </w:p>
        </w:tc>
        <w:tc>
          <w:tcPr>
            <w:tcW w:type="dxa" w:w="4032"/>
            <w:vAlign w:val="center"/>
          </w:tcPr>
          <w:p>
            <w:pPr>
              <w:spacing w:after="40" w:before="40" w:line="250" w:lineRule="auto"/>
              <w:jc w:val="left"/>
            </w:pPr>
            <w:r>
              <w:rPr>
                <w:sz w:val="18"/>
              </w:rPr>
              <w:t>The discrete geometry is imposed externally instead of generated by the run.</w:t>
            </w:r>
          </w:p>
        </w:tc>
        <w:tc>
          <w:tcPr>
            <w:tcW w:type="dxa" w:w="2880"/>
            <w:vAlign w:val="center"/>
          </w:tcPr>
          <w:p>
            <w:pPr>
              <w:spacing w:after="40" w:before="40" w:line="250" w:lineRule="auto"/>
              <w:jc w:val="left"/>
            </w:pPr>
            <w:r>
              <w:rPr>
                <w:sz w:val="18"/>
              </w:rPr>
              <w:t>Replace with a realized Fractal regulator extracted from the swarm trajectory.</w:t>
            </w:r>
          </w:p>
        </w:tc>
      </w:tr>
      <w:tr>
        <w:tc>
          <w:tcPr>
            <w:tcW w:type="dxa" w:w="3024"/>
            <w:vAlign w:val="center"/>
          </w:tcPr>
          <w:p>
            <w:pPr>
              <w:spacing w:after="40" w:before="40" w:line="250" w:lineRule="auto"/>
              <w:jc w:val="left"/>
            </w:pPr>
            <w:r>
              <w:rPr>
                <w:sz w:val="18"/>
              </w:rPr>
              <w:t>Link variables sampled from one mean-field background connection</w:t>
            </w:r>
          </w:p>
        </w:tc>
        <w:tc>
          <w:tcPr>
            <w:tcW w:type="dxa" w:w="4032"/>
            <w:vAlign w:val="center"/>
          </w:tcPr>
          <w:p>
            <w:pPr>
              <w:spacing w:after="40" w:before="40" w:line="250" w:lineRule="auto"/>
              <w:jc w:val="left"/>
            </w:pPr>
            <w:r>
              <w:rPr>
                <w:sz w:val="18"/>
              </w:rPr>
              <w:t>The finite gauge field is deterministic once the background profile is fixed.</w:t>
            </w:r>
          </w:p>
        </w:tc>
        <w:tc>
          <w:tcPr>
            <w:tcW w:type="dxa" w:w="2880"/>
            <w:vAlign w:val="center"/>
          </w:tcPr>
          <w:p>
            <w:pPr>
              <w:spacing w:after="40" w:before="40" w:line="250" w:lineRule="auto"/>
              <w:jc w:val="left"/>
            </w:pPr>
            <w:r>
              <w:rPr>
                <w:sz w:val="18"/>
              </w:rPr>
              <w:t>Assign edge transports from realized local data on the random complex.</w:t>
            </w:r>
          </w:p>
        </w:tc>
      </w:tr>
      <w:tr>
        <w:tc>
          <w:tcPr>
            <w:tcW w:type="dxa" w:w="3024"/>
            <w:vAlign w:val="center"/>
          </w:tcPr>
          <w:p>
            <w:pPr>
              <w:spacing w:after="40" w:before="40" w:line="250" w:lineRule="auto"/>
              <w:jc w:val="left"/>
            </w:pPr>
            <w:r>
              <w:rPr>
                <w:sz w:val="18"/>
              </w:rPr>
              <w:t>Wilson action interpreted as a deterministic lattice functional</w:t>
            </w:r>
          </w:p>
        </w:tc>
        <w:tc>
          <w:tcPr>
            <w:tcW w:type="dxa" w:w="4032"/>
            <w:vAlign w:val="center"/>
          </w:tcPr>
          <w:p>
            <w:pPr>
              <w:spacing w:after="40" w:before="40" w:line="250" w:lineRule="auto"/>
              <w:jc w:val="left"/>
            </w:pPr>
            <w:r>
              <w:rPr>
                <w:sz w:val="18"/>
              </w:rPr>
              <w:t>There is no finite-volume gauge measure on fluctuating gauge configurations.</w:t>
            </w:r>
          </w:p>
        </w:tc>
        <w:tc>
          <w:tcPr>
            <w:tcW w:type="dxa" w:w="2880"/>
            <w:vAlign w:val="center"/>
          </w:tcPr>
          <w:p>
            <w:pPr>
              <w:spacing w:after="40" w:before="40" w:line="250" w:lineRule="auto"/>
              <w:jc w:val="left"/>
            </w:pPr>
            <w:r>
              <w:rPr>
                <w:sz w:val="18"/>
              </w:rPr>
              <w:t>Treat the Wilson action as a measurable random observable on the realized complex.</w:t>
            </w:r>
          </w:p>
        </w:tc>
      </w:tr>
      <w:tr>
        <w:tc>
          <w:tcPr>
            <w:tcW w:type="dxa" w:w="3024"/>
            <w:vAlign w:val="center"/>
          </w:tcPr>
          <w:p>
            <w:pPr>
              <w:spacing w:after="40" w:before="40" w:line="250" w:lineRule="auto"/>
              <w:jc w:val="left"/>
            </w:pPr>
            <w:r>
              <w:rPr>
                <w:sz w:val="18"/>
              </w:rPr>
              <w:t>Riemann-sum convergence as the main theorem</w:t>
            </w:r>
          </w:p>
        </w:tc>
        <w:tc>
          <w:tcPr>
            <w:tcW w:type="dxa" w:w="4032"/>
            <w:vAlign w:val="center"/>
          </w:tcPr>
          <w:p>
            <w:pPr>
              <w:spacing w:after="40" w:before="40" w:line="250" w:lineRule="auto"/>
              <w:jc w:val="left"/>
            </w:pPr>
            <w:r>
              <w:rPr>
                <w:sz w:val="18"/>
              </w:rPr>
              <w:t>This proves only a classical background-field limit.</w:t>
            </w:r>
          </w:p>
        </w:tc>
        <w:tc>
          <w:tcPr>
            <w:tcW w:type="dxa" w:w="2880"/>
            <w:vAlign w:val="center"/>
          </w:tcPr>
          <w:p>
            <w:pPr>
              <w:spacing w:after="40" w:before="40" w:line="250" w:lineRule="auto"/>
              <w:jc w:val="left"/>
            </w:pPr>
            <w:r>
              <w:rPr>
                <w:sz w:val="18"/>
              </w:rPr>
              <w:t>Move the classical limit to the end; the main theorem should be the induced finite gauge law and its Wilson observables.</w:t>
            </w:r>
          </w:p>
        </w:tc>
      </w:tr>
      <w:tr>
        <w:tc>
          <w:tcPr>
            <w:tcW w:type="dxa" w:w="3024"/>
            <w:vAlign w:val="center"/>
          </w:tcPr>
          <w:p>
            <w:pPr>
              <w:spacing w:after="40" w:before="40" w:line="250" w:lineRule="auto"/>
              <w:jc w:val="left"/>
            </w:pPr>
            <w:r>
              <w:rPr>
                <w:sz w:val="18"/>
              </w:rPr>
              <w:t>Companion graph removed from the regulator</w:t>
            </w:r>
          </w:p>
        </w:tc>
        <w:tc>
          <w:tcPr>
            <w:tcW w:type="dxa" w:w="4032"/>
            <w:vAlign w:val="center"/>
          </w:tcPr>
          <w:p>
            <w:pPr>
              <w:spacing w:after="40" w:before="40" w:line="250" w:lineRule="auto"/>
              <w:jc w:val="left"/>
            </w:pPr>
            <w:r>
              <w:rPr>
                <w:sz w:val="18"/>
              </w:rPr>
              <w:t>This discards the exact stochastic geometry the Fractal Gas uses to define QFT data.</w:t>
            </w:r>
          </w:p>
        </w:tc>
        <w:tc>
          <w:tcPr>
            <w:tcW w:type="dxa" w:w="2880"/>
            <w:vAlign w:val="center"/>
          </w:tcPr>
          <w:p>
            <w:pPr>
              <w:spacing w:after="40" w:before="40" w:line="250" w:lineRule="auto"/>
              <w:jc w:val="left"/>
            </w:pPr>
            <w:r>
              <w:rPr>
                <w:sz w:val="18"/>
              </w:rPr>
              <w:t>Reinstall the graph/complex generated by the run as the regulator itself.</w:t>
            </w:r>
          </w:p>
        </w:tc>
      </w:tr>
    </w:tbl>
    <w:p>
      <w:pPr>
        <w:spacing w:after="0"/>
      </w:pPr>
    </w:p>
    <w:p>
      <w:pPr>
        <w:pStyle w:val="Heading1"/>
        <w:spacing w:after="80" w:before="160" w:line="269" w:lineRule="auto"/>
      </w:pPr>
      <w:r>
        <w:t>2. Target formulation for the revised paper</w:t>
      </w:r>
    </w:p>
    <w:p>
      <w:pPr>
        <w:spacing w:after="120" w:before="0" w:line="269" w:lineRule="auto"/>
      </w:pPr>
      <w:r>
        <w:t>The revised 03b should be a finite-volume, random-regulator gauge paper. Its finite objects are not a deterministic lattice and not a deterministic background field. Its finite objects are: a realized oriented 2-complex, realized edge transports, realized plaquette holonomies, Wilson observables on that complex, and the induced gauge law obtained by pushing the swarm probability space forward through the gauge-construction map.</w:t>
      </w:r>
    </w:p>
    <w:tbl>
      <w:tblPr>
        <w:tblW w:type="auto" w:w="0"/>
        <w:jc w:val="center"/>
        <w:tblLook w:firstColumn="1" w:firstRow="1" w:lastColumn="0" w:lastRow="0" w:noHBand="0" w:noVBand="1" w:val="04A0"/>
        <w:tblBorders>
          <w:top w:val="single" w:sz="10" w:space="0" w:color="C7D8ED"/>
          <w:left w:val="single" w:sz="10" w:space="0" w:color="C7D8ED"/>
          <w:bottom w:val="single" w:sz="10" w:space="0" w:color="C7D8ED"/>
          <w:right w:val="single" w:sz="10" w:space="0" w:color="C7D8ED"/>
          <w:insideH w:val="single" w:sz="10" w:space="0" w:color="C7D8ED"/>
          <w:insideV w:val="single" w:sz="10" w:space="0" w:color="C7D8ED"/>
        </w:tblBorders>
      </w:tblPr>
      <w:tblGrid>
        <w:gridCol w:w="9648"/>
      </w:tblGrid>
      <w:tr>
        <w:tc>
          <w:tcPr>
            <w:tcW w:type="dxa" w:w="9648"/>
            <w:shd w:fill="EEF4FB"/>
            <w:vAlign w:val="center"/>
          </w:tcPr>
          <w:p>
            <w:pPr>
              <w:spacing w:after="60" w:line="259" w:lineRule="auto"/>
            </w:pPr>
            <w:r>
              <w:rPr>
                <w:b/>
                <w:color w:val="1D3F5F"/>
              </w:rPr>
              <w:t>Target theorem shape</w:t>
            </w:r>
          </w:p>
          <w:p>
            <w:pPr>
              <w:spacing w:after="0" w:line="259" w:lineRule="auto"/>
            </w:pPr>
            <w:r>
              <w:t>For each finite swarm size N and time horizon T, the swarm path law generates a measurable random oriented 2-complex together with measurable SU(2) or SU(3) edge transports. The corresponding plaquette holonomies and Wilson observables define a finite random lattice gauge theory. In a suitable refinement / small-field regime, expected small-loop holonomies recover the classical Yang–Mills density of the effective continuum background.</w:t>
            </w:r>
          </w:p>
        </w:tc>
      </w:tr>
    </w:tbl>
    <w:p>
      <w:pPr>
        <w:spacing w:after="0"/>
      </w:pPr>
    </w:p>
    <w:p>
      <w:pPr>
        <w:pStyle w:val="Heading1"/>
        <w:spacing w:after="80" w:before="160" w:line="269" w:lineRule="auto"/>
      </w:pPr>
      <w:r>
        <w:t>3. Keep / delete / demote matrix</w:t>
      </w:r>
    </w:p>
    <w:tbl>
      <w:tblPr>
        <w:tblStyle w:val="TableGrid"/>
        <w:tblW w:type="auto" w:w="0"/>
        <w:jc w:val="center"/>
        <w:tblLayout w:type="fixed"/>
        <w:tblLook w:firstColumn="1" w:firstRow="1" w:lastColumn="0" w:lastRow="0" w:noHBand="0" w:noVBand="1" w:val="04A0"/>
        <w:tblBorders>
          <w:top w:val="single" w:sz="8" w:space="0" w:color="C7D8ED"/>
          <w:left w:val="single" w:sz="8" w:space="0" w:color="C7D8ED"/>
          <w:bottom w:val="single" w:sz="8" w:space="0" w:color="C7D8ED"/>
          <w:right w:val="single" w:sz="8" w:space="0" w:color="C7D8ED"/>
          <w:insideH w:val="single" w:sz="8" w:space="0" w:color="C7D8ED"/>
          <w:insideV w:val="single" w:sz="8" w:space="0" w:color="C7D8ED"/>
        </w:tblBorders>
      </w:tblPr>
      <w:tblGrid>
        <w:gridCol w:w="3216"/>
        <w:gridCol w:w="3216"/>
        <w:gridCol w:w="3216"/>
      </w:tblGrid>
      <w:tr>
        <w:tc>
          <w:tcPr>
            <w:tcW w:type="dxa" w:w="3744"/>
            <w:vAlign w:val="center"/>
            <w:shd w:fill="DCE6F1"/>
          </w:tcPr>
          <w:p>
            <w:pPr>
              <w:spacing w:after="40" w:before="40"/>
              <w:jc w:val="center"/>
            </w:pPr>
            <w:r>
              <w:rPr>
                <w:b/>
                <w:color w:val="1D3F5F"/>
                <w:sz w:val="19"/>
              </w:rPr>
              <w:t>Material in current 03b</w:t>
            </w:r>
          </w:p>
        </w:tc>
        <w:tc>
          <w:tcPr>
            <w:tcW w:type="dxa" w:w="2448"/>
            <w:vAlign w:val="center"/>
            <w:shd w:fill="DCE6F1"/>
          </w:tcPr>
          <w:p>
            <w:pPr>
              <w:spacing w:after="40" w:before="40"/>
              <w:jc w:val="center"/>
            </w:pPr>
            <w:r>
              <w:rPr>
                <w:b/>
                <w:color w:val="1D3F5F"/>
                <w:sz w:val="19"/>
              </w:rPr>
              <w:t>Status in revised 03b</w:t>
            </w:r>
          </w:p>
        </w:tc>
        <w:tc>
          <w:tcPr>
            <w:tcW w:type="dxa" w:w="3744"/>
            <w:vAlign w:val="center"/>
            <w:shd w:fill="DCE6F1"/>
          </w:tcPr>
          <w:p>
            <w:pPr>
              <w:spacing w:after="40" w:before="40"/>
              <w:jc w:val="center"/>
            </w:pPr>
            <w:r>
              <w:rPr>
                <w:b/>
                <w:color w:val="1D3F5F"/>
                <w:sz w:val="19"/>
              </w:rPr>
              <w:t>How to use it</w:t>
            </w:r>
          </w:p>
        </w:tc>
      </w:tr>
      <w:tr>
        <w:tc>
          <w:tcPr>
            <w:tcW w:type="dxa" w:w="3744"/>
            <w:vAlign w:val="center"/>
          </w:tcPr>
          <w:p>
            <w:pPr>
              <w:spacing w:after="40" w:before="40" w:line="250" w:lineRule="auto"/>
              <w:jc w:val="left"/>
            </w:pPr>
            <w:r>
              <w:rPr>
                <w:sz w:val="18"/>
              </w:rPr>
              <w:t>Section 2 bridge package from 01</w:t>
            </w:r>
          </w:p>
        </w:tc>
        <w:tc>
          <w:tcPr>
            <w:tcW w:type="dxa" w:w="2448"/>
            <w:vAlign w:val="center"/>
          </w:tcPr>
          <w:p>
            <w:pPr>
              <w:spacing w:after="40" w:before="40" w:line="250" w:lineRule="auto"/>
              <w:jc w:val="center"/>
            </w:pPr>
            <w:r>
              <w:rPr>
                <w:sz w:val="18"/>
              </w:rPr>
              <w:t>Keep</w:t>
            </w:r>
          </w:p>
        </w:tc>
        <w:tc>
          <w:tcPr>
            <w:tcW w:type="dxa" w:w="3744"/>
            <w:vAlign w:val="center"/>
          </w:tcPr>
          <w:p>
            <w:pPr>
              <w:spacing w:after="40" w:before="40" w:line="250" w:lineRule="auto"/>
              <w:jc w:val="left"/>
            </w:pPr>
            <w:r>
              <w:rPr>
                <w:sz w:val="18"/>
              </w:rPr>
              <w:t>Reuse it as the stochastic substrate and as the source of the underlying path law.</w:t>
            </w:r>
          </w:p>
        </w:tc>
      </w:tr>
      <w:tr>
        <w:tc>
          <w:tcPr>
            <w:tcW w:type="dxa" w:w="3744"/>
            <w:vAlign w:val="center"/>
          </w:tcPr>
          <w:p>
            <w:pPr>
              <w:spacing w:after="40" w:before="40" w:line="250" w:lineRule="auto"/>
              <w:jc w:val="left"/>
            </w:pPr>
            <w:r>
              <w:rPr>
                <w:sz w:val="18"/>
              </w:rPr>
              <w:t>Definition of continuum connection A_mu[c] and curvature F_{mu nu}[c]</w:t>
            </w:r>
          </w:p>
        </w:tc>
        <w:tc>
          <w:tcPr>
            <w:tcW w:type="dxa" w:w="2448"/>
            <w:vAlign w:val="center"/>
          </w:tcPr>
          <w:p>
            <w:pPr>
              <w:spacing w:after="40" w:before="40" w:line="250" w:lineRule="auto"/>
              <w:jc w:val="center"/>
            </w:pPr>
            <w:r>
              <w:rPr>
                <w:sz w:val="18"/>
              </w:rPr>
              <w:t>Keep, but demote</w:t>
            </w:r>
          </w:p>
        </w:tc>
        <w:tc>
          <w:tcPr>
            <w:tcW w:type="dxa" w:w="3744"/>
            <w:vAlign w:val="center"/>
          </w:tcPr>
          <w:p>
            <w:pPr>
              <w:spacing w:after="40" w:before="40" w:line="250" w:lineRule="auto"/>
              <w:jc w:val="left"/>
            </w:pPr>
            <w:r>
              <w:rPr>
                <w:sz w:val="18"/>
              </w:rPr>
              <w:t>Use only for the classical comparison theorem and not as the primary finite gauge field.</w:t>
            </w:r>
          </w:p>
        </w:tc>
      </w:tr>
      <w:tr>
        <w:tc>
          <w:tcPr>
            <w:tcW w:type="dxa" w:w="3744"/>
            <w:vAlign w:val="center"/>
          </w:tcPr>
          <w:p>
            <w:pPr>
              <w:spacing w:after="40" w:before="40" w:line="250" w:lineRule="auto"/>
              <w:jc w:val="left"/>
            </w:pPr>
            <w:r>
              <w:rPr>
                <w:sz w:val="18"/>
              </w:rPr>
              <w:t>Deterministic regulator scales</w:t>
            </w:r>
          </w:p>
        </w:tc>
        <w:tc>
          <w:tcPr>
            <w:tcW w:type="dxa" w:w="2448"/>
            <w:vAlign w:val="center"/>
          </w:tcPr>
          <w:p>
            <w:pPr>
              <w:spacing w:after="40" w:before="40" w:line="250" w:lineRule="auto"/>
              <w:jc w:val="left"/>
            </w:pPr>
            <w:r>
              <w:rPr>
                <w:sz w:val="18"/>
              </w:rPr>
              <w:t>Delete as primary structure</w:t>
            </w:r>
          </w:p>
        </w:tc>
        <w:tc>
          <w:tcPr>
            <w:tcW w:type="dxa" w:w="3744"/>
            <w:vAlign w:val="center"/>
          </w:tcPr>
          <w:p>
            <w:pPr>
              <w:spacing w:after="40" w:before="40" w:line="250" w:lineRule="auto"/>
              <w:jc w:val="left"/>
            </w:pPr>
            <w:r>
              <w:rPr>
                <w:sz w:val="18"/>
              </w:rPr>
              <w:t>If retained at all, move to an appendix as an auxiliary comparison chart.</w:t>
            </w:r>
          </w:p>
        </w:tc>
      </w:tr>
      <w:tr>
        <w:tc>
          <w:tcPr>
            <w:tcW w:type="dxa" w:w="3744"/>
            <w:vAlign w:val="center"/>
          </w:tcPr>
          <w:p>
            <w:pPr>
              <w:spacing w:after="40" w:before="40" w:line="250" w:lineRule="auto"/>
              <w:jc w:val="left"/>
            </w:pPr>
            <w:r>
              <w:rPr>
                <w:sz w:val="18"/>
              </w:rPr>
              <w:t>Deterministic flat QFT lattice</w:t>
            </w:r>
          </w:p>
        </w:tc>
        <w:tc>
          <w:tcPr>
            <w:tcW w:type="dxa" w:w="2448"/>
            <w:vAlign w:val="center"/>
          </w:tcPr>
          <w:p>
            <w:pPr>
              <w:spacing w:after="40" w:before="40" w:line="250" w:lineRule="auto"/>
              <w:jc w:val="center"/>
            </w:pPr>
            <w:r>
              <w:rPr>
                <w:sz w:val="18"/>
              </w:rPr>
              <w:t>Delete / replace</w:t>
            </w:r>
          </w:p>
        </w:tc>
        <w:tc>
          <w:tcPr>
            <w:tcW w:type="dxa" w:w="3744"/>
            <w:vAlign w:val="center"/>
          </w:tcPr>
          <w:p>
            <w:pPr>
              <w:spacing w:after="40" w:before="40" w:line="250" w:lineRule="auto"/>
              <w:jc w:val="left"/>
            </w:pPr>
            <w:r>
              <w:rPr>
                <w:sz w:val="18"/>
              </w:rPr>
              <w:t>Replace entirely with the realized Fractal regulator.</w:t>
            </w:r>
          </w:p>
        </w:tc>
      </w:tr>
      <w:tr>
        <w:tc>
          <w:tcPr>
            <w:tcW w:type="dxa" w:w="3744"/>
            <w:vAlign w:val="center"/>
          </w:tcPr>
          <w:p>
            <w:pPr>
              <w:spacing w:after="40" w:before="40" w:line="250" w:lineRule="auto"/>
              <w:jc w:val="left"/>
            </w:pPr>
            <w:r>
              <w:rPr>
                <w:sz w:val="18"/>
              </w:rPr>
              <w:t>Deterministically sampled site colors</w:t>
            </w:r>
          </w:p>
        </w:tc>
        <w:tc>
          <w:tcPr>
            <w:tcW w:type="dxa" w:w="2448"/>
            <w:vAlign w:val="center"/>
          </w:tcPr>
          <w:p>
            <w:pPr>
              <w:spacing w:after="40" w:before="40" w:line="250" w:lineRule="auto"/>
              <w:jc w:val="center"/>
            </w:pPr>
            <w:r>
              <w:rPr>
                <w:sz w:val="18"/>
              </w:rPr>
              <w:t>Delete / replace</w:t>
            </w:r>
          </w:p>
        </w:tc>
        <w:tc>
          <w:tcPr>
            <w:tcW w:type="dxa" w:w="3744"/>
            <w:vAlign w:val="center"/>
          </w:tcPr>
          <w:p>
            <w:pPr>
              <w:spacing w:after="40" w:before="40" w:line="250" w:lineRule="auto"/>
              <w:jc w:val="left"/>
            </w:pPr>
            <w:r>
              <w:rPr>
                <w:sz w:val="18"/>
              </w:rPr>
              <w:t>Replace with realized edge transports U_e(ω) on the Fractal regulator.</w:t>
            </w:r>
          </w:p>
        </w:tc>
      </w:tr>
      <w:tr>
        <w:tc>
          <w:tcPr>
            <w:tcW w:type="dxa" w:w="3744"/>
            <w:vAlign w:val="center"/>
          </w:tcPr>
          <w:p>
            <w:pPr>
              <w:spacing w:after="40" w:before="40" w:line="250" w:lineRule="auto"/>
              <w:jc w:val="left"/>
            </w:pPr>
            <w:r>
              <w:rPr>
                <w:sz w:val="18"/>
              </w:rPr>
              <w:t>Gauge invariance section</w:t>
            </w:r>
          </w:p>
        </w:tc>
        <w:tc>
          <w:tcPr>
            <w:tcW w:type="dxa" w:w="2448"/>
            <w:vAlign w:val="center"/>
          </w:tcPr>
          <w:p>
            <w:pPr>
              <w:spacing w:after="40" w:before="40" w:line="250" w:lineRule="auto"/>
              <w:jc w:val="center"/>
            </w:pPr>
            <w:r>
              <w:rPr>
                <w:sz w:val="18"/>
              </w:rPr>
              <w:t>Keep and rewrite</w:t>
            </w:r>
          </w:p>
        </w:tc>
        <w:tc>
          <w:tcPr>
            <w:tcW w:type="dxa" w:w="3744"/>
            <w:vAlign w:val="center"/>
          </w:tcPr>
          <w:p>
            <w:pPr>
              <w:spacing w:after="40" w:before="40" w:line="250" w:lineRule="auto"/>
              <w:jc w:val="left"/>
            </w:pPr>
            <w:r>
              <w:rPr>
                <w:sz w:val="18"/>
              </w:rPr>
              <w:t>Prove gauge covariance/invariance for the new random edge assignments and plaquette traces.</w:t>
            </w:r>
          </w:p>
        </w:tc>
      </w:tr>
      <w:tr>
        <w:tc>
          <w:tcPr>
            <w:tcW w:type="dxa" w:w="3744"/>
            <w:vAlign w:val="center"/>
          </w:tcPr>
          <w:p>
            <w:pPr>
              <w:spacing w:after="40" w:before="40" w:line="250" w:lineRule="auto"/>
              <w:jc w:val="left"/>
            </w:pPr>
            <w:r>
              <w:rPr>
                <w:sz w:val="18"/>
              </w:rPr>
              <w:t>Orientation-wise Riemann convergence</w:t>
            </w:r>
          </w:p>
        </w:tc>
        <w:tc>
          <w:tcPr>
            <w:tcW w:type="dxa" w:w="2448"/>
            <w:vAlign w:val="center"/>
          </w:tcPr>
          <w:p>
            <w:pPr>
              <w:spacing w:after="40" w:before="40" w:line="250" w:lineRule="auto"/>
              <w:jc w:val="center"/>
            </w:pPr>
            <w:r>
              <w:rPr>
                <w:sz w:val="18"/>
              </w:rPr>
              <w:t>Demote</w:t>
            </w:r>
          </w:p>
        </w:tc>
        <w:tc>
          <w:tcPr>
            <w:tcW w:type="dxa" w:w="3744"/>
            <w:vAlign w:val="center"/>
          </w:tcPr>
          <w:p>
            <w:pPr>
              <w:spacing w:after="40" w:before="40" w:line="250" w:lineRule="auto"/>
              <w:jc w:val="left"/>
            </w:pPr>
            <w:r>
              <w:rPr>
                <w:sz w:val="18"/>
              </w:rPr>
              <w:t>Turn it into a final comparison lemma for the expected small-loop classical limit, not the main theorem.</w:t>
            </w:r>
          </w:p>
        </w:tc>
      </w:tr>
      <w:tr>
        <w:tc>
          <w:tcPr>
            <w:tcW w:type="dxa" w:w="3744"/>
            <w:vAlign w:val="center"/>
          </w:tcPr>
          <w:p>
            <w:pPr>
              <w:spacing w:after="40" w:before="40" w:line="250" w:lineRule="auto"/>
              <w:jc w:val="center"/>
            </w:pPr>
            <w:r>
              <w:rPr>
                <w:sz w:val="18"/>
              </w:rPr>
              <w:t>Export package</w:t>
            </w:r>
          </w:p>
        </w:tc>
        <w:tc>
          <w:tcPr>
            <w:tcW w:type="dxa" w:w="2448"/>
            <w:vAlign w:val="center"/>
          </w:tcPr>
          <w:p>
            <w:pPr>
              <w:spacing w:after="40" w:before="40" w:line="250" w:lineRule="auto"/>
              <w:jc w:val="center"/>
            </w:pPr>
            <w:r>
              <w:rPr>
                <w:sz w:val="18"/>
              </w:rPr>
              <w:t>Rewrite</w:t>
            </w:r>
          </w:p>
        </w:tc>
        <w:tc>
          <w:tcPr>
            <w:tcW w:type="dxa" w:w="3744"/>
            <w:vAlign w:val="center"/>
          </w:tcPr>
          <w:p>
            <w:pPr>
              <w:spacing w:after="40" w:before="40" w:line="250" w:lineRule="auto"/>
              <w:jc w:val="left"/>
            </w:pPr>
            <w:r>
              <w:rPr>
                <w:sz w:val="18"/>
              </w:rPr>
              <w:t>Export the random regulator, induced gauge measure, Wilson observables, and classical comparison package.</w:t>
            </w:r>
          </w:p>
        </w:tc>
      </w:tr>
    </w:tbl>
    <w:p>
      <w:pPr>
        <w:spacing w:after="0"/>
      </w:pPr>
    </w:p>
    <w:p>
      <w:pPr>
        <w:pStyle w:val="Heading1"/>
        <w:spacing w:after="80" w:before="160" w:line="269" w:lineRule="auto"/>
      </w:pPr>
      <w:r>
        <w:t>4. Section-by-section rewrite map</w:t>
      </w:r>
    </w:p>
    <w:p>
      <w:pPr>
        <w:spacing w:after="160" w:before="0" w:line="269" w:lineRule="auto"/>
      </w:pPr>
      <w:r>
        <w:t>The cleanest way to revise 03b is to rewrite its structure around the Fractal regulator. The section mapping below is the exact replacement plan.</w:t>
      </w:r>
    </w:p>
    <w:tbl>
      <w:tblPr>
        <w:tblStyle w:val="TableGrid"/>
        <w:tblW w:type="auto" w:w="0"/>
        <w:jc w:val="center"/>
        <w:tblLayout w:type="fixed"/>
        <w:tblLook w:firstColumn="1" w:firstRow="1" w:lastColumn="0" w:lastRow="0" w:noHBand="0" w:noVBand="1" w:val="04A0"/>
        <w:tblBorders>
          <w:top w:val="single" w:sz="8" w:space="0" w:color="C7D8ED"/>
          <w:left w:val="single" w:sz="8" w:space="0" w:color="C7D8ED"/>
          <w:bottom w:val="single" w:sz="8" w:space="0" w:color="C7D8ED"/>
          <w:right w:val="single" w:sz="8" w:space="0" w:color="C7D8ED"/>
          <w:insideH w:val="single" w:sz="8" w:space="0" w:color="C7D8ED"/>
          <w:insideV w:val="single" w:sz="8" w:space="0" w:color="C7D8ED"/>
        </w:tblBorders>
      </w:tblPr>
      <w:tblGrid>
        <w:gridCol w:w="3216"/>
        <w:gridCol w:w="3216"/>
        <w:gridCol w:w="3216"/>
      </w:tblGrid>
      <w:tr>
        <w:tc>
          <w:tcPr>
            <w:tcW w:type="dxa" w:w="2592"/>
            <w:vAlign w:val="center"/>
            <w:shd w:fill="DCE6F1"/>
          </w:tcPr>
          <w:p>
            <w:pPr>
              <w:spacing w:after="40" w:before="40"/>
              <w:jc w:val="center"/>
            </w:pPr>
            <w:r>
              <w:rPr>
                <w:b/>
                <w:color w:val="1D3F5F"/>
                <w:sz w:val="19"/>
              </w:rPr>
              <w:t>Current 03b section</w:t>
            </w:r>
          </w:p>
        </w:tc>
        <w:tc>
          <w:tcPr>
            <w:tcW w:type="dxa" w:w="3168"/>
            <w:vAlign w:val="center"/>
            <w:shd w:fill="DCE6F1"/>
          </w:tcPr>
          <w:p>
            <w:pPr>
              <w:spacing w:after="40" w:before="40"/>
              <w:jc w:val="center"/>
            </w:pPr>
            <w:r>
              <w:rPr>
                <w:b/>
                <w:color w:val="1D3F5F"/>
                <w:sz w:val="19"/>
              </w:rPr>
              <w:t>New section title</w:t>
            </w:r>
          </w:p>
        </w:tc>
        <w:tc>
          <w:tcPr>
            <w:tcW w:type="dxa" w:w="4320"/>
            <w:vAlign w:val="center"/>
            <w:shd w:fill="DCE6F1"/>
          </w:tcPr>
          <w:p>
            <w:pPr>
              <w:spacing w:after="40" w:before="40"/>
              <w:jc w:val="center"/>
            </w:pPr>
            <w:r>
              <w:rPr>
                <w:b/>
                <w:color w:val="1D3F5F"/>
                <w:sz w:val="19"/>
              </w:rPr>
              <w:t>Exact action</w:t>
            </w:r>
          </w:p>
        </w:tc>
      </w:tr>
      <w:tr>
        <w:tc>
          <w:tcPr>
            <w:tcW w:type="dxa" w:w="2592"/>
            <w:vAlign w:val="center"/>
          </w:tcPr>
          <w:p>
            <w:pPr>
              <w:spacing w:after="40" w:before="40" w:line="250" w:lineRule="auto"/>
              <w:jc w:val="center"/>
            </w:pPr>
            <w:r>
              <w:rPr>
                <w:sz w:val="18"/>
              </w:rPr>
              <w:t>Abstract</w:t>
            </w:r>
          </w:p>
        </w:tc>
        <w:tc>
          <w:tcPr>
            <w:tcW w:type="dxa" w:w="3168"/>
            <w:vAlign w:val="center"/>
          </w:tcPr>
          <w:p>
            <w:pPr>
              <w:spacing w:after="40" w:before="40" w:line="250" w:lineRule="auto"/>
              <w:jc w:val="left"/>
            </w:pPr>
            <w:r>
              <w:rPr>
                <w:sz w:val="18"/>
              </w:rPr>
              <w:t>Abstract (rewritten)</w:t>
            </w:r>
          </w:p>
        </w:tc>
        <w:tc>
          <w:tcPr>
            <w:tcW w:type="dxa" w:w="4320"/>
            <w:vAlign w:val="center"/>
          </w:tcPr>
          <w:p>
            <w:pPr>
              <w:spacing w:after="40" w:before="40" w:line="250" w:lineRule="auto"/>
              <w:jc w:val="left"/>
            </w:pPr>
            <w:r>
              <w:rPr>
                <w:sz w:val="18"/>
              </w:rPr>
              <w:t>Replace deterministic-flat-regulator language with random Fractal regulator, realized edge holonomies, pushforward gauge law, and classical consistency of expected small loops.</w:t>
            </w:r>
          </w:p>
        </w:tc>
      </w:tr>
      <w:tr>
        <w:tc>
          <w:tcPr>
            <w:tcW w:type="dxa" w:w="2592"/>
            <w:vAlign w:val="center"/>
          </w:tcPr>
          <w:p>
            <w:pPr>
              <w:spacing w:after="40" w:before="40" w:line="250" w:lineRule="auto"/>
              <w:jc w:val="center"/>
            </w:pPr>
            <w:r>
              <w:rPr>
                <w:sz w:val="18"/>
              </w:rPr>
              <w:t>1 Introduction</w:t>
            </w:r>
          </w:p>
        </w:tc>
        <w:tc>
          <w:tcPr>
            <w:tcW w:type="dxa" w:w="3168"/>
            <w:vAlign w:val="center"/>
          </w:tcPr>
          <w:p>
            <w:pPr>
              <w:spacing w:after="40" w:before="40" w:line="250" w:lineRule="auto"/>
              <w:jc w:val="left"/>
            </w:pPr>
            <w:r>
              <w:rPr>
                <w:sz w:val="18"/>
              </w:rPr>
              <w:t>1 Introduction (rewritten)</w:t>
            </w:r>
          </w:p>
        </w:tc>
        <w:tc>
          <w:tcPr>
            <w:tcW w:type="dxa" w:w="4320"/>
            <w:vAlign w:val="center"/>
          </w:tcPr>
          <w:p>
            <w:pPr>
              <w:spacing w:after="40" w:before="40" w:line="250" w:lineRule="auto"/>
              <w:jc w:val="left"/>
            </w:pPr>
            <w:r>
              <w:rPr>
                <w:sz w:val="18"/>
              </w:rPr>
              <w:t>State that the old deterministic sampled-lattice formulation is replaced by the Fractal-Gas regulator construction. Explain that the finite theory now lives on the realized random complex.</w:t>
            </w:r>
          </w:p>
        </w:tc>
      </w:tr>
      <w:tr>
        <w:tc>
          <w:tcPr>
            <w:tcW w:type="dxa" w:w="2592"/>
            <w:vAlign w:val="center"/>
          </w:tcPr>
          <w:p>
            <w:pPr>
              <w:spacing w:after="40" w:before="40" w:line="250" w:lineRule="auto"/>
              <w:jc w:val="left"/>
            </w:pPr>
            <w:r>
              <w:rPr>
                <w:sz w:val="18"/>
              </w:rPr>
              <w:t>2 Particle-system preliminaries</w:t>
            </w:r>
          </w:p>
        </w:tc>
        <w:tc>
          <w:tcPr>
            <w:tcW w:type="dxa" w:w="3168"/>
            <w:vAlign w:val="center"/>
          </w:tcPr>
          <w:p>
            <w:pPr>
              <w:spacing w:after="40" w:before="40" w:line="250" w:lineRule="auto"/>
              <w:jc w:val="left"/>
            </w:pPr>
            <w:r>
              <w:rPr>
                <w:sz w:val="18"/>
              </w:rPr>
              <w:t>2 Stochastic substrate imported from 01</w:t>
            </w:r>
          </w:p>
        </w:tc>
        <w:tc>
          <w:tcPr>
            <w:tcW w:type="dxa" w:w="4320"/>
            <w:vAlign w:val="center"/>
          </w:tcPr>
          <w:p>
            <w:pPr>
              <w:spacing w:after="40" w:before="40" w:line="250" w:lineRule="auto"/>
              <w:jc w:val="left"/>
            </w:pPr>
            <w:r>
              <w:rPr>
                <w:sz w:val="18"/>
              </w:rPr>
              <w:t>Keep most of the technical imports; reframe them as the probability basis for the random gauge construction.</w:t>
            </w:r>
          </w:p>
        </w:tc>
      </w:tr>
      <w:tr>
        <w:tc>
          <w:tcPr>
            <w:tcW w:type="dxa" w:w="2592"/>
            <w:vAlign w:val="center"/>
          </w:tcPr>
          <w:p>
            <w:pPr>
              <w:spacing w:after="40" w:before="40" w:line="250" w:lineRule="auto"/>
              <w:jc w:val="left"/>
            </w:pPr>
            <w:r>
              <w:rPr>
                <w:sz w:val="18"/>
              </w:rPr>
              <w:t>3 Continuum gauge profile</w:t>
            </w:r>
          </w:p>
        </w:tc>
        <w:tc>
          <w:tcPr>
            <w:tcW w:type="dxa" w:w="3168"/>
            <w:vAlign w:val="center"/>
          </w:tcPr>
          <w:p>
            <w:pPr>
              <w:spacing w:after="40" w:before="40" w:line="250" w:lineRule="auto"/>
              <w:jc w:val="left"/>
            </w:pPr>
            <w:r>
              <w:rPr>
                <w:sz w:val="18"/>
              </w:rPr>
              <w:t>3 Effective continuum background</w:t>
            </w:r>
          </w:p>
        </w:tc>
        <w:tc>
          <w:tcPr>
            <w:tcW w:type="dxa" w:w="4320"/>
            <w:vAlign w:val="center"/>
          </w:tcPr>
          <w:p>
            <w:pPr>
              <w:spacing w:after="40" w:before="40" w:line="250" w:lineRule="auto"/>
              <w:jc w:val="left"/>
            </w:pPr>
            <w:r>
              <w:rPr>
                <w:sz w:val="18"/>
              </w:rPr>
              <w:t>Keep but demote. Use A[c] and F[c] only as the smooth comparison field governing the final expected small-loop limit.</w:t>
            </w:r>
          </w:p>
        </w:tc>
      </w:tr>
      <w:tr>
        <w:tc>
          <w:tcPr>
            <w:tcW w:type="dxa" w:w="2592"/>
            <w:vAlign w:val="center"/>
          </w:tcPr>
          <w:p>
            <w:pPr>
              <w:spacing w:after="40" w:before="40" w:line="250" w:lineRule="auto"/>
              <w:jc w:val="left"/>
            </w:pPr>
            <w:r>
              <w:rPr>
                <w:sz w:val="18"/>
              </w:rPr>
              <w:t>4 Deterministic regulator scales</w:t>
            </w:r>
          </w:p>
        </w:tc>
        <w:tc>
          <w:tcPr>
            <w:tcW w:type="dxa" w:w="3168"/>
            <w:vAlign w:val="center"/>
          </w:tcPr>
          <w:p>
            <w:pPr>
              <w:spacing w:after="40" w:before="40" w:line="250" w:lineRule="auto"/>
              <w:jc w:val="left"/>
            </w:pPr>
            <w:r>
              <w:rPr>
                <w:sz w:val="18"/>
              </w:rPr>
              <w:t>4 Random Fractal regulator</w:t>
            </w:r>
          </w:p>
        </w:tc>
        <w:tc>
          <w:tcPr>
            <w:tcW w:type="dxa" w:w="4320"/>
            <w:vAlign w:val="center"/>
          </w:tcPr>
          <w:p>
            <w:pPr>
              <w:spacing w:after="40" w:before="40" w:line="250" w:lineRule="auto"/>
              <w:jc w:val="left"/>
            </w:pPr>
            <w:r>
              <w:rPr>
                <w:sz w:val="18"/>
              </w:rPr>
              <w:t>Delete the deterministic scales as foundational objects. Replace with the realized node / edge / triangle / plaquette complex extracted from the swarm run.</w:t>
            </w:r>
          </w:p>
        </w:tc>
      </w:tr>
      <w:tr>
        <w:tc>
          <w:tcPr>
            <w:tcW w:type="dxa" w:w="2592"/>
            <w:vAlign w:val="center"/>
          </w:tcPr>
          <w:p>
            <w:pPr>
              <w:spacing w:after="40" w:before="40" w:line="250" w:lineRule="auto"/>
              <w:jc w:val="left"/>
            </w:pPr>
            <w:r>
              <w:rPr>
                <w:sz w:val="18"/>
              </w:rPr>
              <w:t>5 Deterministic flat QFT lattice</w:t>
            </w:r>
          </w:p>
        </w:tc>
        <w:tc>
          <w:tcPr>
            <w:tcW w:type="dxa" w:w="3168"/>
            <w:vAlign w:val="center"/>
          </w:tcPr>
          <w:p>
            <w:pPr>
              <w:spacing w:after="40" w:before="40" w:line="250" w:lineRule="auto"/>
              <w:jc w:val="left"/>
            </w:pPr>
            <w:r>
              <w:rPr>
                <w:sz w:val="18"/>
              </w:rPr>
              <w:t>5 Random gauge connection on the Fractal regulator</w:t>
            </w:r>
          </w:p>
        </w:tc>
        <w:tc>
          <w:tcPr>
            <w:tcW w:type="dxa" w:w="4320"/>
            <w:vAlign w:val="center"/>
          </w:tcPr>
          <w:p>
            <w:pPr>
              <w:spacing w:after="40" w:before="40" w:line="250" w:lineRule="auto"/>
              <w:jc w:val="left"/>
            </w:pPr>
            <w:r>
              <w:rPr>
                <w:sz w:val="18"/>
              </w:rPr>
              <w:t>Delete coordinate-edge and coordinate-plaquette definitions. Replace with realized oriented edge classes and edge transports U_e(ω).</w:t>
            </w:r>
          </w:p>
        </w:tc>
      </w:tr>
      <w:tr>
        <w:tc>
          <w:tcPr>
            <w:tcW w:type="dxa" w:w="2592"/>
            <w:vAlign w:val="center"/>
          </w:tcPr>
          <w:p>
            <w:pPr>
              <w:spacing w:after="40" w:before="40" w:line="250" w:lineRule="auto"/>
              <w:jc w:val="left"/>
            </w:pPr>
            <w:r>
              <w:rPr>
                <w:sz w:val="18"/>
              </w:rPr>
              <w:t>6 Stationary mean-field color profile and sampled lattice field</w:t>
            </w:r>
          </w:p>
        </w:tc>
        <w:tc>
          <w:tcPr>
            <w:tcW w:type="dxa" w:w="3168"/>
            <w:vAlign w:val="center"/>
          </w:tcPr>
          <w:p>
            <w:pPr>
              <w:spacing w:after="40" w:before="40" w:line="250" w:lineRule="auto"/>
              <w:jc w:val="left"/>
            </w:pPr>
            <w:r>
              <w:rPr>
                <w:sz w:val="18"/>
              </w:rPr>
              <w:t>6 Wilson observables on the Fractal regulator</w:t>
            </w:r>
          </w:p>
        </w:tc>
        <w:tc>
          <w:tcPr>
            <w:tcW w:type="dxa" w:w="4320"/>
            <w:vAlign w:val="center"/>
          </w:tcPr>
          <w:p>
            <w:pPr>
              <w:spacing w:after="40" w:before="40" w:line="250" w:lineRule="auto"/>
              <w:jc w:val="left"/>
            </w:pPr>
            <w:r>
              <w:rPr>
                <w:sz w:val="18"/>
              </w:rPr>
              <w:t>Replace deterministic sampled colors and midpoint links by realized edge variables, realized plaquette holonomies, and random Wilson action.</w:t>
            </w:r>
          </w:p>
        </w:tc>
      </w:tr>
      <w:tr>
        <w:tc>
          <w:tcPr>
            <w:tcW w:type="dxa" w:w="2592"/>
            <w:vAlign w:val="center"/>
          </w:tcPr>
          <w:p>
            <w:pPr>
              <w:spacing w:after="40" w:before="40" w:line="250" w:lineRule="auto"/>
              <w:jc w:val="center"/>
            </w:pPr>
            <w:r>
              <w:rPr>
                <w:sz w:val="18"/>
              </w:rPr>
              <w:t>7 Local continuum limit</w:t>
            </w:r>
          </w:p>
        </w:tc>
        <w:tc>
          <w:tcPr>
            <w:tcW w:type="dxa" w:w="3168"/>
            <w:vAlign w:val="center"/>
          </w:tcPr>
          <w:p>
            <w:pPr>
              <w:spacing w:after="40" w:before="40" w:line="250" w:lineRule="auto"/>
              <w:jc w:val="left"/>
            </w:pPr>
            <w:r>
              <w:rPr>
                <w:sz w:val="18"/>
              </w:rPr>
              <w:t>7 Induced gauge law and classical comparison limit</w:t>
            </w:r>
          </w:p>
        </w:tc>
        <w:tc>
          <w:tcPr>
            <w:tcW w:type="dxa" w:w="4320"/>
            <w:vAlign w:val="center"/>
          </w:tcPr>
          <w:p>
            <w:pPr>
              <w:spacing w:after="40" w:before="40" w:line="250" w:lineRule="auto"/>
              <w:jc w:val="left"/>
            </w:pPr>
            <w:r>
              <w:rPr>
                <w:sz w:val="18"/>
              </w:rPr>
              <w:t>Split into two results: first define the induced finite gauge law; then prove the expected small-loop comparison to the effective continuum Yang–Mills density.</w:t>
            </w:r>
          </w:p>
        </w:tc>
      </w:tr>
      <w:tr>
        <w:tc>
          <w:tcPr>
            <w:tcW w:type="dxa" w:w="2592"/>
            <w:vAlign w:val="center"/>
          </w:tcPr>
          <w:p>
            <w:pPr>
              <w:spacing w:after="40" w:before="40" w:line="250" w:lineRule="auto"/>
              <w:jc w:val="left"/>
            </w:pPr>
            <w:r>
              <w:rPr>
                <w:sz w:val="18"/>
              </w:rPr>
              <w:t>8 Exported theorem package</w:t>
            </w:r>
          </w:p>
        </w:tc>
        <w:tc>
          <w:tcPr>
            <w:tcW w:type="dxa" w:w="3168"/>
            <w:vAlign w:val="center"/>
          </w:tcPr>
          <w:p>
            <w:pPr>
              <w:spacing w:after="40" w:before="40" w:line="250" w:lineRule="auto"/>
              <w:jc w:val="left"/>
            </w:pPr>
            <w:r>
              <w:rPr>
                <w:sz w:val="18"/>
              </w:rPr>
              <w:t>8 Export package for revised 04b</w:t>
            </w:r>
          </w:p>
        </w:tc>
        <w:tc>
          <w:tcPr>
            <w:tcW w:type="dxa" w:w="4320"/>
            <w:vAlign w:val="center"/>
          </w:tcPr>
          <w:p>
            <w:pPr>
              <w:spacing w:after="40" w:before="40" w:line="250" w:lineRule="auto"/>
              <w:jc w:val="left"/>
            </w:pPr>
            <w:r>
              <w:rPr>
                <w:sz w:val="18"/>
              </w:rPr>
              <w:t>Export random regulator measurability, edge transports, Wilson observables, induced gauge measure, and classical background consistency.</w:t>
            </w:r>
          </w:p>
        </w:tc>
      </w:tr>
    </w:tbl>
    <w:p>
      <w:pPr>
        <w:spacing w:after="0"/>
      </w:pPr>
    </w:p>
    <w:p>
      <w:pPr>
        <w:pStyle w:val="Heading1"/>
        <w:spacing w:after="80" w:before="160" w:line="269" w:lineRule="auto"/>
      </w:pPr>
      <w:r>
        <w:t>5. Exact abstract and introduction changes</w:t>
      </w:r>
    </w:p>
    <w:p>
      <w:pPr>
        <w:spacing w:after="120" w:before="0" w:line="269" w:lineRule="auto"/>
      </w:pPr>
      <w:r>
        <w:t>Use the following replacement logic literally; this is the easiest way to keep the paper aligned with the Fractal Gas architecture.</w:t>
      </w:r>
    </w:p>
    <w:p>
      <w:pPr>
        <w:pStyle w:val="Heading2"/>
        <w:spacing w:after="40" w:before="40" w:line="269" w:lineRule="auto"/>
      </w:pPr>
      <w:r>
        <w:t>Abstract: replacement content</w:t>
      </w:r>
    </w:p>
    <w:tbl>
      <w:tblPr>
        <w:tblW w:type="auto" w:w="0"/>
        <w:jc w:val="center"/>
        <w:tblLook w:firstColumn="1" w:firstRow="1" w:lastColumn="0" w:lastRow="0" w:noHBand="0" w:noVBand="1" w:val="04A0"/>
        <w:tblBorders>
          <w:top w:val="single" w:sz="10" w:space="0" w:color="C7D8ED"/>
          <w:left w:val="single" w:sz="10" w:space="0" w:color="C7D8ED"/>
          <w:bottom w:val="single" w:sz="10" w:space="0" w:color="C7D8ED"/>
          <w:right w:val="single" w:sz="10" w:space="0" w:color="C7D8ED"/>
          <w:insideH w:val="single" w:sz="10" w:space="0" w:color="C7D8ED"/>
          <w:insideV w:val="single" w:sz="10" w:space="0" w:color="C7D8ED"/>
        </w:tblBorders>
      </w:tblPr>
      <w:tblGrid>
        <w:gridCol w:w="9648"/>
      </w:tblGrid>
      <w:tr>
        <w:tc>
          <w:tcPr>
            <w:tcW w:type="dxa" w:w="9648"/>
            <w:shd w:fill="EEF4FB"/>
            <w:vAlign w:val="center"/>
          </w:tcPr>
          <w:p>
            <w:pPr>
              <w:spacing w:after="60" w:line="259" w:lineRule="auto"/>
            </w:pPr>
            <w:r>
              <w:rPr>
                <w:b/>
                <w:color w:val="1D3F5F"/>
              </w:rPr>
              <w:t>Replace the current abstract with a statement of this form</w:t>
            </w:r>
          </w:p>
          <w:p>
            <w:pPr>
              <w:spacing w:after="0" w:line="259" w:lineRule="auto"/>
            </w:pPr>
            <w:r>
              <w:t>This article constructs the finite gauge sector on the realized Fractal interaction complex generated by the stochastic swarm dynamics. For each finite swarm realization, the induced oriented 2-complex carries measurable nonabelian edge transports, plaquette holonomies, and Wilson observables. Pushing the swarm path law forward through the gauge-construction map yields a finite-volume gauge law on random regulators. In a suitable small-field and refinement regime, the expected plaquette action recovers the classical Yang–Mills density of the effective continuum background.</w:t>
            </w:r>
          </w:p>
        </w:tc>
      </w:tr>
    </w:tbl>
    <w:p>
      <w:pPr>
        <w:spacing w:after="0"/>
      </w:pPr>
    </w:p>
    <w:p>
      <w:pPr>
        <w:pStyle w:val="Heading2"/>
        <w:spacing w:after="40" w:before="80" w:line="269" w:lineRule="auto"/>
      </w:pPr>
      <w:r>
        <w:t>Introduction: replace the four-step deterministic program with the following four-step random-regulator program.</w:t>
      </w:r>
    </w:p>
    <w:p>
      <w:pPr>
        <w:spacing w:after="60" w:line="259" w:lineRule="auto"/>
        <w:ind w:left="288" w:hanging="216"/>
      </w:pPr>
      <w:r>
        <w:rPr>
          <w:b/>
        </w:rPr>
        <w:t xml:space="preserve">• </w:t>
      </w:r>
      <w:r>
        <w:t>construct the stochastic swarm path law and the realized Fractal regulator associated with each trajectory;</w:t>
      </w:r>
    </w:p>
    <w:p>
      <w:pPr>
        <w:spacing w:after="60" w:line="259" w:lineRule="auto"/>
        <w:ind w:left="288" w:hanging="216"/>
      </w:pPr>
      <w:r>
        <w:rPr>
          <w:b/>
        </w:rPr>
        <w:t xml:space="preserve">• </w:t>
      </w:r>
      <w:r>
        <w:t>assign nonabelian edge transports directly on the realized edge classes of that regulator;</w:t>
      </w:r>
    </w:p>
    <w:p>
      <w:pPr>
        <w:spacing w:after="60" w:line="259" w:lineRule="auto"/>
        <w:ind w:left="288" w:hanging="216"/>
      </w:pPr>
      <w:r>
        <w:rPr>
          <w:b/>
        </w:rPr>
        <w:t xml:space="preserve">• </w:t>
      </w:r>
      <w:r>
        <w:t>define plaquette holonomies, Wilson observables, and the finite Wilson action on the realized complex;</w:t>
      </w:r>
    </w:p>
    <w:p>
      <w:pPr>
        <w:spacing w:after="60" w:line="259" w:lineRule="auto"/>
        <w:ind w:left="288" w:hanging="216"/>
      </w:pPr>
      <w:r>
        <w:rPr>
          <w:b/>
        </w:rPr>
        <w:t xml:space="preserve">• </w:t>
      </w:r>
      <w:r>
        <w:t>push the swarm law forward to an induced gauge law and compare expected small-loop holonomies to the classical continuum background.</w:t>
      </w:r>
    </w:p>
    <w:p>
      <w:pPr>
        <w:pStyle w:val="Heading1"/>
        <w:spacing w:after="80" w:before="160" w:line="269" w:lineRule="auto"/>
      </w:pPr>
      <w:r>
        <w:t>6. New core definitions that must appear in 03b</w:t>
      </w:r>
    </w:p>
    <w:p>
      <w:pPr>
        <w:spacing w:after="120" w:before="0" w:line="269" w:lineRule="auto"/>
      </w:pPr>
      <w:r>
        <w:t>The revised paper needs a new definitional spine. The safest approach is to import the Fractal-Gas objects almost verbatim, but specialize them to the gauge-theory task.</w:t>
      </w:r>
    </w:p>
    <w:tbl>
      <w:tblPr>
        <w:tblStyle w:val="TableGrid"/>
        <w:tblW w:type="auto" w:w="0"/>
        <w:jc w:val="center"/>
        <w:tblLayout w:type="fixed"/>
        <w:tblLook w:firstColumn="1" w:firstRow="1" w:lastColumn="0" w:lastRow="0" w:noHBand="0" w:noVBand="1" w:val="04A0"/>
        <w:tblBorders>
          <w:top w:val="single" w:sz="8" w:space="0" w:color="C7D8ED"/>
          <w:left w:val="single" w:sz="8" w:space="0" w:color="C7D8ED"/>
          <w:bottom w:val="single" w:sz="8" w:space="0" w:color="C7D8ED"/>
          <w:right w:val="single" w:sz="8" w:space="0" w:color="C7D8ED"/>
          <w:insideH w:val="single" w:sz="8" w:space="0" w:color="C7D8ED"/>
          <w:insideV w:val="single" w:sz="8" w:space="0" w:color="C7D8ED"/>
        </w:tblBorders>
      </w:tblPr>
      <w:tblGrid>
        <w:gridCol w:w="3216"/>
        <w:gridCol w:w="3216"/>
        <w:gridCol w:w="3216"/>
      </w:tblGrid>
      <w:tr>
        <w:tc>
          <w:tcPr>
            <w:tcW w:type="dxa" w:w="2736"/>
            <w:vAlign w:val="center"/>
            <w:shd w:fill="DCE6F1"/>
          </w:tcPr>
          <w:p>
            <w:pPr>
              <w:spacing w:after="40" w:before="40"/>
              <w:jc w:val="center"/>
            </w:pPr>
            <w:r>
              <w:rPr>
                <w:b/>
                <w:color w:val="1D3F5F"/>
                <w:sz w:val="19"/>
              </w:rPr>
              <w:t>New definition</w:t>
            </w:r>
          </w:p>
        </w:tc>
        <w:tc>
          <w:tcPr>
            <w:tcW w:type="dxa" w:w="4464"/>
            <w:vAlign w:val="center"/>
            <w:shd w:fill="DCE6F1"/>
          </w:tcPr>
          <w:p>
            <w:pPr>
              <w:spacing w:after="40" w:before="40"/>
              <w:jc w:val="center"/>
            </w:pPr>
            <w:r>
              <w:rPr>
                <w:b/>
                <w:color w:val="1D3F5F"/>
                <w:sz w:val="19"/>
              </w:rPr>
              <w:t>What it should say</w:t>
            </w:r>
          </w:p>
        </w:tc>
        <w:tc>
          <w:tcPr>
            <w:tcW w:type="dxa" w:w="2448"/>
            <w:vAlign w:val="center"/>
            <w:shd w:fill="DCE6F1"/>
          </w:tcPr>
          <w:p>
            <w:pPr>
              <w:spacing w:after="40" w:before="40"/>
              <w:jc w:val="center"/>
            </w:pPr>
            <w:r>
              <w:rPr>
                <w:b/>
                <w:color w:val="1D3F5F"/>
                <w:sz w:val="19"/>
              </w:rPr>
              <w:t>Comment</w:t>
            </w:r>
          </w:p>
        </w:tc>
      </w:tr>
      <w:tr>
        <w:tc>
          <w:tcPr>
            <w:tcW w:type="dxa" w:w="2736"/>
            <w:vAlign w:val="center"/>
          </w:tcPr>
          <w:p>
            <w:pPr>
              <w:spacing w:after="40" w:before="40" w:line="250" w:lineRule="auto"/>
              <w:jc w:val="left"/>
            </w:pPr>
            <w:r>
              <w:rPr>
                <w:sz w:val="18"/>
              </w:rPr>
              <w:t>Definition 4.1 — Realized Fractal regulator</w:t>
            </w:r>
          </w:p>
        </w:tc>
        <w:tc>
          <w:tcPr>
            <w:tcW w:type="dxa" w:w="4464"/>
            <w:vAlign w:val="center"/>
          </w:tcPr>
          <w:p>
            <w:pPr>
              <w:spacing w:after="40" w:before="40" w:line="250" w:lineRule="auto"/>
              <w:jc w:val="left"/>
            </w:pPr>
            <w:r>
              <w:rPr>
                <w:sz w:val="18"/>
              </w:rPr>
              <w:t>For a realized swarm trajectory ω on a finite horizon, define the finite oriented 2-complex 𝓕_{N,T}(ω) consisting of the realized node set, oriented edge classes, interaction triangles, and plaquette family.</w:t>
            </w:r>
          </w:p>
        </w:tc>
        <w:tc>
          <w:tcPr>
            <w:tcW w:type="dxa" w:w="2448"/>
            <w:vAlign w:val="center"/>
          </w:tcPr>
          <w:p>
            <w:pPr>
              <w:spacing w:after="40" w:before="40" w:line="250" w:lineRule="auto"/>
              <w:jc w:val="left"/>
            </w:pPr>
            <w:r>
              <w:rPr>
                <w:sz w:val="18"/>
              </w:rPr>
              <w:t>This replaces deterministic regulator scales and the flat lattice.</w:t>
            </w:r>
          </w:p>
        </w:tc>
      </w:tr>
      <w:tr>
        <w:tc>
          <w:tcPr>
            <w:tcW w:type="dxa" w:w="2736"/>
            <w:vAlign w:val="center"/>
          </w:tcPr>
          <w:p>
            <w:pPr>
              <w:spacing w:after="40" w:before="40" w:line="250" w:lineRule="auto"/>
              <w:jc w:val="left"/>
            </w:pPr>
            <w:r>
              <w:rPr>
                <w:sz w:val="18"/>
              </w:rPr>
              <w:t>Definition 4.2 — Edge classes</w:t>
            </w:r>
          </w:p>
        </w:tc>
        <w:tc>
          <w:tcPr>
            <w:tcW w:type="dxa" w:w="4464"/>
            <w:vAlign w:val="center"/>
          </w:tcPr>
          <w:p>
            <w:pPr>
              <w:spacing w:after="40" w:before="40" w:line="250" w:lineRule="auto"/>
              <w:jc w:val="left"/>
            </w:pPr>
            <w:r>
              <w:rPr>
                <w:sz w:val="18"/>
              </w:rPr>
              <w:t>Define the CST, IG, and IA edge sets (or their exact simplified equivalents if the paper keeps the full Fractal-Gas edge taxonomy).</w:t>
            </w:r>
          </w:p>
        </w:tc>
        <w:tc>
          <w:tcPr>
            <w:tcW w:type="dxa" w:w="2448"/>
            <w:vAlign w:val="center"/>
          </w:tcPr>
          <w:p>
            <w:pPr>
              <w:spacing w:after="40" w:before="40" w:line="250" w:lineRule="auto"/>
              <w:jc w:val="left"/>
            </w:pPr>
            <w:r>
              <w:rPr>
                <w:sz w:val="18"/>
              </w:rPr>
              <w:t>If the goal is the same approach as the Fractal Gas, keep all three classes.</w:t>
            </w:r>
          </w:p>
        </w:tc>
      </w:tr>
      <w:tr>
        <w:tc>
          <w:tcPr>
            <w:tcW w:type="dxa" w:w="2736"/>
            <w:vAlign w:val="center"/>
          </w:tcPr>
          <w:p>
            <w:pPr>
              <w:spacing w:after="40" w:before="40" w:line="250" w:lineRule="auto"/>
              <w:jc w:val="left"/>
            </w:pPr>
            <w:r>
              <w:rPr>
                <w:sz w:val="18"/>
              </w:rPr>
              <w:t>Definition 5.1 — Realized nonabelian edge transport</w:t>
            </w:r>
          </w:p>
        </w:tc>
        <w:tc>
          <w:tcPr>
            <w:tcW w:type="dxa" w:w="4464"/>
            <w:vAlign w:val="center"/>
          </w:tcPr>
          <w:p>
            <w:pPr>
              <w:spacing w:after="40" w:before="40" w:line="250" w:lineRule="auto"/>
              <w:jc w:val="left"/>
            </w:pPr>
            <w:r>
              <w:rPr>
                <w:sz w:val="18"/>
              </w:rPr>
              <w:t>Assign to each oriented edge e of 𝓕_{N,T}(ω) a measurable U_e(ω) ∈ SU(2) or SU(3), with U_{-e}=U_e^{-1}.</w:t>
            </w:r>
          </w:p>
        </w:tc>
        <w:tc>
          <w:tcPr>
            <w:tcW w:type="dxa" w:w="2448"/>
            <w:vAlign w:val="center"/>
          </w:tcPr>
          <w:p>
            <w:pPr>
              <w:spacing w:after="40" w:before="40" w:line="250" w:lineRule="auto"/>
              <w:jc w:val="left"/>
            </w:pPr>
            <w:r>
              <w:rPr>
                <w:sz w:val="18"/>
              </w:rPr>
              <w:t>Use realized local state data, not midpoint samples of a background field.</w:t>
            </w:r>
          </w:p>
        </w:tc>
      </w:tr>
      <w:tr>
        <w:tc>
          <w:tcPr>
            <w:tcW w:type="dxa" w:w="2736"/>
            <w:vAlign w:val="center"/>
          </w:tcPr>
          <w:p>
            <w:pPr>
              <w:spacing w:after="40" w:before="40" w:line="250" w:lineRule="auto"/>
              <w:jc w:val="left"/>
            </w:pPr>
            <w:r>
              <w:rPr>
                <w:sz w:val="18"/>
              </w:rPr>
              <w:t>Definition 5.2 — Plaquette holonomy</w:t>
            </w:r>
          </w:p>
        </w:tc>
        <w:tc>
          <w:tcPr>
            <w:tcW w:type="dxa" w:w="4464"/>
            <w:vAlign w:val="center"/>
          </w:tcPr>
          <w:p>
            <w:pPr>
              <w:spacing w:after="40" w:before="40" w:line="250" w:lineRule="auto"/>
              <w:jc w:val="left"/>
            </w:pPr>
            <w:r>
              <w:rPr>
                <w:sz w:val="18"/>
              </w:rPr>
              <w:t>For each realized plaquette P, define U_P(ω)=∏_{e∈∂P}U_e(ω) with the boundary order fixed by the orientation.</w:t>
            </w:r>
          </w:p>
        </w:tc>
        <w:tc>
          <w:tcPr>
            <w:tcW w:type="dxa" w:w="2448"/>
            <w:vAlign w:val="center"/>
          </w:tcPr>
          <w:p>
            <w:pPr>
              <w:spacing w:after="40" w:before="40" w:line="250" w:lineRule="auto"/>
              <w:jc w:val="left"/>
            </w:pPr>
            <w:r>
              <w:rPr>
                <w:sz w:val="18"/>
              </w:rPr>
              <w:t>This is the discrete curvature.</w:t>
            </w:r>
          </w:p>
        </w:tc>
      </w:tr>
      <w:tr>
        <w:tc>
          <w:tcPr>
            <w:tcW w:type="dxa" w:w="2736"/>
            <w:vAlign w:val="center"/>
          </w:tcPr>
          <w:p>
            <w:pPr>
              <w:spacing w:after="40" w:before="40" w:line="250" w:lineRule="auto"/>
              <w:jc w:val="left"/>
            </w:pPr>
            <w:r>
              <w:rPr>
                <w:sz w:val="18"/>
              </w:rPr>
              <w:t>Definition 6.1 — Random Wilson action</w:t>
            </w:r>
          </w:p>
        </w:tc>
        <w:tc>
          <w:tcPr>
            <w:tcW w:type="dxa" w:w="4464"/>
            <w:vAlign w:val="center"/>
          </w:tcPr>
          <w:p>
            <w:pPr>
              <w:spacing w:after="40" w:before="40" w:line="250" w:lineRule="auto"/>
              <w:jc w:val="left"/>
            </w:pPr>
            <w:r>
              <w:rPr>
                <w:sz w:val="18"/>
              </w:rPr>
              <w:t>Define S_YM(ω)=β∑_{P⊂𝓕(ω)}(1−(1/N_c)ReTr(U_P(ω))).</w:t>
            </w:r>
          </w:p>
        </w:tc>
        <w:tc>
          <w:tcPr>
            <w:tcW w:type="dxa" w:w="2448"/>
            <w:vAlign w:val="center"/>
          </w:tcPr>
          <w:p>
            <w:pPr>
              <w:spacing w:after="40" w:before="40" w:line="250" w:lineRule="auto"/>
              <w:jc w:val="left"/>
            </w:pPr>
            <w:r>
              <w:rPr>
                <w:sz w:val="18"/>
              </w:rPr>
              <w:t>This is a random functional of the run, not a deterministic lattice action.</w:t>
            </w:r>
          </w:p>
        </w:tc>
      </w:tr>
      <w:tr>
        <w:tc>
          <w:tcPr>
            <w:tcW w:type="dxa" w:w="2736"/>
            <w:vAlign w:val="center"/>
          </w:tcPr>
          <w:p>
            <w:pPr>
              <w:spacing w:after="40" w:before="40" w:line="250" w:lineRule="auto"/>
              <w:jc w:val="left"/>
            </w:pPr>
            <w:r>
              <w:rPr>
                <w:sz w:val="18"/>
              </w:rPr>
              <w:t>Definition 6.2 — Gauge-construction map</w:t>
            </w:r>
          </w:p>
        </w:tc>
        <w:tc>
          <w:tcPr>
            <w:tcW w:type="dxa" w:w="4464"/>
            <w:vAlign w:val="center"/>
          </w:tcPr>
          <w:p>
            <w:pPr>
              <w:spacing w:after="40" w:before="40" w:line="250" w:lineRule="auto"/>
              <w:jc w:val="left"/>
            </w:pPr>
            <w:r>
              <w:rPr>
                <w:sz w:val="18"/>
              </w:rPr>
              <w:t>Define Ξ(ω)=(𝓕(ω),U(ω)) from swarm trajectories to finite gauge configurations.</w:t>
            </w:r>
          </w:p>
        </w:tc>
        <w:tc>
          <w:tcPr>
            <w:tcW w:type="dxa" w:w="2448"/>
            <w:vAlign w:val="center"/>
          </w:tcPr>
          <w:p>
            <w:pPr>
              <w:spacing w:after="40" w:before="40" w:line="250" w:lineRule="auto"/>
              <w:jc w:val="left"/>
            </w:pPr>
            <w:r>
              <w:rPr>
                <w:sz w:val="18"/>
              </w:rPr>
              <w:t>Needed for the induced gauge law.</w:t>
            </w:r>
          </w:p>
        </w:tc>
      </w:tr>
      <w:tr>
        <w:tc>
          <w:tcPr>
            <w:tcW w:type="dxa" w:w="2736"/>
            <w:vAlign w:val="center"/>
          </w:tcPr>
          <w:p>
            <w:pPr>
              <w:spacing w:after="40" w:before="40" w:line="250" w:lineRule="auto"/>
              <w:jc w:val="left"/>
            </w:pPr>
            <w:r>
              <w:rPr>
                <w:sz w:val="18"/>
              </w:rPr>
              <w:t>Definition 6.3 — Induced gauge law</w:t>
            </w:r>
          </w:p>
        </w:tc>
        <w:tc>
          <w:tcPr>
            <w:tcW w:type="dxa" w:w="4464"/>
            <w:vAlign w:val="center"/>
          </w:tcPr>
          <w:p>
            <w:pPr>
              <w:spacing w:after="40" w:before="40" w:line="250" w:lineRule="auto"/>
              <w:jc w:val="left"/>
            </w:pPr>
            <w:r>
              <w:rPr>
                <w:sz w:val="18"/>
              </w:rPr>
              <w:t>Define μ_FG := Ξ_# P_swarm on the space of finite gauge configurations.</w:t>
            </w:r>
          </w:p>
        </w:tc>
        <w:tc>
          <w:tcPr>
            <w:tcW w:type="dxa" w:w="2448"/>
            <w:vAlign w:val="center"/>
          </w:tcPr>
          <w:p>
            <w:pPr>
              <w:spacing w:after="40" w:before="40" w:line="250" w:lineRule="auto"/>
              <w:jc w:val="left"/>
            </w:pPr>
            <w:r>
              <w:rPr>
                <w:sz w:val="18"/>
              </w:rPr>
              <w:t>This is the core probabilistic object missing from old 03b.</w:t>
            </w:r>
          </w:p>
        </w:tc>
      </w:tr>
    </w:tbl>
    <w:p>
      <w:pPr>
        <w:spacing w:after="0"/>
      </w:pPr>
    </w:p>
    <w:p>
      <w:pPr>
        <w:pStyle w:val="Heading1"/>
        <w:spacing w:after="80" w:before="160" w:line="269" w:lineRule="auto"/>
      </w:pPr>
      <w:r>
        <w:t>7. New theorem stack</w:t>
      </w:r>
    </w:p>
    <w:p>
      <w:pPr>
        <w:spacing w:after="120" w:before="0" w:line="269" w:lineRule="auto"/>
      </w:pPr>
      <w:r>
        <w:t>The revised 03b should not try to prove everything at once. It needs a finite-volume theorem stack that is actually provable and that cleanly hands material to 04b.</w:t>
      </w:r>
    </w:p>
    <w:p>
      <w:pPr>
        <w:pStyle w:val="Heading2"/>
        <w:spacing w:after="20" w:before="80" w:line="269" w:lineRule="auto"/>
      </w:pPr>
      <w:r>
        <w:t>Theorem A — Measurability of the realized regulator</w:t>
      </w:r>
    </w:p>
    <w:p>
      <w:pPr>
        <w:spacing w:after="100" w:before="0" w:line="269" w:lineRule="auto"/>
      </w:pPr>
      <w:r>
        <w:t>The realized Fractal regulator 𝓕_{N,T}(ω) is a measurable random finite oriented 2-complex.</w:t>
      </w:r>
    </w:p>
    <w:p>
      <w:pPr>
        <w:pStyle w:val="Heading2"/>
        <w:spacing w:after="20" w:before="80" w:line="269" w:lineRule="auto"/>
      </w:pPr>
      <w:r>
        <w:t>Theorem B — Measurable gauge assignment</w:t>
      </w:r>
    </w:p>
    <w:p>
      <w:pPr>
        <w:spacing w:after="100" w:before="0" w:line="269" w:lineRule="auto"/>
      </w:pPr>
      <w:r>
        <w:t>The edge transport assignment e↦U_e(ω) is measurable, orientation-compatible, and gauge-covariant.</w:t>
      </w:r>
    </w:p>
    <w:p>
      <w:pPr>
        <w:pStyle w:val="Heading2"/>
        <w:spacing w:after="20" w:before="80" w:line="269" w:lineRule="auto"/>
      </w:pPr>
      <w:r>
        <w:t>Theorem C — Gauge invariance of plaquette traces</w:t>
      </w:r>
    </w:p>
    <w:p>
      <w:pPr>
        <w:spacing w:after="100" w:before="0" w:line="269" w:lineRule="auto"/>
      </w:pPr>
      <w:r>
        <w:t>For every realized plaquette P, the quantity ReTr(U_P(ω)) is gauge-invariant.</w:t>
      </w:r>
    </w:p>
    <w:p>
      <w:pPr>
        <w:pStyle w:val="Heading2"/>
        <w:spacing w:after="20" w:before="80" w:line="269" w:lineRule="auto"/>
      </w:pPr>
      <w:r>
        <w:t>Theorem D — Wilson observables are bounded random variables</w:t>
      </w:r>
    </w:p>
    <w:p>
      <w:pPr>
        <w:spacing w:after="100" w:before="0" w:line="269" w:lineRule="auto"/>
      </w:pPr>
      <w:r>
        <w:t>For every finite loop γ, the Wilson observable W_γ(ω)=Tr∏_{e∈γ}U_e(ω) is bounded and measurable.</w:t>
      </w:r>
    </w:p>
    <w:p>
      <w:pPr>
        <w:pStyle w:val="Heading2"/>
        <w:spacing w:after="20" w:before="80" w:line="269" w:lineRule="auto"/>
      </w:pPr>
      <w:r>
        <w:t>Theorem E — Finite induced gauge law</w:t>
      </w:r>
    </w:p>
    <w:p>
      <w:pPr>
        <w:spacing w:after="100" w:before="0" w:line="269" w:lineRule="auto"/>
      </w:pPr>
      <w:r>
        <w:t>The pushforward μ_FG=Ξ_#P_swarm is a finite-volume probability law on gauge configurations.</w:t>
      </w:r>
    </w:p>
    <w:p>
      <w:pPr>
        <w:pStyle w:val="Heading2"/>
        <w:spacing w:after="20" w:before="80" w:line="269" w:lineRule="auto"/>
      </w:pPr>
      <w:r>
        <w:t>Theorem F — Wilson-type comparison estimate</w:t>
      </w:r>
    </w:p>
    <w:p>
      <w:pPr>
        <w:spacing w:after="100" w:before="0" w:line="269" w:lineRule="auto"/>
      </w:pPr>
      <w:r>
        <w:t>In a chosen regime, the induced gauge law is controlled by, or approximately Gibbs with respect to, the Wilson action.</w:t>
      </w:r>
    </w:p>
    <w:p>
      <w:pPr>
        <w:pStyle w:val="Heading2"/>
        <w:spacing w:after="20" w:before="80" w:line="269" w:lineRule="auto"/>
      </w:pPr>
      <w:r>
        <w:t>Theorem G — Classical comparison limit</w:t>
      </w:r>
    </w:p>
    <w:p>
      <w:pPr>
        <w:spacing w:after="100" w:before="0" w:line="269" w:lineRule="auto"/>
      </w:pPr>
      <w:r>
        <w:t>In a small-loop / refinement regime, expected plaquette holonomies recover the curvature of the effective continuum background A[c_∞] or its local Fractal-Gas analogue.</w:t>
      </w:r>
    </w:p>
    <w:p>
      <w:pPr>
        <w:pStyle w:val="Heading1"/>
        <w:spacing w:after="80" w:before="160" w:line="269" w:lineRule="auto"/>
      </w:pPr>
      <w:r>
        <w:t>8. Exact changes inside each current section</w:t>
      </w:r>
    </w:p>
    <w:p>
      <w:pPr>
        <w:spacing w:after="120" w:before="0" w:line="269" w:lineRule="auto"/>
      </w:pPr>
      <w:r>
        <w:t>This part is the operational checklist. It tells you exactly what to cut, what to preserve, and how to reframe each surviving piece.</w:t>
      </w:r>
    </w:p>
    <w:p>
      <w:pPr>
        <w:pStyle w:val="Heading2"/>
        <w:spacing w:after="40" w:before="60" w:line="269" w:lineRule="auto"/>
      </w:pPr>
      <w:r>
        <w:t>8.1 Current Section 2: particle-system preliminaries</w:t>
      </w:r>
    </w:p>
    <w:p>
      <w:pPr>
        <w:spacing w:after="120" w:before="0" w:line="269" w:lineRule="auto"/>
      </w:pPr>
      <w:r>
        <w:t>Keep the imported 01 material, including the stationary law, path-space propagation-of-chaos package, and thermodynamic transport results. However, replace every sentence that treats those results merely as a route to a deterministic mean-field color profile. The revised text must say that these results define the foundational probability law from which the random Fractal regulator and the induced gauge law are built.</w:t>
      </w:r>
    </w:p>
    <w:p>
      <w:pPr>
        <w:spacing w:after="60" w:line="259" w:lineRule="auto"/>
        <w:ind w:left="288" w:hanging="216"/>
      </w:pPr>
      <w:r>
        <w:rPr>
          <w:b/>
        </w:rPr>
        <w:t xml:space="preserve">• </w:t>
      </w:r>
      <w:r>
        <w:t>Keep finite-time and stationary compactness results.</w:t>
      </w:r>
    </w:p>
    <w:p>
      <w:pPr>
        <w:spacing w:after="60" w:line="259" w:lineRule="auto"/>
        <w:ind w:left="288" w:hanging="216"/>
      </w:pPr>
      <w:r>
        <w:rPr>
          <w:b/>
        </w:rPr>
        <w:t xml:space="preserve">• </w:t>
      </w:r>
      <w:r>
        <w:t>Keep path-space exchangeability and stationary path-law statements.</w:t>
      </w:r>
    </w:p>
    <w:p>
      <w:pPr>
        <w:spacing w:after="60" w:line="259" w:lineRule="auto"/>
        <w:ind w:left="288" w:hanging="216"/>
      </w:pPr>
      <w:r>
        <w:rPr>
          <w:b/>
        </w:rPr>
        <w:t xml:space="preserve">• </w:t>
      </w:r>
      <w:r>
        <w:t>Rewrite the purpose sentence at the start of the section: the bridge package now feeds the random regulator construction, not a deterministic sampled lattice.</w:t>
      </w:r>
    </w:p>
    <w:p>
      <w:pPr>
        <w:spacing w:after="60" w:line="259" w:lineRule="auto"/>
        <w:ind w:left="288" w:hanging="216"/>
      </w:pPr>
      <w:r>
        <w:rPr>
          <w:b/>
        </w:rPr>
        <w:t xml:space="preserve">• </w:t>
      </w:r>
      <w:r>
        <w:t>At the end of the section, add a short proposition that the trajectory-to-complex map is measurable on the finite horizon.</w:t>
      </w:r>
    </w:p>
    <w:p>
      <w:pPr>
        <w:pStyle w:val="Heading2"/>
        <w:spacing w:after="40" w:before="60" w:line="269" w:lineRule="auto"/>
      </w:pPr>
      <w:r>
        <w:t>8.2 Current Section 3: continuum gauge profile</w:t>
      </w:r>
    </w:p>
    <w:p>
      <w:pPr>
        <w:spacing w:after="120" w:before="0" w:line="269" w:lineRule="auto"/>
      </w:pPr>
      <w:r>
        <w:t>Keep the continuum formulas A_μ[c] and F_{μν}[c], but move the whole section mentally from “finite gauge field construction” to “effective continuum background and classical comparison object.” Do not remove it; it is still extremely useful for the final classical-consistency theorem.</w:t>
      </w:r>
    </w:p>
    <w:p>
      <w:pPr>
        <w:spacing w:after="60" w:line="259" w:lineRule="auto"/>
        <w:ind w:left="288" w:hanging="216"/>
      </w:pPr>
      <w:r>
        <w:rPr>
          <w:b/>
        </w:rPr>
        <w:t xml:space="preserve">• </w:t>
      </w:r>
      <w:r>
        <w:t>Keep Definition 3.1 and the regularity results.</w:t>
      </w:r>
    </w:p>
    <w:p>
      <w:pPr>
        <w:spacing w:after="60" w:line="259" w:lineRule="auto"/>
        <w:ind w:left="288" w:hanging="216"/>
      </w:pPr>
      <w:r>
        <w:rPr>
          <w:b/>
        </w:rPr>
        <w:t xml:space="preserve">• </w:t>
      </w:r>
      <w:r>
        <w:t>Delete any wording that makes this continuum field the primary finite-volume gauge variable.</w:t>
      </w:r>
    </w:p>
    <w:p>
      <w:pPr>
        <w:spacing w:after="60" w:line="259" w:lineRule="auto"/>
        <w:ind w:left="288" w:hanging="216"/>
      </w:pPr>
      <w:r>
        <w:rPr>
          <w:b/>
        </w:rPr>
        <w:t xml:space="preserve">• </w:t>
      </w:r>
      <w:r>
        <w:t>Add one sentence near the end: in the revised paper, the finite gauge field lives on the realized Fractal regulator, while the smooth continuum profile serves as the effective background recovered in expectation.</w:t>
      </w:r>
    </w:p>
    <w:p>
      <w:pPr>
        <w:pStyle w:val="Heading2"/>
        <w:spacing w:after="40" w:before="60" w:line="269" w:lineRule="auto"/>
      </w:pPr>
      <w:r>
        <w:t>8.3 Current Sections 4 and 5: deterministic regulator scales and deterministic flat QFT lattice</w:t>
      </w:r>
    </w:p>
    <w:p>
      <w:pPr>
        <w:spacing w:after="120" w:before="0" w:line="269" w:lineRule="auto"/>
      </w:pPr>
      <w:r>
        <w:t>These sections must be removed in their current role. They are the main structural conflict with the Fractal-Gas approach.</w:t>
      </w:r>
    </w:p>
    <w:p>
      <w:pPr>
        <w:spacing w:after="60" w:line="259" w:lineRule="auto"/>
        <w:ind w:left="288" w:hanging="216"/>
      </w:pPr>
      <w:r>
        <w:rPr>
          <w:b/>
        </w:rPr>
        <w:t xml:space="preserve">• </w:t>
      </w:r>
      <w:r>
        <w:t>Delete Definition 4.1 as the foundational regulator-scale definition.</w:t>
      </w:r>
    </w:p>
    <w:p>
      <w:pPr>
        <w:spacing w:after="60" w:line="259" w:lineRule="auto"/>
        <w:ind w:left="288" w:hanging="216"/>
      </w:pPr>
      <w:r>
        <w:rPr>
          <w:b/>
        </w:rPr>
        <w:t xml:space="preserve">• </w:t>
      </w:r>
      <w:r>
        <w:t>Delete Definitions 5.3–5.6 as the primary finite lattice geometry.</w:t>
      </w:r>
    </w:p>
    <w:p>
      <w:pPr>
        <w:spacing w:after="60" w:line="259" w:lineRule="auto"/>
        <w:ind w:left="288" w:hanging="216"/>
      </w:pPr>
      <w:r>
        <w:rPr>
          <w:b/>
        </w:rPr>
        <w:t xml:space="preserve">• </w:t>
      </w:r>
      <w:r>
        <w:t>Delete the proposition package proving flat geometry by construction as the core geometric backbone.</w:t>
      </w:r>
    </w:p>
    <w:p>
      <w:pPr>
        <w:spacing w:after="60" w:line="259" w:lineRule="auto"/>
        <w:ind w:left="288" w:hanging="216"/>
      </w:pPr>
      <w:r>
        <w:rPr>
          <w:b/>
        </w:rPr>
        <w:t xml:space="preserve">• </w:t>
      </w:r>
      <w:r>
        <w:t>If you still want a coordinate comparison chart, move the deterministic flat lattice to a short appendix titled “Auxiliary comparison lattice” and explicitly state that it is not the regulator of the finite gauge theory.</w:t>
      </w:r>
    </w:p>
    <w:tbl>
      <w:tblPr>
        <w:tblW w:type="auto" w:w="0"/>
        <w:jc w:val="center"/>
        <w:tblLook w:firstColumn="1" w:firstRow="1" w:lastColumn="0" w:lastRow="0" w:noHBand="0" w:noVBand="1" w:val="04A0"/>
        <w:tblBorders>
          <w:top w:val="single" w:sz="10" w:space="0" w:color="C7D8ED"/>
          <w:left w:val="single" w:sz="10" w:space="0" w:color="C7D8ED"/>
          <w:bottom w:val="single" w:sz="10" w:space="0" w:color="C7D8ED"/>
          <w:right w:val="single" w:sz="10" w:space="0" w:color="C7D8ED"/>
          <w:insideH w:val="single" w:sz="10" w:space="0" w:color="C7D8ED"/>
          <w:insideV w:val="single" w:sz="10" w:space="0" w:color="C7D8ED"/>
        </w:tblBorders>
      </w:tblPr>
      <w:tblGrid>
        <w:gridCol w:w="9648"/>
      </w:tblGrid>
      <w:tr>
        <w:tc>
          <w:tcPr>
            <w:tcW w:type="dxa" w:w="9648"/>
            <w:shd w:fill="EEF4FB"/>
            <w:vAlign w:val="center"/>
          </w:tcPr>
          <w:p>
            <w:pPr>
              <w:spacing w:after="60" w:line="259" w:lineRule="auto"/>
            </w:pPr>
            <w:r>
              <w:rPr>
                <w:b/>
                <w:color w:val="1D3F5F"/>
              </w:rPr>
              <w:t>Hard rule</w:t>
            </w:r>
          </w:p>
          <w:p>
            <w:pPr>
              <w:spacing w:after="0" w:line="259" w:lineRule="auto"/>
            </w:pPr>
            <w:r>
              <w:t>The revised paper must never again say that the finite gauge theory is defined on a deterministic flat lattice sampled from the stationary mean field. That statement is exactly what the Fractal-Gas rewrite is meant to replace.</w:t>
            </w:r>
          </w:p>
        </w:tc>
      </w:tr>
    </w:tbl>
    <w:p>
      <w:pPr>
        <w:spacing w:after="0"/>
      </w:pPr>
    </w:p>
    <w:p>
      <w:pPr>
        <w:pStyle w:val="Heading2"/>
        <w:spacing w:after="40" w:before="60" w:line="269" w:lineRule="auto"/>
      </w:pPr>
      <w:r>
        <w:t>8.4 Current Section 6: stationary mean-field color profile and sampled lattice field</w:t>
      </w:r>
    </w:p>
    <w:p>
      <w:pPr>
        <w:spacing w:after="120" w:before="0" w:line="269" w:lineRule="auto"/>
      </w:pPr>
      <w:r>
        <w:t>This section needs the heaviest rewrite. Its current logic is: build c_∞, evaluate it at deterministic lattice sites, sample midpoint links, and form deterministic plaquette holonomies. The revised logic must be: the finite gauge field is the realized random edge-transport assignment on the Fractal regulator, and only afterward do we compare its small-loop expectation to the smooth background.</w:t>
      </w:r>
    </w:p>
    <w:p>
      <w:pPr>
        <w:spacing w:after="60" w:line="259" w:lineRule="auto"/>
        <w:ind w:left="288" w:hanging="216"/>
      </w:pPr>
      <w:r>
        <w:rPr>
          <w:b/>
        </w:rPr>
        <w:t xml:space="preserve">• </w:t>
      </w:r>
      <w:r>
        <w:t>Delete the deterministic sampled site-color definition as the primary finite field.</w:t>
      </w:r>
    </w:p>
    <w:p>
      <w:pPr>
        <w:spacing w:after="60" w:line="259" w:lineRule="auto"/>
        <w:ind w:left="288" w:hanging="216"/>
      </w:pPr>
      <w:r>
        <w:rPr>
          <w:b/>
        </w:rPr>
        <w:t xml:space="preserve">• </w:t>
      </w:r>
      <w:r>
        <w:t>Replace direct midpoint sampling on coordinate edges with a definition of realized edge transports U_e(ω) on CST/IG/IA edges (or on the exact simplified edge family you choose).</w:t>
      </w:r>
    </w:p>
    <w:p>
      <w:pPr>
        <w:spacing w:after="60" w:line="259" w:lineRule="auto"/>
        <w:ind w:left="288" w:hanging="216"/>
      </w:pPr>
      <w:r>
        <w:rPr>
          <w:b/>
        </w:rPr>
        <w:t xml:space="preserve">• </w:t>
      </w:r>
      <w:r>
        <w:t>Replace the current plaquette field-strength section with a Fractal-Gas-style plaquette holonomy section: define U_P as the ordered product of edge transports around the boundary of each realized plaquette.</w:t>
      </w:r>
    </w:p>
    <w:p>
      <w:pPr>
        <w:spacing w:after="60" w:line="259" w:lineRule="auto"/>
        <w:ind w:left="288" w:hanging="216"/>
      </w:pPr>
      <w:r>
        <w:rPr>
          <w:b/>
        </w:rPr>
        <w:t xml:space="preserve">• </w:t>
      </w:r>
      <w:r>
        <w:t>Keep the gauge-invariance proof pattern, but rewrite it for the realized edge variables and local conjugation law.</w:t>
      </w:r>
    </w:p>
    <w:p>
      <w:pPr>
        <w:spacing w:after="60" w:line="259" w:lineRule="auto"/>
        <w:ind w:left="288" w:hanging="216"/>
      </w:pPr>
      <w:r>
        <w:rPr>
          <w:b/>
        </w:rPr>
        <w:t xml:space="preserve">• </w:t>
      </w:r>
      <w:r>
        <w:t>Retain a small-field expansion only after the new plaquette holonomy is in place; the expansion now analyzes the random realized U_P, not a deterministic sampled U_P.</w:t>
      </w:r>
    </w:p>
    <w:p>
      <w:pPr>
        <w:pStyle w:val="Heading2"/>
        <w:spacing w:after="40" w:before="60" w:line="269" w:lineRule="auto"/>
      </w:pPr>
      <w:r>
        <w:t>8.5 Current Section 7: local continuum limit</w:t>
      </w:r>
    </w:p>
    <w:p>
      <w:pPr>
        <w:spacing w:after="120" w:before="0" w:line="269" w:lineRule="auto"/>
      </w:pPr>
      <w:r>
        <w:t>This section should no longer be the heart of the paper. Replace it by two subsections:</w:t>
      </w:r>
    </w:p>
    <w:p>
      <w:pPr>
        <w:spacing w:after="60" w:line="259" w:lineRule="auto"/>
        <w:ind w:left="288" w:hanging="216"/>
      </w:pPr>
      <w:r>
        <w:rPr>
          <w:b/>
        </w:rPr>
        <w:t xml:space="preserve">• </w:t>
      </w:r>
      <w:r>
        <w:t>7.1 Finite induced gauge law on the Fractal regulator.</w:t>
      </w:r>
    </w:p>
    <w:p>
      <w:pPr>
        <w:spacing w:after="60" w:line="259" w:lineRule="auto"/>
        <w:ind w:left="288" w:hanging="216"/>
      </w:pPr>
      <w:r>
        <w:rPr>
          <w:b/>
        </w:rPr>
        <w:t xml:space="preserve">• </w:t>
      </w:r>
      <w:r>
        <w:t>7.2 Classical comparison theorem for expected small loops.</w:t>
      </w:r>
    </w:p>
    <w:p>
      <w:pPr>
        <w:spacing w:after="120" w:before="0" w:line="269" w:lineRule="auto"/>
      </w:pPr>
      <w:r>
        <w:t>The old local continuum-limit theorem can survive only as the second of those two subsections, and even then it should be reframed as an expected-background or classical-shadow statement rather than the definition of the theory.</w:t>
      </w:r>
    </w:p>
    <w:p>
      <w:pPr>
        <w:pStyle w:val="Heading2"/>
        <w:spacing w:after="40" w:before="60" w:line="269" w:lineRule="auto"/>
      </w:pPr>
      <w:r>
        <w:t>8.6 Current Section 8: export package</w:t>
      </w:r>
    </w:p>
    <w:p>
      <w:pPr>
        <w:spacing w:after="120" w:before="0" w:line="269" w:lineRule="auto"/>
      </w:pPr>
      <w:r>
        <w:t>Rewrite the exported theorem package so that 04b imports the right objects.</w:t>
      </w:r>
    </w:p>
    <w:p>
      <w:pPr>
        <w:spacing w:after="60" w:line="259" w:lineRule="auto"/>
        <w:ind w:left="288" w:hanging="216"/>
      </w:pPr>
      <w:r>
        <w:rPr>
          <w:b/>
        </w:rPr>
        <w:t xml:space="preserve">• </w:t>
      </w:r>
      <w:r>
        <w:t>Export the measurable random regulator.</w:t>
      </w:r>
    </w:p>
    <w:p>
      <w:pPr>
        <w:spacing w:after="60" w:line="259" w:lineRule="auto"/>
        <w:ind w:left="288" w:hanging="216"/>
      </w:pPr>
      <w:r>
        <w:rPr>
          <w:b/>
        </w:rPr>
        <w:t xml:space="preserve">• </w:t>
      </w:r>
      <w:r>
        <w:t>Export the measurable edge transport assignment and orientation rule.</w:t>
      </w:r>
    </w:p>
    <w:p>
      <w:pPr>
        <w:spacing w:after="60" w:line="259" w:lineRule="auto"/>
        <w:ind w:left="288" w:hanging="216"/>
      </w:pPr>
      <w:r>
        <w:rPr>
          <w:b/>
        </w:rPr>
        <w:t xml:space="preserve">• </w:t>
      </w:r>
      <w:r>
        <w:t>Export Wilson loops and plaquette observables as bounded random variables.</w:t>
      </w:r>
    </w:p>
    <w:p>
      <w:pPr>
        <w:spacing w:after="60" w:line="259" w:lineRule="auto"/>
        <w:ind w:left="288" w:hanging="216"/>
      </w:pPr>
      <w:r>
        <w:rPr>
          <w:b/>
        </w:rPr>
        <w:t xml:space="preserve">• </w:t>
      </w:r>
      <w:r>
        <w:t>Export the induced gauge law μ_FG.</w:t>
      </w:r>
    </w:p>
    <w:p>
      <w:pPr>
        <w:spacing w:after="60" w:line="259" w:lineRule="auto"/>
        <w:ind w:left="288" w:hanging="216"/>
      </w:pPr>
      <w:r>
        <w:rPr>
          <w:b/>
        </w:rPr>
        <w:t xml:space="preserve">• </w:t>
      </w:r>
      <w:r>
        <w:t>Export only the expected-background small-loop comparison theorem, not the old deterministic sampled-lattice package.</w:t>
      </w:r>
    </w:p>
    <w:p>
      <w:pPr>
        <w:pStyle w:val="Heading1"/>
        <w:spacing w:after="80" w:before="160" w:line="269" w:lineRule="auto"/>
      </w:pPr>
      <w:r>
        <w:t>9. Claim discipline: what the revised 03b should and should not claim</w:t>
      </w:r>
    </w:p>
    <w:tbl>
      <w:tblPr>
        <w:tblStyle w:val="TableGrid"/>
        <w:tblW w:type="auto" w:w="0"/>
        <w:jc w:val="center"/>
        <w:tblLayout w:type="fixed"/>
        <w:tblLook w:firstColumn="1" w:firstRow="1" w:lastColumn="0" w:lastRow="0" w:noHBand="0" w:noVBand="1" w:val="04A0"/>
        <w:tblBorders>
          <w:top w:val="single" w:sz="8" w:space="0" w:color="C7D8ED"/>
          <w:left w:val="single" w:sz="8" w:space="0" w:color="C7D8ED"/>
          <w:bottom w:val="single" w:sz="8" w:space="0" w:color="C7D8ED"/>
          <w:right w:val="single" w:sz="8" w:space="0" w:color="C7D8ED"/>
          <w:insideH w:val="single" w:sz="8" w:space="0" w:color="C7D8ED"/>
          <w:insideV w:val="single" w:sz="8" w:space="0" w:color="C7D8ED"/>
        </w:tblBorders>
      </w:tblPr>
      <w:tblGrid>
        <w:gridCol w:w="4824"/>
        <w:gridCol w:w="4824"/>
      </w:tblGrid>
      <w:tr>
        <w:tc>
          <w:tcPr>
            <w:tcW w:type="dxa" w:w="5184"/>
            <w:vAlign w:val="center"/>
            <w:shd w:fill="DCE6F1"/>
          </w:tcPr>
          <w:p>
            <w:pPr>
              <w:spacing w:after="40" w:before="40"/>
              <w:jc w:val="center"/>
            </w:pPr>
            <w:r>
              <w:rPr>
                <w:b/>
                <w:color w:val="1D3F5F"/>
                <w:sz w:val="19"/>
              </w:rPr>
              <w:t>Safe claim</w:t>
            </w:r>
          </w:p>
        </w:tc>
        <w:tc>
          <w:tcPr>
            <w:tcW w:type="dxa" w:w="4320"/>
            <w:vAlign w:val="center"/>
            <w:shd w:fill="DCE6F1"/>
          </w:tcPr>
          <w:p>
            <w:pPr>
              <w:spacing w:after="40" w:before="40"/>
              <w:jc w:val="center"/>
            </w:pPr>
            <w:r>
              <w:rPr>
                <w:b/>
                <w:color w:val="1D3F5F"/>
                <w:sz w:val="19"/>
              </w:rPr>
              <w:t>Overclaim to avoid</w:t>
            </w:r>
          </w:p>
        </w:tc>
      </w:tr>
      <w:tr>
        <w:tc>
          <w:tcPr>
            <w:tcW w:type="dxa" w:w="5184"/>
            <w:vAlign w:val="center"/>
          </w:tcPr>
          <w:p>
            <w:pPr>
              <w:spacing w:after="40" w:before="40" w:line="250" w:lineRule="auto"/>
              <w:jc w:val="left"/>
            </w:pPr>
            <w:r>
              <w:rPr>
                <w:sz w:val="18"/>
              </w:rPr>
              <w:t>The paper constructs a finite random lattice gauge theory on the realized Fractal regulator.</w:t>
            </w:r>
          </w:p>
        </w:tc>
        <w:tc>
          <w:tcPr>
            <w:tcW w:type="dxa" w:w="4320"/>
            <w:vAlign w:val="center"/>
          </w:tcPr>
          <w:p>
            <w:pPr>
              <w:spacing w:after="40" w:before="40" w:line="250" w:lineRule="auto"/>
              <w:jc w:val="left"/>
            </w:pPr>
            <w:r>
              <w:rPr>
                <w:sz w:val="18"/>
              </w:rPr>
              <w:t>The paper constructs full continuum Yang–Mills QFT or solves the mass-gap problem.</w:t>
            </w:r>
          </w:p>
        </w:tc>
      </w:tr>
      <w:tr>
        <w:tc>
          <w:tcPr>
            <w:tcW w:type="dxa" w:w="5184"/>
            <w:vAlign w:val="center"/>
          </w:tcPr>
          <w:p>
            <w:pPr>
              <w:spacing w:after="40" w:before="40" w:line="250" w:lineRule="auto"/>
              <w:jc w:val="left"/>
            </w:pPr>
            <w:r>
              <w:rPr>
                <w:sz w:val="18"/>
              </w:rPr>
              <w:t>The paper defines Wilson observables and an induced finite gauge law by pushforward of the swarm path law.</w:t>
            </w:r>
          </w:p>
        </w:tc>
        <w:tc>
          <w:tcPr>
            <w:tcW w:type="dxa" w:w="4320"/>
            <w:vAlign w:val="center"/>
          </w:tcPr>
          <w:p>
            <w:pPr>
              <w:spacing w:after="40" w:before="40" w:line="250" w:lineRule="auto"/>
              <w:jc w:val="left"/>
            </w:pPr>
            <w:r>
              <w:rPr>
                <w:sz w:val="18"/>
              </w:rPr>
              <w:t>The induced law is exactly the standard Wilson Gibbs measure unless you actually prove that equality.</w:t>
            </w:r>
          </w:p>
        </w:tc>
      </w:tr>
      <w:tr>
        <w:tc>
          <w:tcPr>
            <w:tcW w:type="dxa" w:w="5184"/>
            <w:vAlign w:val="center"/>
          </w:tcPr>
          <w:p>
            <w:pPr>
              <w:spacing w:after="40" w:before="40" w:line="250" w:lineRule="auto"/>
              <w:jc w:val="left"/>
            </w:pPr>
            <w:r>
              <w:rPr>
                <w:sz w:val="18"/>
              </w:rPr>
              <w:t>The paper proves gauge-invariant random holonomies and a classical comparison limit in expectation.</w:t>
            </w:r>
          </w:p>
        </w:tc>
        <w:tc>
          <w:tcPr>
            <w:tcW w:type="dxa" w:w="4320"/>
            <w:vAlign w:val="center"/>
          </w:tcPr>
          <w:p>
            <w:pPr>
              <w:spacing w:after="40" w:before="40" w:line="250" w:lineRule="auto"/>
              <w:jc w:val="left"/>
            </w:pPr>
            <w:r>
              <w:rPr>
                <w:sz w:val="18"/>
              </w:rPr>
              <w:t>The paper proves a complete constructive continuum limit to QCD.</w:t>
            </w:r>
          </w:p>
        </w:tc>
      </w:tr>
      <w:tr>
        <w:tc>
          <w:tcPr>
            <w:tcW w:type="dxa" w:w="5184"/>
            <w:vAlign w:val="center"/>
          </w:tcPr>
          <w:p>
            <w:pPr>
              <w:spacing w:after="40" w:before="40" w:line="250" w:lineRule="auto"/>
              <w:jc w:val="left"/>
            </w:pPr>
            <w:r>
              <w:rPr>
                <w:sz w:val="18"/>
              </w:rPr>
              <w:t>The paper exports a finite Euclidean gauge sector for 04b.</w:t>
            </w:r>
          </w:p>
        </w:tc>
        <w:tc>
          <w:tcPr>
            <w:tcW w:type="dxa" w:w="4320"/>
            <w:vAlign w:val="center"/>
          </w:tcPr>
          <w:p>
            <w:pPr>
              <w:spacing w:after="40" w:before="40" w:line="250" w:lineRule="auto"/>
              <w:jc w:val="left"/>
            </w:pPr>
            <w:r>
              <w:rPr>
                <w:sz w:val="18"/>
              </w:rPr>
              <w:t>The paper already completes OS reconstruction or the full Haag–Kastler program.</w:t>
            </w:r>
          </w:p>
        </w:tc>
      </w:tr>
    </w:tbl>
    <w:p>
      <w:pPr>
        <w:spacing w:after="0"/>
      </w:pPr>
    </w:p>
    <w:p>
      <w:pPr>
        <w:pStyle w:val="Heading1"/>
        <w:spacing w:after="80" w:before="160" w:line="269" w:lineRule="auto"/>
      </w:pPr>
      <w:r>
        <w:t>10. Whether the revised 03b must keep cloning</w:t>
      </w:r>
    </w:p>
    <w:p>
      <w:pPr>
        <w:spacing w:after="120" w:before="0" w:line="269" w:lineRule="auto"/>
      </w:pPr>
      <w:r>
        <w:t>Because the request is to adopt the same approach as the Fractal Gas paper, the answer is yes in substance: you should keep cloning or a mathematically equivalent genealogy-and-attribution mechanism. The Fractal-Gas plaquettes and interaction triangles use CST, IG, and IA edges together, and that structure is tied to cloning / attribution.</w:t>
      </w:r>
    </w:p>
    <w:p>
      <w:pPr>
        <w:spacing w:after="60" w:line="259" w:lineRule="auto"/>
        <w:ind w:left="288" w:hanging="216"/>
      </w:pPr>
      <w:r>
        <w:rPr>
          <w:b/>
        </w:rPr>
        <w:t xml:space="preserve">• </w:t>
      </w:r>
      <w:r>
        <w:t>If you remove cloning entirely, you can still make a simpler random gauge paper, but it will no longer be the same Fractal-Gas QFT construction.</w:t>
      </w:r>
    </w:p>
    <w:p>
      <w:pPr>
        <w:spacing w:after="60" w:line="259" w:lineRule="auto"/>
        <w:ind w:left="288" w:hanging="216"/>
      </w:pPr>
      <w:r>
        <w:rPr>
          <w:b/>
        </w:rPr>
        <w:t xml:space="preserve">• </w:t>
      </w:r>
      <w:r>
        <w:t>If you keep cloning, do not import the whole Standard Model tower. Keep only the part needed to define the random regulator and gauge observables cleanly.</w:t>
      </w:r>
    </w:p>
    <w:p>
      <w:pPr>
        <w:spacing w:after="60" w:line="259" w:lineRule="auto"/>
        <w:ind w:left="288" w:hanging="216"/>
      </w:pPr>
      <w:r>
        <w:rPr>
          <w:b/>
        </w:rPr>
        <w:t xml:space="preserve">• </w:t>
      </w:r>
      <w:r>
        <w:t>If you need a staged plan, revise 03b first with the exact Fractal-Gas regulator and only afterward decide whether to simplify the edge taxonomy in a later paper.</w:t>
      </w:r>
    </w:p>
    <w:p>
      <w:pPr>
        <w:pStyle w:val="Heading1"/>
        <w:spacing w:after="80" w:before="160" w:line="269" w:lineRule="auto"/>
      </w:pPr>
      <w:r>
        <w:t>11. Interface required for the revised 04b</w:t>
      </w:r>
    </w:p>
    <w:p>
      <w:pPr>
        <w:spacing w:after="120" w:before="0" w:line="269" w:lineRule="auto"/>
      </w:pPr>
      <w:r>
        <w:t>Even though this document is about 03b, the export interface has to be designed now so that 04b can become a genuine Euclidean gauge paper.</w:t>
      </w:r>
    </w:p>
    <w:p>
      <w:pPr>
        <w:spacing w:after="60" w:line="259" w:lineRule="auto"/>
        <w:ind w:left="288" w:hanging="216"/>
      </w:pPr>
      <w:r>
        <w:rPr>
          <w:b/>
        </w:rPr>
        <w:t xml:space="preserve">• </w:t>
      </w:r>
      <w:r>
        <w:t>04b should no longer treat continuum Yang–Mills functionals as constant observables inside the particle path algebra.</w:t>
      </w:r>
    </w:p>
    <w:p>
      <w:pPr>
        <w:spacing w:after="60" w:line="259" w:lineRule="auto"/>
        <w:ind w:left="288" w:hanging="216"/>
      </w:pPr>
      <w:r>
        <w:rPr>
          <w:b/>
        </w:rPr>
        <w:t xml:space="preserve">• </w:t>
      </w:r>
      <w:r>
        <w:t>04b should instead import the induced gauge law μ_FG and define the Euclidean state directly on Wilson-loop and plaquette observables of the random regulator.</w:t>
      </w:r>
    </w:p>
    <w:p>
      <w:pPr>
        <w:spacing w:after="60" w:line="259" w:lineRule="auto"/>
        <w:ind w:left="288" w:hanging="216"/>
      </w:pPr>
      <w:r>
        <w:rPr>
          <w:b/>
        </w:rPr>
        <w:t xml:space="preserve">• </w:t>
      </w:r>
      <w:r>
        <w:t>The boundary-transfer / hyperplane-factorization ideas in 04b may still be useful, but only after the finite gauge variables have been made primary.</w:t>
      </w:r>
    </w:p>
    <w:p>
      <w:pPr>
        <w:pStyle w:val="Heading1"/>
        <w:spacing w:after="80" w:before="160" w:line="269" w:lineRule="auto"/>
      </w:pPr>
      <w:r>
        <w:t>12. Concrete implementation checklist</w:t>
      </w:r>
    </w:p>
    <w:tbl>
      <w:tblPr>
        <w:tblStyle w:val="TableGrid"/>
        <w:tblW w:type="auto" w:w="0"/>
        <w:jc w:val="center"/>
        <w:tblLayout w:type="fixed"/>
        <w:tblLook w:firstColumn="1" w:firstRow="1" w:lastColumn="0" w:lastRow="0" w:noHBand="0" w:noVBand="1" w:val="04A0"/>
        <w:tblBorders>
          <w:top w:val="single" w:sz="8" w:space="0" w:color="C7D8ED"/>
          <w:left w:val="single" w:sz="8" w:space="0" w:color="C7D8ED"/>
          <w:bottom w:val="single" w:sz="8" w:space="0" w:color="C7D8ED"/>
          <w:right w:val="single" w:sz="8" w:space="0" w:color="C7D8ED"/>
          <w:insideH w:val="single" w:sz="8" w:space="0" w:color="C7D8ED"/>
          <w:insideV w:val="single" w:sz="8" w:space="0" w:color="C7D8ED"/>
        </w:tblBorders>
      </w:tblPr>
      <w:tblGrid>
        <w:gridCol w:w="3216"/>
        <w:gridCol w:w="3216"/>
        <w:gridCol w:w="3216"/>
      </w:tblGrid>
      <w:tr>
        <w:tc>
          <w:tcPr>
            <w:tcW w:type="dxa" w:w="3744"/>
            <w:vAlign w:val="center"/>
            <w:shd w:fill="DCE6F1"/>
          </w:tcPr>
          <w:p>
            <w:pPr>
              <w:spacing w:after="40" w:before="40"/>
              <w:jc w:val="center"/>
            </w:pPr>
            <w:r>
              <w:rPr>
                <w:b/>
                <w:color w:val="1D3F5F"/>
                <w:sz w:val="19"/>
              </w:rPr>
              <w:t>Task</w:t>
            </w:r>
          </w:p>
        </w:tc>
        <w:tc>
          <w:tcPr>
            <w:tcW w:type="dxa" w:w="1584"/>
            <w:vAlign w:val="center"/>
            <w:shd w:fill="DCE6F1"/>
          </w:tcPr>
          <w:p>
            <w:pPr>
              <w:spacing w:after="40" w:before="40"/>
              <w:jc w:val="center"/>
            </w:pPr>
            <w:r>
              <w:rPr>
                <w:b/>
                <w:color w:val="1D3F5F"/>
                <w:sz w:val="19"/>
              </w:rPr>
              <w:t>Priority</w:t>
            </w:r>
          </w:p>
        </w:tc>
        <w:tc>
          <w:tcPr>
            <w:tcW w:type="dxa" w:w="4320"/>
            <w:vAlign w:val="center"/>
            <w:shd w:fill="DCE6F1"/>
          </w:tcPr>
          <w:p>
            <w:pPr>
              <w:spacing w:after="40" w:before="40"/>
              <w:jc w:val="center"/>
            </w:pPr>
            <w:r>
              <w:rPr>
                <w:b/>
                <w:color w:val="1D3F5F"/>
                <w:sz w:val="19"/>
              </w:rPr>
              <w:t>Done when...</w:t>
            </w:r>
          </w:p>
        </w:tc>
      </w:tr>
      <w:tr>
        <w:tc>
          <w:tcPr>
            <w:tcW w:type="dxa" w:w="3744"/>
            <w:vAlign w:val="center"/>
          </w:tcPr>
          <w:p>
            <w:pPr>
              <w:spacing w:after="40" w:before="40" w:line="250" w:lineRule="auto"/>
              <w:jc w:val="left"/>
            </w:pPr>
            <w:r>
              <w:rPr>
                <w:sz w:val="18"/>
              </w:rPr>
              <w:t>Rewrite abstract and introduction</w:t>
            </w:r>
          </w:p>
        </w:tc>
        <w:tc>
          <w:tcPr>
            <w:tcW w:type="dxa" w:w="1584"/>
            <w:vAlign w:val="center"/>
          </w:tcPr>
          <w:p>
            <w:pPr>
              <w:spacing w:after="40" w:before="40" w:line="250" w:lineRule="auto"/>
              <w:jc w:val="center"/>
            </w:pPr>
            <w:r>
              <w:rPr>
                <w:sz w:val="18"/>
              </w:rPr>
              <w:t>Immediate</w:t>
            </w:r>
          </w:p>
        </w:tc>
        <w:tc>
          <w:tcPr>
            <w:tcW w:type="dxa" w:w="4320"/>
            <w:vAlign w:val="center"/>
          </w:tcPr>
          <w:p>
            <w:pPr>
              <w:spacing w:after="40" w:before="40" w:line="250" w:lineRule="auto"/>
              <w:jc w:val="left"/>
            </w:pPr>
            <w:r>
              <w:rPr>
                <w:sz w:val="18"/>
              </w:rPr>
              <w:t>There is no remaining wording that identifies the finite theory with a deterministic sampled lattice.</w:t>
            </w:r>
          </w:p>
        </w:tc>
      </w:tr>
      <w:tr>
        <w:tc>
          <w:tcPr>
            <w:tcW w:type="dxa" w:w="3744"/>
            <w:vAlign w:val="center"/>
          </w:tcPr>
          <w:p>
            <w:pPr>
              <w:spacing w:after="40" w:before="40" w:line="250" w:lineRule="auto"/>
              <w:jc w:val="center"/>
            </w:pPr>
            <w:r>
              <w:rPr>
                <w:sz w:val="18"/>
              </w:rPr>
              <w:t>Replace Sections 4–5</w:t>
            </w:r>
          </w:p>
        </w:tc>
        <w:tc>
          <w:tcPr>
            <w:tcW w:type="dxa" w:w="1584"/>
            <w:vAlign w:val="center"/>
          </w:tcPr>
          <w:p>
            <w:pPr>
              <w:spacing w:after="40" w:before="40" w:line="250" w:lineRule="auto"/>
              <w:jc w:val="center"/>
            </w:pPr>
            <w:r>
              <w:rPr>
                <w:sz w:val="18"/>
              </w:rPr>
              <w:t>Immediate</w:t>
            </w:r>
          </w:p>
        </w:tc>
        <w:tc>
          <w:tcPr>
            <w:tcW w:type="dxa" w:w="4320"/>
            <w:vAlign w:val="center"/>
          </w:tcPr>
          <w:p>
            <w:pPr>
              <w:spacing w:after="40" w:before="40" w:line="250" w:lineRule="auto"/>
              <w:jc w:val="left"/>
            </w:pPr>
            <w:r>
              <w:rPr>
                <w:sz w:val="18"/>
              </w:rPr>
              <w:t>The paper defines a realized random Fractal regulator instead of deterministic scales and flat coordinates.</w:t>
            </w:r>
          </w:p>
        </w:tc>
      </w:tr>
      <w:tr>
        <w:tc>
          <w:tcPr>
            <w:tcW w:type="dxa" w:w="3744"/>
            <w:vAlign w:val="center"/>
          </w:tcPr>
          <w:p>
            <w:pPr>
              <w:spacing w:after="40" w:before="40" w:line="250" w:lineRule="auto"/>
              <w:jc w:val="center"/>
            </w:pPr>
            <w:r>
              <w:rPr>
                <w:sz w:val="18"/>
              </w:rPr>
              <w:t>Rewrite Section 6</w:t>
            </w:r>
          </w:p>
        </w:tc>
        <w:tc>
          <w:tcPr>
            <w:tcW w:type="dxa" w:w="1584"/>
            <w:vAlign w:val="center"/>
          </w:tcPr>
          <w:p>
            <w:pPr>
              <w:spacing w:after="40" w:before="40" w:line="250" w:lineRule="auto"/>
              <w:jc w:val="center"/>
            </w:pPr>
            <w:r>
              <w:rPr>
                <w:sz w:val="18"/>
              </w:rPr>
              <w:t>Immediate</w:t>
            </w:r>
          </w:p>
        </w:tc>
        <w:tc>
          <w:tcPr>
            <w:tcW w:type="dxa" w:w="4320"/>
            <w:vAlign w:val="center"/>
          </w:tcPr>
          <w:p>
            <w:pPr>
              <w:spacing w:after="40" w:before="40" w:line="250" w:lineRule="auto"/>
              <w:jc w:val="left"/>
            </w:pPr>
            <w:r>
              <w:rPr>
                <w:sz w:val="18"/>
              </w:rPr>
              <w:t>All finite link variables are defined as realized edge transports U_e(ω).</w:t>
            </w:r>
          </w:p>
        </w:tc>
      </w:tr>
      <w:tr>
        <w:tc>
          <w:tcPr>
            <w:tcW w:type="dxa" w:w="3744"/>
            <w:vAlign w:val="center"/>
          </w:tcPr>
          <w:p>
            <w:pPr>
              <w:spacing w:after="40" w:before="40" w:line="250" w:lineRule="auto"/>
              <w:jc w:val="left"/>
            </w:pPr>
            <w:r>
              <w:rPr>
                <w:sz w:val="18"/>
              </w:rPr>
              <w:t>Add induced gauge law theorem</w:t>
            </w:r>
          </w:p>
        </w:tc>
        <w:tc>
          <w:tcPr>
            <w:tcW w:type="dxa" w:w="1584"/>
            <w:vAlign w:val="center"/>
          </w:tcPr>
          <w:p>
            <w:pPr>
              <w:spacing w:after="40" w:before="40" w:line="250" w:lineRule="auto"/>
              <w:jc w:val="center"/>
            </w:pPr>
            <w:r>
              <w:rPr>
                <w:sz w:val="18"/>
              </w:rPr>
              <w:t>Immediate</w:t>
            </w:r>
          </w:p>
        </w:tc>
        <w:tc>
          <w:tcPr>
            <w:tcW w:type="dxa" w:w="4320"/>
            <w:vAlign w:val="center"/>
          </w:tcPr>
          <w:p>
            <w:pPr>
              <w:spacing w:after="40" w:before="40" w:line="250" w:lineRule="auto"/>
              <w:jc w:val="left"/>
            </w:pPr>
            <w:r>
              <w:rPr>
                <w:sz w:val="18"/>
              </w:rPr>
              <w:t>The pushforward measure μ_FG is defined and used in the statement of the finite theory.</w:t>
            </w:r>
          </w:p>
        </w:tc>
      </w:tr>
      <w:tr>
        <w:tc>
          <w:tcPr>
            <w:tcW w:type="dxa" w:w="3744"/>
            <w:vAlign w:val="center"/>
          </w:tcPr>
          <w:p>
            <w:pPr>
              <w:spacing w:after="40" w:before="40" w:line="250" w:lineRule="auto"/>
              <w:jc w:val="left"/>
            </w:pPr>
            <w:r>
              <w:rPr>
                <w:sz w:val="18"/>
              </w:rPr>
              <w:t>Move old continuum-limit theorem to the end</w:t>
            </w:r>
          </w:p>
        </w:tc>
        <w:tc>
          <w:tcPr>
            <w:tcW w:type="dxa" w:w="1584"/>
            <w:vAlign w:val="center"/>
          </w:tcPr>
          <w:p>
            <w:pPr>
              <w:spacing w:after="40" w:before="40" w:line="250" w:lineRule="auto"/>
              <w:jc w:val="center"/>
            </w:pPr>
            <w:r>
              <w:rPr>
                <w:sz w:val="18"/>
              </w:rPr>
              <w:t>High</w:t>
            </w:r>
          </w:p>
        </w:tc>
        <w:tc>
          <w:tcPr>
            <w:tcW w:type="dxa" w:w="4320"/>
            <w:vAlign w:val="center"/>
          </w:tcPr>
          <w:p>
            <w:pPr>
              <w:spacing w:after="40" w:before="40" w:line="250" w:lineRule="auto"/>
              <w:jc w:val="left"/>
            </w:pPr>
            <w:r>
              <w:rPr>
                <w:sz w:val="18"/>
              </w:rPr>
              <w:t>Classical comparison is no longer the defining theorem of the paper.</w:t>
            </w:r>
          </w:p>
        </w:tc>
      </w:tr>
      <w:tr>
        <w:tc>
          <w:tcPr>
            <w:tcW w:type="dxa" w:w="3744"/>
            <w:vAlign w:val="center"/>
          </w:tcPr>
          <w:p>
            <w:pPr>
              <w:spacing w:after="40" w:before="40" w:line="250" w:lineRule="auto"/>
              <w:jc w:val="center"/>
            </w:pPr>
            <w:r>
              <w:rPr>
                <w:sz w:val="18"/>
              </w:rPr>
              <w:t>Rewrite export package</w:t>
            </w:r>
          </w:p>
        </w:tc>
        <w:tc>
          <w:tcPr>
            <w:tcW w:type="dxa" w:w="1584"/>
            <w:vAlign w:val="center"/>
          </w:tcPr>
          <w:p>
            <w:pPr>
              <w:spacing w:after="40" w:before="40" w:line="250" w:lineRule="auto"/>
              <w:jc w:val="center"/>
            </w:pPr>
            <w:r>
              <w:rPr>
                <w:sz w:val="18"/>
              </w:rPr>
              <w:t>High</w:t>
            </w:r>
          </w:p>
        </w:tc>
        <w:tc>
          <w:tcPr>
            <w:tcW w:type="dxa" w:w="4320"/>
            <w:vAlign w:val="center"/>
          </w:tcPr>
          <w:p>
            <w:pPr>
              <w:spacing w:after="40" w:before="40" w:line="250" w:lineRule="auto"/>
              <w:jc w:val="left"/>
            </w:pPr>
            <w:r>
              <w:rPr>
                <w:sz w:val="18"/>
              </w:rPr>
              <w:t>04b can import the random regulator and gauge law directly.</w:t>
            </w:r>
          </w:p>
        </w:tc>
      </w:tr>
      <w:tr>
        <w:tc>
          <w:tcPr>
            <w:tcW w:type="dxa" w:w="3744"/>
            <w:vAlign w:val="center"/>
          </w:tcPr>
          <w:p>
            <w:pPr>
              <w:spacing w:after="40" w:before="40" w:line="250" w:lineRule="auto"/>
              <w:jc w:val="left"/>
            </w:pPr>
            <w:r>
              <w:rPr>
                <w:sz w:val="18"/>
              </w:rPr>
              <w:t>Appendix: optional deterministic comparison lattice</w:t>
            </w:r>
          </w:p>
        </w:tc>
        <w:tc>
          <w:tcPr>
            <w:tcW w:type="dxa" w:w="1584"/>
            <w:vAlign w:val="center"/>
          </w:tcPr>
          <w:p>
            <w:pPr>
              <w:spacing w:after="40" w:before="40" w:line="250" w:lineRule="auto"/>
              <w:jc w:val="center"/>
            </w:pPr>
            <w:r>
              <w:rPr>
                <w:sz w:val="18"/>
              </w:rPr>
              <w:t>Optional</w:t>
            </w:r>
          </w:p>
        </w:tc>
        <w:tc>
          <w:tcPr>
            <w:tcW w:type="dxa" w:w="4320"/>
            <w:vAlign w:val="center"/>
          </w:tcPr>
          <w:p>
            <w:pPr>
              <w:spacing w:after="40" w:before="40" w:line="250" w:lineRule="auto"/>
              <w:jc w:val="left"/>
            </w:pPr>
            <w:r>
              <w:rPr>
                <w:sz w:val="18"/>
              </w:rPr>
              <w:t>The flat lattice survives only as a clearly marked auxiliary comparison construction.</w:t>
            </w:r>
          </w:p>
        </w:tc>
      </w:tr>
    </w:tbl>
    <w:p>
      <w:pPr>
        <w:spacing w:after="0"/>
      </w:pPr>
    </w:p>
    <w:p>
      <w:pPr>
        <w:pStyle w:val="Heading1"/>
        <w:spacing w:after="80" w:before="160" w:line="269" w:lineRule="auto"/>
      </w:pPr>
      <w:r>
        <w:t>Appendix A. Source map used while drafting this revision plan</w:t>
      </w:r>
    </w:p>
    <w:p>
      <w:pPr>
        <w:spacing w:after="120" w:before="0" w:line="269" w:lineRule="auto"/>
      </w:pPr>
      <w:r>
        <w:t>This appendix is included so the rewrite can be executed against the source files without ambiguity.</w:t>
      </w:r>
    </w:p>
    <w:tbl>
      <w:tblPr>
        <w:tblStyle w:val="TableGrid"/>
        <w:tblW w:type="auto" w:w="0"/>
        <w:jc w:val="center"/>
        <w:tblLayout w:type="fixed"/>
        <w:tblLook w:firstColumn="1" w:firstRow="1" w:lastColumn="0" w:lastRow="0" w:noHBand="0" w:noVBand="1" w:val="04A0"/>
        <w:tblBorders>
          <w:top w:val="single" w:sz="8" w:space="0" w:color="C7D8ED"/>
          <w:left w:val="single" w:sz="8" w:space="0" w:color="C7D8ED"/>
          <w:bottom w:val="single" w:sz="8" w:space="0" w:color="C7D8ED"/>
          <w:right w:val="single" w:sz="8" w:space="0" w:color="C7D8ED"/>
          <w:insideH w:val="single" w:sz="8" w:space="0" w:color="C7D8ED"/>
          <w:insideV w:val="single" w:sz="8" w:space="0" w:color="C7D8ED"/>
        </w:tblBorders>
      </w:tblPr>
      <w:tblGrid>
        <w:gridCol w:w="4824"/>
        <w:gridCol w:w="4824"/>
      </w:tblGrid>
      <w:tr>
        <w:tc>
          <w:tcPr>
            <w:tcW w:type="dxa" w:w="3024"/>
            <w:vAlign w:val="center"/>
            <w:shd w:fill="DCE6F1"/>
          </w:tcPr>
          <w:p>
            <w:pPr>
              <w:spacing w:after="40" w:before="40"/>
              <w:jc w:val="center"/>
            </w:pPr>
            <w:r>
              <w:rPr>
                <w:b/>
                <w:color w:val="1D3F5F"/>
                <w:sz w:val="19"/>
              </w:rPr>
              <w:t>Source anchor</w:t>
            </w:r>
          </w:p>
        </w:tc>
        <w:tc>
          <w:tcPr>
            <w:tcW w:type="dxa" w:w="6624"/>
            <w:vAlign w:val="center"/>
            <w:shd w:fill="DCE6F1"/>
          </w:tcPr>
          <w:p>
            <w:pPr>
              <w:spacing w:after="40" w:before="40"/>
              <w:jc w:val="center"/>
            </w:pPr>
            <w:r>
              <w:rPr>
                <w:b/>
                <w:color w:val="1D3F5F"/>
                <w:sz w:val="19"/>
              </w:rPr>
              <w:t>Why it matters for the rewrite</w:t>
            </w:r>
          </w:p>
        </w:tc>
      </w:tr>
      <w:tr>
        <w:tc>
          <w:tcPr>
            <w:tcW w:type="dxa" w:w="3024"/>
            <w:vAlign w:val="center"/>
          </w:tcPr>
          <w:p>
            <w:pPr>
              <w:spacing w:after="40" w:before="40" w:line="250" w:lineRule="auto"/>
              <w:jc w:val="left"/>
            </w:pPr>
            <w:r>
              <w:rPr>
                <w:sz w:val="18"/>
              </w:rPr>
              <w:t>03b abstract and Section 1</w:t>
            </w:r>
          </w:p>
        </w:tc>
        <w:tc>
          <w:tcPr>
            <w:tcW w:type="dxa" w:w="6624"/>
            <w:vAlign w:val="center"/>
          </w:tcPr>
          <w:p>
            <w:pPr>
              <w:spacing w:after="40" w:before="40" w:line="250" w:lineRule="auto"/>
              <w:jc w:val="left"/>
            </w:pPr>
            <w:r>
              <w:rPr>
                <w:sz w:val="18"/>
              </w:rPr>
              <w:t>These state explicitly that the current paper studies a deterministic flat regulator sampled from the stationary mean-field gauge profile.</w:t>
            </w:r>
          </w:p>
        </w:tc>
      </w:tr>
      <w:tr>
        <w:tc>
          <w:tcPr>
            <w:tcW w:type="dxa" w:w="3024"/>
            <w:vAlign w:val="center"/>
          </w:tcPr>
          <w:p>
            <w:pPr>
              <w:spacing w:after="40" w:before="40" w:line="250" w:lineRule="auto"/>
              <w:jc w:val="center"/>
            </w:pPr>
            <w:r>
              <w:rPr>
                <w:sz w:val="18"/>
              </w:rPr>
              <w:t>03b Sections 4–5</w:t>
            </w:r>
          </w:p>
        </w:tc>
        <w:tc>
          <w:tcPr>
            <w:tcW w:type="dxa" w:w="6624"/>
            <w:vAlign w:val="center"/>
          </w:tcPr>
          <w:p>
            <w:pPr>
              <w:spacing w:after="40" w:before="40" w:line="250" w:lineRule="auto"/>
              <w:jc w:val="left"/>
            </w:pPr>
            <w:r>
              <w:rPr>
                <w:sz w:val="18"/>
              </w:rPr>
              <w:t>These define the deterministic regulator scales, the deterministic flat QFT lattice, and coordinate plaquettes; they are the sections to remove or demote.</w:t>
            </w:r>
          </w:p>
        </w:tc>
      </w:tr>
      <w:tr>
        <w:tc>
          <w:tcPr>
            <w:tcW w:type="dxa" w:w="3024"/>
            <w:vAlign w:val="center"/>
          </w:tcPr>
          <w:p>
            <w:pPr>
              <w:spacing w:after="40" w:before="40" w:line="250" w:lineRule="auto"/>
              <w:jc w:val="center"/>
            </w:pPr>
            <w:r>
              <w:rPr>
                <w:sz w:val="18"/>
              </w:rPr>
              <w:t>03b Remark 6.8</w:t>
            </w:r>
          </w:p>
        </w:tc>
        <w:tc>
          <w:tcPr>
            <w:tcW w:type="dxa" w:w="6624"/>
            <w:vAlign w:val="center"/>
          </w:tcPr>
          <w:p>
            <w:pPr>
              <w:spacing w:after="40" w:before="40" w:line="250" w:lineRule="auto"/>
              <w:jc w:val="left"/>
            </w:pPr>
            <w:r>
              <w:rPr>
                <w:sz w:val="18"/>
              </w:rPr>
              <w:t>This is the key sentence saying the finite regulator no longer uses the random companion graph; the revised paper must reverse that decision.</w:t>
            </w:r>
          </w:p>
        </w:tc>
      </w:tr>
      <w:tr>
        <w:tc>
          <w:tcPr>
            <w:tcW w:type="dxa" w:w="3024"/>
            <w:vAlign w:val="center"/>
          </w:tcPr>
          <w:p>
            <w:pPr>
              <w:spacing w:after="40" w:before="40" w:line="250" w:lineRule="auto"/>
              <w:jc w:val="center"/>
            </w:pPr>
            <w:r>
              <w:rPr>
                <w:sz w:val="18"/>
              </w:rPr>
              <w:t>03b Section 6.1–6.2</w:t>
            </w:r>
          </w:p>
        </w:tc>
        <w:tc>
          <w:tcPr>
            <w:tcW w:type="dxa" w:w="6624"/>
            <w:vAlign w:val="center"/>
          </w:tcPr>
          <w:p>
            <w:pPr>
              <w:spacing w:after="40" w:before="40" w:line="250" w:lineRule="auto"/>
              <w:jc w:val="left"/>
            </w:pPr>
            <w:r>
              <w:rPr>
                <w:sz w:val="18"/>
              </w:rPr>
              <w:t>These are the current deterministic link-sampling and plaquette-action sections that need to be rewritten around realized edge transports and random Wilson observables.</w:t>
            </w:r>
          </w:p>
        </w:tc>
      </w:tr>
      <w:tr>
        <w:tc>
          <w:tcPr>
            <w:tcW w:type="dxa" w:w="3024"/>
            <w:vAlign w:val="center"/>
          </w:tcPr>
          <w:p>
            <w:pPr>
              <w:spacing w:after="40" w:before="40" w:line="250" w:lineRule="auto"/>
              <w:jc w:val="left"/>
            </w:pPr>
            <w:r>
              <w:rPr>
                <w:sz w:val="18"/>
              </w:rPr>
              <w:t>04b Definition 3.2 and Section 5</w:t>
            </w:r>
          </w:p>
        </w:tc>
        <w:tc>
          <w:tcPr>
            <w:tcW w:type="dxa" w:w="6624"/>
            <w:vAlign w:val="center"/>
          </w:tcPr>
          <w:p>
            <w:pPr>
              <w:spacing w:after="40" w:before="40" w:line="250" w:lineRule="auto"/>
              <w:jc w:val="left"/>
            </w:pPr>
            <w:r>
              <w:rPr>
                <w:sz w:val="18"/>
              </w:rPr>
              <w:t>These provide the Euclidean path-space and boundary-transfer machinery that revised 04b can reuse after 03b exports the correct finite gauge sector.</w:t>
            </w:r>
          </w:p>
        </w:tc>
      </w:tr>
      <w:tr>
        <w:tc>
          <w:tcPr>
            <w:tcW w:type="dxa" w:w="3024"/>
            <w:vAlign w:val="center"/>
          </w:tcPr>
          <w:p>
            <w:pPr>
              <w:spacing w:after="40" w:before="40" w:line="250" w:lineRule="auto"/>
              <w:jc w:val="left"/>
            </w:pPr>
            <w:r>
              <w:rPr>
                <w:sz w:val="18"/>
              </w:rPr>
              <w:t>Fractal Gas definitions of the Fractal Set, gauge connection on edges, Wilson loop, plaquette holonomy, and Wilson action</w:t>
            </w:r>
          </w:p>
        </w:tc>
        <w:tc>
          <w:tcPr>
            <w:tcW w:type="dxa" w:w="6624"/>
            <w:vAlign w:val="center"/>
          </w:tcPr>
          <w:p>
            <w:pPr>
              <w:spacing w:after="40" w:before="40" w:line="250" w:lineRule="auto"/>
              <w:jc w:val="left"/>
            </w:pPr>
            <w:r>
              <w:rPr>
                <w:sz w:val="18"/>
              </w:rPr>
              <w:t>These provide the exact finite regulator and gauge-theory template that the revised 03b should adopt.</w:t>
            </w:r>
          </w:p>
        </w:tc>
      </w:tr>
    </w:tbl>
    <w:p>
      <w:pPr>
        <w:spacing w:after="0"/>
      </w:pPr>
    </w:p>
    <w:p>
      <w:pPr>
        <w:pStyle w:val="Heading1"/>
        <w:spacing w:after="80" w:before="200" w:line="269" w:lineRule="auto"/>
      </w:pPr>
      <w:r>
        <w:t>Final recommendation</w:t>
      </w:r>
    </w:p>
    <w:tbl>
      <w:tblPr>
        <w:tblW w:type="auto" w:w="0"/>
        <w:jc w:val="center"/>
        <w:tblLook w:firstColumn="1" w:firstRow="1" w:lastColumn="0" w:lastRow="0" w:noHBand="0" w:noVBand="1" w:val="04A0"/>
        <w:tblBorders>
          <w:top w:val="single" w:sz="10" w:space="0" w:color="C7D8ED"/>
          <w:left w:val="single" w:sz="10" w:space="0" w:color="C7D8ED"/>
          <w:bottom w:val="single" w:sz="10" w:space="0" w:color="C7D8ED"/>
          <w:right w:val="single" w:sz="10" w:space="0" w:color="C7D8ED"/>
          <w:insideH w:val="single" w:sz="10" w:space="0" w:color="C7D8ED"/>
          <w:insideV w:val="single" w:sz="10" w:space="0" w:color="C7D8ED"/>
        </w:tblBorders>
      </w:tblPr>
      <w:tblGrid>
        <w:gridCol w:w="9648"/>
      </w:tblGrid>
      <w:tr>
        <w:tc>
          <w:tcPr>
            <w:tcW w:type="dxa" w:w="9648"/>
            <w:shd w:fill="EEF4FB"/>
            <w:vAlign w:val="center"/>
          </w:tcPr>
          <w:p>
            <w:pPr>
              <w:spacing w:after="60" w:line="259" w:lineRule="auto"/>
            </w:pPr>
            <w:r>
              <w:rPr>
                <w:b/>
                <w:color w:val="1D3F5F"/>
              </w:rPr>
              <w:t>Most important sentence in the whole plan</w:t>
            </w:r>
          </w:p>
          <w:p>
            <w:pPr>
              <w:spacing w:after="0" w:line="259" w:lineRule="auto"/>
            </w:pPr>
            <w:r>
              <w:t>Do not try to make the Fractal-Gas gauge section a decorative add-on to the old deterministic 03b. Instead, make the realized Fractal regulator and the induced gauge law the primary finite objects of the paper, and push the old deterministic continuum material to the role of a classical comparison theorem.</w:t>
            </w:r>
          </w:p>
        </w:tc>
      </w:tr>
    </w:tbl>
    <w:p>
      <w:pPr>
        <w:spacing w:after="0"/>
      </w:pPr>
    </w:p>
    <w:sectPr w:rsidR="00FC693F" w:rsidRPr="0006063C" w:rsidSect="00034616">
      <w:footerReference w:type="default" r:id="rId9"/>
      <w:pgSz w:w="12240" w:h="15840"/>
      <w:pgMar w:top="1152"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03b revision plan — Fractal Gas QFT formulation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D3F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D3F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