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Branch-Aware Repair Plan</w:t>
      </w:r>
    </w:p>
    <w:p>
      <w:pPr>
        <w:pStyle w:val="Subtitle"/>
        <w:jc w:val="center"/>
      </w:pPr>
      <w:r>
        <w:t>Exact local lemmas needed to make the integrated Navier-Stokes proof architecture referee-checkable</w:t>
      </w:r>
    </w:p>
    <w:p>
      <w:pPr>
        <w:pStyle w:val="Subtitle"/>
        <w:jc w:val="center"/>
      </w:pPr>
      <w:r>
        <w:rPr>
          <w:i w:val="0"/>
        </w:rPr>
        <w:t>Audited repository: Guillemdb/hypostructure</w:t>
      </w:r>
    </w:p>
    <w:p>
      <w:pPr>
        <w:pStyle w:val="Small"/>
        <w:jc w:val="center"/>
      </w:pPr>
      <w:r>
        <w:rPr>
          <w:i w:val="0"/>
        </w:rPr>
        <w:t>Main-branch revision: 4de998eb994384fa255e2d46c0bc38ad213de22d (27 April 2026)</w:t>
      </w:r>
    </w:p>
    <w:p>
      <w:pPr>
        <w:pStyle w:val="Small"/>
        <w:jc w:val="center"/>
      </w:pPr>
      <w:r>
        <w:rPr>
          <w:i w:val="0"/>
        </w:rPr>
        <w:t>Prepared as a re-audit of the objections raised against proof_setup.tex, paperIV_residual_branch.tex, and type_II_regularity.tex.</w:t>
      </w:r>
    </w:p>
    <w:p>
      <w:pPr/>
      <w:r>
        <w:rPr>
          <w:i w:val="0"/>
        </w:rPr>
      </w:r>
    </w:p>
    <w:tbl>
      <w:tblPr>
        <w:tblW w:type="auto" w:w="0"/>
        <w:jc w:val="center"/>
        <w:tblLayout w:type="autofit"/>
        <w:tblLook w:firstColumn="1" w:firstRow="1" w:lastColumn="0" w:lastRow="0" w:noHBand="0" w:noVBand="1" w:val="04A0"/>
      </w:tblPr>
      <w:tblGrid>
        <w:gridCol w:w="9994"/>
      </w:tblGrid>
      <w:tr>
        <w:trPr>
          <w:trHeight w:hRule="auto"/>
        </w:trPr>
        <w:tc>
          <w:tcPr>
            <w:tcW w:type="dxa" w:w="9994"/>
            <w:shd w:fill="EAF2F8"/>
            <w:tcMar>
              <w:top w:w="110" w:type="dxa"/>
              <w:start w:w="130" w:type="dxa"/>
              <w:bottom w:w="110" w:type="dxa"/>
              <w:end w:w="130" w:type="dxa"/>
            </w:tcMar>
          </w:tcPr>
          <w:p>
            <w:pPr>
              <w:pStyle w:val="Verdict"/>
              <w:keepLines/>
            </w:pPr>
            <w:r>
              <w:t>Revised conclusion</w:t>
            </w:r>
          </w:p>
          <w:p>
            <w:pPr>
              <w:keepLines/>
            </w:pPr>
            <w:r>
              <w:t>The proof strategy is not invalid merely because its theorems are local or because a failed hypothesis is closed in another branch. The correct standard is branch-complete residual transfer. Under that standard, most of the earlier objections reduce to local producer, covariance, or routing lemmas. Two statements do need direct replacement: the SC3 noncompetition condition and the preliminary-frame proposition. The remaining repairs can be formulated without any whole-space critical estimate, but the nontrivial producer lemmas must be written and proved rather than replaced by branch names.</w:t>
            </w:r>
          </w:p>
        </w:tc>
      </w:tr>
    </w:tbl>
    <w:p>
      <w:pPr>
        <w:spacing w:after="0"/>
      </w:pPr>
    </w:p>
    <w:p>
      <w:pPr/>
      <w:r>
        <w:rPr>
          <w:i w:val="0"/>
        </w:rPr>
        <w:t>This memorandum answers the logical questions directly, identifies which earlier criticisms should be softened, and supplies a concrete lemma-by-lemma patch plan. It does not certify the final theorem before the patches are inserted and checked in the dependency order stated below.</w:t>
      </w:r>
    </w:p>
    <w:p>
      <w:r>
        <w:br w:type="page"/>
      </w:r>
    </w:p>
    <w:p>
      <w:pPr>
        <w:pStyle w:val="Heading1"/>
      </w:pPr>
      <w:r>
        <w:t>Contents and repair map</w:t>
      </w:r>
    </w:p>
    <w:p>
      <w:pPr>
        <w:pStyle w:val="ListBullet"/>
        <w:spacing w:after="50"/>
        <w:ind w:left="360" w:hanging="216"/>
      </w:pPr>
      <w:r>
        <w:t>1. The correct logical standard for structural exhaustion</w:t>
      </w:r>
    </w:p>
    <w:p>
      <w:pPr>
        <w:pStyle w:val="ListBullet"/>
        <w:spacing w:after="50"/>
        <w:ind w:left="360" w:hanging="216"/>
      </w:pPr>
      <w:r>
        <w:t>2. Direct answers to the objections</w:t>
      </w:r>
    </w:p>
    <w:p>
      <w:pPr>
        <w:pStyle w:val="ListBullet"/>
        <w:spacing w:after="50"/>
        <w:ind w:left="360" w:hanging="216"/>
      </w:pPr>
      <w:r>
        <w:t>3. Residual data that every branch must preserve</w:t>
      </w:r>
    </w:p>
    <w:p>
      <w:pPr>
        <w:pStyle w:val="ListBullet"/>
        <w:spacing w:after="50"/>
        <w:ind w:left="360" w:hanging="216"/>
      </w:pPr>
      <w:r>
        <w:t>4. Mandatory corrections in the Type II entry and chart layer</w:t>
      </w:r>
    </w:p>
    <w:p>
      <w:pPr>
        <w:pStyle w:val="ListBullet"/>
        <w:spacing w:after="50"/>
        <w:ind w:left="360" w:hanging="216"/>
      </w:pPr>
      <w:r>
        <w:t>5. Local terminal completeness and bounded-window routing</w:t>
      </w:r>
    </w:p>
    <w:p>
      <w:pPr>
        <w:pStyle w:val="ListBullet"/>
        <w:spacing w:after="50"/>
        <w:ind w:left="360" w:hanging="216"/>
      </w:pPr>
      <w:r>
        <w:t>6. Type I descendant, recurrence, and critical-tail repairs</w:t>
      </w:r>
    </w:p>
    <w:p>
      <w:pPr>
        <w:pStyle w:val="ListBullet"/>
        <w:spacing w:after="50"/>
        <w:ind w:left="360" w:hanging="216"/>
      </w:pPr>
      <w:r>
        <w:t>7. Exact patch ledger and acyclic insertion order</w:t>
      </w:r>
    </w:p>
    <w:p>
      <w:pPr>
        <w:pStyle w:val="ListBullet"/>
        <w:spacing w:after="50"/>
        <w:ind w:left="360" w:hanging="216"/>
      </w:pPr>
      <w:r>
        <w:t>8. Revised proof status after the proposed repairs</w:t>
      </w:r>
    </w:p>
    <w:p>
      <w:pPr>
        <w:pStyle w:val="ListBullet"/>
        <w:spacing w:after="50"/>
        <w:ind w:left="360" w:hanging="216"/>
      </w:pPr>
      <w:r>
        <w:t>Appendix A. Ready-to-insert theorem skeletons</w:t>
      </w:r>
    </w:p>
    <w:p>
      <w:pPr>
        <w:pStyle w:val="Heading1"/>
      </w:pPr>
      <w:r>
        <w:t>1. The correct logical standard for structural exhaustion</w:t>
      </w:r>
    </w:p>
    <w:p>
      <w:pPr/>
      <w:r>
        <w:rPr>
          <w:i w:val="0"/>
        </w:rPr>
        <w:t>A branchwise proof is allowed to close different outcomes in different theorems and even in different papers. It is also allowed to use contrapositives. What is not allowed is to identify the failure of a hypothesis with a successor branch only by terminology.</w:t>
      </w:r>
    </w:p>
    <w:p>
      <w:pPr>
        <w:pStyle w:val="Equation"/>
      </w:pPr>
      <w:r>
        <w:t>Valid pattern:   Residual data R + hypothesis H  =&gt;  branch A;   R + not-H  =&gt;  realized branch B.</w:t>
      </w:r>
    </w:p>
    <w:p>
      <w:pPr>
        <w:pStyle w:val="Equation"/>
      </w:pPr>
      <w:r>
        <w:t>Insufficient pattern:   Residual data R + not-H  =&gt;  “call this branch B”.</w:t>
      </w:r>
    </w:p>
    <w:p>
      <w:pPr/>
      <w:r>
        <w:rPr>
          <w:i w:val="0"/>
        </w:rPr>
        <w:t>The second implication must produce the mathematical data required by the theorem that closes branch B. For example, failure of uniqueness of a selected core must produce two active packets, a strict scale cascade, a parameter-boundary escape, or a genuine gauge degeneracy. It is not enough to name the failure “multibubble/gauge-degenerate”.</w:t>
      </w:r>
    </w:p>
    <w:p>
      <w:pPr/>
      <w:r>
        <w:rPr>
          <w:i w:val="0"/>
        </w:rPr>
        <w:t>Conversely, a local theorem is not defective because it does not prove a global bound. Once the branch producer and transfer theorem is valid, the local closure theorem may be used exactly where its hypotheses hold. This is the right way to read the compact single-core theorem, the local Caccioppoli theorem, the terminal stress calculation, and the critical-tail reductions.</w:t>
      </w:r>
    </w:p>
    <w:p>
      <w:pPr>
        <w:pStyle w:val="Heading1"/>
      </w:pPr>
      <w:r>
        <w:t>2. Direct answers to the objections</w:t>
      </w:r>
    </w:p>
    <w:p>
      <w:pPr>
        <w:pStyle w:val="Heading2"/>
      </w:pPr>
      <w:r>
        <w:t>2.1 Does an empty SC3 competitor set imply regularity?</w:t>
      </w:r>
    </w:p>
    <w:p>
      <w:pPr/>
      <w:r>
        <w:rPr>
          <w:i w:val="0"/>
        </w:rPr>
        <w:t>No, not for the set actually defined in SC3. The SC3 competitor set is the continuum of admissible center-scale pairs, not the set of singular profiles. With R_* &gt; 0 and 0 &lt; rho &lt;= R_*, there are always other center-scale pairs separated from the selected pair. Thus the quantified competitor set is not empty.</w:t>
      </w:r>
    </w:p>
    <w:p>
      <w:pPr/>
      <w:r>
        <w:rPr>
          <w:i w:val="0"/>
        </w:rPr>
        <w:t>Even after replacing it by the set of active candidates, “there is no second active candidate” means that the selected concentration is single-core. It does not mean that there is no concentration. Regularity follows only when there is no active velocity or CKN carrier at all, after the pressure-only possibility has also been routed. A single active core is precisely the input to the compact single-core branch.</w:t>
      </w:r>
    </w:p>
    <w:p>
      <w:pPr/>
      <w:r>
        <w:rPr>
          <w:i w:val="0"/>
        </w:rPr>
        <w:t>The current SC3 inequality is independently impossible because it asks for a fixed positive gap on every shrinking ball. At almost every time, both local L^3 integrals tend to zero as the radius tends to zero. Therefore their difference also tends to zero. The repair is not to invoke vacuity; it is to replace SC3 by a fixed-model-cylinder active-core selection theorem, stated below as Repair Lemma 1.</w:t>
      </w:r>
    </w:p>
    <w:p>
      <w:pPr>
        <w:pStyle w:val="Heading2"/>
      </w:pPr>
      <w:r>
        <w:t>2.2 Is the preliminary-frame error repairable?</w:t>
      </w:r>
    </w:p>
    <w:p>
      <w:pPr/>
      <w:r>
        <w:rPr>
          <w:i w:val="0"/>
        </w:rPr>
        <w:t>Yes. It is a local coordinate-domain error, not a reason to abandon the scale-center strategy. The fix is to use a one-sided terminal interval, choose the model radius to fit inside the physical collar, and claim only the regularity actually implied by absolute continuity.</w:t>
      </w:r>
    </w:p>
    <w:p>
      <w:pPr/>
      <w:r>
        <w:rPr>
          <w:i w:val="0"/>
        </w:rPr>
        <w:t>A poor choice of radius or a two-sided interval crossing the terminal time is not a physical branch and should not be routed as one; the window is simply shrunk. By contrast, failure of a genuine compact-chart input is structural: loss of a positive lower scale bound is scale collapse, loss of an upper scale bound is scale escape, center escape is an exterior/domain row, and failure of absolute continuity is a representation/gauge row.</w:t>
      </w:r>
    </w:p>
    <w:p>
      <w:pPr>
        <w:pStyle w:val="Heading2"/>
      </w:pPr>
      <w:r>
        <w:t>2.3 Can terminal stress decoupling be justified by contraposition?</w:t>
      </w:r>
    </w:p>
    <w:p>
      <w:pPr/>
      <w:r>
        <w:rPr>
          <w:i w:val="0"/>
        </w:rPr>
        <w:t>Yes, provided the contrapositive is attached to a local residual producer theorem. The stress estimate itself is correct once S_n -&gt; 0 in local L^infinity_t L^3_x and U_n, S_n have local L^2_t H^1_x bounds. The required implication is: if S_n does not vanish, then an actual compact residual profile, a parameter-boundary defect, a pressure/gauge failure, or another named local state is produced. Closing those alternatives gives S_n -&gt; 0 by contraposition, after which the stress calculation applies.</w:t>
      </w:r>
    </w:p>
    <w:p>
      <w:pPr/>
      <w:r>
        <w:rPr>
          <w:i w:val="0"/>
        </w:rPr>
        <w:t>The earlier assessment was too broad in describing this as a demand for a profile theorem. No global profile decomposition is required. What is required is an explicit local producer and first-failure theorem, with an acyclic dependency: it must not use the terminal stress decoupling that it is supposed to justify.</w:t>
      </w:r>
    </w:p>
    <w:p>
      <w:pPr>
        <w:pStyle w:val="Heading2"/>
      </w:pPr>
      <w:r>
        <w:t>2.4 Was the compact single-core theorem unfairly read in isolation?</w:t>
      </w:r>
    </w:p>
    <w:p>
      <w:pPr/>
      <w:r>
        <w:rPr>
          <w:i w:val="0"/>
        </w:rPr>
        <w:t>The local single-core contradiction is a valid branch theorem. The zero limit contradicts retained velocity mass; the nonzero spatially homogeneous limit enters the bounded-window row. Nothing in that argument requires a global estimate. The only global-assembly obligation is branch coverage: the corrected active-core selection theorem must show that every physical concentration sequence either enters this branch or enters another already named branch.</w:t>
      </w:r>
    </w:p>
    <w:p>
      <w:pPr/>
      <w:r>
        <w:rPr>
          <w:i w:val="0"/>
        </w:rPr>
        <w:t>Accordingly, the repair plan does not strengthen the single-core theorem. It replaces its entry package and adds a corollary saying that the corrected selector feeds the single-core theorem whenever no multicore, cascade, pressure-only, domain, or gauge exit has occurred.</w:t>
      </w:r>
    </w:p>
    <w:p>
      <w:pPr>
        <w:pStyle w:val="Heading2"/>
      </w:pPr>
      <w:r>
        <w:t>2.5 Is the diffuse-measure problem just another routing lemma?</w:t>
      </w:r>
    </w:p>
    <w:p>
      <w:pPr/>
      <w:r>
        <w:rPr>
          <w:i w:val="0"/>
        </w:rPr>
        <w:t>Largely yes, but it must be a mathematical routing lemma. On a fixed rebased model cylinder, normalized local mass and a countable separating family force a support state with a positive occupation coordinate. Therefore a “diffuse measure with no positive local coordinate” can occur only because mass was not successfully rebased to a fixed local state: it has escaped in scale, center, logarithmic shell, domain, pressure atlas, or compactness. Those are boundary rows.</w:t>
      </w:r>
    </w:p>
    <w:p>
      <w:pPr/>
      <w:r>
        <w:rPr>
          <w:i w:val="0"/>
        </w:rPr>
        <w:t>For genuinely unbounded logarithmic or exterior tails, the limiting measure may remain diffuse before rebasing. Then a log-window, shell, or minimal-scale selection theorem must first produce a fixed-window state or a named boundary face. This is local concentration-compactness, not a whole-space estimate.</w:t>
      </w:r>
    </w:p>
    <w:p>
      <w:pPr>
        <w:pStyle w:val="Heading1"/>
      </w:pPr>
      <w:r>
        <w:t>3. Residual data that every branch must preserve</w:t>
      </w:r>
    </w:p>
    <w:p>
      <w:pPr/>
      <w:r>
        <w:rPr>
          <w:i w:val="0"/>
        </w:rPr>
        <w:t>To prevent any theorem from being read in isolation, every routing statement should carry one bundled residual object. The bundle should contain at least the following fields.</w:t>
      </w:r>
    </w:p>
    <w:p>
      <w:pPr>
        <w:pStyle w:val="ListBullet"/>
        <w:spacing w:after="50"/>
        <w:ind w:left="360" w:hanging="216"/>
      </w:pPr>
      <w:r>
        <w:t>Realization: the state is generated by an actual subsequence, recentering, or rebasing of the original singularity sequence.</w:t>
      </w:r>
    </w:p>
    <w:p>
      <w:pPr>
        <w:pStyle w:val="ListBullet"/>
        <w:spacing w:after="50"/>
        <w:ind w:left="360" w:hanging="216"/>
      </w:pPr>
      <w:r>
        <w:t>Local domain: every compact cylinder used by the next theorem lies inside the physical or centered domain for all sufficiently large indices.</w:t>
      </w:r>
    </w:p>
    <w:p>
      <w:pPr>
        <w:pStyle w:val="ListBullet"/>
        <w:spacing w:after="50"/>
        <w:ind w:left="360" w:hanging="216"/>
      </w:pPr>
      <w:r>
        <w:t>PDE and suitability: the exact transformed equation, divergence-free condition, and local energy inequality hold on that cylinder.</w:t>
      </w:r>
    </w:p>
    <w:p>
      <w:pPr>
        <w:pStyle w:val="ListBullet"/>
        <w:spacing w:after="50"/>
        <w:ind w:left="360" w:hanging="216"/>
      </w:pPr>
      <w:r>
        <w:t>Pressure atlas: pressures are normalized modulo time functions, with any affine part either retained in the transformation law or routed to the affine/pressure row.</w:t>
      </w:r>
    </w:p>
    <w:p>
      <w:pPr>
        <w:pStyle w:val="ListBullet"/>
        <w:spacing w:after="50"/>
        <w:ind w:left="360" w:hanging="216"/>
      </w:pPr>
      <w:r>
        <w:t>Retained diagnostic: a quantitative velocity, CKN, oscillation, residual, or tail mass lower bound survives at the threshold assigned to the branch.</w:t>
      </w:r>
    </w:p>
    <w:p>
      <w:pPr>
        <w:pStyle w:val="ListBullet"/>
        <w:spacing w:after="50"/>
        <w:ind w:left="360" w:hanging="216"/>
      </w:pPr>
      <w:r>
        <w:t>Normalization and ancestry: the affine gauge, scale-center equivalence class, and threshold losses are fixed consistently across descendants.</w:t>
      </w:r>
    </w:p>
    <w:p>
      <w:pPr/>
      <w:r>
        <w:rPr>
          <w:i w:val="0"/>
        </w:rPr>
        <w:t>Every first-failure theorem should have the following form.</w:t>
      </w:r>
    </w:p>
    <w:p>
      <w:pPr>
        <w:pStyle w:val="Equation"/>
      </w:pPr>
      <w:r>
        <w:t>Bundled residual R + failure of input H  =&gt;  union of realized successor bundles R_1, ..., R_m.</w:t>
      </w:r>
    </w:p>
    <w:p>
      <w:pPr/>
      <w:r>
        <w:rPr>
          <w:i w:val="0"/>
        </w:rPr>
        <w:t>A successor theorem may then close R_j locally. If a successor bundle cannot be produced, the branch has not been exhausted, even if its name already appears in a ledger.</w:t>
      </w:r>
    </w:p>
    <w:p>
      <w:pPr>
        <w:pStyle w:val="Heading1"/>
      </w:pPr>
      <w:r>
        <w:t>4. Mandatory corrections in the Type II entry and chart layer</w:t>
      </w:r>
    </w:p>
    <w:p>
      <w:pPr>
        <w:pStyle w:val="LemmaTitle"/>
        <w:pBdr>
          <w:left w:val="single" w:sz="10" w:space="5" w:color="2F5597"/>
        </w:pBdr>
      </w:pPr>
      <w:r>
        <w:t>Repair Lemma 1. Local active-core selection or structural exit (replacement for SC3)</w:t>
      </w:r>
    </w:p>
    <w:p>
      <w:pPr/>
      <w:r>
        <w:rPr>
          <w:b/>
        </w:rPr>
        <w:t xml:space="preserve">Proposed statement. </w:t>
      </w:r>
      <w:r>
        <w:t>Let (V_n,P_n) be a represented local concentration sequence on a fixed outer cylinder, with a positive velocity or CKN carrier and uniform compact-cylinder suitable bounds. Fix a positive dyadic activity level eta_1 below the retained carrier. After passing to a subsequence and grouping center-scale parameters that are comparable at the same physical point, exactly one of the following occurs: (i) a single compound active core remains and its relative scale-center chart is compact; (ii) two inequivalent comparable-scale active packets occur, giving a multicore or separated-core row; (iii) active packets occur at unbounded relative scale ratios at the same point, giving a same-point cascade or scale-collapse row; (iv) centers leave every compact relative chart, giving an exterior/noncompact row; (v) velocity activity is absent while pressure activity persists, giving the pressure-only row; or (vi) the compound core is selected but its gauge Jacobian is degenerate, giving the repaired-gauge degeneracy row.</w:t>
      </w:r>
    </w:p>
    <w:p>
      <w:pPr/>
      <w:r>
        <w:rPr>
          <w:b/>
        </w:rPr>
        <w:t xml:space="preserve">Local proof sketch. </w:t>
      </w:r>
      <w:r>
        <w:t>Measure activity on a fixed model parabolic cylinder after each candidate is recentered and rescaled. Do not compare unnormalized integrals over every shrinking ball.</w:t>
      </w:r>
    </w:p>
    <w:p>
      <w:pPr>
        <w:pStyle w:val="ListBullet"/>
        <w:spacing w:after="50"/>
        <w:ind w:left="360" w:hanging="216"/>
      </w:pPr>
      <w:r>
        <w:t>Partition candidate parameters by relative center and relative scale. Parameters outside every compact relative chart are already the cascade, scale-collapse, or exterior alternatives.</w:t>
      </w:r>
    </w:p>
    <w:p>
      <w:pPr>
        <w:pStyle w:val="ListBullet"/>
        <w:spacing w:after="50"/>
        <w:ind w:left="360" w:hanging="216"/>
      </w:pPr>
      <w:r>
        <w:t>Inside one compact comparable-scale chart, select a maximal disjoint family of active subcylinders. Compact-cylinder L^3 or CKN control bounds the number of disjoint packets at that fixed scale. Overlapping comparable packets are grouped into one compound profile.</w:t>
      </w:r>
    </w:p>
    <w:p>
      <w:pPr>
        <w:pStyle w:val="ListBullet"/>
        <w:spacing w:after="50"/>
        <w:ind w:left="360" w:hanging="216"/>
      </w:pPr>
      <w:r>
        <w:t>If the maximal family has at least two inequivalent members, produce the multicore/separated branch. If it has one compound member, use the moment constraints and the Jacobian test. Nondegeneracy gives the single-core chart; degeneracy gives the gauge row.</w:t>
      </w:r>
    </w:p>
    <w:p>
      <w:pPr>
        <w:pStyle w:val="ListBullet"/>
        <w:spacing w:after="50"/>
        <w:ind w:left="360" w:hanging="216"/>
      </w:pPr>
      <w:r>
        <w:t>The selected carrier lower bound is inherited by strong local L^3 convergence. Pressure-only lower bounds are never used as a substitute for retained velocity activity.</w:t>
      </w:r>
    </w:p>
    <w:p>
      <w:pPr/>
      <w:r>
        <w:rPr>
          <w:b/>
        </w:rPr>
        <w:t xml:space="preserve">Failure routing. </w:t>
      </w:r>
      <w:r>
        <w:t>Absence of every positive activity candidate, after the pressure-only row is excluded, contradicts the CKN or velocity epsilon-regularity lower bound at the singular point and therefore gives local regularity. Absence of a second candidate does not give regularity; it gives the single-core branch.</w:t>
      </w:r>
    </w:p>
    <w:p>
      <w:pPr>
        <w:pStyle w:val="Small"/>
      </w:pPr>
      <w:r>
        <w:rPr>
          <w:b/>
        </w:rPr>
        <w:t xml:space="preserve">May use: </w:t>
      </w:r>
      <w:r>
        <w:t>Local CKN/velocity concentration, fixed-cylinder suitable bounds, finite-overlap or Vitali selection, local pressure decomposition, and the already defined relative parameter partition. It must not use the multibubble closure theorem itself.</w:t>
      </w:r>
    </w:p>
    <w:p>
      <w:pPr>
        <w:pStyle w:val="Small"/>
      </w:pPr>
      <w:r>
        <w:rPr>
          <w:b/>
        </w:rPr>
        <w:t xml:space="preserve">Assessment: </w:t>
      </w:r>
      <w:r>
        <w:t>Substantive but standard local selection lemma. This is the main replacement needed for the false SC3 condition.</w:t>
      </w:r>
    </w:p>
    <w:p>
      <w:pPr>
        <w:pStyle w:val="SourceNote"/>
      </w:pPr>
      <w:r>
        <w:rPr>
          <w:b/>
        </w:rPr>
        <w:t xml:space="preserve">Source location: </w:t>
      </w:r>
      <w:r>
        <w:t>type_II_regularity.tex, paper2:def:SC (SC2-SC3), paper3:def:active-family, paper3:lem:parameter-partition, and paper6:thm:ordered-local-state-space-exhaustion.</w:t>
      </w:r>
    </w:p>
    <w:p>
      <w:pPr/>
      <w:r>
        <w:rPr>
          <w:i w:val="0"/>
        </w:rPr>
        <w:t>Why this fixes the logical objection: the negation of “one nondegenerate compound core” now produces concrete active packets or a concrete parameter/gauge boundary state. It is no longer merely assigned a branch name.</w:t>
      </w:r>
    </w:p>
    <w:p>
      <w:pPr>
        <w:pStyle w:val="LemmaTitle"/>
        <w:pBdr>
          <w:left w:val="single" w:sz="10" w:space="5" w:color="2F5597"/>
        </w:pBdr>
      </w:pPr>
      <w:r>
        <w:t>Repair Lemma 2. Admissible one-sided preliminary chart</w:t>
      </w:r>
    </w:p>
    <w:p>
      <w:pPr/>
      <w:r>
        <w:rPr>
          <w:b/>
        </w:rPr>
        <w:t xml:space="preserve">Proposed statement. </w:t>
      </w:r>
      <w:r>
        <w:t>Let the physical domain contain B_{R_phys}(x_bullet) x (t_star-delta,t_star]. Let I^-=[tau_0-ell,tau_0], let t_c(tau_0)=t_star and t_c prime = Lambda^2, and assume 0&lt;Lambda_-&lt;=Lambda&lt;=Lambda_+, X in AC(I^-), and X(I^-) is contained in B_d(x_bullet) with d&lt;R_phys. If ell&lt;=delta/Lambda_+^2 and R&lt;(R_phys-d)/Lambda_+, then Phi(tau,Y)=(X(tau)+Lambda(tau)Y,t_c(tau)) maps B_R x I^- into the physical domain, is a homeomorphism onto its image, is spatially bi-Lipschitz on every time slice, and has the a.e. spatial Jacobian Lambda^3 and spacetime Jacobian Lambda^5. The inverse time map is Lipschitz. Full spacetime bi-Lipschitz regularity is claimed only when X and Lambda are W^{1,infinity}.</w:t>
      </w:r>
    </w:p>
    <w:p>
      <w:pPr/>
      <w:r>
        <w:rPr>
          <w:b/>
        </w:rPr>
        <w:t xml:space="preserve">Local proof sketch. </w:t>
      </w:r>
      <w:r>
        <w:t>Integrate Lambda_-^2 &lt;= t_c prime &lt;= Lambda_+^2 to obtain a one-sided time image inside (t_star-delta,t_star].</w:t>
      </w:r>
    </w:p>
    <w:p>
      <w:pPr>
        <w:pStyle w:val="ListBullet"/>
        <w:spacing w:after="50"/>
        <w:ind w:left="360" w:hanging="216"/>
      </w:pPr>
      <w:r>
        <w:t>Use |X-x_bullet|&lt;=d and |Lambda Y|&lt;=Lambda_+ R for spatial inclusion.</w:t>
      </w:r>
    </w:p>
    <w:p>
      <w:pPr>
        <w:pStyle w:val="ListBullet"/>
        <w:spacing w:after="50"/>
        <w:ind w:left="360" w:hanging="216"/>
      </w:pPr>
      <w:r>
        <w:t>Strict monotonicity of t_c gives a unique tau for each image time; then the affine spatial map gives the inverse Y.</w:t>
      </w:r>
    </w:p>
    <w:p>
      <w:pPr>
        <w:pStyle w:val="ListBullet"/>
        <w:spacing w:after="50"/>
        <w:ind w:left="360" w:hanging="216"/>
      </w:pPr>
      <w:r>
        <w:t>The change-of-variables formulas follow from the triangular derivative matrix. Absolute continuity is sufficient for Sobolev change of variables and for the chart-generated local-energy tests already used later in the paper.</w:t>
      </w:r>
    </w:p>
    <w:p>
      <w:pPr>
        <w:pStyle w:val="ListBullet"/>
        <w:spacing w:after="50"/>
        <w:ind w:left="360" w:hanging="216"/>
      </w:pPr>
      <w:r>
        <w:t>Delete the unsupported assertion that AC alone makes the full spacetime map bi-Lipschitz.</w:t>
      </w:r>
    </w:p>
    <w:p>
      <w:pPr/>
      <w:r>
        <w:rPr>
          <w:b/>
        </w:rPr>
        <w:t xml:space="preserve">Failure routing. </w:t>
      </w:r>
      <w:r>
        <w:t>If only R or ell is too large, shrink the model cylinder; this is not a new physical branch. If no positive spatial collar remains, route to the exterior/domain-loss row. If Lambda loses a lower or upper compact bound, route to scale collapse or scale escape. If X or Lambda loses AC regularity, route to the representation/gauge row.</w:t>
      </w:r>
    </w:p>
    <w:p>
      <w:pPr>
        <w:pStyle w:val="Small"/>
      </w:pPr>
      <w:r>
        <w:rPr>
          <w:b/>
        </w:rPr>
        <w:t xml:space="preserve">May use: </w:t>
      </w:r>
      <w:r>
        <w:t>Only the local physical domain, AC scale-center path, and compact lower/upper scale bounds.</w:t>
      </w:r>
    </w:p>
    <w:p>
      <w:pPr>
        <w:pStyle w:val="Small"/>
      </w:pPr>
      <w:r>
        <w:rPr>
          <w:b/>
        </w:rPr>
        <w:t xml:space="preserve">Assessment: </w:t>
      </w:r>
      <w:r>
        <w:t>A straightforward local correction. It does not alter the proof strategy.</w:t>
      </w:r>
    </w:p>
    <w:p>
      <w:pPr>
        <w:pStyle w:val="SourceNote"/>
      </w:pPr>
      <w:r>
        <w:rPr>
          <w:b/>
        </w:rPr>
        <w:t xml:space="preserve">Source location: </w:t>
      </w:r>
      <w:r>
        <w:t>type_II_regularity.tex, paper2:prop:prelim-frame; also paper6a:lem:ac-pullback-local-energy for the regularity actually needed downstream.</w:t>
      </w:r>
    </w:p>
    <w:p>
      <w:pPr>
        <w:pStyle w:val="Heading2"/>
      </w:pPr>
      <w:r>
        <w:t>4.1 Repository scaling synchronization</w:t>
      </w:r>
    </w:p>
    <w:p>
      <w:pPr/>
      <w:r>
        <w:rPr>
          <w:i w:val="0"/>
        </w:rPr>
        <w:t>The integrated Type II file uses the Navier-Stokes velocity scaling rho u(x+rho y,t), while the standalone repaired-gauge source at the audited revision contains rho^{-1}u in SC2-SC4. The correct blow-up scaling is rho u. Before mathematical review, the standalone and integrated sources must be synchronized so that there is one source of truth for the core functional, gauge map, and weighted normalization.</w:t>
      </w:r>
    </w:p>
    <w:tbl>
      <w:tblPr>
        <w:tblW w:type="auto" w:w="0"/>
        <w:jc w:val="center"/>
        <w:tblLayout w:type="autofit"/>
        <w:tblLook w:firstColumn="1" w:firstRow="1" w:lastColumn="0" w:lastRow="0" w:noHBand="0" w:noVBand="1" w:val="04A0"/>
      </w:tblPr>
      <w:tblGrid>
        <w:gridCol w:w="9994"/>
      </w:tblGrid>
      <w:tr>
        <w:trPr>
          <w:trHeight w:hRule="auto"/>
        </w:trPr>
        <w:tc>
          <w:tcPr>
            <w:tcW w:type="dxa" w:w="9994"/>
            <w:shd w:fill="FFF2CC"/>
            <w:tcMar>
              <w:top w:w="110" w:type="dxa"/>
              <w:start w:w="130" w:type="dxa"/>
              <w:bottom w:w="110" w:type="dxa"/>
              <w:end w:w="130" w:type="dxa"/>
            </w:tcMar>
          </w:tcPr>
          <w:p>
            <w:pPr>
              <w:pStyle w:val="Verdict"/>
              <w:keepLines/>
            </w:pPr>
            <w:r>
              <w:t>Mandatory source-control patch</w:t>
            </w:r>
          </w:p>
          <w:p>
            <w:pPr>
              <w:keepLines/>
            </w:pPr>
            <w:r>
              <w:t>Choose the integrated convention V(y)=rho u(x+rho y,t), update all standalone SC2-SC4 formulas and derivative identities to that convention, and compile both sources against the same label dictionary. A proof cannot be referee-checked while two current files state different scalings.</w:t>
            </w:r>
          </w:p>
        </w:tc>
      </w:tr>
    </w:tbl>
    <w:p>
      <w:pPr>
        <w:spacing w:after="0"/>
      </w:pPr>
    </w:p>
    <w:p>
      <w:pPr>
        <w:pStyle w:val="Heading1"/>
      </w:pPr>
      <w:r>
        <w:t>5. Local terminal completeness and bounded-window routing</w:t>
      </w:r>
    </w:p>
    <w:p>
      <w:pPr>
        <w:pStyle w:val="LemmaTitle"/>
        <w:pBdr>
          <w:left w:val="single" w:sz="10" w:space="5" w:color="2F5597"/>
        </w:pBdr>
      </w:pPr>
      <w:r>
        <w:t>Repair Lemma 3. Local residual nonvanishing produces a realized augmented state</w:t>
      </w:r>
    </w:p>
    <w:p>
      <w:pPr/>
      <w:r>
        <w:rPr>
          <w:b/>
        </w:rPr>
        <w:t xml:space="preserve">Proposed statement. </w:t>
      </w:r>
      <w:r>
        <w:t>On a fixed compact terminal cylinder Q_{2R,I}, let V_n=U_n+S_n be an admissible represented decomposition with the local energy, pressure, modulation, time-derivative, and compact-cylinder bounds stated in the terminal compactness package. If limsup ||S_n||_{L^infinity(I;L^3(B_R))} &gt;= delta, then after a subsequence and an admissible time recentering one of the following occurs: (i) an actual augmented limit state (V,U,S,P and the cross-pressure data) is realized on a smaller fixed cylinder and S has a positive local activity coordinate; (ii) the time-slice lower bound cannot be thickened because local state compactness fails, giving the time-compactness or terminal-layer row; (iii) pressure, gauge, local-energy, rough-core, domain, or modulation compactness fails first, giving its named row.</w:t>
      </w:r>
    </w:p>
    <w:p>
      <w:pPr/>
      <w:r>
        <w:rPr>
          <w:b/>
        </w:rPr>
        <w:t xml:space="preserve">Local proof sketch. </w:t>
      </w:r>
      <w:r>
        <w:t>Choose times tau_n at which the residual L^3 lower bound is attained up to a fixed factor. If tau_n approaches the edge of the model interval, recenter the selected window so tau_n becomes the interior time zero; do not move the lower bound to another time.</w:t>
      </w:r>
    </w:p>
    <w:p>
      <w:pPr>
        <w:pStyle w:val="ListBullet"/>
        <w:spacing w:after="50"/>
        <w:ind w:left="360" w:hanging="216"/>
      </w:pPr>
      <w:r>
        <w:t>Apply Aubin-Lions and the pressure atlas simultaneously to V_n and U_n. Where the compactness package holds, obtain strong local L^3 convergence on a smaller cylinder and define S=V-U.</w:t>
      </w:r>
    </w:p>
    <w:p>
      <w:pPr>
        <w:pStyle w:val="ListBullet"/>
        <w:spacing w:after="50"/>
        <w:ind w:left="360" w:hanging="216"/>
      </w:pPr>
      <w:r>
        <w:t>Use either local smooth compactness or the compact-state slice-to-spacetime lemma to convert the selected time-slice mass into positive spacetime activity. If this uniform time modulus is unavailable, record that first failure rather than silently passing the slice lower bound.</w:t>
      </w:r>
    </w:p>
    <w:p>
      <w:pPr>
        <w:pStyle w:val="ListBullet"/>
        <w:spacing w:after="50"/>
        <w:ind w:left="360" w:hanging="216"/>
      </w:pPr>
      <w:r>
        <w:t>Carry the local Calderon-Zygmund and harmonic pressure decomposition in the augmented state. A persistent harmonic remainder is a pressure/exterior state, not part of the velocity residual.</w:t>
      </w:r>
    </w:p>
    <w:p>
      <w:pPr/>
      <w:r>
        <w:rPr>
          <w:b/>
        </w:rPr>
        <w:t xml:space="preserve">Failure routing. </w:t>
      </w:r>
      <w:r>
        <w:t>The contrapositive is now valid: after all listed producer exits are closed, failure of local residual vanishing is impossible.</w:t>
      </w:r>
    </w:p>
    <w:p>
      <w:pPr>
        <w:pStyle w:val="Small"/>
      </w:pPr>
      <w:r>
        <w:rPr>
          <w:b/>
        </w:rPr>
        <w:t xml:space="preserve">May use: </w:t>
      </w:r>
      <w:r>
        <w:t>Local terminal compactness estimates only. This lemma must not use terminal nonlinear stress decoupling.</w:t>
      </w:r>
    </w:p>
    <w:p>
      <w:pPr>
        <w:pStyle w:val="Small"/>
      </w:pPr>
      <w:r>
        <w:rPr>
          <w:b/>
        </w:rPr>
        <w:t xml:space="preserve">Assessment: </w:t>
      </w:r>
      <w:r>
        <w:t>This is the precise local producer needed to justify the terminal stress calculation by contraposition. Much of it is already distributed among the interior-time selection, local occupation-state compactness, and residual-exhaustion subsections.</w:t>
      </w:r>
    </w:p>
    <w:p>
      <w:pPr>
        <w:pStyle w:val="SourceNote"/>
      </w:pPr>
      <w:r>
        <w:rPr>
          <w:b/>
        </w:rPr>
        <w:t xml:space="preserve">Source location: </w:t>
      </w:r>
      <w:r>
        <w:t>type_II_regularity.tex, paper6a:def:critical-ns-profile-decomposition-local, paper6a:lem:interior-time-selection, paper6a:lem:l3-profile-extraction-cited, and paper6a:thm:local-residual-exhaustion.</w:t>
      </w:r>
    </w:p>
    <w:p>
      <w:pPr>
        <w:pStyle w:val="LemmaTitle"/>
        <w:pBdr>
          <w:left w:val="single" w:sz="10" w:space="5" w:color="2F5597"/>
        </w:pBdr>
      </w:pPr>
      <w:r>
        <w:t>Repair Lemma 4. First nonzero residual coordinate or merge into the retained component</w:t>
      </w:r>
    </w:p>
    <w:p>
      <w:pPr/>
      <w:r>
        <w:rPr>
          <w:b/>
        </w:rPr>
        <w:t xml:space="preserve">Proposed statement. </w:t>
      </w:r>
      <w:r>
        <w:t>Let an augmented state from Repair Lemma 3 carry nonzero residual activity. Run the ordered local diagnostics on that state. Exactly one of the following occurs: a comparable retained profile that must be merged into U_n; a new active profile at an inequivalent center or scale; a pressure-only or harmonic defect; a representation/gauge defect; rough-core or local-energy failure; modulation or scale-drift failure; exterior/domain escape; or a hidden-scale/critical-tail defect. If none occurs, the residual is perturbative in the local stability topology and cannot carry the positive activity coordinate.</w:t>
      </w:r>
    </w:p>
    <w:p>
      <w:pPr/>
      <w:r>
        <w:rPr>
          <w:b/>
        </w:rPr>
        <w:t xml:space="preserve">Local proof sketch. </w:t>
      </w:r>
      <w:r>
        <w:t>Fix a countable separating family of local velocity, pressure, modulation, and energy observables. Select the first nonzero observable in the prescribed branch order.</w:t>
      </w:r>
    </w:p>
    <w:p>
      <w:pPr>
        <w:pStyle w:val="ListBullet"/>
        <w:spacing w:after="50"/>
        <w:ind w:left="360" w:hanging="216"/>
      </w:pPr>
      <w:r>
        <w:t>If the first nonzero velocity observable is at comparable center and scale, group it into the retained compound component; maximality of the retained component is then contradicted unless the merge is performed.</w:t>
      </w:r>
    </w:p>
    <w:p>
      <w:pPr>
        <w:pStyle w:val="ListBullet"/>
        <w:spacing w:after="50"/>
        <w:ind w:left="360" w:hanging="216"/>
      </w:pPr>
      <w:r>
        <w:t>If its relative parameters are not comparable, the parameter partition gives multicore, cascade, scale, or exterior routing.</w:t>
      </w:r>
    </w:p>
    <w:p>
      <w:pPr>
        <w:pStyle w:val="ListBullet"/>
        <w:spacing w:after="50"/>
        <w:ind w:left="360" w:hanging="216"/>
      </w:pPr>
      <w:r>
        <w:t>If the velocity coordinates vanish but a pressure or harmonic coordinate survives, use the local source/harmonic pressure dichotomy.</w:t>
      </w:r>
    </w:p>
    <w:p>
      <w:pPr>
        <w:pStyle w:val="ListBullet"/>
        <w:spacing w:after="50"/>
        <w:ind w:left="360" w:hanging="216"/>
      </w:pPr>
      <w:r>
        <w:t>If every nonlinear residual coordinate is small, apply the existing local perturbative stability estimate on the smaller cylinder. This contradicts the positive residual activity from Repair Lemma 3.</w:t>
      </w:r>
    </w:p>
    <w:p>
      <w:pPr/>
      <w:r>
        <w:rPr>
          <w:b/>
        </w:rPr>
        <w:t xml:space="preserve">Failure routing. </w:t>
      </w:r>
      <w:r>
        <w:t>Every failure is a realized successor bundle. Once those successor rows are closed and comparable classes are grouped, the only remaining conclusion is S_n -&gt; 0 locally.</w:t>
      </w:r>
    </w:p>
    <w:p>
      <w:pPr>
        <w:pStyle w:val="Small"/>
      </w:pPr>
      <w:r>
        <w:rPr>
          <w:b/>
        </w:rPr>
        <w:t xml:space="preserve">May use: </w:t>
      </w:r>
      <w:r>
        <w:t>Repair Lemma 3, local parameter partition, local pressure decomposition, and local perturbative stability. It may use already established branch closures but not the stress decoupling that follows from S_n -&gt; 0.</w:t>
      </w:r>
    </w:p>
    <w:p>
      <w:pPr>
        <w:pStyle w:val="Small"/>
      </w:pPr>
      <w:r>
        <w:rPr>
          <w:b/>
        </w:rPr>
        <w:t xml:space="preserve">Assessment: </w:t>
      </w:r>
      <w:r>
        <w:t>Local routing theorem, not a global profile decomposition. It makes the current terminal completeness theorem noncircular.</w:t>
      </w:r>
    </w:p>
    <w:p>
      <w:pPr>
        <w:pStyle w:val="SourceNote"/>
      </w:pPr>
      <w:r>
        <w:rPr>
          <w:b/>
        </w:rPr>
        <w:t xml:space="preserve">Source location: </w:t>
      </w:r>
      <w:r>
        <w:t>type_II_regularity.tex, paper6a:lem:critical-mass-decoupling, paper6a:lem:retained-frame-maximality, paper6a:lem:nonlinear-profile-evolution-cited, and paper6a:thm:critical-ns-profile-decomposition-discharged.</w:t>
      </w:r>
    </w:p>
    <w:p>
      <w:pPr>
        <w:pStyle w:val="LemmaTitle"/>
        <w:pBdr>
          <w:left w:val="single" w:sz="10" w:space="5" w:color="2F5597"/>
        </w:pBdr>
      </w:pPr>
      <w:r>
        <w:t>Repair Lemma 5. Normalized local mass has an active support state</w:t>
      </w:r>
    </w:p>
    <w:p>
      <w:pPr/>
      <w:r>
        <w:rPr>
          <w:b/>
        </w:rPr>
        <w:t xml:space="preserve">Proposed statement. </w:t>
      </w:r>
      <w:r>
        <w:t>Let mu_n be normalized local residual or tree measures after every selected packet has been rebased to one fixed model cylinder Q. Assume each represented state carries unit normalized mass on Q and the compactification records a countable nonnegative family of occupation tests {phi_j} that separates nonzero L^1_+(Q) mass. If mu_n converges weakly-* to a probability mu and no failure face is reached, then there exist j and eta&gt;0 such that mu({state: integral phi_j f_state &gt;= eta})&gt;0. Hence the support of mu contains a realized state with positive local activity.</w:t>
      </w:r>
    </w:p>
    <w:p>
      <w:pPr/>
      <w:r>
        <w:rPr>
          <w:b/>
        </w:rPr>
        <w:t xml:space="preserve">Local proof sketch. </w:t>
      </w:r>
      <w:r>
        <w:t>For every represented normalized state, at least one occupation integral is positive because the total model-cylinder mass equals one and the test family separates positive mass.</w:t>
      </w:r>
    </w:p>
    <w:p>
      <w:pPr>
        <w:pStyle w:val="ListBullet"/>
        <w:spacing w:after="50"/>
        <w:ind w:left="360" w:hanging="216"/>
      </w:pPr>
      <w:r>
        <w:t>Write the represented state space as the countable union over j,m of the sets where the j-th occupation integral is at least 1/m.</w:t>
      </w:r>
    </w:p>
    <w:p>
      <w:pPr>
        <w:pStyle w:val="ListBullet"/>
        <w:spacing w:after="50"/>
        <w:ind w:left="360" w:hanging="216"/>
      </w:pPr>
      <w:r>
        <w:t>Since mu is a probability, one of those sets has positive mu-measure. Its intersection with the support is nonempty.</w:t>
      </w:r>
    </w:p>
    <w:p>
      <w:pPr>
        <w:pStyle w:val="ListBullet"/>
        <w:spacing w:after="50"/>
        <w:ind w:left="360" w:hanging="216"/>
      </w:pPr>
      <w:r>
        <w:t>Use nested neighborhoods and the original selected packets to realize a support state. If rebasing, pressure normalization, domain inclusion, or compactness fails, the state lies on the corresponding named boundary face instead.</w:t>
      </w:r>
    </w:p>
    <w:p>
      <w:pPr/>
      <w:r>
        <w:rPr>
          <w:b/>
        </w:rPr>
        <w:t xml:space="preserve">Failure routing. </w:t>
      </w:r>
      <w:r>
        <w:t>A genuinely diffuse measure with no positive local coordinate is therefore not a terminal state on a fixed model cylinder. It means that normalization was lost before rebasing and must be routed to scale, center, logarithmic, domain, pressure, or compactness escape.</w:t>
      </w:r>
    </w:p>
    <w:p>
      <w:pPr>
        <w:pStyle w:val="Small"/>
      </w:pPr>
      <w:r>
        <w:rPr>
          <w:b/>
        </w:rPr>
        <w:t xml:space="preserve">May use: </w:t>
      </w:r>
      <w:r>
        <w:t>Only normalized local mass, a compact metrizable state space, and a countable separating occupation chart.</w:t>
      </w:r>
    </w:p>
    <w:p>
      <w:pPr>
        <w:pStyle w:val="Small"/>
      </w:pPr>
      <w:r>
        <w:rPr>
          <w:b/>
        </w:rPr>
        <w:t xml:space="preserve">Assessment: </w:t>
      </w:r>
      <w:r>
        <w:t>Elementary measure-theoretic repair. It clarifies when a diffuse measure is a real tail branch and when it is only incomplete rebasing.</w:t>
      </w:r>
    </w:p>
    <w:p>
      <w:pPr>
        <w:pStyle w:val="SourceNote"/>
      </w:pPr>
      <w:r>
        <w:rPr>
          <w:b/>
        </w:rPr>
        <w:t xml:space="preserve">Source location: </w:t>
      </w:r>
      <w:r>
        <w:t>type_II_regularity.tex, paper6a:lem:normalized-defect-atomic-or-diffuse, reselection-tree support realization, and logarithmic shell support realization.</w:t>
      </w:r>
    </w:p>
    <w:p>
      <w:pPr>
        <w:pStyle w:val="LemmaTitle"/>
        <w:pBdr>
          <w:left w:val="single" w:sz="10" w:space="5" w:color="2F5597"/>
        </w:pBdr>
      </w:pPr>
      <w:r>
        <w:t>Repair Lemma 6. Bounded-window reselection is branch-well-founded</w:t>
      </w:r>
    </w:p>
    <w:p>
      <w:pPr/>
      <w:r>
        <w:rPr>
          <w:b/>
        </w:rPr>
        <w:t xml:space="preserve">Proposed statement. </w:t>
      </w:r>
      <w:r>
        <w:t>After a nonzero bounded selected-window limit has been regularized on a compact subwindow, any surviving positive CKN mass is reselected. The reselection process either terminates at local regularity or at a named finite row, or an infinite subsequence has one of the following definite geometries: same-point strict scale cascade, relative scale collapse, noncompact/exterior center escape, repeated comparable activity that must be merged into one compound retained class, or loss of fixed-window rebasing that is routed by Repair Lemma 5 to a boundary row.</w:t>
      </w:r>
    </w:p>
    <w:p>
      <w:pPr/>
      <w:r>
        <w:rPr>
          <w:b/>
        </w:rPr>
        <w:t xml:space="preserve">Local proof sketch. </w:t>
      </w:r>
      <w:r>
        <w:t>At each step record the dyadic activity level, relative scale class, relative center class, and whether the packet is already grouped into the retained compound.</w:t>
      </w:r>
    </w:p>
    <w:p>
      <w:pPr>
        <w:pStyle w:val="ListBullet"/>
        <w:spacing w:after="50"/>
        <w:ind w:left="360" w:hanging="216"/>
      </w:pPr>
      <w:r>
        <w:t>At a fixed positive activity level and inside a compact comparable parameter chart, local finite-overlap selection yields only finitely many inequivalent packets. Repetition therefore means the same compound class and must be merged.</w:t>
      </w:r>
    </w:p>
    <w:p>
      <w:pPr>
        <w:pStyle w:val="ListBullet"/>
        <w:spacing w:after="50"/>
        <w:ind w:left="360" w:hanging="216"/>
      </w:pPr>
      <w:r>
        <w:t>Unbounded scale ratios give the cascade or scale-collapse row; center escape gives the exterior row.</w:t>
      </w:r>
    </w:p>
    <w:p>
      <w:pPr>
        <w:pStyle w:val="ListBullet"/>
        <w:spacing w:after="50"/>
        <w:ind w:left="360" w:hanging="216"/>
      </w:pPr>
      <w:r>
        <w:t>If activity levels tend to zero while a fixed positive total residual survives, normalize the residual mass and apply Repair Lemma 5. A positive support coordinate produces a lower-level active packet; failure to rebase is already a named boundary face.</w:t>
      </w:r>
    </w:p>
    <w:p>
      <w:pPr>
        <w:pStyle w:val="ListBullet"/>
        <w:spacing w:after="50"/>
        <w:ind w:left="360" w:hanging="216"/>
      </w:pPr>
      <w:r>
        <w:t>This supplies an explicit well-founded rank or a named infinite branch, without assuming that arbitrary reselection must stop.</w:t>
      </w:r>
    </w:p>
    <w:p>
      <w:pPr/>
      <w:r>
        <w:rPr>
          <w:b/>
        </w:rPr>
        <w:t xml:space="preserve">Failure routing. </w:t>
      </w:r>
      <w:r>
        <w:t>There is no unrecorded “infinite diffuse reselection” terminal state. It either produces a fixed-window support state or leaves the compact chart through an already named branch.</w:t>
      </w:r>
    </w:p>
    <w:p>
      <w:pPr>
        <w:pStyle w:val="Small"/>
      </w:pPr>
      <w:r>
        <w:rPr>
          <w:b/>
        </w:rPr>
        <w:t xml:space="preserve">May use: </w:t>
      </w:r>
      <w:r>
        <w:t>Repair Lemmas 1 and 5, local CKN regularity, finite-overlap covering, and the existing relative parameter partition.</w:t>
      </w:r>
    </w:p>
    <w:p>
      <w:pPr>
        <w:pStyle w:val="Small"/>
      </w:pPr>
      <w:r>
        <w:rPr>
          <w:b/>
        </w:rPr>
        <w:t xml:space="preserve">Assessment: </w:t>
      </w:r>
      <w:r>
        <w:t>A local routing consolidation. It repairs the only nonlocal-looking step in bounded-window closure without a global estimate.</w:t>
      </w:r>
    </w:p>
    <w:p>
      <w:pPr>
        <w:pStyle w:val="SourceNote"/>
      </w:pPr>
      <w:r>
        <w:rPr>
          <w:b/>
        </w:rPr>
        <w:t xml:space="preserve">Source location: </w:t>
      </w:r>
      <w:r>
        <w:t>type_II_regularity.tex, paper10:lem:bounded-window-reselection-well-founded, paper10:lem:diffuse-reselection-tree-row-closed, and paper6:thm:bounded-selected-window-physical-routing.</w:t>
      </w:r>
    </w:p>
    <w:p>
      <w:pPr>
        <w:pStyle w:val="Heading2"/>
      </w:pPr>
      <w:r>
        <w:t>5.1 Consequence for terminal stress and the single-core theorem</w:t>
      </w:r>
    </w:p>
    <w:p>
      <w:pPr/>
      <w:r>
        <w:rPr>
          <w:i w:val="0"/>
        </w:rPr>
        <w:t>With Repair Lemmas 3-4, the terminal completeness conclusion is obtained before the stress estimate. Then the existing local bounds give</w:t>
      </w:r>
    </w:p>
    <w:p>
      <w:pPr>
        <w:pStyle w:val="Equation"/>
      </w:pPr>
      <w:r>
        <w:t>S_n -&gt; 0 in L^infinity_t L^3_x(B_R),   U_n,S_n bounded in L^2_t L^6_x(B_R).</w:t>
      </w:r>
    </w:p>
    <w:p>
      <w:pPr/>
      <w:r>
        <w:rPr>
          <w:i w:val="0"/>
        </w:rPr>
        <w:t>Therefore every term in U_n tensor S_n + S_n tensor U_n + S_n tensor S_n tends to zero in L^1_t L^2_x, and its divergence tends to zero in L^1_t H^{-1}_x. This part of the manuscript does not need revision beyond making the producer dependencies explicit.</w:t>
      </w:r>
    </w:p>
    <w:p>
      <w:pPr/>
      <w:r>
        <w:rPr>
          <w:i w:val="0"/>
        </w:rPr>
        <w:t>Likewise, the compact single-core contradiction remains a local theorem. Repair Lemma 1 supplies its entry when there is exactly one nondegenerate compound core. Its failed entry hypotheses now have concrete successor bundles, so no global estimate is being smuggled into the theorem.</w:t>
      </w:r>
    </w:p>
    <w:p>
      <w:pPr>
        <w:pStyle w:val="Heading1"/>
      </w:pPr>
      <w:r>
        <w:t>6. Type I descendant, recurrence, and critical-tail repairs</w:t>
      </w:r>
    </w:p>
    <w:p>
      <w:pPr>
        <w:pStyle w:val="LemmaTitle"/>
        <w:pBdr>
          <w:left w:val="single" w:sz="10" w:space="5" w:color="2F5597"/>
        </w:pBdr>
      </w:pPr>
      <w:r>
        <w:t>Repair Lemma 7. Equivalent recenterings preserve the realized profile</w:t>
      </w:r>
    </w:p>
    <w:p>
      <w:pPr/>
      <w:r>
        <w:rPr>
          <w:b/>
        </w:rPr>
        <w:t xml:space="preserve">Proposed statement. </w:t>
      </w:r>
      <w:r>
        <w:t>Let g_n and g_n prime be parabolic or covariant recentering sequences with uniformly bounded relative group parameters. After a subsequence, the relative transforms converge to a finite group element h. If the g_n-recentered fields converge locally to (U,P), then the g_n prime-recentered fields converge to h applied to (U,P), with the transformed pressure gauge. Suitability, the local pressure atlas, retained velocity activity, and membership in the same center-scale equivalence class are preserved, up to the fixed threshold loss already allowed by the hierarchy.</w:t>
      </w:r>
    </w:p>
    <w:p>
      <w:pPr/>
      <w:r>
        <w:rPr>
          <w:b/>
        </w:rPr>
        <w:t xml:space="preserve">Local proof sketch. </w:t>
      </w:r>
      <w:r>
        <w:t>Write g_n prime = h_n g_n in the semidirect recentering group. Bounded relative parameters have a convergent subsequence h_n -&gt; h.</w:t>
      </w:r>
    </w:p>
    <w:p>
      <w:pPr>
        <w:pStyle w:val="ListBullet"/>
        <w:spacing w:after="50"/>
        <w:ind w:left="360" w:hanging="216"/>
      </w:pPr>
      <w:r>
        <w:t>Use continuity of the group action in the local velocity topology and in local L^{3/2} pressure modulo time gauges.</w:t>
      </w:r>
    </w:p>
    <w:p>
      <w:pPr>
        <w:pStyle w:val="ListBullet"/>
        <w:spacing w:after="50"/>
        <w:ind w:left="360" w:hanging="216"/>
      </w:pPr>
      <w:r>
        <w:t>Transfer the retained activity lower bound by strong local L^3 convergence. Transfer suitability by the exact covariance theorem.</w:t>
      </w:r>
    </w:p>
    <w:p>
      <w:pPr>
        <w:pStyle w:val="ListBullet"/>
        <w:spacing w:after="50"/>
        <w:ind w:left="360" w:hanging="216"/>
      </w:pPr>
      <w:r>
        <w:t>If the relative parameters do not remain bounded, the two sequences are asymptotically separated by definition.</w:t>
      </w:r>
    </w:p>
    <w:p>
      <w:pPr/>
      <w:r>
        <w:rPr>
          <w:b/>
        </w:rPr>
        <w:t xml:space="preserve">Failure routing. </w:t>
      </w:r>
      <w:r>
        <w:t>This closes the gap in maximal finite-family arguments: a new successor is either equivalent to an existing vertex, or is genuinely separated and enlarges the family.</w:t>
      </w:r>
    </w:p>
    <w:p>
      <w:pPr>
        <w:pStyle w:val="Small"/>
      </w:pPr>
      <w:r>
        <w:rPr>
          <w:b/>
        </w:rPr>
        <w:t xml:space="preserve">May use: </w:t>
      </w:r>
      <w:r>
        <w:t>Semidirect covariance, local topology, and pressure-gauge compatibility.</w:t>
      </w:r>
    </w:p>
    <w:p>
      <w:pPr>
        <w:pStyle w:val="Small"/>
      </w:pPr>
      <w:r>
        <w:rPr>
          <w:b/>
        </w:rPr>
        <w:t xml:space="preserve">Assessment: </w:t>
      </w:r>
      <w:r>
        <w:t>Straightforward inheritance corollary; essentially implicit in the current definitions and diagonal lifting lemma.</w:t>
      </w:r>
    </w:p>
    <w:p>
      <w:pPr>
        <w:pStyle w:val="SourceNote"/>
      </w:pPr>
      <w:r>
        <w:rPr>
          <w:b/>
        </w:rPr>
        <w:t xml:space="preserve">Source location: </w:t>
      </w:r>
      <w:r>
        <w:t>paperIV_residual_branch.tex, def:parabolic-recentering-sequence, def:combined-raw-covariant-recentering, lem:semidirect-covariance, and lem:diagonal-lifting-descendants.</w:t>
      </w:r>
    </w:p>
    <w:p>
      <w:pPr>
        <w:pStyle w:val="LemmaTitle"/>
        <w:pBdr>
          <w:left w:val="single" w:sz="10" w:space="5" w:color="2F5597"/>
        </w:pBdr>
      </w:pPr>
      <w:r>
        <w:t>Repair Lemma 8. Composition, transitivity, and closedness of retained descendants</w:t>
      </w:r>
    </w:p>
    <w:p>
      <w:pPr/>
      <w:r>
        <w:rPr>
          <w:b/>
        </w:rPr>
        <w:t xml:space="preserve">Proposed statement. </w:t>
      </w:r>
      <w:r>
        <w:t>If V is a retained covariant tail descendant of U and W is a retained covariant tail descendant of V, then W is a realized retained descendant of U after a diagonal composition of the two recentering sequences. Moreover, on each fixed activity set A_eta, the descendant relation is closed in the normalized local profile topology.</w:t>
      </w:r>
    </w:p>
    <w:p>
      <w:pPr/>
      <w:r>
        <w:rPr>
          <w:b/>
        </w:rPr>
        <w:t xml:space="preserve">Local proof sketch. </w:t>
      </w:r>
      <w:r>
        <w:t>Use the exact semidirect group law to compose the relative recenterings.</w:t>
      </w:r>
    </w:p>
    <w:p>
      <w:pPr>
        <w:pStyle w:val="ListBullet"/>
        <w:spacing w:after="50"/>
        <w:ind w:left="360" w:hanging="216"/>
      </w:pPr>
      <w:r>
        <w:t>Choose diagonal indices so that the first convergence is accurate on the tube needed by the second recentering and the second convergence is accurate on the target compact cylinder.</w:t>
      </w:r>
    </w:p>
    <w:p>
      <w:pPr>
        <w:pStyle w:val="ListBullet"/>
        <w:spacing w:after="50"/>
        <w:ind w:left="360" w:hanging="216"/>
      </w:pPr>
      <w:r>
        <w:t>Pressure gauges are composed using the local atlas compatibility; the velocity lower bound passes by strong local L^3 convergence.</w:t>
      </w:r>
    </w:p>
    <w:p>
      <w:pPr>
        <w:pStyle w:val="ListBullet"/>
        <w:spacing w:after="50"/>
        <w:ind w:left="360" w:hanging="216"/>
      </w:pPr>
      <w:r>
        <w:t>For closedness, diagonalize a convergent sequence of edges and use the same tube argument.</w:t>
      </w:r>
    </w:p>
    <w:p>
      <w:pPr/>
      <w:r>
        <w:rPr>
          <w:b/>
        </w:rPr>
        <w:t xml:space="preserve">Failure routing. </w:t>
      </w:r>
      <w:r>
        <w:t>Failure of gauge or local compactness during composition is not ignored; it is the pressure/noncompact successor row.</w:t>
      </w:r>
    </w:p>
    <w:p>
      <w:pPr>
        <w:pStyle w:val="Small"/>
      </w:pPr>
      <w:r>
        <w:rPr>
          <w:b/>
        </w:rPr>
        <w:t xml:space="preserve">May use: </w:t>
      </w:r>
      <w:r>
        <w:t>Repair Lemma 7 and the existing local state-space compactness and gauge compatibility.</w:t>
      </w:r>
    </w:p>
    <w:p>
      <w:pPr>
        <w:pStyle w:val="Small"/>
      </w:pPr>
      <w:r>
        <w:rPr>
          <w:b/>
        </w:rPr>
        <w:t xml:space="preserve">Assessment: </w:t>
      </w:r>
      <w:r>
        <w:t>Known local diagonal method. It should be stated once and cited by the finite graph, recurrence, and critical-tail modules.</w:t>
      </w:r>
    </w:p>
    <w:p>
      <w:pPr>
        <w:pStyle w:val="SourceNote"/>
      </w:pPr>
      <w:r>
        <w:rPr>
          <w:b/>
        </w:rPr>
        <w:t xml:space="preserve">Source location: </w:t>
      </w:r>
      <w:r>
        <w:t>paperIV_residual_branch.tex, lem:diagonal-lifting-descendants, thm:descendant-heredity, and lem:closed-active-successor-relation.</w:t>
      </w:r>
    </w:p>
    <w:p>
      <w:pPr>
        <w:pStyle w:val="LemmaTitle"/>
        <w:pBdr>
          <w:left w:val="single" w:sz="10" w:space="5" w:color="2F5597"/>
        </w:pBdr>
      </w:pPr>
      <w:r>
        <w:t>Repair Lemma 9. Common normalized pressure atlas on a recurrent compact core</w:t>
      </w:r>
    </w:p>
    <w:p>
      <w:pPr/>
      <w:r>
        <w:rPr>
          <w:b/>
        </w:rPr>
        <w:t xml:space="preserve">Proposed statement. </w:t>
      </w:r>
      <w:r>
        <w:t>Let M be a compact invariant core of bounded smooth centered profiles obtained from realized descendants. Then either pressure/gauge compactness fails and the core is routed to that row, or the profiles admit one compatible local pressure-gradient atlas and one canonical affine normalization on every compact cylinder. Evaluation observables of velocity, derivatives, and pressure gradient are continuous on M, so invariant probability measures may be used in the recurrent-core energy identity.</w:t>
      </w:r>
    </w:p>
    <w:p>
      <w:pPr/>
      <w:r>
        <w:rPr>
          <w:b/>
        </w:rPr>
        <w:t xml:space="preserve">Local proof sketch. </w:t>
      </w:r>
      <w:r>
        <w:t>Normalize pressure on a fixed nested ball by zero spatial mean at each time. On overlaps, two local representatives differ only by a time function; their gradients agree.</w:t>
      </w:r>
    </w:p>
    <w:p>
      <w:pPr>
        <w:pStyle w:val="ListBullet"/>
        <w:spacing w:after="50"/>
        <w:ind w:left="360" w:hanging="216"/>
      </w:pPr>
      <w:r>
        <w:t>Compactness of M and a finite cover of each compact cylinder give uniform local pressure bounds. Diagonalize over an exhaustion.</w:t>
      </w:r>
    </w:p>
    <w:p>
      <w:pPr>
        <w:pStyle w:val="ListBullet"/>
        <w:spacing w:after="50"/>
        <w:ind w:left="360" w:hanging="216"/>
      </w:pPr>
      <w:r>
        <w:t>Canonical affine normalization is applied before forming the core. If an affine mode survives or its gauges are not compact, route to the affine row.</w:t>
      </w:r>
    </w:p>
    <w:p>
      <w:pPr>
        <w:pStyle w:val="ListBullet"/>
        <w:spacing w:after="50"/>
        <w:ind w:left="360" w:hanging="216"/>
      </w:pPr>
      <w:r>
        <w:t>The centered equation expresses the local pressure gradient as a continuous observable of the smooth velocity and its derivatives, making the averaged pressure work gauge-independent.</w:t>
      </w:r>
    </w:p>
    <w:p>
      <w:pPr/>
      <w:r>
        <w:rPr>
          <w:b/>
        </w:rPr>
        <w:t xml:space="preserve">Failure routing. </w:t>
      </w:r>
      <w:r>
        <w:t>Once this atlas is available, the existing invariant-measure/generator calculation is genuinely local. If it is unavailable, recurrence is not invoked; the branch has already exited through pressure, affine, or noncompact routing.</w:t>
      </w:r>
    </w:p>
    <w:p>
      <w:pPr>
        <w:pStyle w:val="Small"/>
      </w:pPr>
      <w:r>
        <w:rPr>
          <w:b/>
        </w:rPr>
        <w:t xml:space="preserve">May use: </w:t>
      </w:r>
      <w:r>
        <w:t>Compact local smooth topology, pressure atlas compatibility, and affine routing. No global pressure norm.</w:t>
      </w:r>
    </w:p>
    <w:p>
      <w:pPr>
        <w:pStyle w:val="Small"/>
      </w:pPr>
      <w:r>
        <w:rPr>
          <w:b/>
        </w:rPr>
        <w:t xml:space="preserve">Assessment: </w:t>
      </w:r>
      <w:r>
        <w:t>Mostly a consolidation of existing recurrence and generator-calculus material.</w:t>
      </w:r>
    </w:p>
    <w:p>
      <w:pPr>
        <w:pStyle w:val="SourceNote"/>
      </w:pPr>
      <w:r>
        <w:rPr>
          <w:b/>
        </w:rPr>
        <w:t xml:space="preserve">Source location: </w:t>
      </w:r>
      <w:r>
        <w:t>paperIV_residual_branch.tex, thm:escaping-covariant-hull-compactness, lem:recurrent-core-pressure-gauges, Appendix B, and lem:active-core-retention-gauges.</w:t>
      </w:r>
    </w:p>
    <w:p>
      <w:pPr>
        <w:pStyle w:val="LemmaTitle"/>
        <w:pBdr>
          <w:left w:val="single" w:sz="10" w:space="5" w:color="2F5597"/>
        </w:pBdr>
      </w:pPr>
      <w:r>
        <w:t>Repair Lemma 10. Critical-tail support-point realization with PDE inheritance</w:t>
      </w:r>
    </w:p>
    <w:p>
      <w:pPr/>
      <w:r>
        <w:rPr>
          <w:b/>
        </w:rPr>
        <w:t xml:space="preserve">Proposed statement. </w:t>
      </w:r>
      <w:r>
        <w:t>For every normalized log-annular, Young, pressure, or critical-tail defect measure, build a compact parameter-state space whose represented part records the rebased velocity, actual scaled pressure modulo time gauges, local energy inequality, equation coefficients, affine gauge, and domain. Every support point away from a named failure face is realized by an actual sequence of occupied annuli or windows from the original terminal sequence and inherits the corresponding scaled PDE and local suitable structure on each fixed model cylinder.</w:t>
      </w:r>
    </w:p>
    <w:p>
      <w:pPr/>
      <w:r>
        <w:rPr>
          <w:b/>
        </w:rPr>
        <w:t xml:space="preserve">Local proof sketch. </w:t>
      </w:r>
      <w:r>
        <w:t>Push the normalized defect measures forward to the compact parameter-state space and extract a weak-* limit.</w:t>
      </w:r>
    </w:p>
    <w:p>
      <w:pPr>
        <w:pStyle w:val="ListBullet"/>
        <w:spacing w:after="50"/>
        <w:ind w:left="360" w:hanging="216"/>
      </w:pPr>
      <w:r>
        <w:t>For a support point, choose nested neighborhoods of shrinking diameter. Positive limit mass lets one choose an actual occupied annulus/window in each neighborhood. Diagonalize to obtain a realizing sequence.</w:t>
      </w:r>
    </w:p>
    <w:p>
      <w:pPr>
        <w:pStyle w:val="ListBullet"/>
        <w:spacing w:after="50"/>
        <w:ind w:left="360" w:hanging="216"/>
      </w:pPr>
      <w:r>
        <w:t>Write the exact finite-index scaled equation and pressure normalization before taking the limit. Uniform local bounds pass the linear terms; the coefficients determine whether viscosity/nonlinearity vanish or instead produce a mesoscopic/active row.</w:t>
      </w:r>
    </w:p>
    <w:p>
      <w:pPr>
        <w:pStyle w:val="ListBullet"/>
        <w:spacing w:after="50"/>
        <w:ind w:left="360" w:hanging="216"/>
      </w:pPr>
      <w:r>
        <w:t>If domain inclusion, pressure reconstruction, gauge compactness, local energy, or strong compactness fails, the support point lies on that explicit face and is routed there rather than treated as a coherent tail.</w:t>
      </w:r>
    </w:p>
    <w:p>
      <w:pPr/>
      <w:r>
        <w:rPr>
          <w:b/>
        </w:rPr>
        <w:t xml:space="preserve">Failure routing. </w:t>
      </w:r>
      <w:r>
        <w:t>This theorem is the analytic content behind “support transfer”. A branch name is valid only after the realizing sequence and inherited PDE package have been produced.</w:t>
      </w:r>
    </w:p>
    <w:p>
      <w:pPr>
        <w:pStyle w:val="Small"/>
      </w:pPr>
      <w:r>
        <w:rPr>
          <w:b/>
        </w:rPr>
        <w:t xml:space="preserve">May use: </w:t>
      </w:r>
      <w:r>
        <w:t>Local scaling identities, bounded velocity, local pressure atlas, Banach-Alaoglu/Aubin-Lions or Young compactness, and the domain dichotomy.</w:t>
      </w:r>
    </w:p>
    <w:p>
      <w:pPr>
        <w:pStyle w:val="Small"/>
      </w:pPr>
      <w:r>
        <w:rPr>
          <w:b/>
        </w:rPr>
        <w:t xml:space="preserve">Assessment: </w:t>
      </w:r>
      <w:r>
        <w:t>Nontrivial local concentration-compactness theorem. Several versions already appear; they should be unified and cited as the single producer theorem.</w:t>
      </w:r>
    </w:p>
    <w:p>
      <w:pPr>
        <w:pStyle w:val="SourceNote"/>
      </w:pPr>
      <w:r>
        <w:rPr>
          <w:b/>
        </w:rPr>
        <w:t xml:space="preserve">Source location: </w:t>
      </w:r>
      <w:r>
        <w:t>paperIV_residual_branch.tex, lem:critical-tail-support-transfer, lem:log-window-support-transfer, lem:young-variance-support-transfer, and thm:critical-tail-compactification-extraction.</w:t>
      </w:r>
    </w:p>
    <w:p>
      <w:pPr>
        <w:pStyle w:val="LemmaTitle"/>
        <w:pBdr>
          <w:left w:val="single" w:sz="10" w:space="5" w:color="2F5597"/>
        </w:pBdr>
      </w:pPr>
      <w:r>
        <w:t>Repair Lemma 11. Quantitative translation defect produces a minimal mesoscopic radius</w:t>
      </w:r>
    </w:p>
    <w:p>
      <w:pPr/>
      <w:r>
        <w:rPr>
          <w:b/>
        </w:rPr>
        <w:t xml:space="preserve">Proposed statement. </w:t>
      </w:r>
      <w:r>
        <w:t>Let W_n be a tight macroscopic annular blow-down and suppose its local translation modulus fails on a compact annular cylinder. Then either a fixed unit observer has positive non-affine activity, the defect is carried by a spatially homogeneous time-dependent mode and enters the affine row, or there are radii r_n with 1 &lt;&lt; r_n &lt;&lt; R_n and centers z_n for which the normalized affine quotient oscillation is bounded below. A smallest dyadic such radius gives a minimal mesoscopic scale.</w:t>
      </w:r>
    </w:p>
    <w:p>
      <w:pPr/>
      <w:r>
        <w:rPr>
          <w:b/>
        </w:rPr>
        <w:t xml:space="preserve">Local proof sketch. </w:t>
      </w:r>
      <w:r>
        <w:t>Fréchet-Kolmogorov failure produces translations (h_n,theta_n)-&gt;0 with a fixed L^3 difference.</w:t>
      </w:r>
    </w:p>
    <w:p>
      <w:pPr>
        <w:pStyle w:val="ListBullet"/>
        <w:spacing w:after="50"/>
        <w:ind w:left="360" w:hanging="216"/>
      </w:pPr>
      <w:r>
        <w:t>Put ell_n=R_n|h_n|. If ell_n is bounded, a uniformly finite spacetime overlap chain connects the two observations. Small quotient oscillation on every unit cylinder makes the difference homogeneous in space; otherwise a unit active observer is found.</w:t>
      </w:r>
    </w:p>
    <w:p>
      <w:pPr>
        <w:pStyle w:val="ListBullet"/>
        <w:spacing w:after="50"/>
        <w:ind w:left="360" w:hanging="216"/>
      </w:pPr>
      <w:r>
        <w:t>If ell_n-&gt;infinity, then ell_n/R_n-&gt;0. Cover the two macroscopic observations by a bounded number of cylinders of radius comparable to ell_n. If every such cylinder had small normalized quotient oscillation, finite-overlap gauge gluing would again make the translation difference affine, contradicting the lower bound.</w:t>
      </w:r>
    </w:p>
    <w:p>
      <w:pPr>
        <w:pStyle w:val="ListBullet"/>
        <w:spacing w:after="50"/>
        <w:ind w:left="360" w:hanging="216"/>
      </w:pPr>
      <w:r>
        <w:t>Choose the first dyadic radius at which the lower bound appears. Unit activity removal forces r_n-&gt;infinity, while r_n/R_n-&gt;0 follows from ell_n/R_n-&gt;0.</w:t>
      </w:r>
    </w:p>
    <w:p>
      <w:pPr/>
      <w:r>
        <w:rPr>
          <w:b/>
        </w:rPr>
        <w:t xml:space="preserve">Failure routing. </w:t>
      </w:r>
      <w:r>
        <w:t>Pure time-translation defects never create a fictitious spatial radius: they are caught by unit activity or the homogeneous affine mode. Failure of the quantitative overlap estimate is itself a missing compactness/gauge input and must be routed before the mesoscopic theorem is invoked.</w:t>
      </w:r>
    </w:p>
    <w:p>
      <w:pPr>
        <w:pStyle w:val="Small"/>
      </w:pPr>
      <w:r>
        <w:rPr>
          <w:b/>
        </w:rPr>
        <w:t xml:space="preserve">May use: </w:t>
      </w:r>
      <w:r>
        <w:t>Finite-overlap gauge comparison, the translation modulus characterization of L^3 compactness, and the ordered affine/activity tests.</w:t>
      </w:r>
    </w:p>
    <w:p>
      <w:pPr>
        <w:pStyle w:val="Small"/>
      </w:pPr>
      <w:r>
        <w:rPr>
          <w:b/>
        </w:rPr>
        <w:t xml:space="preserve">Assessment: </w:t>
      </w:r>
      <w:r>
        <w:t>The current proof has the correct architecture; the patch is to state the quantitative overlap estimate with constants independent of n and cite it explicitly.</w:t>
      </w:r>
    </w:p>
    <w:p>
      <w:pPr>
        <w:pStyle w:val="SourceNote"/>
      </w:pPr>
      <w:r>
        <w:rPr>
          <w:b/>
        </w:rPr>
        <w:t xml:space="preserve">Source location: </w:t>
      </w:r>
      <w:r>
        <w:t>paperIV_residual_branch.tex, lem:spacetime-finite-overlap-translation, lem:translation-defect-to-bad-radius, and lem:h2-failure-first-bad-scale.</w:t>
      </w:r>
    </w:p>
    <w:p>
      <w:pPr>
        <w:pStyle w:val="LemmaTitle"/>
        <w:pBdr>
          <w:left w:val="single" w:sz="10" w:space="5" w:color="2F5597"/>
        </w:pBdr>
      </w:pPr>
      <w:r>
        <w:t>Repair Lemma 12. Unified affine and accelerating covariance</w:t>
      </w:r>
    </w:p>
    <w:p>
      <w:pPr/>
      <w:r>
        <w:rPr>
          <w:b/>
        </w:rPr>
        <w:t xml:space="preserve">Proposed statement. </w:t>
      </w:r>
      <w:r>
        <w:t>State in one theorem the exact covariance of suitable Navier-Stokes solutions under: (a) the centered covariant translation action; (b) constant affine/Galilean normalization; and (c) a local accelerating rebasement v(y,t)=u(y+B(t),t)-B prime(t), q(y,t)=p(y+B(t),t)+B double-prime(t) dot y for B in W^{2,1}_{loc}. The theorem must include the transformed domain, pressure gauge, weak equation, divergence-free condition, and local energy inequality. A merely L^infinity time-dependent homogeneous velocity gauge is used only in quotient observables and is never differentiated.</w:t>
      </w:r>
    </w:p>
    <w:p>
      <w:pPr/>
      <w:r>
        <w:rPr>
          <w:b/>
        </w:rPr>
        <w:t xml:space="preserve">Local proof sketch. </w:t>
      </w:r>
      <w:r>
        <w:t>Verify the transformation first for smooth B and smooth solutions by the chain rule; the acceleration term is exactly canceled by the affine pressure.</w:t>
      </w:r>
    </w:p>
    <w:p>
      <w:pPr>
        <w:pStyle w:val="ListBullet"/>
        <w:spacing w:after="50"/>
        <w:ind w:left="360" w:hanging="216"/>
      </w:pPr>
      <w:r>
        <w:t>Approximate W^{2,1} paths and the chart-generated tests to pass to suitable weak solutions on compact subcylinders.</w:t>
      </w:r>
    </w:p>
    <w:p>
      <w:pPr>
        <w:pStyle w:val="ListBullet"/>
        <w:spacing w:after="50"/>
        <w:ind w:left="360" w:hanging="216"/>
      </w:pPr>
      <w:r>
        <w:t>Show that time-only pressure terms make no contribution because the velocity is divergence free.</w:t>
      </w:r>
    </w:p>
    <w:p>
      <w:pPr>
        <w:pStyle w:val="ListBullet"/>
        <w:spacing w:after="50"/>
        <w:ind w:left="360" w:hanging="216"/>
      </w:pPr>
      <w:r>
        <w:t>For rough homogeneous gauges c_n(t), retain the actual ungauged field in all PDE and energy identities. If c_n is not strongly compact in time, route the quotient defect to the affine/parasitic row.</w:t>
      </w:r>
    </w:p>
    <w:p>
      <w:pPr/>
      <w:r>
        <w:rPr>
          <w:b/>
        </w:rPr>
        <w:t xml:space="preserve">Failure routing. </w:t>
      </w:r>
      <w:r>
        <w:t>Any transformation not satisfying these regularity conditions is not silently used. It either remains quotient-only or triggers the affine/modulation/gauge row.</w:t>
      </w:r>
    </w:p>
    <w:p>
      <w:pPr>
        <w:pStyle w:val="Small"/>
      </w:pPr>
      <w:r>
        <w:rPr>
          <w:b/>
        </w:rPr>
        <w:t xml:space="preserve">May use: </w:t>
      </w:r>
      <w:r>
        <w:t>Weak formulation, local energy inequality, and local approximation. No global norm.</w:t>
      </w:r>
    </w:p>
    <w:p>
      <w:pPr>
        <w:pStyle w:val="Small"/>
      </w:pPr>
      <w:r>
        <w:rPr>
          <w:b/>
        </w:rPr>
        <w:t xml:space="preserve">Assessment: </w:t>
      </w:r>
      <w:r>
        <w:t>Mostly already present in separate lemmas; unification removes ambiguity between actual transformations and quotient notation.</w:t>
      </w:r>
    </w:p>
    <w:p>
      <w:pPr>
        <w:pStyle w:val="SourceNote"/>
      </w:pPr>
      <w:r>
        <w:rPr>
          <w:b/>
        </w:rPr>
        <w:t xml:space="preserve">Source location: </w:t>
      </w:r>
      <w:r>
        <w:t>paperIV_residual_branch.tex, the covariant action and minimal-scale quotient conventions; type_II_regularity.tex, paper8:lem:affine-harmonic-pressure-absorption and paper6a:lem:ac-pullback-local-energy.</w:t>
      </w:r>
    </w:p>
    <w:p>
      <w:pPr>
        <w:pStyle w:val="LemmaTitle"/>
        <w:pBdr>
          <w:left w:val="single" w:sz="10" w:space="5" w:color="2F5597"/>
        </w:pBdr>
      </w:pPr>
      <w:r>
        <w:t>Repair Lemma 13. Amplitude-normalized log-hull realization or lower-row exit</w:t>
      </w:r>
    </w:p>
    <w:p>
      <w:pPr/>
      <w:r>
        <w:rPr>
          <w:b/>
        </w:rPr>
        <w:t xml:space="preserve">Proposed statement. </w:t>
      </w:r>
      <w:r>
        <w:t>Let W_n(x,s)=U_n(R_n x,s)-c_n(s) generate a coherent critical tail and let lambda_j=e^{a_j} be log-hull amplitude shifts. For a diagonal choice n(j), consider V_j(x,s)=lambda_j W_{n(j)}(lambda_j x,s+b_j). Exactly one of the following occurs: (i) the shifted sequence is defined on every fixed model cylinder, is locally bounded after the prescribed normalization, its gauges compactify, and R_{n(j)} lambda_j^2 -&gt; infinity, so it realizes an element of the coherent amplitude-normalized hull; or (ii) unit activity is regenerated; (iii) the affine gauge fails; (iv) logarithmic mass escapes; (v) R_n lambda_j^2 remains bounded, producing a finite or mesoscopic nonlinear scale; (vi) hidden-scale variance persists; or (vii) the domain/pressure package fails.</w:t>
      </w:r>
    </w:p>
    <w:p>
      <w:pPr/>
      <w:r>
        <w:rPr>
          <w:b/>
        </w:rPr>
        <w:t xml:space="preserve">Local proof sketch. </w:t>
      </w:r>
      <w:r>
        <w:t>Compute the exact equation for V_j. Its viscous coefficient is 1/(R_n^2 lambda_j^2) and its nonlinear coefficient is 1/(R_n lambda_j^2); the coherent linear equation follows only in the regime R_n lambda_j^2 -&gt; infinity.</w:t>
      </w:r>
    </w:p>
    <w:p>
      <w:pPr>
        <w:pStyle w:val="ListBullet"/>
        <w:spacing w:after="50"/>
        <w:ind w:left="360" w:hanging="216"/>
      </w:pPr>
      <w:r>
        <w:t>Use the normalized activity and pressure-state compactification on each fixed annulus. Local unboundedness produces an active observer or affine/gauge failure; loss of annular tightness produces the log-diffuse row; lack of strong compactness produces the Young/hidden-variance row.</w:t>
      </w:r>
    </w:p>
    <w:p>
      <w:pPr>
        <w:pStyle w:val="ListBullet"/>
        <w:spacing w:after="50"/>
        <w:ind w:left="360" w:hanging="216"/>
      </w:pPr>
      <w:r>
        <w:t>In the realized regime, apply the bounded-origin extension to the diagonal sequence. Then the log profile Z_*(rho)=e^rho W_*(e^rho omega) tends to zero as rho-&gt;-infinity.</w:t>
      </w:r>
    </w:p>
    <w:p>
      <w:pPr>
        <w:pStyle w:val="ListBullet"/>
        <w:spacing w:after="50"/>
        <w:ind w:left="360" w:hanging="216"/>
      </w:pPr>
      <w:r>
        <w:t>The aperiodic minimal-hull contradiction is then valid because every hull element is either realized with bounded origin or has already left the coherent row through one of the explicit lower alternatives.</w:t>
      </w:r>
    </w:p>
    <w:p>
      <w:pPr/>
      <w:r>
        <w:rPr>
          <w:b/>
        </w:rPr>
        <w:t xml:space="preserve">Failure routing. </w:t>
      </w:r>
      <w:r>
        <w:t>This is the precise producer theorem needed by the current “realized amplitude-normalized log-hull heredity” lemma. It avoids treating failure of realization as a list of names without checking the rescaled equation.</w:t>
      </w:r>
    </w:p>
    <w:p>
      <w:pPr>
        <w:pStyle w:val="Small"/>
      </w:pPr>
      <w:r>
        <w:rPr>
          <w:b/>
        </w:rPr>
        <w:t xml:space="preserve">May use: </w:t>
      </w:r>
      <w:r>
        <w:t>Repair Lemmas 10-12, the minimal mesoscopic reduction, and bounded-origin realization. It uses lower-row classification, not lower-row closure, so the dependency remains acyclic.</w:t>
      </w:r>
    </w:p>
    <w:p>
      <w:pPr>
        <w:pStyle w:val="Small"/>
      </w:pPr>
      <w:r>
        <w:rPr>
          <w:b/>
        </w:rPr>
        <w:t xml:space="preserve">Assessment: </w:t>
      </w:r>
      <w:r>
        <w:t>One of the three genuinely nontrivial local repairs. It still requires no whole-space critical estimate.</w:t>
      </w:r>
    </w:p>
    <w:p>
      <w:pPr>
        <w:pStyle w:val="SourceNote"/>
      </w:pPr>
      <w:r>
        <w:rPr>
          <w:b/>
        </w:rPr>
        <w:t xml:space="preserve">Source location: </w:t>
      </w:r>
      <w:r>
        <w:t>paperIV_residual_branch.tex, thm:bounded-origin-realization-coherent-tails, lem:realized-amplitude-log-hull-heredity, and the homogeneous/log-periodic/aperiodic closure lemmas.</w:t>
      </w:r>
    </w:p>
    <w:p>
      <w:pPr>
        <w:pStyle w:val="LemmaTitle"/>
        <w:pBdr>
          <w:left w:val="single" w:sz="10" w:space="5" w:color="2F5597"/>
        </w:pBdr>
      </w:pPr>
      <w:r>
        <w:t>Repair Lemma 14. Absence of tail exits gives a backward sequence-L3 bound</w:t>
      </w:r>
    </w:p>
    <w:p>
      <w:pPr/>
      <w:r>
        <w:rPr>
          <w:b/>
        </w:rPr>
        <w:t xml:space="preserve">Proposed statement. </w:t>
      </w:r>
      <w:r>
        <w:t>Let U be a bounded centered ancient terminal profile with retained local velocity activity. If U has no retained concentrating tail descendant, no diffuse exterior defect, no pressure/noncompact escaping recentering, no affine quotient exit, and no critical-tail defect, then there are tau_k-&gt;-infinity and L&lt;infinity such that U(tau_k) belongs to L^3(R^3) and ||U(tau_k)||_3&lt;=L.</w:t>
      </w:r>
    </w:p>
    <w:p>
      <w:pPr/>
      <w:r>
        <w:rPr>
          <w:b/>
        </w:rPr>
        <w:t xml:space="preserve">Local proof sketch. </w:t>
      </w:r>
      <w:r>
        <w:t>Argue contrapositively. If no such sequence exists, after passing to a tail one has inf_{tau&lt;=-k} ||U(tau)||_3 -&gt; infinity, allowing infinite norms.</w:t>
      </w:r>
    </w:p>
    <w:p>
      <w:pPr>
        <w:pStyle w:val="ListBullet"/>
        <w:spacing w:after="50"/>
        <w:ind w:left="360" w:hanging="216"/>
      </w:pPr>
      <w:r>
        <w:t>Choose R_k-&gt;infinity. Since U is bounded, the mass inside B_{R_k} is at most M^3|B_{R_k}|. Select tau_k sufficiently negative so that the total mass exceeds this amount by a fixed m_0, and choose an exterior measurable set F_k with mass between m_0 and 2m_0.</w:t>
      </w:r>
    </w:p>
    <w:p>
      <w:pPr>
        <w:pStyle w:val="ListBullet"/>
        <w:spacing w:after="50"/>
        <w:ind w:left="360" w:hanging="216"/>
      </w:pPr>
      <w:r>
        <w:t>Cover F_k by bounded-overlap unit balls. A fixed positive unit-ball mass produces a retained tail descendant after compactness and time-slice thickening. Failure of compactness or pressure gauges gives the noncompact/pressure row.</w:t>
      </w:r>
    </w:p>
    <w:p>
      <w:pPr>
        <w:pStyle w:val="ListBullet"/>
        <w:spacing w:after="50"/>
        <w:ind w:left="360" w:hanging="216"/>
      </w:pPr>
      <w:r>
        <w:t>If every unit ball is subthreshold, the normalized exterior measures give a diffuse exterior state. If the mass becomes visible only after shell or logarithmic rebasing, it gives the critical-tail row.</w:t>
      </w:r>
    </w:p>
    <w:p>
      <w:pPr>
        <w:pStyle w:val="ListBullet"/>
        <w:spacing w:after="50"/>
        <w:ind w:left="360" w:hanging="216"/>
      </w:pPr>
      <w:r>
        <w:t>Since all those exits are excluded by hypothesis, the failure assumption is impossible. For the physical pullback, choose the terminal time to be one of the selected L^3 times; then the terminal datum and an earlier sequence both satisfy the endpoint L^3 hypotheses required by the Albritton-Barker theorem.</w:t>
      </w:r>
    </w:p>
    <w:p>
      <w:pPr/>
      <w:r>
        <w:rPr>
          <w:b/>
        </w:rPr>
        <w:t xml:space="preserve">Failure routing. </w:t>
      </w:r>
      <w:r>
        <w:t>The global L^3 sequence is a conclusion forced by absence of local tail exits, not an assumed global estimate. This is exactly the structural-exhaustion use of contraposition.</w:t>
      </w:r>
    </w:p>
    <w:p>
      <w:pPr>
        <w:pStyle w:val="Small"/>
      </w:pPr>
      <w:r>
        <w:rPr>
          <w:b/>
        </w:rPr>
        <w:t xml:space="preserve">May use: </w:t>
      </w:r>
      <w:r>
        <w:t>Exterior slice selection, compact state-space slice-to-activity, pressure/noncompact routing, critical-tail support realization, and finite-shift mildness.</w:t>
      </w:r>
    </w:p>
    <w:p>
      <w:pPr>
        <w:pStyle w:val="Small"/>
      </w:pPr>
      <w:r>
        <w:rPr>
          <w:b/>
        </w:rPr>
        <w:t xml:space="preserve">Assessment: </w:t>
      </w:r>
      <w:r>
        <w:t>Nontrivial but local concentration-compactness. The endpoint Liouville theorem itself remains an external input.</w:t>
      </w:r>
    </w:p>
    <w:p>
      <w:pPr>
        <w:pStyle w:val="SourceNote"/>
      </w:pPr>
      <w:r>
        <w:rPr>
          <w:b/>
        </w:rPr>
        <w:t xml:space="preserve">Source location: </w:t>
      </w:r>
      <w:r>
        <w:t>paperIV_residual_branch.tex, lem:exterior-slice-to-diffuse-defect, def:atomic-terminal-profile, lem:atomic-sequence-L3, lem:no-atomic-active, and proof_setup.tex, the physical pullback/endpoint Liouville package.</w:t>
      </w:r>
    </w:p>
    <w:p>
      <w:pPr>
        <w:pStyle w:val="Heading1"/>
      </w:pPr>
      <w:r>
        <w:t>7. Exact patch ledger and acyclic insertion order</w:t>
      </w:r>
    </w:p>
    <w:p>
      <w:pPr/>
      <w:r>
        <w:rPr>
          <w:i w:val="0"/>
        </w:rPr>
        <w:t>The following table records which repairs are statement corrections, which are local analytic producers, and which are consolidation corollaries. “Existing core” means that most ingredients already occur in the manuscripts but should be assembled into one theorem with explicit dependencies.</w:t>
      </w:r>
    </w:p>
    <w:tbl>
      <w:tblPr>
        <w:tblStyle w:val="TableGrid"/>
        <w:tblW w:type="auto" w:w="0"/>
        <w:jc w:val="center"/>
        <w:tblLook w:firstColumn="1" w:firstRow="1" w:lastColumn="0" w:lastRow="0" w:noHBand="0" w:noVBand="1" w:val="04A0"/>
      </w:tblPr>
      <w:tblGrid>
        <w:gridCol w:w="2498"/>
        <w:gridCol w:w="2498"/>
        <w:gridCol w:w="2498"/>
        <w:gridCol w:w="2498"/>
      </w:tblGrid>
      <w:tr>
        <w:trPr>
          <w:trHeight w:hRule="auto"/>
          <w:tblHeader w:val="true"/>
        </w:trPr>
        <w:tc>
          <w:tcPr>
            <w:tcW w:type="dxa" w:w="2498"/>
            <w:shd w:fill="D9EAF7"/>
            <w:vAlign w:val="center"/>
            <w:tcMar>
              <w:top w:w="80" w:type="dxa"/>
              <w:start w:w="100" w:type="dxa"/>
              <w:bottom w:w="80" w:type="dxa"/>
              <w:end w:w="100" w:type="dxa"/>
            </w:tcMar>
          </w:tcPr>
          <w:p>
            <w:pPr>
              <w:keepLines/>
            </w:pPr>
            <w:r>
              <w:rPr>
                <w:b/>
              </w:rPr>
              <w:t>Patch</w:t>
            </w:r>
          </w:p>
        </w:tc>
        <w:tc>
          <w:tcPr>
            <w:tcW w:type="dxa" w:w="2498"/>
            <w:shd w:fill="D9EAF7"/>
            <w:vAlign w:val="center"/>
            <w:tcMar>
              <w:top w:w="80" w:type="dxa"/>
              <w:start w:w="100" w:type="dxa"/>
              <w:bottom w:w="80" w:type="dxa"/>
              <w:end w:w="100" w:type="dxa"/>
            </w:tcMar>
          </w:tcPr>
          <w:p>
            <w:pPr>
              <w:keepLines/>
            </w:pPr>
            <w:r>
              <w:rPr>
                <w:b/>
              </w:rPr>
              <w:t>Function</w:t>
            </w:r>
          </w:p>
        </w:tc>
        <w:tc>
          <w:tcPr>
            <w:tcW w:type="dxa" w:w="2498"/>
            <w:shd w:fill="D9EAF7"/>
            <w:vAlign w:val="center"/>
            <w:tcMar>
              <w:top w:w="80" w:type="dxa"/>
              <w:start w:w="100" w:type="dxa"/>
              <w:bottom w:w="80" w:type="dxa"/>
              <w:end w:w="100" w:type="dxa"/>
            </w:tcMar>
          </w:tcPr>
          <w:p>
            <w:pPr>
              <w:keepLines/>
            </w:pPr>
            <w:r>
              <w:rPr>
                <w:b/>
              </w:rPr>
              <w:t>Nature</w:t>
            </w:r>
          </w:p>
        </w:tc>
        <w:tc>
          <w:tcPr>
            <w:tcW w:type="dxa" w:w="2498"/>
            <w:shd w:fill="D9EAF7"/>
            <w:vAlign w:val="center"/>
            <w:tcMar>
              <w:top w:w="80" w:type="dxa"/>
              <w:start w:w="100" w:type="dxa"/>
              <w:bottom w:w="80" w:type="dxa"/>
              <w:end w:w="100" w:type="dxa"/>
            </w:tcMar>
          </w:tcPr>
          <w:p>
            <w:pPr>
              <w:keepLines/>
            </w:pPr>
            <w:r>
              <w:rPr>
                <w:b/>
              </w:rPr>
              <w:t>Must precede</w:t>
            </w:r>
          </w:p>
        </w:tc>
      </w:tr>
      <w:tr>
        <w:trPr>
          <w:trHeight w:hRule="auto"/>
        </w:trPr>
        <w:tc>
          <w:tcPr>
            <w:tcW w:type="dxa" w:w="2498"/>
            <w:vAlign w:val="top"/>
            <w:tcMar>
              <w:top w:w="70" w:type="dxa"/>
              <w:start w:w="80" w:type="dxa"/>
              <w:bottom w:w="70" w:type="dxa"/>
              <w:end w:w="80" w:type="dxa"/>
            </w:tcMar>
          </w:tcPr>
          <w:p>
            <w:pPr>
              <w:pStyle w:val="Small"/>
              <w:keepLines/>
            </w:pPr>
            <w:r>
              <w:t>R1</w:t>
            </w:r>
          </w:p>
        </w:tc>
        <w:tc>
          <w:tcPr>
            <w:tcW w:type="dxa" w:w="2498"/>
            <w:vAlign w:val="top"/>
            <w:tcMar>
              <w:top w:w="70" w:type="dxa"/>
              <w:start w:w="80" w:type="dxa"/>
              <w:bottom w:w="70" w:type="dxa"/>
              <w:end w:w="80" w:type="dxa"/>
            </w:tcMar>
          </w:tcPr>
          <w:p>
            <w:pPr>
              <w:pStyle w:val="Small"/>
              <w:keepLines/>
            </w:pPr>
            <w:r>
              <w:t>Replace SC3 by active-core/structural-exit selector</w:t>
            </w:r>
          </w:p>
        </w:tc>
        <w:tc>
          <w:tcPr>
            <w:tcW w:type="dxa" w:w="2498"/>
            <w:vAlign w:val="top"/>
            <w:tcMar>
              <w:top w:w="70" w:type="dxa"/>
              <w:start w:w="80" w:type="dxa"/>
              <w:bottom w:w="70" w:type="dxa"/>
              <w:end w:w="80" w:type="dxa"/>
            </w:tcMar>
          </w:tcPr>
          <w:p>
            <w:pPr>
              <w:pStyle w:val="Small"/>
              <w:keepLines/>
            </w:pPr>
            <w:r>
              <w:t>New local selection theorem</w:t>
            </w:r>
          </w:p>
        </w:tc>
        <w:tc>
          <w:tcPr>
            <w:tcW w:type="dxa" w:w="2498"/>
            <w:vAlign w:val="top"/>
            <w:tcMar>
              <w:top w:w="70" w:type="dxa"/>
              <w:start w:w="80" w:type="dxa"/>
              <w:bottom w:w="70" w:type="dxa"/>
              <w:end w:w="80" w:type="dxa"/>
            </w:tcMar>
          </w:tcPr>
          <w:p>
            <w:pPr>
              <w:pStyle w:val="Small"/>
              <w:keepLines/>
            </w:pPr>
            <w:r>
              <w:t>All repaired-gauge and multibubble entry statements</w:t>
            </w:r>
          </w:p>
        </w:tc>
      </w:tr>
      <w:tr>
        <w:trPr>
          <w:trHeight w:hRule="auto"/>
        </w:trPr>
        <w:tc>
          <w:tcPr>
            <w:tcW w:type="dxa" w:w="2498"/>
            <w:vAlign w:val="top"/>
            <w:tcMar>
              <w:top w:w="70" w:type="dxa"/>
              <w:start w:w="80" w:type="dxa"/>
              <w:bottom w:w="70" w:type="dxa"/>
              <w:end w:w="80" w:type="dxa"/>
            </w:tcMar>
          </w:tcPr>
          <w:p>
            <w:pPr>
              <w:pStyle w:val="Small"/>
              <w:keepLines/>
            </w:pPr>
            <w:r>
              <w:t>R2</w:t>
            </w:r>
          </w:p>
        </w:tc>
        <w:tc>
          <w:tcPr>
            <w:tcW w:type="dxa" w:w="2498"/>
            <w:vAlign w:val="top"/>
            <w:tcMar>
              <w:top w:w="70" w:type="dxa"/>
              <w:start w:w="80" w:type="dxa"/>
              <w:bottom w:w="70" w:type="dxa"/>
              <w:end w:w="80" w:type="dxa"/>
            </w:tcMar>
          </w:tcPr>
          <w:p>
            <w:pPr>
              <w:pStyle w:val="Small"/>
              <w:keepLines/>
            </w:pPr>
            <w:r>
              <w:t>Correct one-sided chart and domain geometry</w:t>
            </w:r>
          </w:p>
        </w:tc>
        <w:tc>
          <w:tcPr>
            <w:tcW w:type="dxa" w:w="2498"/>
            <w:vAlign w:val="top"/>
            <w:tcMar>
              <w:top w:w="70" w:type="dxa"/>
              <w:start w:w="80" w:type="dxa"/>
              <w:bottom w:w="70" w:type="dxa"/>
              <w:end w:w="80" w:type="dxa"/>
            </w:tcMar>
          </w:tcPr>
          <w:p>
            <w:pPr>
              <w:pStyle w:val="Small"/>
              <w:keepLines/>
            </w:pPr>
            <w:r>
              <w:t>Statement correction</w:t>
            </w:r>
          </w:p>
        </w:tc>
        <w:tc>
          <w:tcPr>
            <w:tcW w:type="dxa" w:w="2498"/>
            <w:vAlign w:val="top"/>
            <w:tcMar>
              <w:top w:w="70" w:type="dxa"/>
              <w:start w:w="80" w:type="dxa"/>
              <w:bottom w:w="70" w:type="dxa"/>
              <w:end w:w="80" w:type="dxa"/>
            </w:tcMar>
          </w:tcPr>
          <w:p>
            <w:pPr>
              <w:pStyle w:val="Small"/>
              <w:keepLines/>
            </w:pPr>
            <w:r>
              <w:t>Every chart pullback and local-energy use</w:t>
            </w:r>
          </w:p>
        </w:tc>
      </w:tr>
      <w:tr>
        <w:trPr>
          <w:trHeight w:hRule="auto"/>
        </w:trPr>
        <w:tc>
          <w:tcPr>
            <w:tcW w:type="dxa" w:w="2498"/>
            <w:vAlign w:val="top"/>
            <w:tcMar>
              <w:top w:w="70" w:type="dxa"/>
              <w:start w:w="80" w:type="dxa"/>
              <w:bottom w:w="70" w:type="dxa"/>
              <w:end w:w="80" w:type="dxa"/>
            </w:tcMar>
          </w:tcPr>
          <w:p>
            <w:pPr>
              <w:pStyle w:val="Small"/>
              <w:keepLines/>
            </w:pPr>
            <w:r>
              <w:t>R3</w:t>
            </w:r>
          </w:p>
        </w:tc>
        <w:tc>
          <w:tcPr>
            <w:tcW w:type="dxa" w:w="2498"/>
            <w:vAlign w:val="top"/>
            <w:tcMar>
              <w:top w:w="70" w:type="dxa"/>
              <w:start w:w="80" w:type="dxa"/>
              <w:bottom w:w="70" w:type="dxa"/>
              <w:end w:w="80" w:type="dxa"/>
            </w:tcMar>
          </w:tcPr>
          <w:p>
            <w:pPr>
              <w:pStyle w:val="Small"/>
              <w:keepLines/>
            </w:pPr>
            <w:r>
              <w:t>Synchronize rho u scaling across source files</w:t>
            </w:r>
          </w:p>
        </w:tc>
        <w:tc>
          <w:tcPr>
            <w:tcW w:type="dxa" w:w="2498"/>
            <w:vAlign w:val="top"/>
            <w:tcMar>
              <w:top w:w="70" w:type="dxa"/>
              <w:start w:w="80" w:type="dxa"/>
              <w:bottom w:w="70" w:type="dxa"/>
              <w:end w:w="80" w:type="dxa"/>
            </w:tcMar>
          </w:tcPr>
          <w:p>
            <w:pPr>
              <w:pStyle w:val="Small"/>
              <w:keepLines/>
            </w:pPr>
            <w:r>
              <w:t>Source consistency</w:t>
            </w:r>
          </w:p>
        </w:tc>
        <w:tc>
          <w:tcPr>
            <w:tcW w:type="dxa" w:w="2498"/>
            <w:vAlign w:val="top"/>
            <w:tcMar>
              <w:top w:w="70" w:type="dxa"/>
              <w:start w:w="80" w:type="dxa"/>
              <w:bottom w:w="70" w:type="dxa"/>
              <w:end w:w="80" w:type="dxa"/>
            </w:tcMar>
          </w:tcPr>
          <w:p>
            <w:pPr>
              <w:pStyle w:val="Small"/>
              <w:keepLines/>
            </w:pPr>
            <w:r>
              <w:t>Gauge derivatives and representation theorem</w:t>
            </w:r>
          </w:p>
        </w:tc>
      </w:tr>
      <w:tr>
        <w:trPr>
          <w:trHeight w:hRule="auto"/>
        </w:trPr>
        <w:tc>
          <w:tcPr>
            <w:tcW w:type="dxa" w:w="2498"/>
            <w:vAlign w:val="top"/>
            <w:tcMar>
              <w:top w:w="70" w:type="dxa"/>
              <w:start w:w="80" w:type="dxa"/>
              <w:bottom w:w="70" w:type="dxa"/>
              <w:end w:w="80" w:type="dxa"/>
            </w:tcMar>
          </w:tcPr>
          <w:p>
            <w:pPr>
              <w:pStyle w:val="Small"/>
              <w:keepLines/>
            </w:pPr>
            <w:r>
              <w:t>R4</w:t>
            </w:r>
          </w:p>
        </w:tc>
        <w:tc>
          <w:tcPr>
            <w:tcW w:type="dxa" w:w="2498"/>
            <w:vAlign w:val="top"/>
            <w:tcMar>
              <w:top w:w="70" w:type="dxa"/>
              <w:start w:w="80" w:type="dxa"/>
              <w:bottom w:w="70" w:type="dxa"/>
              <w:end w:w="80" w:type="dxa"/>
            </w:tcMar>
          </w:tcPr>
          <w:p>
            <w:pPr>
              <w:pStyle w:val="Small"/>
              <w:keepLines/>
            </w:pPr>
            <w:r>
              <w:t>Emit augmented state from nonvanishing residual</w:t>
            </w:r>
          </w:p>
        </w:tc>
        <w:tc>
          <w:tcPr>
            <w:tcW w:type="dxa" w:w="2498"/>
            <w:vAlign w:val="top"/>
            <w:tcMar>
              <w:top w:w="70" w:type="dxa"/>
              <w:start w:w="80" w:type="dxa"/>
              <w:bottom w:w="70" w:type="dxa"/>
              <w:end w:w="80" w:type="dxa"/>
            </w:tcMar>
          </w:tcPr>
          <w:p>
            <w:pPr>
              <w:pStyle w:val="Small"/>
              <w:keepLines/>
            </w:pPr>
            <w:r>
              <w:t>Existing core; restate</w:t>
            </w:r>
          </w:p>
        </w:tc>
        <w:tc>
          <w:tcPr>
            <w:tcW w:type="dxa" w:w="2498"/>
            <w:vAlign w:val="top"/>
            <w:tcMar>
              <w:top w:w="70" w:type="dxa"/>
              <w:start w:w="80" w:type="dxa"/>
              <w:bottom w:w="70" w:type="dxa"/>
              <w:end w:w="80" w:type="dxa"/>
            </w:tcMar>
          </w:tcPr>
          <w:p>
            <w:pPr>
              <w:pStyle w:val="Small"/>
              <w:keepLines/>
            </w:pPr>
            <w:r>
              <w:t>Terminal completeness</w:t>
            </w:r>
          </w:p>
        </w:tc>
      </w:tr>
      <w:tr>
        <w:trPr>
          <w:trHeight w:hRule="auto"/>
        </w:trPr>
        <w:tc>
          <w:tcPr>
            <w:tcW w:type="dxa" w:w="2498"/>
            <w:vAlign w:val="top"/>
            <w:tcMar>
              <w:top w:w="70" w:type="dxa"/>
              <w:start w:w="80" w:type="dxa"/>
              <w:bottom w:w="70" w:type="dxa"/>
              <w:end w:w="80" w:type="dxa"/>
            </w:tcMar>
          </w:tcPr>
          <w:p>
            <w:pPr>
              <w:pStyle w:val="Small"/>
              <w:keepLines/>
            </w:pPr>
            <w:r>
              <w:t>R5</w:t>
            </w:r>
          </w:p>
        </w:tc>
        <w:tc>
          <w:tcPr>
            <w:tcW w:type="dxa" w:w="2498"/>
            <w:vAlign w:val="top"/>
            <w:tcMar>
              <w:top w:w="70" w:type="dxa"/>
              <w:start w:w="80" w:type="dxa"/>
              <w:bottom w:w="70" w:type="dxa"/>
              <w:end w:w="80" w:type="dxa"/>
            </w:tcMar>
          </w:tcPr>
          <w:p>
            <w:pPr>
              <w:pStyle w:val="Small"/>
              <w:keepLines/>
            </w:pPr>
            <w:r>
              <w:t>Classify/merge first nonzero residual coordinate</w:t>
            </w:r>
          </w:p>
        </w:tc>
        <w:tc>
          <w:tcPr>
            <w:tcW w:type="dxa" w:w="2498"/>
            <w:vAlign w:val="top"/>
            <w:tcMar>
              <w:top w:w="70" w:type="dxa"/>
              <w:start w:w="80" w:type="dxa"/>
              <w:bottom w:w="70" w:type="dxa"/>
              <w:end w:w="80" w:type="dxa"/>
            </w:tcMar>
          </w:tcPr>
          <w:p>
            <w:pPr>
              <w:pStyle w:val="Small"/>
              <w:keepLines/>
            </w:pPr>
            <w:r>
              <w:t>Local routing theorem</w:t>
            </w:r>
          </w:p>
        </w:tc>
        <w:tc>
          <w:tcPr>
            <w:tcW w:type="dxa" w:w="2498"/>
            <w:vAlign w:val="top"/>
            <w:tcMar>
              <w:top w:w="70" w:type="dxa"/>
              <w:start w:w="80" w:type="dxa"/>
              <w:bottom w:w="70" w:type="dxa"/>
              <w:end w:w="80" w:type="dxa"/>
            </w:tcMar>
          </w:tcPr>
          <w:p>
            <w:pPr>
              <w:pStyle w:val="Small"/>
              <w:keepLines/>
            </w:pPr>
            <w:r>
              <w:t>Terminal stress decoupling</w:t>
            </w:r>
          </w:p>
        </w:tc>
      </w:tr>
      <w:tr>
        <w:trPr>
          <w:trHeight w:hRule="auto"/>
        </w:trPr>
        <w:tc>
          <w:tcPr>
            <w:tcW w:type="dxa" w:w="2498"/>
            <w:vAlign w:val="top"/>
            <w:tcMar>
              <w:top w:w="70" w:type="dxa"/>
              <w:start w:w="80" w:type="dxa"/>
              <w:bottom w:w="70" w:type="dxa"/>
              <w:end w:w="80" w:type="dxa"/>
            </w:tcMar>
          </w:tcPr>
          <w:p>
            <w:pPr>
              <w:pStyle w:val="Small"/>
              <w:keepLines/>
            </w:pPr>
            <w:r>
              <w:t>R6</w:t>
            </w:r>
          </w:p>
        </w:tc>
        <w:tc>
          <w:tcPr>
            <w:tcW w:type="dxa" w:w="2498"/>
            <w:vAlign w:val="top"/>
            <w:tcMar>
              <w:top w:w="70" w:type="dxa"/>
              <w:start w:w="80" w:type="dxa"/>
              <w:bottom w:w="70" w:type="dxa"/>
              <w:end w:w="80" w:type="dxa"/>
            </w:tcMar>
          </w:tcPr>
          <w:p>
            <w:pPr>
              <w:pStyle w:val="Small"/>
              <w:keepLines/>
            </w:pPr>
            <w:r>
              <w:t>Positive support for normalized local mass</w:t>
            </w:r>
          </w:p>
        </w:tc>
        <w:tc>
          <w:tcPr>
            <w:tcW w:type="dxa" w:w="2498"/>
            <w:vAlign w:val="top"/>
            <w:tcMar>
              <w:top w:w="70" w:type="dxa"/>
              <w:start w:w="80" w:type="dxa"/>
              <w:bottom w:w="70" w:type="dxa"/>
              <w:end w:w="80" w:type="dxa"/>
            </w:tcMar>
          </w:tcPr>
          <w:p>
            <w:pPr>
              <w:pStyle w:val="Small"/>
              <w:keepLines/>
            </w:pPr>
            <w:r>
              <w:t>Elementary measure lemma</w:t>
            </w:r>
          </w:p>
        </w:tc>
        <w:tc>
          <w:tcPr>
            <w:tcW w:type="dxa" w:w="2498"/>
            <w:vAlign w:val="top"/>
            <w:tcMar>
              <w:top w:w="70" w:type="dxa"/>
              <w:start w:w="80" w:type="dxa"/>
              <w:bottom w:w="70" w:type="dxa"/>
              <w:end w:w="80" w:type="dxa"/>
            </w:tcMar>
          </w:tcPr>
          <w:p>
            <w:pPr>
              <w:pStyle w:val="Small"/>
              <w:keepLines/>
            </w:pPr>
            <w:r>
              <w:t>Diffuse tree and shell routing</w:t>
            </w:r>
          </w:p>
        </w:tc>
      </w:tr>
      <w:tr>
        <w:trPr>
          <w:trHeight w:hRule="auto"/>
        </w:trPr>
        <w:tc>
          <w:tcPr>
            <w:tcW w:type="dxa" w:w="2498"/>
            <w:vAlign w:val="top"/>
            <w:tcMar>
              <w:top w:w="70" w:type="dxa"/>
              <w:start w:w="80" w:type="dxa"/>
              <w:bottom w:w="70" w:type="dxa"/>
              <w:end w:w="80" w:type="dxa"/>
            </w:tcMar>
          </w:tcPr>
          <w:p>
            <w:pPr>
              <w:pStyle w:val="Small"/>
              <w:keepLines/>
            </w:pPr>
            <w:r>
              <w:t>R7</w:t>
            </w:r>
          </w:p>
        </w:tc>
        <w:tc>
          <w:tcPr>
            <w:tcW w:type="dxa" w:w="2498"/>
            <w:vAlign w:val="top"/>
            <w:tcMar>
              <w:top w:w="70" w:type="dxa"/>
              <w:start w:w="80" w:type="dxa"/>
              <w:bottom w:w="70" w:type="dxa"/>
              <w:end w:w="80" w:type="dxa"/>
            </w:tcMar>
          </w:tcPr>
          <w:p>
            <w:pPr>
              <w:pStyle w:val="Small"/>
              <w:keepLines/>
            </w:pPr>
            <w:r>
              <w:t>Bounded-window reselection rank</w:t>
            </w:r>
          </w:p>
        </w:tc>
        <w:tc>
          <w:tcPr>
            <w:tcW w:type="dxa" w:w="2498"/>
            <w:vAlign w:val="top"/>
            <w:tcMar>
              <w:top w:w="70" w:type="dxa"/>
              <w:start w:w="80" w:type="dxa"/>
              <w:bottom w:w="70" w:type="dxa"/>
              <w:end w:w="80" w:type="dxa"/>
            </w:tcMar>
          </w:tcPr>
          <w:p>
            <w:pPr>
              <w:pStyle w:val="Small"/>
              <w:keepLines/>
            </w:pPr>
            <w:r>
              <w:t>Existing core; consolidate</w:t>
            </w:r>
          </w:p>
        </w:tc>
        <w:tc>
          <w:tcPr>
            <w:tcW w:type="dxa" w:w="2498"/>
            <w:vAlign w:val="top"/>
            <w:tcMar>
              <w:top w:w="70" w:type="dxa"/>
              <w:start w:w="80" w:type="dxa"/>
              <w:bottom w:w="70" w:type="dxa"/>
              <w:end w:w="80" w:type="dxa"/>
            </w:tcMar>
          </w:tcPr>
          <w:p>
            <w:pPr>
              <w:pStyle w:val="Small"/>
              <w:keepLines/>
            </w:pPr>
            <w:r>
              <w:t>Physical bounded-window closure</w:t>
            </w:r>
          </w:p>
        </w:tc>
      </w:tr>
      <w:tr>
        <w:trPr>
          <w:trHeight w:hRule="auto"/>
        </w:trPr>
        <w:tc>
          <w:tcPr>
            <w:tcW w:type="dxa" w:w="2498"/>
            <w:vAlign w:val="top"/>
            <w:tcMar>
              <w:top w:w="70" w:type="dxa"/>
              <w:start w:w="80" w:type="dxa"/>
              <w:bottom w:w="70" w:type="dxa"/>
              <w:end w:w="80" w:type="dxa"/>
            </w:tcMar>
          </w:tcPr>
          <w:p>
            <w:pPr>
              <w:pStyle w:val="Small"/>
              <w:keepLines/>
            </w:pPr>
            <w:r>
              <w:t>R8</w:t>
            </w:r>
          </w:p>
        </w:tc>
        <w:tc>
          <w:tcPr>
            <w:tcW w:type="dxa" w:w="2498"/>
            <w:vAlign w:val="top"/>
            <w:tcMar>
              <w:top w:w="70" w:type="dxa"/>
              <w:start w:w="80" w:type="dxa"/>
              <w:bottom w:w="70" w:type="dxa"/>
              <w:end w:w="80" w:type="dxa"/>
            </w:tcMar>
          </w:tcPr>
          <w:p>
            <w:pPr>
              <w:pStyle w:val="Small"/>
              <w:keepLines/>
            </w:pPr>
            <w:r>
              <w:t>Equivalent recentering inheritance</w:t>
            </w:r>
          </w:p>
        </w:tc>
        <w:tc>
          <w:tcPr>
            <w:tcW w:type="dxa" w:w="2498"/>
            <w:vAlign w:val="top"/>
            <w:tcMar>
              <w:top w:w="70" w:type="dxa"/>
              <w:start w:w="80" w:type="dxa"/>
              <w:bottom w:w="70" w:type="dxa"/>
              <w:end w:w="80" w:type="dxa"/>
            </w:tcMar>
          </w:tcPr>
          <w:p>
            <w:pPr>
              <w:pStyle w:val="Small"/>
              <w:keepLines/>
            </w:pPr>
            <w:r>
              <w:t>Routine corollary</w:t>
            </w:r>
          </w:p>
        </w:tc>
        <w:tc>
          <w:tcPr>
            <w:tcW w:type="dxa" w:w="2498"/>
            <w:vAlign w:val="top"/>
            <w:tcMar>
              <w:top w:w="70" w:type="dxa"/>
              <w:start w:w="80" w:type="dxa"/>
              <w:bottom w:w="70" w:type="dxa"/>
              <w:end w:w="80" w:type="dxa"/>
            </w:tcMar>
          </w:tcPr>
          <w:p>
            <w:pPr>
              <w:pStyle w:val="Small"/>
              <w:keepLines/>
            </w:pPr>
            <w:r>
              <w:t>Finite graph/maximal family</w:t>
            </w:r>
          </w:p>
        </w:tc>
      </w:tr>
      <w:tr>
        <w:trPr>
          <w:trHeight w:hRule="auto"/>
        </w:trPr>
        <w:tc>
          <w:tcPr>
            <w:tcW w:type="dxa" w:w="2498"/>
            <w:vAlign w:val="top"/>
            <w:tcMar>
              <w:top w:w="70" w:type="dxa"/>
              <w:start w:w="80" w:type="dxa"/>
              <w:bottom w:w="70" w:type="dxa"/>
              <w:end w:w="80" w:type="dxa"/>
            </w:tcMar>
          </w:tcPr>
          <w:p>
            <w:pPr>
              <w:pStyle w:val="Small"/>
              <w:keepLines/>
            </w:pPr>
            <w:r>
              <w:t>R9</w:t>
            </w:r>
          </w:p>
        </w:tc>
        <w:tc>
          <w:tcPr>
            <w:tcW w:type="dxa" w:w="2498"/>
            <w:vAlign w:val="top"/>
            <w:tcMar>
              <w:top w:w="70" w:type="dxa"/>
              <w:start w:w="80" w:type="dxa"/>
              <w:bottom w:w="70" w:type="dxa"/>
              <w:end w:w="80" w:type="dxa"/>
            </w:tcMar>
          </w:tcPr>
          <w:p>
            <w:pPr>
              <w:pStyle w:val="Small"/>
              <w:keepLines/>
            </w:pPr>
            <w:r>
              <w:t>Descendant composition and closedness</w:t>
            </w:r>
          </w:p>
        </w:tc>
        <w:tc>
          <w:tcPr>
            <w:tcW w:type="dxa" w:w="2498"/>
            <w:vAlign w:val="top"/>
            <w:tcMar>
              <w:top w:w="70" w:type="dxa"/>
              <w:start w:w="80" w:type="dxa"/>
              <w:bottom w:w="70" w:type="dxa"/>
              <w:end w:w="80" w:type="dxa"/>
            </w:tcMar>
          </w:tcPr>
          <w:p>
            <w:pPr>
              <w:pStyle w:val="Small"/>
              <w:keepLines/>
            </w:pPr>
            <w:r>
              <w:t>Routine diagonal lemma</w:t>
            </w:r>
          </w:p>
        </w:tc>
        <w:tc>
          <w:tcPr>
            <w:tcW w:type="dxa" w:w="2498"/>
            <w:vAlign w:val="top"/>
            <w:tcMar>
              <w:top w:w="70" w:type="dxa"/>
              <w:start w:w="80" w:type="dxa"/>
              <w:bottom w:w="70" w:type="dxa"/>
              <w:end w:w="80" w:type="dxa"/>
            </w:tcMar>
          </w:tcPr>
          <w:p>
            <w:pPr>
              <w:pStyle w:val="Small"/>
              <w:keepLines/>
            </w:pPr>
            <w:r>
              <w:t>Recurrence and chain arguments</w:t>
            </w:r>
          </w:p>
        </w:tc>
      </w:tr>
      <w:tr>
        <w:trPr>
          <w:trHeight w:hRule="auto"/>
        </w:trPr>
        <w:tc>
          <w:tcPr>
            <w:tcW w:type="dxa" w:w="2498"/>
            <w:vAlign w:val="top"/>
            <w:tcMar>
              <w:top w:w="70" w:type="dxa"/>
              <w:start w:w="80" w:type="dxa"/>
              <w:bottom w:w="70" w:type="dxa"/>
              <w:end w:w="80" w:type="dxa"/>
            </w:tcMar>
          </w:tcPr>
          <w:p>
            <w:pPr>
              <w:pStyle w:val="Small"/>
              <w:keepLines/>
            </w:pPr>
            <w:r>
              <w:t>R10</w:t>
            </w:r>
          </w:p>
        </w:tc>
        <w:tc>
          <w:tcPr>
            <w:tcW w:type="dxa" w:w="2498"/>
            <w:vAlign w:val="top"/>
            <w:tcMar>
              <w:top w:w="70" w:type="dxa"/>
              <w:start w:w="80" w:type="dxa"/>
              <w:bottom w:w="70" w:type="dxa"/>
              <w:end w:w="80" w:type="dxa"/>
            </w:tcMar>
          </w:tcPr>
          <w:p>
            <w:pPr>
              <w:pStyle w:val="Small"/>
              <w:keepLines/>
            </w:pPr>
            <w:r>
              <w:t>Common pressure atlas on recurrent core</w:t>
            </w:r>
          </w:p>
        </w:tc>
        <w:tc>
          <w:tcPr>
            <w:tcW w:type="dxa" w:w="2498"/>
            <w:vAlign w:val="top"/>
            <w:tcMar>
              <w:top w:w="70" w:type="dxa"/>
              <w:start w:w="80" w:type="dxa"/>
              <w:bottom w:w="70" w:type="dxa"/>
              <w:end w:w="80" w:type="dxa"/>
            </w:tcMar>
          </w:tcPr>
          <w:p>
            <w:pPr>
              <w:pStyle w:val="Small"/>
              <w:keepLines/>
            </w:pPr>
            <w:r>
              <w:t>Existing core; consolidate</w:t>
            </w:r>
          </w:p>
        </w:tc>
        <w:tc>
          <w:tcPr>
            <w:tcW w:type="dxa" w:w="2498"/>
            <w:vAlign w:val="top"/>
            <w:tcMar>
              <w:top w:w="70" w:type="dxa"/>
              <w:start w:w="80" w:type="dxa"/>
              <w:bottom w:w="70" w:type="dxa"/>
              <w:end w:w="80" w:type="dxa"/>
            </w:tcMar>
          </w:tcPr>
          <w:p>
            <w:pPr>
              <w:pStyle w:val="Small"/>
              <w:keepLines/>
            </w:pPr>
            <w:r>
              <w:t>Invariant averaged rigidity</w:t>
            </w:r>
          </w:p>
        </w:tc>
      </w:tr>
      <w:tr>
        <w:trPr>
          <w:trHeight w:hRule="auto"/>
        </w:trPr>
        <w:tc>
          <w:tcPr>
            <w:tcW w:type="dxa" w:w="2498"/>
            <w:vAlign w:val="top"/>
            <w:tcMar>
              <w:top w:w="70" w:type="dxa"/>
              <w:start w:w="80" w:type="dxa"/>
              <w:bottom w:w="70" w:type="dxa"/>
              <w:end w:w="80" w:type="dxa"/>
            </w:tcMar>
          </w:tcPr>
          <w:p>
            <w:pPr>
              <w:pStyle w:val="Small"/>
              <w:keepLines/>
            </w:pPr>
            <w:r>
              <w:t>R11</w:t>
            </w:r>
          </w:p>
        </w:tc>
        <w:tc>
          <w:tcPr>
            <w:tcW w:type="dxa" w:w="2498"/>
            <w:vAlign w:val="top"/>
            <w:tcMar>
              <w:top w:w="70" w:type="dxa"/>
              <w:start w:w="80" w:type="dxa"/>
              <w:bottom w:w="70" w:type="dxa"/>
              <w:end w:w="80" w:type="dxa"/>
            </w:tcMar>
          </w:tcPr>
          <w:p>
            <w:pPr>
              <w:pStyle w:val="Small"/>
              <w:keepLines/>
            </w:pPr>
            <w:r>
              <w:t>Critical-tail support realization with PDE</w:t>
            </w:r>
          </w:p>
        </w:tc>
        <w:tc>
          <w:tcPr>
            <w:tcW w:type="dxa" w:w="2498"/>
            <w:vAlign w:val="top"/>
            <w:tcMar>
              <w:top w:w="70" w:type="dxa"/>
              <w:start w:w="80" w:type="dxa"/>
              <w:bottom w:w="70" w:type="dxa"/>
              <w:end w:w="80" w:type="dxa"/>
            </w:tcMar>
          </w:tcPr>
          <w:p>
            <w:pPr>
              <w:pStyle w:val="Small"/>
              <w:keepLines/>
            </w:pPr>
            <w:r>
              <w:t>Nontrivial local producer</w:t>
            </w:r>
          </w:p>
        </w:tc>
        <w:tc>
          <w:tcPr>
            <w:tcW w:type="dxa" w:w="2498"/>
            <w:vAlign w:val="top"/>
            <w:tcMar>
              <w:top w:w="70" w:type="dxa"/>
              <w:start w:w="80" w:type="dxa"/>
              <w:bottom w:w="70" w:type="dxa"/>
              <w:end w:w="80" w:type="dxa"/>
            </w:tcMar>
          </w:tcPr>
          <w:p>
            <w:pPr>
              <w:pStyle w:val="Small"/>
              <w:keepLines/>
            </w:pPr>
            <w:r>
              <w:t>All tail support-transfer closures</w:t>
            </w:r>
          </w:p>
        </w:tc>
      </w:tr>
      <w:tr>
        <w:trPr>
          <w:trHeight w:hRule="auto"/>
        </w:trPr>
        <w:tc>
          <w:tcPr>
            <w:tcW w:type="dxa" w:w="2498"/>
            <w:vAlign w:val="top"/>
            <w:tcMar>
              <w:top w:w="70" w:type="dxa"/>
              <w:start w:w="80" w:type="dxa"/>
              <w:bottom w:w="70" w:type="dxa"/>
              <w:end w:w="80" w:type="dxa"/>
            </w:tcMar>
          </w:tcPr>
          <w:p>
            <w:pPr>
              <w:pStyle w:val="Small"/>
              <w:keepLines/>
            </w:pPr>
            <w:r>
              <w:t>R12</w:t>
            </w:r>
          </w:p>
        </w:tc>
        <w:tc>
          <w:tcPr>
            <w:tcW w:type="dxa" w:w="2498"/>
            <w:vAlign w:val="top"/>
            <w:tcMar>
              <w:top w:w="70" w:type="dxa"/>
              <w:start w:w="80" w:type="dxa"/>
              <w:bottom w:w="70" w:type="dxa"/>
              <w:end w:w="80" w:type="dxa"/>
            </w:tcMar>
          </w:tcPr>
          <w:p>
            <w:pPr>
              <w:pStyle w:val="Small"/>
              <w:keepLines/>
            </w:pPr>
            <w:r>
              <w:t>Quantitative translation-to-mesoscopic extraction</w:t>
            </w:r>
          </w:p>
        </w:tc>
        <w:tc>
          <w:tcPr>
            <w:tcW w:type="dxa" w:w="2498"/>
            <w:vAlign w:val="top"/>
            <w:tcMar>
              <w:top w:w="70" w:type="dxa"/>
              <w:start w:w="80" w:type="dxa"/>
              <w:bottom w:w="70" w:type="dxa"/>
              <w:end w:w="80" w:type="dxa"/>
            </w:tcMar>
          </w:tcPr>
          <w:p>
            <w:pPr>
              <w:pStyle w:val="Small"/>
              <w:keepLines/>
            </w:pPr>
            <w:r>
              <w:t>Estimate completion</w:t>
            </w:r>
          </w:p>
        </w:tc>
        <w:tc>
          <w:tcPr>
            <w:tcW w:type="dxa" w:w="2498"/>
            <w:vAlign w:val="top"/>
            <w:tcMar>
              <w:top w:w="70" w:type="dxa"/>
              <w:start w:w="80" w:type="dxa"/>
              <w:bottom w:w="70" w:type="dxa"/>
              <w:end w:w="80" w:type="dxa"/>
            </w:tcMar>
          </w:tcPr>
          <w:p>
            <w:pPr>
              <w:pStyle w:val="Small"/>
              <w:keepLines/>
            </w:pPr>
            <w:r>
              <w:t>Young variance exclusion</w:t>
            </w:r>
          </w:p>
        </w:tc>
      </w:tr>
      <w:tr>
        <w:trPr>
          <w:trHeight w:hRule="auto"/>
        </w:trPr>
        <w:tc>
          <w:tcPr>
            <w:tcW w:type="dxa" w:w="2498"/>
            <w:vAlign w:val="top"/>
            <w:tcMar>
              <w:top w:w="70" w:type="dxa"/>
              <w:start w:w="80" w:type="dxa"/>
              <w:bottom w:w="70" w:type="dxa"/>
              <w:end w:w="80" w:type="dxa"/>
            </w:tcMar>
          </w:tcPr>
          <w:p>
            <w:pPr>
              <w:pStyle w:val="Small"/>
              <w:keepLines/>
            </w:pPr>
            <w:r>
              <w:t>R13</w:t>
            </w:r>
          </w:p>
        </w:tc>
        <w:tc>
          <w:tcPr>
            <w:tcW w:type="dxa" w:w="2498"/>
            <w:vAlign w:val="top"/>
            <w:tcMar>
              <w:top w:w="70" w:type="dxa"/>
              <w:start w:w="80" w:type="dxa"/>
              <w:bottom w:w="70" w:type="dxa"/>
              <w:end w:w="80" w:type="dxa"/>
            </w:tcMar>
          </w:tcPr>
          <w:p>
            <w:pPr>
              <w:pStyle w:val="Small"/>
              <w:keepLines/>
            </w:pPr>
            <w:r>
              <w:t>Unified affine/accelerating covariance</w:t>
            </w:r>
          </w:p>
        </w:tc>
        <w:tc>
          <w:tcPr>
            <w:tcW w:type="dxa" w:w="2498"/>
            <w:vAlign w:val="top"/>
            <w:tcMar>
              <w:top w:w="70" w:type="dxa"/>
              <w:start w:w="80" w:type="dxa"/>
              <w:bottom w:w="70" w:type="dxa"/>
              <w:end w:w="80" w:type="dxa"/>
            </w:tcMar>
          </w:tcPr>
          <w:p>
            <w:pPr>
              <w:pStyle w:val="Small"/>
              <w:keepLines/>
            </w:pPr>
            <w:r>
              <w:t>Consolidation theorem</w:t>
            </w:r>
          </w:p>
        </w:tc>
        <w:tc>
          <w:tcPr>
            <w:tcW w:type="dxa" w:w="2498"/>
            <w:vAlign w:val="top"/>
            <w:tcMar>
              <w:top w:w="70" w:type="dxa"/>
              <w:start w:w="80" w:type="dxa"/>
              <w:bottom w:w="70" w:type="dxa"/>
              <w:end w:w="80" w:type="dxa"/>
            </w:tcMar>
          </w:tcPr>
          <w:p>
            <w:pPr>
              <w:pStyle w:val="Small"/>
              <w:keepLines/>
            </w:pPr>
            <w:r>
              <w:t>Affine and pressure routing</w:t>
            </w:r>
          </w:p>
        </w:tc>
      </w:tr>
      <w:tr>
        <w:trPr>
          <w:trHeight w:hRule="auto"/>
        </w:trPr>
        <w:tc>
          <w:tcPr>
            <w:tcW w:type="dxa" w:w="2498"/>
            <w:vAlign w:val="top"/>
            <w:tcMar>
              <w:top w:w="70" w:type="dxa"/>
              <w:start w:w="80" w:type="dxa"/>
              <w:bottom w:w="70" w:type="dxa"/>
              <w:end w:w="80" w:type="dxa"/>
            </w:tcMar>
          </w:tcPr>
          <w:p>
            <w:pPr>
              <w:pStyle w:val="Small"/>
              <w:keepLines/>
            </w:pPr>
            <w:r>
              <w:t>R14</w:t>
            </w:r>
          </w:p>
        </w:tc>
        <w:tc>
          <w:tcPr>
            <w:tcW w:type="dxa" w:w="2498"/>
            <w:vAlign w:val="top"/>
            <w:tcMar>
              <w:top w:w="70" w:type="dxa"/>
              <w:start w:w="80" w:type="dxa"/>
              <w:bottom w:w="70" w:type="dxa"/>
              <w:end w:w="80" w:type="dxa"/>
            </w:tcMar>
          </w:tcPr>
          <w:p>
            <w:pPr>
              <w:pStyle w:val="Small"/>
              <w:keepLines/>
            </w:pPr>
            <w:r>
              <w:t>Amplitude log-hull realization or exit</w:t>
            </w:r>
          </w:p>
        </w:tc>
        <w:tc>
          <w:tcPr>
            <w:tcW w:type="dxa" w:w="2498"/>
            <w:vAlign w:val="top"/>
            <w:tcMar>
              <w:top w:w="70" w:type="dxa"/>
              <w:start w:w="80" w:type="dxa"/>
              <w:bottom w:w="70" w:type="dxa"/>
              <w:end w:w="80" w:type="dxa"/>
            </w:tcMar>
          </w:tcPr>
          <w:p>
            <w:pPr>
              <w:pStyle w:val="Small"/>
              <w:keepLines/>
            </w:pPr>
            <w:r>
              <w:t>Nontrivial local producer</w:t>
            </w:r>
          </w:p>
        </w:tc>
        <w:tc>
          <w:tcPr>
            <w:tcW w:type="dxa" w:w="2498"/>
            <w:vAlign w:val="top"/>
            <w:tcMar>
              <w:top w:w="70" w:type="dxa"/>
              <w:start w:w="80" w:type="dxa"/>
              <w:bottom w:w="70" w:type="dxa"/>
              <w:end w:w="80" w:type="dxa"/>
            </w:tcMar>
          </w:tcPr>
          <w:p>
            <w:pPr>
              <w:pStyle w:val="Small"/>
              <w:keepLines/>
            </w:pPr>
            <w:r>
              <w:t>Aperiodic coherent-tail closure</w:t>
            </w:r>
          </w:p>
        </w:tc>
      </w:tr>
      <w:tr>
        <w:trPr>
          <w:trHeight w:hRule="auto"/>
        </w:trPr>
        <w:tc>
          <w:tcPr>
            <w:tcW w:type="dxa" w:w="2498"/>
            <w:vAlign w:val="top"/>
            <w:tcMar>
              <w:top w:w="70" w:type="dxa"/>
              <w:start w:w="80" w:type="dxa"/>
              <w:bottom w:w="70" w:type="dxa"/>
              <w:end w:w="80" w:type="dxa"/>
            </w:tcMar>
          </w:tcPr>
          <w:p>
            <w:pPr>
              <w:pStyle w:val="Small"/>
              <w:keepLines/>
            </w:pPr>
            <w:r>
              <w:t>R15</w:t>
            </w:r>
          </w:p>
        </w:tc>
        <w:tc>
          <w:tcPr>
            <w:tcW w:type="dxa" w:w="2498"/>
            <w:vAlign w:val="top"/>
            <w:tcMar>
              <w:top w:w="70" w:type="dxa"/>
              <w:start w:w="80" w:type="dxa"/>
              <w:bottom w:w="70" w:type="dxa"/>
              <w:end w:w="80" w:type="dxa"/>
            </w:tcMar>
          </w:tcPr>
          <w:p>
            <w:pPr>
              <w:pStyle w:val="Small"/>
              <w:keepLines/>
            </w:pPr>
            <w:r>
              <w:t>No tail exits implies sequence-L3</w:t>
            </w:r>
          </w:p>
        </w:tc>
        <w:tc>
          <w:tcPr>
            <w:tcW w:type="dxa" w:w="2498"/>
            <w:vAlign w:val="top"/>
            <w:tcMar>
              <w:top w:w="70" w:type="dxa"/>
              <w:start w:w="80" w:type="dxa"/>
              <w:bottom w:w="70" w:type="dxa"/>
              <w:end w:w="80" w:type="dxa"/>
            </w:tcMar>
          </w:tcPr>
          <w:p>
            <w:pPr>
              <w:pStyle w:val="Small"/>
              <w:keepLines/>
            </w:pPr>
            <w:r>
              <w:t>Nontrivial local contraposition</w:t>
            </w:r>
          </w:p>
        </w:tc>
        <w:tc>
          <w:tcPr>
            <w:tcW w:type="dxa" w:w="2498"/>
            <w:vAlign w:val="top"/>
            <w:tcMar>
              <w:top w:w="70" w:type="dxa"/>
              <w:start w:w="80" w:type="dxa"/>
              <w:bottom w:w="70" w:type="dxa"/>
              <w:end w:w="80" w:type="dxa"/>
            </w:tcMar>
          </w:tcPr>
          <w:p>
            <w:pPr>
              <w:pStyle w:val="Small"/>
              <w:keepLines/>
            </w:pPr>
            <w:r>
              <w:t>Atomic endpoint Liouville</w:t>
            </w:r>
          </w:p>
        </w:tc>
      </w:tr>
    </w:tbl>
    <w:p/>
    <w:p>
      <w:pPr>
        <w:pStyle w:val="Heading2"/>
      </w:pPr>
      <w:r>
        <w:t>7.1 Acyclic dependency order</w:t>
      </w:r>
    </w:p>
    <w:p>
      <w:pPr>
        <w:pStyle w:val="ListBullet"/>
        <w:spacing w:after="50"/>
        <w:ind w:left="360" w:hanging="216"/>
      </w:pPr>
      <w:r>
        <w:t>Stage 0 - Setup: CKN/velocity concentration and the Type I/Type II split.</w:t>
      </w:r>
    </w:p>
    <w:p>
      <w:pPr>
        <w:pStyle w:val="ListBullet"/>
        <w:spacing w:after="50"/>
        <w:ind w:left="360" w:hanging="216"/>
      </w:pPr>
      <w:r>
        <w:t>Stage 1 - Entry selection: R1 active-core selector and R2-R3 corrected chart/scaling.</w:t>
      </w:r>
    </w:p>
    <w:p>
      <w:pPr>
        <w:pStyle w:val="ListBullet"/>
        <w:spacing w:after="50"/>
        <w:ind w:left="360" w:hanging="216"/>
      </w:pPr>
      <w:r>
        <w:t>Stage 2 - Local represented branches: existing single-core, pressure, multibubble, rough-core, modulation, and scale tests.</w:t>
      </w:r>
    </w:p>
    <w:p>
      <w:pPr>
        <w:pStyle w:val="ListBullet"/>
        <w:spacing w:after="50"/>
        <w:ind w:left="360" w:hanging="216"/>
      </w:pPr>
      <w:r>
        <w:t>Stage 3 - Local residual production: R4 and R6. These use only compact-cylinder estimates and do not use terminal decoupling.</w:t>
      </w:r>
    </w:p>
    <w:p>
      <w:pPr>
        <w:pStyle w:val="ListBullet"/>
        <w:spacing w:after="50"/>
        <w:ind w:left="360" w:hanging="216"/>
      </w:pPr>
      <w:r>
        <w:t>Stage 4 - Local residual classification: R5 and R7. Comparable states are merged; all other failures are sent to previously named rows.</w:t>
      </w:r>
    </w:p>
    <w:p>
      <w:pPr>
        <w:pStyle w:val="ListBullet"/>
        <w:spacing w:after="50"/>
        <w:ind w:left="360" w:hanging="216"/>
      </w:pPr>
      <w:r>
        <w:t>Stage 5 - Terminal completeness: conclude S_n -&gt; 0, then and only then invoke terminal stress and pressure decoupling.</w:t>
      </w:r>
    </w:p>
    <w:p>
      <w:pPr>
        <w:pStyle w:val="ListBullet"/>
        <w:spacing w:after="50"/>
        <w:ind w:left="360" w:hanging="216"/>
      </w:pPr>
      <w:r>
        <w:t>Stage 6 - Type I ancestry: R8-R10 give well-defined descendant chains and recurrent cores.</w:t>
      </w:r>
    </w:p>
    <w:p>
      <w:pPr>
        <w:pStyle w:val="ListBullet"/>
        <w:spacing w:after="50"/>
        <w:ind w:left="360" w:hanging="216"/>
      </w:pPr>
      <w:r>
        <w:t>Stage 7 - Tail production: R11-R13 and the existing variance/mesoscopic estimates.</w:t>
      </w:r>
    </w:p>
    <w:p>
      <w:pPr>
        <w:pStyle w:val="ListBullet"/>
        <w:spacing w:after="50"/>
        <w:ind w:left="360" w:hanging="216"/>
      </w:pPr>
      <w:r>
        <w:t>Stage 8 - Coherent tail closure: R14, followed by homogeneous, log-periodic, and aperiodic contradictions.</w:t>
      </w:r>
    </w:p>
    <w:p>
      <w:pPr>
        <w:pStyle w:val="ListBullet"/>
        <w:spacing w:after="50"/>
        <w:ind w:left="360" w:hanging="216"/>
      </w:pPr>
      <w:r>
        <w:t>Stage 9 - Atomic endpoint: R15 produces the L^3 sequence, then finite-shift mildness and the imported endpoint theorem close the profile.</w:t>
      </w:r>
    </w:p>
    <w:p>
      <w:pPr>
        <w:pStyle w:val="ListBullet"/>
        <w:spacing w:after="50"/>
        <w:ind w:left="360" w:hanging="216"/>
      </w:pPr>
      <w:r>
        <w:t>Stage 10 - Final ledgers: only after every producer and local closure above has been established may the Type I residual and Type II final assemblies be invoked.</w:t>
      </w:r>
    </w:p>
    <w:p>
      <w:pPr/>
      <w:r>
        <w:rPr>
          <w:i w:val="0"/>
        </w:rPr>
        <w:t>This order answers the circularity concern. A theorem may classify failure into a lower row before that lower row is closed. It may not use the closure theorem to prove the producer that defines the row. Likewise, terminal stress decoupling may close later branches but may not be used to prove the residual vanishing on which the stress estimate depends.</w:t>
      </w:r>
    </w:p>
    <w:p>
      <w:pPr>
        <w:pStyle w:val="Heading1"/>
      </w:pPr>
      <w:r>
        <w:t>8. Revised proof status after the proposed repairs</w:t>
      </w:r>
    </w:p>
    <w:p>
      <w:pPr/>
      <w:r>
        <w:rPr>
          <w:i w:val="0"/>
        </w:rPr>
        <w:t>The earlier global verdict should be refined as follows.</w:t>
      </w:r>
    </w:p>
    <w:p>
      <w:pPr>
        <w:pStyle w:val="ListBullet"/>
        <w:spacing w:after="50"/>
        <w:ind w:left="360" w:hanging="216"/>
      </w:pPr>
      <w:r>
        <w:t>The compact single-core theorem, local pressure decomposition, local Caccioppoli estimates, corrected terminal stress estimate, Young-variance Liouville calculation, and endpoint ancient Liouville mechanism are not invalid because they are local. They are valid modules when their bundled branch hypotheses have been produced.</w:t>
      </w:r>
    </w:p>
    <w:p>
      <w:pPr>
        <w:pStyle w:val="ListBullet"/>
        <w:spacing w:after="50"/>
        <w:ind w:left="360" w:hanging="216"/>
      </w:pPr>
      <w:r>
        <w:t>The preliminary-frame problem is a repairable statement and domain-selection error.</w:t>
      </w:r>
    </w:p>
    <w:p>
      <w:pPr>
        <w:pStyle w:val="ListBullet"/>
        <w:spacing w:after="50"/>
        <w:ind w:left="360" w:hanging="216"/>
      </w:pPr>
      <w:r>
        <w:t>The recentering-equivalence, descendant-transitivity, affine-covariance, and recurrent-pressure issues are mostly consolidation or explicit-inheritance tasks using methods already present.</w:t>
      </w:r>
    </w:p>
    <w:p>
      <w:pPr>
        <w:pStyle w:val="ListBullet"/>
        <w:spacing w:after="50"/>
        <w:ind w:left="360" w:hanging="216"/>
      </w:pPr>
      <w:r>
        <w:t>SC3 must be removed or replaced; it cannot be rescued by vacuity or by interpreting its competitor set as singular profiles.</w:t>
      </w:r>
    </w:p>
    <w:p>
      <w:pPr>
        <w:pStyle w:val="ListBullet"/>
        <w:spacing w:after="50"/>
        <w:ind w:left="360" w:hanging="216"/>
      </w:pPr>
      <w:r>
        <w:t>The genuinely load-bearing work is concentrated in the local producer theorems: corrected active-core selection, residual-state emission and classification, critical-tail support realization with inherited PDE, amplitude-normalized log-hull realization, and the tail-exit-to-sequence-L3 contraposition.</w:t>
      </w:r>
    </w:p>
    <w:p>
      <w:pPr>
        <w:pStyle w:val="ListBullet"/>
        <w:spacing w:after="50"/>
        <w:ind w:left="360" w:hanging="216"/>
      </w:pPr>
      <w:r>
        <w:t>None of those producer theorems requires a global L^infinity_t L^3_x estimate. They require local compact-cylinder bounds, selected-window normalization, finite-overlap arguments, pressure atlases, defect measures, and diagonal realization - the same methodology already used throughout the manuscripts.</w:t>
      </w:r>
    </w:p>
    <w:tbl>
      <w:tblPr>
        <w:tblW w:type="auto" w:w="0"/>
        <w:jc w:val="center"/>
        <w:tblLayout w:type="autofit"/>
        <w:tblLook w:firstColumn="1" w:firstRow="1" w:lastColumn="0" w:lastRow="0" w:noHBand="0" w:noVBand="1" w:val="04A0"/>
      </w:tblPr>
      <w:tblGrid>
        <w:gridCol w:w="9994"/>
      </w:tblGrid>
      <w:tr>
        <w:trPr>
          <w:trHeight w:hRule="auto"/>
        </w:trPr>
        <w:tc>
          <w:tcPr>
            <w:tcW w:type="dxa" w:w="9994"/>
            <w:shd w:fill="EAF2F8"/>
            <w:tcMar>
              <w:top w:w="110" w:type="dxa"/>
              <w:start w:w="130" w:type="dxa"/>
              <w:bottom w:w="110" w:type="dxa"/>
              <w:end w:w="130" w:type="dxa"/>
            </w:tcMar>
          </w:tcPr>
          <w:p>
            <w:pPr>
              <w:pStyle w:val="Verdict"/>
              <w:keepLines/>
            </w:pPr>
            <w:r>
              <w:t>Bottom line</w:t>
            </w:r>
          </w:p>
          <w:p>
            <w:pPr>
              <w:keepLines/>
            </w:pPr>
            <w:r>
              <w:t>The line of reasoning is plausibly repairable within its existing structural-exhaustion methodology. The proof should not be called complete until the false SC3 and frame statements are corrected and the five local producer theorems are written with the exact residual data and failure outputs above. Once those are in place, the remaining conditional modules can be assembled without adding a global critical estimate.</w:t>
            </w:r>
          </w:p>
        </w:tc>
      </w:tr>
    </w:tbl>
    <w:p>
      <w:pPr>
        <w:spacing w:after="0"/>
      </w:pPr>
    </w:p>
    <w:p>
      <w:pPr>
        <w:pStyle w:val="Heading1"/>
      </w:pPr>
      <w:r>
        <w:t>Appendix A. Ready-to-insert theorem skeletons</w:t>
      </w:r>
    </w:p>
    <w:p>
      <w:pPr/>
      <w:r>
        <w:rPr>
          <w:i w:val="0"/>
        </w:rPr>
        <w:t>The following compact formulations are intended as drafting templates. They should be adapted to the manuscript notation and threshold hierarchy, but their logical direction and failure outputs should be preserved.</w:t>
      </w:r>
    </w:p>
    <w:p>
      <w:pPr>
        <w:pStyle w:val="LemmaTitle"/>
        <w:pBdr>
          <w:left w:val="single" w:sz="6" w:space="4" w:color="7F8C8D"/>
        </w:pBdr>
      </w:pPr>
      <w:r>
        <w:t>A.1 Local active-core selector</w:t>
      </w:r>
    </w:p>
    <w:p>
      <w:pPr/>
      <w:r>
        <w:rPr>
          <w:i w:val="0"/>
        </w:rPr>
        <w:t>Theorem. Let a represented local concentration sequence carry a positive velocity activity floor on a fixed model cylinder and satisfy the compact-cylinder suitable bounds. After passing to a subsequence and grouping comparable same-point parameters, either a unique nondegenerate compound core is selected, or a realized successor belongs to the multicore, same-point cascade, exterior/noncompact, scale-collapse, pressure-only, or repaired-gauge-degenerate row. In the first alternative the corrected single-core assumptions hold on a smaller one-sided window.</w:t>
      </w:r>
    </w:p>
    <w:p>
      <w:pPr>
        <w:pStyle w:val="LemmaTitle"/>
        <w:pBdr>
          <w:left w:val="single" w:sz="6" w:space="4" w:color="7F8C8D"/>
        </w:pBdr>
      </w:pPr>
      <w:r>
        <w:t>A.2 One-sided chart</w:t>
      </w:r>
    </w:p>
    <w:p>
      <w:pPr/>
      <w:r>
        <w:rPr>
          <w:i w:val="0"/>
        </w:rPr>
        <w:t>Lemma. Under compact scale bounds, an AC center path contained in a strict physical collar, and a one-sided terminal time interval, the preliminary chart maps a sufficiently small model cylinder into the physical domain and is an AC homeomorphism with spatial slice bi-Lipschitz bounds and the standard change-of-variables Jacobians. If the collar or compact scale bounds fail, the first failure is the exterior/domain or scale row.</w:t>
      </w:r>
    </w:p>
    <w:p>
      <w:pPr>
        <w:pStyle w:val="LemmaTitle"/>
        <w:pBdr>
          <w:left w:val="single" w:sz="6" w:space="4" w:color="7F8C8D"/>
        </w:pBdr>
      </w:pPr>
      <w:r>
        <w:t>A.3 Local residual producer</w:t>
      </w:r>
    </w:p>
    <w:p>
      <w:pPr/>
      <w:r>
        <w:rPr>
          <w:i w:val="0"/>
        </w:rPr>
        <w:t>Theorem. If a terminal residual fails to converge to zero in local L^infinity_t L^3_x, then after selected time recentering it produces either a realized augmented local state with positive residual activity or a named compactness, pressure, gauge, modulation, rough-core, domain, or terminal-layer failure. No terminal stress-decoupling result is used in this production theorem.</w:t>
      </w:r>
    </w:p>
    <w:p>
      <w:pPr>
        <w:pStyle w:val="LemmaTitle"/>
        <w:pBdr>
          <w:left w:val="single" w:sz="6" w:space="4" w:color="7F8C8D"/>
        </w:pBdr>
      </w:pPr>
      <w:r>
        <w:t>A.4 Terminal completeness</w:t>
      </w:r>
    </w:p>
    <w:p>
      <w:pPr/>
      <w:r>
        <w:rPr>
          <w:i w:val="0"/>
        </w:rPr>
        <w:t>Corollary. After comparable retained states are grouped and every named successor from the local residual producer has been closed, the terminal residual converges to zero in local L^infinity_t L^3_x. Consequently all cross stresses vanish in local L^1_t L^2_x and the cross-pressure gradient vanishes in local L^1_t H^{-1}_x.</w:t>
      </w:r>
    </w:p>
    <w:p>
      <w:pPr>
        <w:pStyle w:val="LemmaTitle"/>
        <w:pBdr>
          <w:left w:val="single" w:sz="6" w:space="4" w:color="7F8C8D"/>
        </w:pBdr>
      </w:pPr>
      <w:r>
        <w:t>A.5 Support realization</w:t>
      </w:r>
    </w:p>
    <w:p>
      <w:pPr/>
      <w:r>
        <w:rPr>
          <w:i w:val="0"/>
        </w:rPr>
        <w:t>Theorem. Every support point of a normalized tail or defect compactification, away from explicitly named failure faces, is realized by an actual sequence of rebased states from the original singularity sequence and inherits the exact finite-index scaled equation, local pressure atlas, and local energy inequality on fixed model cylinders.</w:t>
      </w:r>
    </w:p>
    <w:p>
      <w:pPr>
        <w:pStyle w:val="LemmaTitle"/>
        <w:pBdr>
          <w:left w:val="single" w:sz="6" w:space="4" w:color="7F8C8D"/>
        </w:pBdr>
      </w:pPr>
      <w:r>
        <w:t>A.6 Amplitude log-hull heredity</w:t>
      </w:r>
    </w:p>
    <w:p>
      <w:pPr/>
      <w:r>
        <w:rPr>
          <w:i w:val="0"/>
        </w:rPr>
        <w:t>Theorem. Every amplitude-normalized log-hull limit is either realized in the coherent linear regime R_n lambda_n^2 -&gt; infinity with bounded-origin control, or the translated sequence produces a realized active, affine, log-diffuse, mesoscopic, hidden-variance, pressure/domain, or noncompact successor.</w:t>
      </w:r>
    </w:p>
    <w:p>
      <w:pPr>
        <w:pStyle w:val="LemmaTitle"/>
        <w:pBdr>
          <w:left w:val="single" w:sz="6" w:space="4" w:color="7F8C8D"/>
        </w:pBdr>
      </w:pPr>
      <w:r>
        <w:t>A.7 Atomic sequence-L3</w:t>
      </w:r>
    </w:p>
    <w:p>
      <w:pPr/>
      <w:r>
        <w:rPr>
          <w:i w:val="0"/>
        </w:rPr>
        <w:t>Lemma. A bounded centered ancient profile with no concentrating tail descendant, diffuse exterior defect, pressure/noncompact exit, affine exit, or critical-tail defect admits a sequence of backward times with a uniform whole-space L^3 bound. The proof is the contrapositive exterior-mass selection and unit/diffuse/shell routing.</w:t>
      </w:r>
    </w:p>
    <w:p>
      <w:pPr>
        <w:pStyle w:val="Heading1"/>
      </w:pPr>
      <w:r>
        <w:t>Appendix B. Source ledger for this re-audit</w:t>
      </w:r>
    </w:p>
    <w:p>
      <w:pPr/>
      <w:r>
        <w:rPr>
          <w:i w:val="0"/>
        </w:rPr>
        <w:t>Repository main remained at revision 4de998eb994384fa255e2d46c0bc38ad213de22d during this re-audit. The principal source files and labels inspected were:</w:t>
      </w:r>
    </w:p>
    <w:p>
      <w:pPr>
        <w:pStyle w:val="ListBullet"/>
        <w:spacing w:after="50"/>
        <w:ind w:left="360" w:hanging="216"/>
      </w:pPr>
      <w:r>
        <w:t>docs/source/ns_paper/proof_setup.tex - local concentration, Type I/Type II split, Seregin extraction, tightness and endpoint interfaces.</w:t>
      </w:r>
    </w:p>
    <w:p>
      <w:pPr>
        <w:pStyle w:val="ListBullet"/>
        <w:spacing w:after="50"/>
        <w:ind w:left="360" w:hanging="216"/>
      </w:pPr>
      <w:r>
        <w:t>docs/source/ns_paper/type_II_regularity.tex - SC package, preliminary chart, repaired gauges, single-core and multibubble branches, local terminal compactness, bounded-window routing, and final Type II assembly.</w:t>
      </w:r>
    </w:p>
    <w:p>
      <w:pPr>
        <w:pStyle w:val="ListBullet"/>
        <w:spacing w:after="50"/>
        <w:ind w:left="360" w:hanging="216"/>
      </w:pPr>
      <w:r>
        <w:t>docs/source/ns_paper/paperIV_residual_branch.tex - descendant relations, recurrent cores, critical-tail compactification, minimal mesoscopic scales, bounded-origin realization, coherent-tail closure, finite separated families, and atomic endpoint closure.</w:t>
      </w:r>
    </w:p>
    <w:p>
      <w:pPr>
        <w:pStyle w:val="ListBullet"/>
        <w:spacing w:after="50"/>
        <w:ind w:left="360" w:hanging="216"/>
      </w:pPr>
      <w:r>
        <w:t>docs/source/type_2/papers/paper2_renormalized_typeII_repaired_gauges.tex - standalone repaired-gauge source whose SC scaling must be synchronized with the integrated file.</w:t>
      </w:r>
    </w:p>
    <w:p>
      <w:pPr/>
      <w:r>
        <w:rPr>
          <w:i w:val="0"/>
        </w:rPr>
        <w:t>This memorandum intentionally proposes only compact-cylinder, selected-window, and descendant-realization arguments. It does not add a whole-space critical-norm hypothesis or a global nonlinear profile decomposition.</w:t>
      </w:r>
    </w:p>
    <w:sectPr w:rsidR="00FC693F" w:rsidRPr="0006063C" w:rsidSect="00034616">
      <w:headerReference w:type="default" r:id="rId9"/>
      <w:footerReference w:type="default" r:id="rId10"/>
      <w:pgSz w:w="12240" w:h="15840"/>
      <w:pgMar w:top="1008"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Branch-aware repair plan for the Navier-Stokes proof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Display" w:hAnsi="Aptos Display" w:eastAsia="Aptos Display"/>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spacing w:after="120" w:before="40"/>
      <w:ind w:left="461" w:right="216"/>
    </w:pPr>
    <w:rPr>
      <w:rFonts w:ascii="Cambria Math" w:hAnsi="Cambria Math" w:eastAsia="Cambria Math"/>
      <w:b w:val="0"/>
      <w:color w:val="000000"/>
      <w:sz w:val="20"/>
    </w:rPr>
  </w:style>
  <w:style w:type="paragraph" w:customStyle="1" w:styleId="LemmaTitle">
    <w:name w:val="LemmaTitle"/>
    <w:basedOn w:val="Normal"/>
    <w:pPr>
      <w:keepNext/>
      <w:spacing w:after="80"/>
    </w:pPr>
    <w:rPr>
      <w:rFonts w:ascii="Aptos" w:hAnsi="Aptos" w:eastAsia="Aptos"/>
      <w:b/>
      <w:color w:val="17365D"/>
      <w:sz w:val="22"/>
    </w:rPr>
  </w:style>
  <w:style w:type="paragraph" w:customStyle="1" w:styleId="SourceNote">
    <w:name w:val="SourceNote"/>
    <w:basedOn w:val="Normal"/>
    <w:pPr>
      <w:spacing w:after="140" w:before="20"/>
    </w:pPr>
    <w:rPr>
      <w:rFonts w:ascii="Aptos" w:hAnsi="Aptos" w:eastAsia="Aptos"/>
      <w:b w:val="0"/>
      <w:color w:val="666666"/>
      <w:sz w:val="17"/>
    </w:rPr>
  </w:style>
  <w:style w:type="paragraph" w:customStyle="1" w:styleId="CodeLabel">
    <w:name w:val="CodeLabel"/>
    <w:basedOn w:val="Normal"/>
    <w:pPr>
      <w:spacing w:after="80"/>
    </w:pPr>
    <w:rPr>
      <w:rFonts w:ascii="Consolas" w:hAnsi="Consolas" w:eastAsia="Consolas"/>
      <w:b w:val="0"/>
      <w:color w:val="333333"/>
      <w:sz w:val="18"/>
    </w:rPr>
  </w:style>
  <w:style w:type="paragraph" w:customStyle="1" w:styleId="Verdict">
    <w:name w:val="Verdict"/>
    <w:basedOn w:val="Normal"/>
    <w:pPr>
      <w:spacing w:after="80"/>
    </w:pPr>
    <w:rPr>
      <w:rFonts w:ascii="Aptos" w:hAnsi="Aptos" w:eastAsia="Aptos"/>
      <w:b/>
      <w:color w:val="17365D"/>
      <w:sz w:val="22"/>
    </w:rPr>
  </w:style>
  <w:style w:type="paragraph" w:customStyle="1" w:styleId="Small">
    <w:name w:val="Small"/>
    <w:basedOn w:val="Normal"/>
    <w:pPr>
      <w:spacing w:after="80"/>
    </w:pPr>
    <w:rPr>
      <w:rFonts w:ascii="Aptos" w:hAnsi="Aptos" w:eastAsia="Aptos"/>
      <w:b w:val="0"/>
      <w:color w:val="4444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Branch-Aware Repair Plan for the Navier-Stokes Proof Package</dc:title>
  <dc:subject>Local residual-preserving fixes and exact lemma obligations</dc:subject>
  <dc:creator>OpenAI</dc:creator>
  <cp:keywords>Navier-Stokes, proof audit, residual routing, local compactness, Type I, Type II</cp:keywords>
  <dc:description>generated by python-docx</dc:description>
  <cp:lastModifiedBy/>
  <cp:revision>1</cp:revision>
  <dcterms:created xsi:type="dcterms:W3CDTF">2013-12-23T23:15:00Z</dcterms:created>
  <dcterms:modified xsi:type="dcterms:W3CDTF">2013-12-23T23:15:00Z</dcterms:modified>
  <cp:category/>
</cp:coreProperties>
</file>