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C933C" w14:textId="0A4B6535" w:rsidR="0032378B" w:rsidRPr="00AF4D17" w:rsidRDefault="0032378B" w:rsidP="0032378B">
      <w:pPr>
        <w:jc w:val="center"/>
        <w:rPr>
          <w:rFonts w:cs="Calibri"/>
          <w:b/>
          <w:bCs/>
        </w:rPr>
      </w:pPr>
      <w:r w:rsidRPr="00AF4D17">
        <w:rPr>
          <w:rFonts w:cs="Calibri"/>
          <w:b/>
          <w:bCs/>
        </w:rPr>
        <w:t>Laboratorium 3</w:t>
      </w:r>
      <w:r w:rsidRPr="00AF4D17">
        <w:rPr>
          <w:rFonts w:cs="Calibri"/>
          <w:b/>
          <w:bCs/>
        </w:rPr>
        <w:br/>
        <w:t>Analiza wrażliwości modeli deterministycznych.</w:t>
      </w:r>
    </w:p>
    <w:p w14:paraId="65692349" w14:textId="77777777" w:rsidR="0032378B" w:rsidRPr="00AF4D17" w:rsidRDefault="0032378B" w:rsidP="0032378B">
      <w:pPr>
        <w:rPr>
          <w:rFonts w:cs="Calibri"/>
        </w:rPr>
      </w:pPr>
      <w:r w:rsidRPr="00AF4D17">
        <w:rPr>
          <w:rFonts w:cs="Calibri"/>
          <w:b/>
          <w:bCs/>
        </w:rPr>
        <w:t xml:space="preserve">Imię i nazwisko: </w:t>
      </w:r>
      <w:r w:rsidRPr="00AF4D17">
        <w:rPr>
          <w:rFonts w:cs="Calibri"/>
        </w:rPr>
        <w:t>Franciszek Jarek, Marcin Napieralski</w:t>
      </w:r>
    </w:p>
    <w:p w14:paraId="0D7B9418" w14:textId="77777777" w:rsidR="0032378B" w:rsidRPr="00AF4D17" w:rsidRDefault="0032378B" w:rsidP="0032378B">
      <w:pPr>
        <w:rPr>
          <w:rFonts w:cs="Calibri"/>
        </w:rPr>
      </w:pPr>
    </w:p>
    <w:p w14:paraId="58ED17C3" w14:textId="77777777" w:rsidR="0032378B" w:rsidRPr="00AF4D17" w:rsidRDefault="0032378B" w:rsidP="0032378B">
      <w:pPr>
        <w:pStyle w:val="ListParagraph"/>
        <w:numPr>
          <w:ilvl w:val="0"/>
          <w:numId w:val="1"/>
        </w:numPr>
        <w:rPr>
          <w:rFonts w:cs="Calibri"/>
          <w:b/>
          <w:bCs/>
        </w:rPr>
      </w:pPr>
      <w:r w:rsidRPr="00AF4D17">
        <w:rPr>
          <w:rFonts w:cs="Calibri"/>
          <w:b/>
          <w:bCs/>
        </w:rPr>
        <w:t>Wstęp</w:t>
      </w:r>
    </w:p>
    <w:p w14:paraId="5E400BE6" w14:textId="687BCAC5" w:rsidR="0032378B" w:rsidRPr="00AF4D17" w:rsidRDefault="0032378B" w:rsidP="0032378B">
      <w:pPr>
        <w:rPr>
          <w:rFonts w:cs="Calibri"/>
          <w:bCs/>
        </w:rPr>
      </w:pPr>
      <w:r w:rsidRPr="00AF4D17">
        <w:rPr>
          <w:rFonts w:cs="Calibri"/>
          <w:bCs/>
        </w:rPr>
        <w:t xml:space="preserve">W ramach laboratorium zaimplementowano </w:t>
      </w:r>
      <w:r w:rsidRPr="00AF4D17">
        <w:rPr>
          <w:rFonts w:cs="Calibri"/>
          <w:b/>
          <w:bCs/>
        </w:rPr>
        <w:t>lokalną analizę wrażliwości</w:t>
      </w:r>
      <w:r w:rsidRPr="00AF4D17">
        <w:rPr>
          <w:rFonts w:cs="Calibri"/>
          <w:bCs/>
        </w:rPr>
        <w:t xml:space="preserve"> deterministycznego modelu dynamiki białka p53 w dwóch scenariuszach biologicznych:</w:t>
      </w:r>
    </w:p>
    <w:p w14:paraId="13BB482C" w14:textId="77777777" w:rsidR="0032378B" w:rsidRPr="00AF4D17" w:rsidRDefault="0032378B" w:rsidP="0032378B">
      <w:pPr>
        <w:pStyle w:val="ListParagraph"/>
        <w:numPr>
          <w:ilvl w:val="0"/>
          <w:numId w:val="2"/>
        </w:numPr>
        <w:rPr>
          <w:rFonts w:cs="Calibri"/>
          <w:bCs/>
        </w:rPr>
      </w:pPr>
      <w:r w:rsidRPr="00AF4D17">
        <w:rPr>
          <w:rFonts w:cs="Calibri"/>
          <w:bCs/>
        </w:rPr>
        <w:t xml:space="preserve">komórki zdrowe (scenariusz „Basic”), </w:t>
      </w:r>
    </w:p>
    <w:p w14:paraId="00A02D62" w14:textId="40C65518" w:rsidR="0032378B" w:rsidRPr="00AF4D17" w:rsidRDefault="0032378B" w:rsidP="0032378B">
      <w:pPr>
        <w:pStyle w:val="ListParagraph"/>
        <w:numPr>
          <w:ilvl w:val="0"/>
          <w:numId w:val="2"/>
        </w:numPr>
        <w:rPr>
          <w:rFonts w:cs="Calibri"/>
          <w:bCs/>
        </w:rPr>
      </w:pPr>
      <w:r w:rsidRPr="00AF4D17">
        <w:rPr>
          <w:rFonts w:cs="Calibri"/>
          <w:bCs/>
        </w:rPr>
        <w:t>komórki nowotworowe z uszkodzeniem DNA (scenariusz „Tumor”).</w:t>
      </w:r>
    </w:p>
    <w:p w14:paraId="497BDBC5" w14:textId="00A87BE8" w:rsidR="0032378B" w:rsidRPr="00AF4D17" w:rsidRDefault="0032378B" w:rsidP="0032378B">
      <w:pPr>
        <w:rPr>
          <w:rFonts w:cs="Calibri"/>
          <w:bCs/>
        </w:rPr>
      </w:pPr>
      <w:r w:rsidRPr="00AF4D17">
        <w:rPr>
          <w:rFonts w:cs="Calibri"/>
          <w:bCs/>
        </w:rPr>
        <w:t>Do analizy wykorzystano uprzednio zbudowany solver równań różniczkowych zwyczajnych (ODE), bazujący na metodzie RK45.</w:t>
      </w:r>
    </w:p>
    <w:p w14:paraId="09E670A3" w14:textId="77777777" w:rsidR="00AF4D17" w:rsidRDefault="00AF4D17" w:rsidP="00AF4D17">
      <w:pPr>
        <w:rPr>
          <w:rFonts w:cs="Calibri"/>
          <w:b/>
          <w:bCs/>
        </w:rPr>
      </w:pPr>
    </w:p>
    <w:p w14:paraId="3511E39B" w14:textId="65BFCB48" w:rsidR="00AF4D17" w:rsidRPr="00AF4D17" w:rsidRDefault="00AF4D17" w:rsidP="00AF4D17">
      <w:pPr>
        <w:rPr>
          <w:rFonts w:cs="Calibri"/>
          <w:b/>
          <w:bCs/>
        </w:rPr>
      </w:pPr>
      <w:r w:rsidRPr="00AF4D17">
        <w:rPr>
          <w:rFonts w:cs="Calibri"/>
          <w:b/>
          <w:bCs/>
        </w:rPr>
        <w:t>Podstawa metody:</w:t>
      </w:r>
    </w:p>
    <w:p w14:paraId="79C58C2A" w14:textId="77777777" w:rsidR="00320461" w:rsidRPr="00320461" w:rsidRDefault="00320461" w:rsidP="00320461">
      <w:pPr>
        <w:rPr>
          <w:rFonts w:cs="Calibri"/>
          <w:bCs/>
        </w:rPr>
      </w:pPr>
      <w:r w:rsidRPr="00320461">
        <w:rPr>
          <w:rFonts w:cs="Calibri"/>
          <w:bCs/>
        </w:rPr>
        <w:t>Zastosowano klasyczną metodę funkcji wrażliwości (ang. sensitivity functions), polegającą na jednoczesnym całkowaniu układu:</w:t>
      </w:r>
    </w:p>
    <w:p w14:paraId="2A9F224B" w14:textId="77777777" w:rsidR="00320461" w:rsidRPr="00320461" w:rsidRDefault="00320461" w:rsidP="00320461">
      <w:pPr>
        <w:numPr>
          <w:ilvl w:val="0"/>
          <w:numId w:val="13"/>
        </w:numPr>
        <w:rPr>
          <w:rFonts w:cs="Calibri"/>
          <w:bCs/>
        </w:rPr>
      </w:pPr>
      <w:r w:rsidRPr="00320461">
        <w:rPr>
          <w:rFonts w:cs="Calibri"/>
          <w:bCs/>
        </w:rPr>
        <w:t>równań modelu biologicznego (dla zmiennych stanu y(t)),</w:t>
      </w:r>
    </w:p>
    <w:p w14:paraId="35F3549D" w14:textId="77777777" w:rsidR="00320461" w:rsidRPr="00320461" w:rsidRDefault="00320461" w:rsidP="00320461">
      <w:pPr>
        <w:numPr>
          <w:ilvl w:val="0"/>
          <w:numId w:val="13"/>
        </w:numPr>
        <w:rPr>
          <w:rFonts w:cs="Calibri"/>
          <w:bCs/>
        </w:rPr>
      </w:pPr>
      <w:r w:rsidRPr="00320461">
        <w:rPr>
          <w:rFonts w:cs="Calibri"/>
          <w:bCs/>
        </w:rPr>
        <w:t>oraz równań pochodnych cząstkowych ∂y/∂θ</w:t>
      </w:r>
      <w:r w:rsidRPr="00320461">
        <w:rPr>
          <w:rFonts w:ascii="Arial" w:hAnsi="Arial" w:cs="Arial"/>
          <w:bCs/>
        </w:rPr>
        <w:t>ⱼ</w:t>
      </w:r>
      <w:r w:rsidRPr="00320461">
        <w:rPr>
          <w:rFonts w:cs="Calibri"/>
          <w:bCs/>
        </w:rPr>
        <w:t xml:space="preserve"> wzgl</w:t>
      </w:r>
      <w:r w:rsidRPr="00320461">
        <w:rPr>
          <w:rFonts w:ascii="Aptos" w:hAnsi="Aptos" w:cs="Aptos"/>
          <w:bCs/>
        </w:rPr>
        <w:t>ę</w:t>
      </w:r>
      <w:r w:rsidRPr="00320461">
        <w:rPr>
          <w:rFonts w:cs="Calibri"/>
          <w:bCs/>
        </w:rPr>
        <w:t>dem ka</w:t>
      </w:r>
      <w:r w:rsidRPr="00320461">
        <w:rPr>
          <w:rFonts w:ascii="Aptos" w:hAnsi="Aptos" w:cs="Aptos"/>
          <w:bCs/>
        </w:rPr>
        <w:t>ż</w:t>
      </w:r>
      <w:r w:rsidRPr="00320461">
        <w:rPr>
          <w:rFonts w:cs="Calibri"/>
          <w:bCs/>
        </w:rPr>
        <w:t xml:space="preserve">dego parametru </w:t>
      </w:r>
      <w:r w:rsidRPr="00320461">
        <w:rPr>
          <w:rFonts w:ascii="Aptos" w:hAnsi="Aptos" w:cs="Aptos"/>
          <w:bCs/>
        </w:rPr>
        <w:t>θ</w:t>
      </w:r>
      <w:r w:rsidRPr="00320461">
        <w:rPr>
          <w:rFonts w:ascii="Arial" w:hAnsi="Arial" w:cs="Arial"/>
          <w:bCs/>
        </w:rPr>
        <w:t>ⱼ</w:t>
      </w:r>
      <w:r w:rsidRPr="00320461">
        <w:rPr>
          <w:rFonts w:cs="Calibri"/>
          <w:bCs/>
        </w:rPr>
        <w:t>.</w:t>
      </w:r>
    </w:p>
    <w:p w14:paraId="5301DBCF" w14:textId="77777777" w:rsidR="00320461" w:rsidRPr="00320461" w:rsidRDefault="00320461" w:rsidP="00320461">
      <w:pPr>
        <w:rPr>
          <w:rFonts w:cs="Calibri"/>
          <w:bCs/>
        </w:rPr>
      </w:pPr>
      <w:r w:rsidRPr="00320461">
        <w:rPr>
          <w:rFonts w:cs="Calibri"/>
          <w:bCs/>
        </w:rPr>
        <w:t xml:space="preserve">Dla uzyskania wartości niezależnych od jednostek i skali parametrów zastosowano tzw. </w:t>
      </w:r>
      <w:r w:rsidRPr="00320461">
        <w:rPr>
          <w:rFonts w:cs="Calibri"/>
          <w:b/>
          <w:bCs/>
        </w:rPr>
        <w:t>funkcje wrażliwości znormalizowane</w:t>
      </w:r>
      <w:r w:rsidRPr="00320461">
        <w:rPr>
          <w:rFonts w:cs="Calibri"/>
          <w:bCs/>
        </w:rPr>
        <w:t>:</w:t>
      </w:r>
    </w:p>
    <w:p w14:paraId="095A66B3" w14:textId="77777777" w:rsidR="00320461" w:rsidRPr="00320461" w:rsidRDefault="00320461" w:rsidP="00320461">
      <w:pPr>
        <w:rPr>
          <w:rFonts w:cs="Calibri"/>
          <w:bCs/>
        </w:rPr>
      </w:pPr>
      <w:r w:rsidRPr="00320461">
        <w:rPr>
          <w:rFonts w:cs="Calibri"/>
          <w:bCs/>
        </w:rPr>
        <w:br/>
      </w:r>
      <w:r w:rsidRPr="00320461">
        <w:rPr>
          <w:rFonts w:cs="Calibri"/>
          <w:bCs/>
        </w:rPr>
        <w:t> </w:t>
      </w:r>
      <w:r w:rsidRPr="00320461">
        <w:rPr>
          <w:rFonts w:cs="Calibri"/>
        </w:rPr>
        <w:t>S</w:t>
      </w:r>
      <w:r w:rsidRPr="00320461">
        <w:rPr>
          <w:rFonts w:ascii="Cambria Math" w:hAnsi="Cambria Math" w:cs="Cambria Math"/>
        </w:rPr>
        <w:t>⁽</w:t>
      </w:r>
      <w:r w:rsidRPr="00320461">
        <w:rPr>
          <w:rFonts w:ascii="Aptos" w:hAnsi="Aptos" w:cs="Aptos"/>
        </w:rPr>
        <w:t>ⁿ</w:t>
      </w:r>
      <w:r w:rsidRPr="00320461">
        <w:rPr>
          <w:rFonts w:ascii="Arial" w:hAnsi="Arial" w:cs="Arial"/>
        </w:rPr>
        <w:t>ᵒʳᵐ</w:t>
      </w:r>
      <w:r w:rsidRPr="00320461">
        <w:rPr>
          <w:rFonts w:ascii="Cambria Math" w:hAnsi="Cambria Math" w:cs="Cambria Math"/>
        </w:rPr>
        <w:t>⁾ⱼ</w:t>
      </w:r>
      <w:r w:rsidRPr="00320461">
        <w:rPr>
          <w:rFonts w:cs="Calibri"/>
        </w:rPr>
        <w:t>(t) = (θ</w:t>
      </w:r>
      <w:r w:rsidRPr="00320461">
        <w:rPr>
          <w:rFonts w:ascii="Arial" w:hAnsi="Arial" w:cs="Arial"/>
        </w:rPr>
        <w:t>ⱼ</w:t>
      </w:r>
      <w:r w:rsidRPr="00320461">
        <w:rPr>
          <w:rFonts w:cs="Calibri"/>
        </w:rPr>
        <w:t xml:space="preserve"> / y(t)) </w:t>
      </w:r>
      <w:r w:rsidRPr="00320461">
        <w:rPr>
          <w:rFonts w:ascii="Aptos" w:hAnsi="Aptos" w:cs="Aptos"/>
        </w:rPr>
        <w:t>·</w:t>
      </w:r>
      <w:r w:rsidRPr="00320461">
        <w:rPr>
          <w:rFonts w:cs="Calibri"/>
        </w:rPr>
        <w:t xml:space="preserve"> (</w:t>
      </w:r>
      <w:r w:rsidRPr="00320461">
        <w:rPr>
          <w:rFonts w:ascii="Aptos" w:hAnsi="Aptos" w:cs="Aptos"/>
        </w:rPr>
        <w:t>∂</w:t>
      </w:r>
      <w:r w:rsidRPr="00320461">
        <w:rPr>
          <w:rFonts w:cs="Calibri"/>
        </w:rPr>
        <w:t xml:space="preserve">y(t) / </w:t>
      </w:r>
      <w:r w:rsidRPr="00320461">
        <w:rPr>
          <w:rFonts w:ascii="Aptos" w:hAnsi="Aptos" w:cs="Aptos"/>
        </w:rPr>
        <w:t>∂θ</w:t>
      </w:r>
      <w:r w:rsidRPr="00320461">
        <w:rPr>
          <w:rFonts w:ascii="Arial" w:hAnsi="Arial" w:cs="Arial"/>
        </w:rPr>
        <w:t>ⱼ</w:t>
      </w:r>
      <w:r w:rsidRPr="00320461">
        <w:rPr>
          <w:rFonts w:cs="Calibri"/>
        </w:rPr>
        <w:t>)</w:t>
      </w:r>
    </w:p>
    <w:p w14:paraId="0EEAF736" w14:textId="77777777" w:rsidR="00320461" w:rsidRDefault="00320461" w:rsidP="00AF4D17">
      <w:pPr>
        <w:rPr>
          <w:rFonts w:cs="Calibri"/>
          <w:b/>
          <w:bCs/>
        </w:rPr>
      </w:pPr>
    </w:p>
    <w:p w14:paraId="3C7EC10E" w14:textId="2D5597CE" w:rsidR="00AF4D17" w:rsidRPr="00AF4D17" w:rsidRDefault="00AF4D17" w:rsidP="00AF4D17">
      <w:pPr>
        <w:rPr>
          <w:rFonts w:cs="Calibri"/>
          <w:b/>
          <w:bCs/>
        </w:rPr>
      </w:pPr>
      <w:r w:rsidRPr="00AF4D17">
        <w:rPr>
          <w:rFonts w:cs="Calibri"/>
          <w:b/>
          <w:bCs/>
        </w:rPr>
        <w:t>Użyty solver:</w:t>
      </w:r>
    </w:p>
    <w:p w14:paraId="65C10090" w14:textId="64C11A6E" w:rsidR="00AF4D17" w:rsidRPr="00AF4D17" w:rsidRDefault="00AF4D17" w:rsidP="00AF4D17">
      <w:pPr>
        <w:rPr>
          <w:rFonts w:cs="Calibri"/>
          <w:bCs/>
        </w:rPr>
      </w:pPr>
      <w:r w:rsidRPr="00AF4D17">
        <w:rPr>
          <w:rFonts w:cs="Calibri"/>
          <w:bCs/>
        </w:rPr>
        <w:t>Do całkowania równań różniczkowych zastosowano solver użyty w Laboratorium 1:</w:t>
      </w:r>
    </w:p>
    <w:p w14:paraId="383F8348" w14:textId="5B3D38ED" w:rsidR="00AF4D17" w:rsidRPr="00AF4D17" w:rsidRDefault="00AF4D17" w:rsidP="00AF4D17">
      <w:pPr>
        <w:numPr>
          <w:ilvl w:val="0"/>
          <w:numId w:val="4"/>
        </w:numPr>
        <w:rPr>
          <w:rFonts w:cs="Calibri"/>
          <w:bCs/>
        </w:rPr>
      </w:pPr>
      <w:r w:rsidRPr="00AF4D17">
        <w:rPr>
          <w:rFonts w:cs="Calibri"/>
          <w:bCs/>
        </w:rPr>
        <w:t xml:space="preserve">metoda </w:t>
      </w:r>
      <w:r w:rsidRPr="00AF4D17">
        <w:rPr>
          <w:rFonts w:cs="Calibri"/>
          <w:b/>
          <w:bCs/>
        </w:rPr>
        <w:t>RK45 (Runge–Kutta)</w:t>
      </w:r>
      <w:r w:rsidRPr="00AF4D17">
        <w:rPr>
          <w:rFonts w:cs="Calibri"/>
          <w:bCs/>
        </w:rPr>
        <w:t>,</w:t>
      </w:r>
    </w:p>
    <w:p w14:paraId="2C2DDB24" w14:textId="2E943B5C" w:rsidR="0032378B" w:rsidRPr="00AF4D17" w:rsidRDefault="00AF4D17" w:rsidP="0032378B">
      <w:pPr>
        <w:numPr>
          <w:ilvl w:val="0"/>
          <w:numId w:val="4"/>
        </w:numPr>
        <w:rPr>
          <w:rFonts w:cs="Calibri"/>
          <w:bCs/>
        </w:rPr>
      </w:pPr>
      <w:r w:rsidRPr="00AF4D17">
        <w:rPr>
          <w:rFonts w:cs="Calibri"/>
          <w:bCs/>
        </w:rPr>
        <w:t xml:space="preserve">przedział czasowy: t </w:t>
      </w:r>
      <w:r w:rsidRPr="00AF4D17">
        <w:rPr>
          <w:rFonts w:ascii="Cambria Math" w:hAnsi="Cambria Math" w:cs="Cambria Math"/>
          <w:bCs/>
        </w:rPr>
        <w:t>∈</w:t>
      </w:r>
      <w:r w:rsidRPr="00AF4D17">
        <w:rPr>
          <w:rFonts w:cs="Calibri"/>
          <w:bCs/>
        </w:rPr>
        <w:t xml:space="preserve"> [0,2880] minut (48 godzin).</w:t>
      </w:r>
    </w:p>
    <w:p w14:paraId="6F31739F" w14:textId="77777777" w:rsidR="00393CC1" w:rsidRPr="00AF4D17" w:rsidRDefault="00393CC1">
      <w:pPr>
        <w:rPr>
          <w:rFonts w:cs="Calibri"/>
        </w:rPr>
      </w:pPr>
    </w:p>
    <w:p w14:paraId="603BAFEE" w14:textId="77777777" w:rsidR="00AF4D17" w:rsidRDefault="00AF4D17">
      <w:pPr>
        <w:rPr>
          <w:rFonts w:cs="Calibri"/>
          <w:b/>
          <w:bCs/>
        </w:rPr>
      </w:pPr>
      <w:r>
        <w:rPr>
          <w:rFonts w:cs="Calibri"/>
          <w:b/>
          <w:bCs/>
        </w:rPr>
        <w:br w:type="page"/>
      </w:r>
    </w:p>
    <w:p w14:paraId="0C5CA1A5" w14:textId="77777777" w:rsidR="00320461" w:rsidRPr="00320461" w:rsidRDefault="00320461" w:rsidP="00320461">
      <w:pPr>
        <w:rPr>
          <w:rFonts w:cs="Calibri"/>
          <w:b/>
          <w:bCs/>
        </w:rPr>
      </w:pPr>
      <w:r w:rsidRPr="00320461">
        <w:rPr>
          <w:rFonts w:cs="Calibri"/>
          <w:b/>
          <w:bCs/>
        </w:rPr>
        <w:lastRenderedPageBreak/>
        <w:t>Ranking i metryki</w:t>
      </w:r>
    </w:p>
    <w:p w14:paraId="58B1E193" w14:textId="77777777" w:rsidR="00320461" w:rsidRPr="00320461" w:rsidRDefault="00320461" w:rsidP="00320461">
      <w:pPr>
        <w:rPr>
          <w:rFonts w:cs="Calibri"/>
        </w:rPr>
      </w:pPr>
      <w:r w:rsidRPr="00320461">
        <w:rPr>
          <w:rFonts w:cs="Calibri"/>
        </w:rPr>
        <w:t>Dla każdego parametru θ</w:t>
      </w:r>
      <w:r w:rsidRPr="00320461">
        <w:rPr>
          <w:rFonts w:ascii="Arial" w:hAnsi="Arial" w:cs="Arial"/>
        </w:rPr>
        <w:t>ⱼ</w:t>
      </w:r>
      <w:r w:rsidRPr="00320461">
        <w:rPr>
          <w:rFonts w:cs="Calibri"/>
        </w:rPr>
        <w:t xml:space="preserve"> obliczono dwie metryki opisuj</w:t>
      </w:r>
      <w:r w:rsidRPr="00320461">
        <w:rPr>
          <w:rFonts w:ascii="Aptos" w:hAnsi="Aptos" w:cs="Aptos"/>
        </w:rPr>
        <w:t>ą</w:t>
      </w:r>
      <w:r w:rsidRPr="00320461">
        <w:rPr>
          <w:rFonts w:cs="Calibri"/>
        </w:rPr>
        <w:t>ce wp</w:t>
      </w:r>
      <w:r w:rsidRPr="00320461">
        <w:rPr>
          <w:rFonts w:ascii="Aptos" w:hAnsi="Aptos" w:cs="Aptos"/>
        </w:rPr>
        <w:t>ł</w:t>
      </w:r>
      <w:r w:rsidRPr="00320461">
        <w:rPr>
          <w:rFonts w:cs="Calibri"/>
        </w:rPr>
        <w:t>yw na poziom bia</w:t>
      </w:r>
      <w:r w:rsidRPr="00320461">
        <w:rPr>
          <w:rFonts w:ascii="Aptos" w:hAnsi="Aptos" w:cs="Aptos"/>
        </w:rPr>
        <w:t>ł</w:t>
      </w:r>
      <w:r w:rsidRPr="00320461">
        <w:rPr>
          <w:rFonts w:cs="Calibri"/>
        </w:rPr>
        <w:t>ka p53:</w:t>
      </w:r>
    </w:p>
    <w:p w14:paraId="3B27ABCE" w14:textId="77777777" w:rsidR="00320461" w:rsidRPr="00320461" w:rsidRDefault="00320461" w:rsidP="00320461">
      <w:pPr>
        <w:numPr>
          <w:ilvl w:val="0"/>
          <w:numId w:val="14"/>
        </w:numPr>
        <w:rPr>
          <w:rFonts w:cs="Calibri"/>
        </w:rPr>
      </w:pPr>
      <w:r w:rsidRPr="00320461">
        <w:rPr>
          <w:rFonts w:cs="Calibri"/>
          <w:b/>
          <w:bCs/>
        </w:rPr>
        <w:t>Relative Sensitivity (RS</w:t>
      </w:r>
      <w:r w:rsidRPr="00320461">
        <w:rPr>
          <w:rFonts w:cs="Calibri"/>
        </w:rPr>
        <w:t>): średnia wartość bezwzględna funkcji wrażliwości w czasie:</w:t>
      </w:r>
    </w:p>
    <w:p w14:paraId="7BF6CAC9" w14:textId="77777777" w:rsidR="00320461" w:rsidRPr="00320461" w:rsidRDefault="00320461" w:rsidP="00320461">
      <w:pPr>
        <w:rPr>
          <w:rFonts w:cs="Calibri"/>
          <w:b/>
          <w:bCs/>
        </w:rPr>
      </w:pPr>
      <w:r w:rsidRPr="00320461">
        <w:rPr>
          <w:rFonts w:cs="Calibri"/>
          <w:b/>
          <w:bCs/>
        </w:rPr>
        <w:t> </w:t>
      </w:r>
      <w:r w:rsidRPr="00320461">
        <w:rPr>
          <w:rFonts w:cs="Calibri"/>
          <w:b/>
          <w:bCs/>
        </w:rPr>
        <w:t>RS</w:t>
      </w:r>
      <w:r w:rsidRPr="00320461">
        <w:rPr>
          <w:rFonts w:ascii="Arial" w:hAnsi="Arial" w:cs="Arial"/>
          <w:b/>
          <w:bCs/>
        </w:rPr>
        <w:t>ⱼ</w:t>
      </w:r>
      <w:r w:rsidRPr="00320461">
        <w:rPr>
          <w:rFonts w:cs="Calibri"/>
          <w:b/>
          <w:bCs/>
        </w:rPr>
        <w:t xml:space="preserve"> </w:t>
      </w:r>
      <w:r w:rsidRPr="00320461">
        <w:rPr>
          <w:rFonts w:ascii="Aptos" w:hAnsi="Aptos" w:cs="Aptos"/>
          <w:b/>
          <w:bCs/>
        </w:rPr>
        <w:t>≈</w:t>
      </w:r>
      <w:r w:rsidRPr="00320461">
        <w:rPr>
          <w:rFonts w:cs="Calibri"/>
          <w:b/>
          <w:bCs/>
        </w:rPr>
        <w:t xml:space="preserve"> (1 / N) </w:t>
      </w:r>
      <w:r w:rsidRPr="00320461">
        <w:rPr>
          <w:rFonts w:ascii="Aptos" w:hAnsi="Aptos" w:cs="Aptos"/>
          <w:b/>
          <w:bCs/>
        </w:rPr>
        <w:t>·</w:t>
      </w:r>
      <w:r w:rsidRPr="00320461">
        <w:rPr>
          <w:rFonts w:cs="Calibri"/>
          <w:b/>
          <w:bCs/>
        </w:rPr>
        <w:t xml:space="preserve"> </w:t>
      </w:r>
      <w:r w:rsidRPr="00320461">
        <w:rPr>
          <w:rFonts w:ascii="Aptos" w:hAnsi="Aptos" w:cs="Aptos"/>
          <w:b/>
          <w:bCs/>
        </w:rPr>
        <w:t>Σ</w:t>
      </w:r>
      <w:r w:rsidRPr="00320461">
        <w:rPr>
          <w:rFonts w:cs="Calibri"/>
          <w:b/>
          <w:bCs/>
        </w:rPr>
        <w:t xml:space="preserve"> |S</w:t>
      </w:r>
      <w:r w:rsidRPr="00320461">
        <w:rPr>
          <w:rFonts w:ascii="Cambria Math" w:hAnsi="Cambria Math" w:cs="Cambria Math"/>
          <w:b/>
          <w:bCs/>
        </w:rPr>
        <w:t>⁽</w:t>
      </w:r>
      <w:r w:rsidRPr="00320461">
        <w:rPr>
          <w:rFonts w:ascii="Aptos" w:hAnsi="Aptos" w:cs="Aptos"/>
          <w:b/>
          <w:bCs/>
        </w:rPr>
        <w:t>ⁿ</w:t>
      </w:r>
      <w:r w:rsidRPr="00320461">
        <w:rPr>
          <w:rFonts w:ascii="Arial" w:hAnsi="Arial" w:cs="Arial"/>
          <w:b/>
          <w:bCs/>
        </w:rPr>
        <w:t>ᵒʳᵐ</w:t>
      </w:r>
      <w:r w:rsidRPr="00320461">
        <w:rPr>
          <w:rFonts w:ascii="Cambria Math" w:hAnsi="Cambria Math" w:cs="Cambria Math"/>
          <w:b/>
          <w:bCs/>
        </w:rPr>
        <w:t>⁾ⱼ</w:t>
      </w:r>
      <w:r w:rsidRPr="00320461">
        <w:rPr>
          <w:rFonts w:cs="Calibri"/>
          <w:b/>
          <w:bCs/>
        </w:rPr>
        <w:t>(t</w:t>
      </w:r>
      <w:r w:rsidRPr="00320461">
        <w:rPr>
          <w:rFonts w:ascii="Arial" w:hAnsi="Arial" w:cs="Arial"/>
          <w:b/>
          <w:bCs/>
        </w:rPr>
        <w:t>ᵢ</w:t>
      </w:r>
      <w:r w:rsidRPr="00320461">
        <w:rPr>
          <w:rFonts w:cs="Calibri"/>
          <w:b/>
          <w:bCs/>
        </w:rPr>
        <w:t>)|</w:t>
      </w:r>
    </w:p>
    <w:p w14:paraId="45CE6FC3" w14:textId="77777777" w:rsidR="00320461" w:rsidRPr="00320461" w:rsidRDefault="00320461" w:rsidP="00320461">
      <w:pPr>
        <w:numPr>
          <w:ilvl w:val="0"/>
          <w:numId w:val="15"/>
        </w:numPr>
        <w:rPr>
          <w:rFonts w:cs="Calibri"/>
        </w:rPr>
      </w:pPr>
      <w:r w:rsidRPr="00320461">
        <w:rPr>
          <w:rFonts w:cs="Calibri"/>
          <w:b/>
          <w:bCs/>
        </w:rPr>
        <w:t xml:space="preserve">Output Sensitivity (OS): </w:t>
      </w:r>
      <w:r w:rsidRPr="00320461">
        <w:rPr>
          <w:rFonts w:cs="Calibri"/>
        </w:rPr>
        <w:t>wartość końcowa funkcji wrażliwości:</w:t>
      </w:r>
    </w:p>
    <w:p w14:paraId="1BA277AA" w14:textId="77777777" w:rsidR="00320461" w:rsidRPr="00320461" w:rsidRDefault="00320461" w:rsidP="00320461">
      <w:pPr>
        <w:rPr>
          <w:rFonts w:cs="Calibri"/>
          <w:b/>
          <w:bCs/>
        </w:rPr>
      </w:pPr>
      <w:r w:rsidRPr="00320461">
        <w:rPr>
          <w:rFonts w:cs="Calibri"/>
          <w:b/>
          <w:bCs/>
        </w:rPr>
        <w:t> </w:t>
      </w:r>
      <w:r w:rsidRPr="00320461">
        <w:rPr>
          <w:rFonts w:cs="Calibri"/>
          <w:b/>
          <w:bCs/>
        </w:rPr>
        <w:t>OS</w:t>
      </w:r>
      <w:r w:rsidRPr="00320461">
        <w:rPr>
          <w:rFonts w:ascii="Arial" w:hAnsi="Arial" w:cs="Arial"/>
          <w:b/>
          <w:bCs/>
        </w:rPr>
        <w:t>ⱼ</w:t>
      </w:r>
      <w:r w:rsidRPr="00320461">
        <w:rPr>
          <w:rFonts w:cs="Calibri"/>
          <w:b/>
          <w:bCs/>
        </w:rPr>
        <w:t xml:space="preserve"> = |S</w:t>
      </w:r>
      <w:r w:rsidRPr="00320461">
        <w:rPr>
          <w:rFonts w:ascii="Cambria Math" w:hAnsi="Cambria Math" w:cs="Cambria Math"/>
          <w:b/>
          <w:bCs/>
        </w:rPr>
        <w:t>⁽</w:t>
      </w:r>
      <w:r w:rsidRPr="00320461">
        <w:rPr>
          <w:rFonts w:ascii="Aptos" w:hAnsi="Aptos" w:cs="Aptos"/>
          <w:b/>
          <w:bCs/>
        </w:rPr>
        <w:t>ⁿ</w:t>
      </w:r>
      <w:r w:rsidRPr="00320461">
        <w:rPr>
          <w:rFonts w:ascii="Arial" w:hAnsi="Arial" w:cs="Arial"/>
          <w:b/>
          <w:bCs/>
        </w:rPr>
        <w:t>ᵒʳᵐ</w:t>
      </w:r>
      <w:r w:rsidRPr="00320461">
        <w:rPr>
          <w:rFonts w:ascii="Cambria Math" w:hAnsi="Cambria Math" w:cs="Cambria Math"/>
          <w:b/>
          <w:bCs/>
        </w:rPr>
        <w:t>⁾ⱼ</w:t>
      </w:r>
      <w:r w:rsidRPr="00320461">
        <w:rPr>
          <w:rFonts w:cs="Calibri"/>
          <w:b/>
          <w:bCs/>
        </w:rPr>
        <w:t>(t = T)|</w:t>
      </w:r>
    </w:p>
    <w:p w14:paraId="307BEC2C" w14:textId="45BF786C" w:rsidR="00442270" w:rsidRDefault="00442270">
      <w:pPr>
        <w:rPr>
          <w:rFonts w:eastAsiaTheme="minorEastAsia" w:cs="Calibri"/>
        </w:rPr>
      </w:pPr>
    </w:p>
    <w:p w14:paraId="72E4935A" w14:textId="3C5BDE2E" w:rsidR="00442270" w:rsidRDefault="00442270" w:rsidP="00442270">
      <w:pPr>
        <w:pStyle w:val="ListParagraph"/>
        <w:numPr>
          <w:ilvl w:val="0"/>
          <w:numId w:val="1"/>
        </w:numPr>
        <w:rPr>
          <w:rFonts w:eastAsiaTheme="minorEastAsia" w:cs="Calibri"/>
          <w:b/>
          <w:bCs/>
        </w:rPr>
      </w:pPr>
      <w:r>
        <w:rPr>
          <w:rFonts w:eastAsiaTheme="minorEastAsia" w:cs="Calibri"/>
          <w:b/>
          <w:bCs/>
        </w:rPr>
        <w:t>Wyniki</w:t>
      </w:r>
    </w:p>
    <w:p w14:paraId="6FB86755" w14:textId="77777777" w:rsidR="00442270" w:rsidRPr="00442270" w:rsidRDefault="00442270" w:rsidP="00442270">
      <w:pPr>
        <w:rPr>
          <w:rFonts w:eastAsiaTheme="minorEastAsia" w:cs="Calibri"/>
          <w:b/>
          <w:bCs/>
        </w:rPr>
      </w:pPr>
      <w:r w:rsidRPr="00442270">
        <w:rPr>
          <w:rFonts w:eastAsiaTheme="minorEastAsia" w:cs="Calibri"/>
          <w:b/>
          <w:bCs/>
        </w:rPr>
        <w:t>Scenariusz „Basic” (komórki zdrowe)</w:t>
      </w:r>
    </w:p>
    <w:p w14:paraId="10611055" w14:textId="77777777" w:rsidR="00442270" w:rsidRPr="00442270" w:rsidRDefault="00442270" w:rsidP="00442270">
      <w:pPr>
        <w:rPr>
          <w:rFonts w:eastAsiaTheme="minorEastAsia" w:cs="Calibri"/>
          <w:b/>
          <w:bCs/>
        </w:rPr>
      </w:pPr>
      <w:r w:rsidRPr="00442270">
        <w:rPr>
          <w:rFonts w:eastAsiaTheme="minorEastAsia" w:cs="Calibri"/>
          <w:b/>
          <w:bCs/>
        </w:rPr>
        <w:t>Ranking RS (średni wpływ w czasie):</w:t>
      </w:r>
    </w:p>
    <w:p w14:paraId="76BC4872" w14:textId="77777777" w:rsidR="00442270" w:rsidRPr="00442270" w:rsidRDefault="00442270" w:rsidP="00442270">
      <w:pPr>
        <w:numPr>
          <w:ilvl w:val="0"/>
          <w:numId w:val="7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 xml:space="preserve"> – 0.296</w:t>
      </w:r>
    </w:p>
    <w:p w14:paraId="303426C4" w14:textId="77777777" w:rsidR="00442270" w:rsidRPr="00442270" w:rsidRDefault="00442270" w:rsidP="00442270">
      <w:pPr>
        <w:numPr>
          <w:ilvl w:val="0"/>
          <w:numId w:val="7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d1 – 0.0054</w:t>
      </w:r>
    </w:p>
    <w:p w14:paraId="5BBFEFAA" w14:textId="77777777" w:rsidR="00442270" w:rsidRPr="00442270" w:rsidRDefault="00442270" w:rsidP="00442270">
      <w:pPr>
        <w:numPr>
          <w:ilvl w:val="0"/>
          <w:numId w:val="7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k2, k3, k1 – ok. 0.0008</w:t>
      </w:r>
    </w:p>
    <w:p w14:paraId="6D5A2B04" w14:textId="5A93BD3F" w:rsidR="00442270" w:rsidRPr="00442270" w:rsidRDefault="00442270" w:rsidP="00442270">
      <w:pPr>
        <w:numPr>
          <w:ilvl w:val="0"/>
          <w:numId w:val="7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p2, d2 – ~0.000</w:t>
      </w:r>
      <w:r w:rsidR="00320461">
        <w:rPr>
          <w:rFonts w:eastAsiaTheme="minorEastAsia" w:cs="Calibri"/>
        </w:rPr>
        <w:t>2</w:t>
      </w:r>
    </w:p>
    <w:p w14:paraId="373125A0" w14:textId="6FEBE2E0" w:rsidR="00442270" w:rsidRPr="00442270" w:rsidRDefault="00442270" w:rsidP="00442270">
      <w:pPr>
        <w:numPr>
          <w:ilvl w:val="0"/>
          <w:numId w:val="7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p3</w:t>
      </w:r>
      <w:r w:rsidRPr="00442270">
        <w:rPr>
          <w:rFonts w:eastAsiaTheme="minorEastAsia" w:cs="Calibri"/>
        </w:rPr>
        <w:t xml:space="preserve"> – </w:t>
      </w:r>
      <w:r w:rsidR="00320461">
        <w:rPr>
          <w:rFonts w:eastAsiaTheme="minorEastAsia" w:cs="Calibri"/>
        </w:rPr>
        <w:t>6</w:t>
      </w:r>
      <w:r w:rsidRPr="00442270">
        <w:rPr>
          <w:rFonts w:eastAsiaTheme="minorEastAsia" w:cs="Calibri"/>
        </w:rPr>
        <w:t>e-6 (najmniejszy wpływ)</w:t>
      </w:r>
    </w:p>
    <w:p w14:paraId="737D37A0" w14:textId="77777777" w:rsidR="00442270" w:rsidRPr="00442270" w:rsidRDefault="00442270" w:rsidP="00442270">
      <w:pPr>
        <w:rPr>
          <w:rFonts w:eastAsiaTheme="minorEastAsia" w:cs="Calibri"/>
          <w:b/>
          <w:bCs/>
        </w:rPr>
      </w:pPr>
      <w:r w:rsidRPr="00442270">
        <w:rPr>
          <w:rFonts w:eastAsiaTheme="minorEastAsia" w:cs="Calibri"/>
          <w:b/>
          <w:bCs/>
        </w:rPr>
        <w:t>Ranking OS (wpływ końcowy):</w:t>
      </w:r>
    </w:p>
    <w:p w14:paraId="25CBE06D" w14:textId="77777777" w:rsidR="00442270" w:rsidRPr="00442270" w:rsidRDefault="00442270" w:rsidP="00442270">
      <w:pPr>
        <w:numPr>
          <w:ilvl w:val="0"/>
          <w:numId w:val="8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 xml:space="preserve"> – 0.486</w:t>
      </w:r>
    </w:p>
    <w:p w14:paraId="196D6D46" w14:textId="77777777" w:rsidR="00442270" w:rsidRPr="00442270" w:rsidRDefault="00442270" w:rsidP="00442270">
      <w:pPr>
        <w:numPr>
          <w:ilvl w:val="0"/>
          <w:numId w:val="8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d1 – 0.011</w:t>
      </w:r>
    </w:p>
    <w:p w14:paraId="1605C856" w14:textId="77777777" w:rsidR="00442270" w:rsidRPr="00442270" w:rsidRDefault="00442270" w:rsidP="00442270">
      <w:pPr>
        <w:numPr>
          <w:ilvl w:val="0"/>
          <w:numId w:val="8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k2, k3, k1 – ~0.002–0.004</w:t>
      </w:r>
    </w:p>
    <w:p w14:paraId="76E33DAA" w14:textId="77777777" w:rsidR="00442270" w:rsidRPr="00442270" w:rsidRDefault="00442270" w:rsidP="00442270">
      <w:pPr>
        <w:numPr>
          <w:ilvl w:val="0"/>
          <w:numId w:val="8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p3 – </w:t>
      </w:r>
      <w:r w:rsidRPr="00442270">
        <w:rPr>
          <w:rFonts w:eastAsiaTheme="minorEastAsia" w:cs="Calibri"/>
          <w:b/>
          <w:bCs/>
        </w:rPr>
        <w:t>3.5e-5</w:t>
      </w:r>
      <w:r w:rsidRPr="00442270">
        <w:rPr>
          <w:rFonts w:eastAsiaTheme="minorEastAsia" w:cs="Calibri"/>
        </w:rPr>
        <w:t xml:space="preserve"> (najmniejszy wpływ)</w:t>
      </w:r>
    </w:p>
    <w:p w14:paraId="06C1AC54" w14:textId="54169AD2" w:rsidR="00442270" w:rsidRPr="00442270" w:rsidRDefault="00442270" w:rsidP="00442270">
      <w:pPr>
        <w:rPr>
          <w:rFonts w:eastAsiaTheme="minorEastAsia" w:cs="Calibri"/>
          <w:b/>
          <w:bCs/>
        </w:rPr>
      </w:pPr>
      <w:r w:rsidRPr="00442270">
        <w:rPr>
          <w:rFonts w:eastAsiaTheme="minorEastAsia" w:cs="Calibri"/>
          <w:b/>
          <w:bCs/>
        </w:rPr>
        <w:t>Interpretacja:</w:t>
      </w:r>
    </w:p>
    <w:p w14:paraId="4EFCD8DF" w14:textId="77777777" w:rsidR="00442270" w:rsidRPr="00442270" w:rsidRDefault="00442270" w:rsidP="00442270">
      <w:pPr>
        <w:numPr>
          <w:ilvl w:val="0"/>
          <w:numId w:val="9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Parametr </w:t>
      </w: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 xml:space="preserve"> (stała produkcji p53) ma największy wpływ zarówno globalnie, jak i na końcu – co jest intuicyjne, ponieważ bezpośrednio reguluje ilość p53.</w:t>
      </w:r>
    </w:p>
    <w:p w14:paraId="5518D25B" w14:textId="284C2B9E" w:rsidR="00442270" w:rsidRPr="00442270" w:rsidRDefault="00442270" w:rsidP="00442270">
      <w:pPr>
        <w:numPr>
          <w:ilvl w:val="0"/>
          <w:numId w:val="9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Parametr </w:t>
      </w:r>
      <w:r w:rsidRPr="00442270">
        <w:rPr>
          <w:rFonts w:eastAsiaTheme="minorEastAsia" w:cs="Calibri"/>
          <w:b/>
          <w:bCs/>
        </w:rPr>
        <w:t>p3</w:t>
      </w:r>
      <w:r w:rsidRPr="00442270">
        <w:rPr>
          <w:rFonts w:eastAsiaTheme="minorEastAsia" w:cs="Calibri"/>
        </w:rPr>
        <w:t xml:space="preserve"> (produkcja PTEN) praktycznie nie wpływa na stężenie </w:t>
      </w:r>
      <w:r>
        <w:rPr>
          <w:rFonts w:eastAsiaTheme="minorEastAsia" w:cs="Calibri"/>
        </w:rPr>
        <w:t>p53.</w:t>
      </w:r>
    </w:p>
    <w:p w14:paraId="344AC3C0" w14:textId="77777777" w:rsidR="00442270" w:rsidRDefault="00442270" w:rsidP="00442270">
      <w:pPr>
        <w:numPr>
          <w:ilvl w:val="0"/>
          <w:numId w:val="9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Kolejność parametrów w rankingach RS i OS jest zbliżona, ale nie identyczna – np. d1 i k2 zmieniają miejsce w zależności od metryki.</w:t>
      </w:r>
    </w:p>
    <w:p w14:paraId="55BB7D4F" w14:textId="77777777" w:rsidR="00442270" w:rsidRDefault="00442270" w:rsidP="00442270">
      <w:pPr>
        <w:rPr>
          <w:rFonts w:eastAsiaTheme="minorEastAsia" w:cs="Calibri"/>
        </w:rPr>
      </w:pPr>
    </w:p>
    <w:p w14:paraId="1D493371" w14:textId="10D94488" w:rsidR="00442270" w:rsidRPr="00442270" w:rsidRDefault="00442270" w:rsidP="00442270">
      <w:pPr>
        <w:rPr>
          <w:rFonts w:eastAsiaTheme="minorEastAsia" w:cs="Calibri"/>
          <w:b/>
          <w:bCs/>
        </w:rPr>
      </w:pPr>
      <w:r>
        <w:rPr>
          <w:rFonts w:eastAsiaTheme="minorEastAsia" w:cs="Calibri"/>
          <w:b/>
          <w:bCs/>
        </w:rPr>
        <w:lastRenderedPageBreak/>
        <w:t>S</w:t>
      </w:r>
      <w:r w:rsidRPr="00442270">
        <w:rPr>
          <w:rFonts w:eastAsiaTheme="minorEastAsia" w:cs="Calibri"/>
          <w:b/>
          <w:bCs/>
        </w:rPr>
        <w:t>cenariusz „Tumor” (komórki nowotworowe)</w:t>
      </w:r>
    </w:p>
    <w:p w14:paraId="1C47300C" w14:textId="77777777" w:rsidR="00442270" w:rsidRPr="00442270" w:rsidRDefault="00442270" w:rsidP="00442270">
      <w:p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Ranking RS:</w:t>
      </w:r>
    </w:p>
    <w:p w14:paraId="720B0676" w14:textId="77777777" w:rsidR="00442270" w:rsidRPr="00442270" w:rsidRDefault="00442270" w:rsidP="00442270">
      <w:pPr>
        <w:numPr>
          <w:ilvl w:val="0"/>
          <w:numId w:val="10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 xml:space="preserve"> – 0.296</w:t>
      </w:r>
    </w:p>
    <w:p w14:paraId="2C03CF5C" w14:textId="77777777" w:rsidR="00442270" w:rsidRPr="00442270" w:rsidRDefault="00442270" w:rsidP="00442270">
      <w:pPr>
        <w:numPr>
          <w:ilvl w:val="0"/>
          <w:numId w:val="10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d1 – 0.0042</w:t>
      </w:r>
    </w:p>
    <w:p w14:paraId="2936C4E1" w14:textId="77777777" w:rsidR="00442270" w:rsidRPr="00442270" w:rsidRDefault="00442270" w:rsidP="00442270">
      <w:pPr>
        <w:numPr>
          <w:ilvl w:val="0"/>
          <w:numId w:val="10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d2 – 0.0011</w:t>
      </w:r>
    </w:p>
    <w:p w14:paraId="352BB804" w14:textId="77777777" w:rsidR="00442270" w:rsidRPr="00442270" w:rsidRDefault="00442270" w:rsidP="00442270">
      <w:pPr>
        <w:numPr>
          <w:ilvl w:val="0"/>
          <w:numId w:val="10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k2, k3, k1 – ~0.0005</w:t>
      </w:r>
    </w:p>
    <w:p w14:paraId="693F47D8" w14:textId="77777777" w:rsidR="00442270" w:rsidRPr="00442270" w:rsidRDefault="00442270" w:rsidP="00442270">
      <w:pPr>
        <w:numPr>
          <w:ilvl w:val="0"/>
          <w:numId w:val="10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p3</w:t>
      </w:r>
      <w:r w:rsidRPr="00442270">
        <w:rPr>
          <w:rFonts w:eastAsiaTheme="minorEastAsia" w:cs="Calibri"/>
        </w:rPr>
        <w:t xml:space="preserve"> – 0.0 (brak wpływu)</w:t>
      </w:r>
    </w:p>
    <w:p w14:paraId="3BB413DE" w14:textId="6CFB8F42" w:rsidR="00442270" w:rsidRPr="00320461" w:rsidRDefault="00442270" w:rsidP="00442270">
      <w:pPr>
        <w:rPr>
          <w:rFonts w:eastAsiaTheme="minorEastAsia" w:cs="Calibri"/>
          <w:b/>
          <w:bCs/>
        </w:rPr>
      </w:pPr>
      <w:r w:rsidRPr="00442270">
        <w:rPr>
          <w:rFonts w:eastAsiaTheme="minorEastAsia" w:cs="Calibri"/>
          <w:b/>
          <w:bCs/>
        </w:rPr>
        <w:t>Ranking OS:</w:t>
      </w:r>
    </w:p>
    <w:p w14:paraId="066B02CB" w14:textId="77777777" w:rsidR="00442270" w:rsidRPr="00442270" w:rsidRDefault="00442270" w:rsidP="00442270">
      <w:pPr>
        <w:numPr>
          <w:ilvl w:val="0"/>
          <w:numId w:val="11"/>
        </w:num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 xml:space="preserve"> – 0.486</w:t>
      </w:r>
    </w:p>
    <w:p w14:paraId="5256E2BD" w14:textId="77777777" w:rsidR="00442270" w:rsidRPr="00442270" w:rsidRDefault="00442270" w:rsidP="00442270">
      <w:pPr>
        <w:numPr>
          <w:ilvl w:val="0"/>
          <w:numId w:val="11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d1 – 0.0076</w:t>
      </w:r>
    </w:p>
    <w:p w14:paraId="6A4540F4" w14:textId="77777777" w:rsidR="00442270" w:rsidRPr="00442270" w:rsidRDefault="00442270" w:rsidP="00442270">
      <w:pPr>
        <w:numPr>
          <w:ilvl w:val="0"/>
          <w:numId w:val="11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d2 – 0.0031</w:t>
      </w:r>
    </w:p>
    <w:p w14:paraId="7DD9B7BD" w14:textId="77777777" w:rsidR="00442270" w:rsidRPr="00442270" w:rsidRDefault="00442270" w:rsidP="00442270">
      <w:pPr>
        <w:numPr>
          <w:ilvl w:val="0"/>
          <w:numId w:val="11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p3 – </w:t>
      </w:r>
      <w:r w:rsidRPr="00442270">
        <w:rPr>
          <w:rFonts w:eastAsiaTheme="minorEastAsia" w:cs="Calibri"/>
          <w:b/>
          <w:bCs/>
        </w:rPr>
        <w:t>0.0</w:t>
      </w:r>
      <w:r w:rsidRPr="00442270">
        <w:rPr>
          <w:rFonts w:eastAsiaTheme="minorEastAsia" w:cs="Calibri"/>
        </w:rPr>
        <w:t xml:space="preserve"> (najmniejszy wpływ)</w:t>
      </w:r>
    </w:p>
    <w:p w14:paraId="246ACB77" w14:textId="4C7DCAC8" w:rsidR="00442270" w:rsidRPr="00442270" w:rsidRDefault="00442270" w:rsidP="00442270">
      <w:p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Interpretacja:</w:t>
      </w:r>
    </w:p>
    <w:p w14:paraId="300C6D2C" w14:textId="77777777" w:rsidR="00442270" w:rsidRPr="00442270" w:rsidRDefault="00442270" w:rsidP="00442270">
      <w:pPr>
        <w:numPr>
          <w:ilvl w:val="0"/>
          <w:numId w:val="12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Ponownie dominuje </w:t>
      </w:r>
      <w:r w:rsidRPr="00442270">
        <w:rPr>
          <w:rFonts w:eastAsiaTheme="minorEastAsia" w:cs="Calibri"/>
          <w:b/>
          <w:bCs/>
        </w:rPr>
        <w:t>p1</w:t>
      </w:r>
      <w:r w:rsidRPr="00442270">
        <w:rPr>
          <w:rFonts w:eastAsiaTheme="minorEastAsia" w:cs="Calibri"/>
        </w:rPr>
        <w:t>, co potwierdza jego nadrzędne znaczenie dla kontroli p53.</w:t>
      </w:r>
    </w:p>
    <w:p w14:paraId="67C4FBC3" w14:textId="77777777" w:rsidR="00442270" w:rsidRPr="00442270" w:rsidRDefault="00442270" w:rsidP="00442270">
      <w:pPr>
        <w:numPr>
          <w:ilvl w:val="0"/>
          <w:numId w:val="12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 xml:space="preserve">Parametr </w:t>
      </w:r>
      <w:r w:rsidRPr="00442270">
        <w:rPr>
          <w:rFonts w:eastAsiaTheme="minorEastAsia" w:cs="Calibri"/>
          <w:b/>
          <w:bCs/>
        </w:rPr>
        <w:t>p3</w:t>
      </w:r>
      <w:r w:rsidRPr="00442270">
        <w:rPr>
          <w:rFonts w:eastAsiaTheme="minorEastAsia" w:cs="Calibri"/>
        </w:rPr>
        <w:t xml:space="preserve"> ma dokładnie </w:t>
      </w:r>
      <w:r w:rsidRPr="00442270">
        <w:rPr>
          <w:rFonts w:eastAsiaTheme="minorEastAsia" w:cs="Calibri"/>
          <w:b/>
          <w:bCs/>
        </w:rPr>
        <w:t>zerowy wpływ</w:t>
      </w:r>
      <w:r w:rsidRPr="00442270">
        <w:rPr>
          <w:rFonts w:eastAsiaTheme="minorEastAsia" w:cs="Calibri"/>
        </w:rPr>
        <w:t>, co wynika z faktu, że w scenariuszu nowotworowym (PTEN_off) jego wartość została ustawiona na 0 – czyli jego rola została wyłączona.</w:t>
      </w:r>
    </w:p>
    <w:p w14:paraId="0AFB4C52" w14:textId="77777777" w:rsidR="00442270" w:rsidRPr="00442270" w:rsidRDefault="00442270" w:rsidP="00442270">
      <w:pPr>
        <w:numPr>
          <w:ilvl w:val="0"/>
          <w:numId w:val="12"/>
        </w:numPr>
        <w:rPr>
          <w:rFonts w:eastAsiaTheme="minorEastAsia" w:cs="Calibri"/>
        </w:rPr>
      </w:pPr>
      <w:r w:rsidRPr="00442270">
        <w:rPr>
          <w:rFonts w:eastAsiaTheme="minorEastAsia" w:cs="Calibri"/>
        </w:rPr>
        <w:t>Parametry związane z degradacją białek (d1, d2) stają się istotniejsze niż w „Basic”, co sugeruje zwiększoną wrażliwość nowotworowego układu na procesy rozkładu białek.</w:t>
      </w:r>
    </w:p>
    <w:p w14:paraId="55702831" w14:textId="77777777" w:rsidR="00442270" w:rsidRDefault="00442270" w:rsidP="00442270">
      <w:pPr>
        <w:rPr>
          <w:rFonts w:eastAsiaTheme="minorEastAsia" w:cs="Calibri"/>
        </w:rPr>
      </w:pPr>
    </w:p>
    <w:p w14:paraId="2C80ACEE" w14:textId="01294D77" w:rsidR="00442270" w:rsidRDefault="00442270" w:rsidP="00442270">
      <w:pPr>
        <w:rPr>
          <w:rFonts w:eastAsiaTheme="minorEastAsia" w:cs="Calibri"/>
          <w:b/>
          <w:bCs/>
        </w:rPr>
      </w:pPr>
      <w:r>
        <w:rPr>
          <w:rFonts w:eastAsiaTheme="minorEastAsia" w:cs="Calibri"/>
          <w:b/>
          <w:bCs/>
        </w:rPr>
        <w:t>Wnioski:</w:t>
      </w:r>
    </w:p>
    <w:p w14:paraId="55266BEA" w14:textId="7BF23BE9" w:rsidR="00442270" w:rsidRDefault="00442270" w:rsidP="00442270">
      <w:pPr>
        <w:rPr>
          <w:rFonts w:eastAsiaTheme="minorEastAsia" w:cs="Calibri"/>
        </w:rPr>
      </w:pPr>
      <w:r w:rsidRPr="00442270">
        <w:rPr>
          <w:rFonts w:eastAsiaTheme="minorEastAsia" w:cs="Calibri"/>
          <w:b/>
          <w:bCs/>
        </w:rPr>
        <w:t>Parametr p1</w:t>
      </w:r>
      <w:r w:rsidRPr="00442270">
        <w:rPr>
          <w:rFonts w:eastAsiaTheme="minorEastAsia" w:cs="Calibri"/>
        </w:rPr>
        <w:t xml:space="preserve"> ma zdecydowanie największy wpływ na poziom p53 w obu scenariuszach i według obu metryk (RS i OS). Jego zmiana o ±20% powoduje silne przesunięcia trajektorii p53(t), co widać na wykresach.</w:t>
      </w:r>
    </w:p>
    <w:p w14:paraId="3B9AAB6F" w14:textId="1C3F7233" w:rsidR="00442270" w:rsidRDefault="00DB3B7C" w:rsidP="00442270">
      <w:pPr>
        <w:rPr>
          <w:rFonts w:eastAsiaTheme="minorEastAsia" w:cs="Calibri"/>
        </w:rPr>
      </w:pPr>
      <w:r w:rsidRPr="00DB3B7C">
        <w:rPr>
          <w:rFonts w:eastAsiaTheme="minorEastAsia" w:cs="Calibri"/>
          <w:b/>
          <w:bCs/>
        </w:rPr>
        <w:t xml:space="preserve">Scenariusz „Tumor” </w:t>
      </w:r>
      <w:r w:rsidRPr="00DB3B7C">
        <w:rPr>
          <w:rFonts w:eastAsiaTheme="minorEastAsia" w:cs="Calibri"/>
        </w:rPr>
        <w:t xml:space="preserve">wykazuje większą czułość na </w:t>
      </w:r>
      <w:r w:rsidRPr="00DB3B7C">
        <w:rPr>
          <w:rFonts w:eastAsiaTheme="minorEastAsia" w:cs="Calibri"/>
          <w:b/>
          <w:bCs/>
        </w:rPr>
        <w:t>parametry związane z degradacją (d1, d2)</w:t>
      </w:r>
      <w:r w:rsidRPr="00DB3B7C">
        <w:rPr>
          <w:rFonts w:eastAsiaTheme="minorEastAsia" w:cs="Calibri"/>
        </w:rPr>
        <w:t>, co może wskazywać na zwiększoną niestabilność układu biologicznego.</w:t>
      </w:r>
    </w:p>
    <w:p w14:paraId="5A0D211D" w14:textId="77777777" w:rsidR="00796E6D" w:rsidRDefault="00796E6D">
      <w:pPr>
        <w:rPr>
          <w:rFonts w:eastAsiaTheme="minorEastAsia" w:cs="Calibri"/>
          <w:b/>
          <w:bCs/>
        </w:rPr>
      </w:pPr>
      <w:r>
        <w:rPr>
          <w:rFonts w:eastAsiaTheme="minorEastAsia" w:cs="Calibri"/>
          <w:b/>
          <w:bCs/>
        </w:rPr>
        <w:br w:type="page"/>
      </w:r>
    </w:p>
    <w:p w14:paraId="65090123" w14:textId="07E7935E" w:rsidR="00442270" w:rsidRDefault="00442270" w:rsidP="00442270">
      <w:pPr>
        <w:pStyle w:val="ListParagraph"/>
        <w:numPr>
          <w:ilvl w:val="0"/>
          <w:numId w:val="1"/>
        </w:numPr>
        <w:rPr>
          <w:rFonts w:eastAsiaTheme="minorEastAsia" w:cs="Calibri"/>
          <w:b/>
          <w:bCs/>
        </w:rPr>
      </w:pPr>
      <w:r>
        <w:rPr>
          <w:rFonts w:eastAsiaTheme="minorEastAsia" w:cs="Calibri"/>
          <w:b/>
          <w:bCs/>
        </w:rPr>
        <w:lastRenderedPageBreak/>
        <w:t>Wykresy:</w:t>
      </w:r>
    </w:p>
    <w:p w14:paraId="3FDCC968" w14:textId="185A0132" w:rsidR="00442270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4FEC8A71" wp14:editId="7C9DA4DA">
            <wp:extent cx="5760720" cy="3456305"/>
            <wp:effectExtent l="0" t="0" r="0" b="0"/>
            <wp:docPr id="924402011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02011" name="Picture 1" descr="A graph with a blue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3B23" w14:textId="0344FED5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08F0D785" wp14:editId="7D1DDB75">
            <wp:extent cx="5760720" cy="2880360"/>
            <wp:effectExtent l="0" t="0" r="0" b="0"/>
            <wp:docPr id="108819143" name="Picture 1" descr="A graph with numbers and a number of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9143" name="Picture 1" descr="A graph with numbers and a number of poin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7A28" w14:textId="12A7FFF1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52128124" wp14:editId="07A05BAD">
            <wp:extent cx="5760720" cy="2880360"/>
            <wp:effectExtent l="0" t="0" r="0" b="0"/>
            <wp:docPr id="1394198090" name="Picture 1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8090" name="Picture 1" descr="A graph with numbers and a ba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D7BC" w14:textId="3A606357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1ECFC35E" wp14:editId="4FDECDCE">
            <wp:extent cx="5760720" cy="3200400"/>
            <wp:effectExtent l="0" t="0" r="0" b="0"/>
            <wp:docPr id="927147654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654" name="Picture 1" descr="A graph with a blue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C64" w14:textId="2A4D7BDE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7995B728" wp14:editId="5D7F4BA0">
            <wp:extent cx="5760720" cy="3200400"/>
            <wp:effectExtent l="0" t="0" r="0" b="0"/>
            <wp:docPr id="49134856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48569" name="Picture 1" descr="A graph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296" w14:textId="7426EFAF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14C5F314" wp14:editId="7F17D0FE">
            <wp:extent cx="5760720" cy="3600450"/>
            <wp:effectExtent l="0" t="0" r="0" b="0"/>
            <wp:docPr id="1169589602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9602" name="Picture 1" descr="A graph with different colo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21B" w14:textId="7476942E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041FA94B" wp14:editId="6D2267DE">
            <wp:extent cx="5760720" cy="3600450"/>
            <wp:effectExtent l="0" t="0" r="0" b="0"/>
            <wp:docPr id="2109430954" name="Picture 1" descr="A green lin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30954" name="Picture 1" descr="A green line graph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435" w14:textId="28F6D917" w:rsidR="00796E6D" w:rsidRDefault="00796E6D" w:rsidP="00442270">
      <w:pPr>
        <w:rPr>
          <w:rFonts w:eastAsiaTheme="minorEastAsia" w:cs="Calibri"/>
        </w:rPr>
      </w:pPr>
    </w:p>
    <w:p w14:paraId="10F99628" w14:textId="45E429CA" w:rsidR="00796E6D" w:rsidRDefault="00796E6D">
      <w:pPr>
        <w:rPr>
          <w:rFonts w:eastAsiaTheme="minorEastAsia" w:cs="Calibri"/>
        </w:rPr>
      </w:pPr>
      <w:r>
        <w:rPr>
          <w:rFonts w:eastAsiaTheme="minorEastAsia" w:cs="Calibri"/>
        </w:rPr>
        <w:br w:type="page"/>
      </w:r>
    </w:p>
    <w:p w14:paraId="37B69CE2" w14:textId="09A20A0A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2867C9A5" wp14:editId="7342C058">
            <wp:extent cx="5760720" cy="3456305"/>
            <wp:effectExtent l="0" t="0" r="0" b="0"/>
            <wp:docPr id="16730911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91128" name="Picture 1" descr="A graph with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40A" w14:textId="0CCD7702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415B48B1" wp14:editId="0810C3F1">
            <wp:extent cx="5760720" cy="2880360"/>
            <wp:effectExtent l="0" t="0" r="0" b="0"/>
            <wp:docPr id="3243845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845" name="Picture 1" descr="A graph with numbers an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14BA" w14:textId="2B78866A" w:rsidR="00796E6D" w:rsidRDefault="00320461" w:rsidP="00442270">
      <w:pPr>
        <w:rPr>
          <w:rFonts w:eastAsiaTheme="minorEastAsia" w:cs="Calibri"/>
        </w:rPr>
      </w:pPr>
      <w:r w:rsidRPr="00320461">
        <w:rPr>
          <w:rFonts w:eastAsiaTheme="minorEastAsia" w:cs="Calibri"/>
        </w:rPr>
        <w:lastRenderedPageBreak/>
        <w:drawing>
          <wp:inline distT="0" distB="0" distL="0" distR="0" wp14:anchorId="49C96DCB" wp14:editId="50DE420B">
            <wp:extent cx="5760720" cy="2880360"/>
            <wp:effectExtent l="0" t="0" r="0" b="0"/>
            <wp:docPr id="950799380" name="Picture 1" descr="A graph with a number of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9380" name="Picture 1" descr="A graph with a number of poin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111" w14:textId="468AAAF9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50CDDC8F" wp14:editId="3C633B3B">
            <wp:extent cx="5760720" cy="3200400"/>
            <wp:effectExtent l="0" t="0" r="0" b="0"/>
            <wp:docPr id="2042245489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5489" name="Picture 1" descr="A graph with a blue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9F3" w14:textId="0ED107A6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041F2681" wp14:editId="3F20D9B0">
            <wp:extent cx="5760720" cy="3200400"/>
            <wp:effectExtent l="0" t="0" r="0" b="0"/>
            <wp:docPr id="40473018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30181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563" w14:textId="77777777" w:rsidR="00796E6D" w:rsidRDefault="00796E6D" w:rsidP="00442270">
      <w:pPr>
        <w:rPr>
          <w:rFonts w:eastAsiaTheme="minorEastAsia" w:cs="Calibri"/>
        </w:rPr>
      </w:pPr>
    </w:p>
    <w:p w14:paraId="1C079281" w14:textId="073A0219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drawing>
          <wp:inline distT="0" distB="0" distL="0" distR="0" wp14:anchorId="576F3553" wp14:editId="6BC2876E">
            <wp:extent cx="5760720" cy="3600450"/>
            <wp:effectExtent l="0" t="0" r="0" b="0"/>
            <wp:docPr id="101657329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329" name="Picture 1" descr="A graph with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6B6" w14:textId="2F4E6D18" w:rsidR="00796E6D" w:rsidRDefault="00796E6D" w:rsidP="00442270">
      <w:pPr>
        <w:rPr>
          <w:rFonts w:eastAsiaTheme="minorEastAsia" w:cs="Calibri"/>
        </w:rPr>
      </w:pPr>
      <w:r w:rsidRPr="00796E6D">
        <w:rPr>
          <w:rFonts w:eastAsiaTheme="minorEastAsia" w:cs="Calibri"/>
          <w:noProof/>
        </w:rPr>
        <w:lastRenderedPageBreak/>
        <w:drawing>
          <wp:inline distT="0" distB="0" distL="0" distR="0" wp14:anchorId="6EBBFBD2" wp14:editId="43DC98A5">
            <wp:extent cx="5760720" cy="3600450"/>
            <wp:effectExtent l="0" t="0" r="0" b="0"/>
            <wp:docPr id="382393803" name="Picture 1" descr="A green lin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3803" name="Picture 1" descr="A green line graph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8005" w14:textId="77777777" w:rsidR="00796E6D" w:rsidRDefault="00796E6D" w:rsidP="00442270">
      <w:pPr>
        <w:rPr>
          <w:rFonts w:eastAsiaTheme="minorEastAsia" w:cs="Calibri"/>
        </w:rPr>
      </w:pPr>
    </w:p>
    <w:p w14:paraId="7CEC109B" w14:textId="79E67072" w:rsidR="00796E6D" w:rsidRPr="00796E6D" w:rsidRDefault="00796E6D" w:rsidP="00442270">
      <w:pPr>
        <w:rPr>
          <w:rFonts w:ascii="Times New Roman" w:hAnsi="Times New Roman" w:cs="Times New Roman"/>
        </w:rPr>
      </w:pPr>
      <w:r w:rsidRPr="0086357B">
        <w:rPr>
          <w:rFonts w:ascii="Times New Roman" w:hAnsi="Times New Roman" w:cs="Times New Roman"/>
        </w:rPr>
        <w:t>Cały kod znajduje się w pliku main.py oraz załączyliśmy wykonywalny plik main.exe, którego uruchomienie generuje folder</w:t>
      </w:r>
      <w:r>
        <w:rPr>
          <w:rFonts w:ascii="Times New Roman" w:hAnsi="Times New Roman" w:cs="Times New Roman"/>
        </w:rPr>
        <w:t>y</w:t>
      </w:r>
      <w:r w:rsidRPr="0086357B">
        <w:rPr>
          <w:rFonts w:ascii="Times New Roman" w:hAnsi="Times New Roman" w:cs="Times New Roman"/>
        </w:rPr>
        <w:t xml:space="preserve"> z wykresami. Załączyliśmy również plik requirements.txt z potrzebnymi bibliotekami do prawidłowego działania kodu.</w:t>
      </w:r>
    </w:p>
    <w:sectPr w:rsidR="00796E6D" w:rsidRPr="00796E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751F7"/>
    <w:multiLevelType w:val="multilevel"/>
    <w:tmpl w:val="63C60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7D4E"/>
    <w:multiLevelType w:val="multilevel"/>
    <w:tmpl w:val="C8F4C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E54A4"/>
    <w:multiLevelType w:val="hybridMultilevel"/>
    <w:tmpl w:val="D98213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357E7"/>
    <w:multiLevelType w:val="hybridMultilevel"/>
    <w:tmpl w:val="3682A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361F0"/>
    <w:multiLevelType w:val="multilevel"/>
    <w:tmpl w:val="EBDA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3030D"/>
    <w:multiLevelType w:val="multilevel"/>
    <w:tmpl w:val="530C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72493"/>
    <w:multiLevelType w:val="multilevel"/>
    <w:tmpl w:val="B158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8A7979"/>
    <w:multiLevelType w:val="multilevel"/>
    <w:tmpl w:val="CD6C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B010AF"/>
    <w:multiLevelType w:val="hybridMultilevel"/>
    <w:tmpl w:val="DABE5D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76F6D"/>
    <w:multiLevelType w:val="multilevel"/>
    <w:tmpl w:val="15C0D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8714E"/>
    <w:multiLevelType w:val="multilevel"/>
    <w:tmpl w:val="13D8A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B81486"/>
    <w:multiLevelType w:val="multilevel"/>
    <w:tmpl w:val="3272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3447CA"/>
    <w:multiLevelType w:val="multilevel"/>
    <w:tmpl w:val="AD98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A01977"/>
    <w:multiLevelType w:val="multilevel"/>
    <w:tmpl w:val="2DD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A84EFA"/>
    <w:multiLevelType w:val="multilevel"/>
    <w:tmpl w:val="3B50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1600358">
    <w:abstractNumId w:val="8"/>
  </w:num>
  <w:num w:numId="2" w16cid:durableId="514881310">
    <w:abstractNumId w:val="2"/>
  </w:num>
  <w:num w:numId="3" w16cid:durableId="1002661685">
    <w:abstractNumId w:val="5"/>
  </w:num>
  <w:num w:numId="4" w16cid:durableId="816651604">
    <w:abstractNumId w:val="9"/>
  </w:num>
  <w:num w:numId="5" w16cid:durableId="277639566">
    <w:abstractNumId w:val="10"/>
  </w:num>
  <w:num w:numId="6" w16cid:durableId="134564482">
    <w:abstractNumId w:val="3"/>
  </w:num>
  <w:num w:numId="7" w16cid:durableId="882442669">
    <w:abstractNumId w:val="11"/>
  </w:num>
  <w:num w:numId="8" w16cid:durableId="1569346348">
    <w:abstractNumId w:val="12"/>
  </w:num>
  <w:num w:numId="9" w16cid:durableId="1952516338">
    <w:abstractNumId w:val="4"/>
  </w:num>
  <w:num w:numId="10" w16cid:durableId="756026094">
    <w:abstractNumId w:val="1"/>
  </w:num>
  <w:num w:numId="11" w16cid:durableId="1630237804">
    <w:abstractNumId w:val="13"/>
  </w:num>
  <w:num w:numId="12" w16cid:durableId="1129930970">
    <w:abstractNumId w:val="6"/>
  </w:num>
  <w:num w:numId="13" w16cid:durableId="1993753618">
    <w:abstractNumId w:val="7"/>
  </w:num>
  <w:num w:numId="14" w16cid:durableId="2014643843">
    <w:abstractNumId w:val="0"/>
  </w:num>
  <w:num w:numId="15" w16cid:durableId="9361319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9A7"/>
    <w:rsid w:val="001B4277"/>
    <w:rsid w:val="002C09A7"/>
    <w:rsid w:val="00320461"/>
    <w:rsid w:val="0032378B"/>
    <w:rsid w:val="00393CC1"/>
    <w:rsid w:val="00442270"/>
    <w:rsid w:val="004C7D2E"/>
    <w:rsid w:val="00793CA3"/>
    <w:rsid w:val="00796E6D"/>
    <w:rsid w:val="0087290F"/>
    <w:rsid w:val="00AF4D17"/>
    <w:rsid w:val="00B229D7"/>
    <w:rsid w:val="00DB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AA089"/>
  <w15:chartTrackingRefBased/>
  <w15:docId w15:val="{0B88F8CD-CACF-4696-8A11-404293218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78B"/>
  </w:style>
  <w:style w:type="paragraph" w:styleId="Heading1">
    <w:name w:val="heading 1"/>
    <w:basedOn w:val="Normal"/>
    <w:next w:val="Normal"/>
    <w:link w:val="Heading1Char"/>
    <w:uiPriority w:val="9"/>
    <w:qFormat/>
    <w:rsid w:val="002C0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9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9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9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9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9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9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9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9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9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9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9A7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F4D1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479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Jarek</dc:creator>
  <cp:keywords/>
  <dc:description/>
  <cp:lastModifiedBy>Franek Jarek</cp:lastModifiedBy>
  <cp:revision>5</cp:revision>
  <dcterms:created xsi:type="dcterms:W3CDTF">2025-06-02T12:53:00Z</dcterms:created>
  <dcterms:modified xsi:type="dcterms:W3CDTF">2025-06-21T16:37:00Z</dcterms:modified>
</cp:coreProperties>
</file>