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Power BI Transaction</w:t>
        <w:br/>
        <w:t>Walkthrough Guide</w:t>
      </w:r>
    </w:p>
    <w:p>
      <w:pPr>
        <w:jc w:val="center"/>
      </w:pPr>
      <w:r>
        <w:rPr>
          <w:i/>
        </w:rPr>
        <w:t>How to read a transaction, follow the funds, and explain an AML review signal</w:t>
      </w:r>
    </w:p>
    <w:tbl>
      <w:tblPr>
        <w:tblStyle w:val="TableGrid"/>
        <w:tblW w:type="auto" w:w="0"/>
        <w:tblLook w:firstColumn="1" w:firstRow="1" w:lastColumn="0" w:lastRow="0" w:noHBand="0" w:noVBand="1" w:val="04A0"/>
      </w:tblPr>
      <w:tblGrid>
        <w:gridCol w:w="10080"/>
      </w:tblGrid>
      <w:tr>
        <w:tc>
          <w:tcPr>
            <w:tcW w:type="dxa" w:w="10080"/>
            <w:shd w:fill="E2F0D9"/>
          </w:tcPr>
          <w:p>
            <w:pPr>
              <w:spacing w:after="40"/>
            </w:pPr>
            <w:r>
              <w:rPr>
                <w:b/>
                <w:color w:val="17365D"/>
              </w:rPr>
              <w:t xml:space="preserve">Start here: </w:t>
            </w:r>
            <w:r>
              <w:t>Open IBM_AML_Analysis-updated-transaction-walkthrough.pbix in Power BI Desktop and select the Transaction Walkthrough page. The four-step guide and transaction-level table are embedded in this separate working copy. Use the report zoom controls to enlarge the page when needed. The original IBM_AML_Analysis-updated.pbix remains untouched.</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2CC"/>
          </w:tcPr>
          <w:p>
            <w:pPr>
              <w:spacing w:after="40"/>
            </w:pPr>
            <w:r>
              <w:rPr>
                <w:b/>
                <w:color w:val="17365D"/>
              </w:rPr>
              <w:t xml:space="preserve">Essential safeguard: </w:t>
            </w:r>
            <w:r>
              <w:t>The dataset is synthetic. An IBM label or an analytical alert is not proof that a real person or organization laundered money.</w:t>
            </w:r>
          </w:p>
        </w:tc>
      </w:tr>
    </w:tbl>
    <w:p>
      <w:pPr>
        <w:spacing w:after="20"/>
      </w:pPr>
    </w:p>
    <w:p>
      <w:pPr>
        <w:pStyle w:val="Heading1"/>
      </w:pPr>
      <w:r>
        <w:t>1. What the walkthrough page contains</w:t>
      </w:r>
    </w:p>
    <w:p>
      <w:pPr>
        <w:pStyle w:val="ListBullet"/>
        <w:spacing w:after="60"/>
      </w:pPr>
      <w:r>
        <w:t>A visible four-step guide above the transaction table: find a row, trace both parties, read value/currency, and review the signal cautiously.</w:t>
      </w:r>
    </w:p>
    <w:p>
      <w:pPr>
        <w:pStyle w:val="ListBullet"/>
        <w:spacing w:after="60"/>
      </w:pPr>
      <w:r>
        <w:t>A table with Dataset Variant, Transaction Key, raw Timestamp, sender/receiver bank and account IDs, both amounts and currencies, Payment Format, and Is Laundering.</w:t>
      </w:r>
    </w:p>
    <w:p>
      <w:pPr>
        <w:pStyle w:val="ListBullet"/>
        <w:spacing w:after="60"/>
      </w:pPr>
      <w:r>
        <w:t>The amount and label columns are set to Do not summarize, and Timestamp is the raw value rather than a date hierarchy, so each transaction key remains traceable as a row.</w:t>
      </w:r>
    </w:p>
    <w:p>
      <w:pPr>
        <w:pStyle w:val="ListBullet"/>
        <w:spacing w:after="60"/>
      </w:pPr>
      <w:r>
        <w:t>The staged `Transaction Key` is a generated trace key, not an IBM-issued identifier. Use the report zoom controls to enlarge the page.</w:t>
      </w:r>
    </w:p>
    <w:p>
      <w:pPr>
        <w:pStyle w:val="ListBullet"/>
        <w:spacing w:after="60"/>
      </w:pPr>
      <w:r>
        <w:t>The fuller worked example and name-lookup procedure are in this Word guide; the Power BI table itself displays source transaction fields.</w:t>
      </w:r>
    </w:p>
    <w:p>
      <w:pPr>
        <w:pStyle w:val="Heading1"/>
      </w:pPr>
      <w:r>
        <w:t>2. Open and use the report page</w:t>
      </w:r>
    </w:p>
    <w:p>
      <w:pPr>
        <w:pStyle w:val="ListBullet"/>
        <w:spacing w:after="60"/>
      </w:pPr>
      <w:r>
        <w:t>Open IBM_AML_Analysis-updated-transaction-walkthrough.pbix and select the Transaction Walkthrough page. Keep IBM_AML_Analysis-updated.pbix as the untouched original.</w:t>
      </w:r>
    </w:p>
    <w:p>
      <w:pPr>
        <w:pStyle w:val="ListBullet"/>
        <w:spacing w:after="60"/>
      </w:pPr>
      <w:r>
        <w:t>Use the zoom control at the lower-right of the report canvas to enlarge the guide and table; use Fit to page to return to the complete layout.</w:t>
      </w:r>
    </w:p>
    <w:p>
      <w:pPr>
        <w:pStyle w:val="ListBullet"/>
        <w:spacing w:after="60"/>
      </w:pPr>
      <w:r>
        <w:t>Read the numbered guide first, then follow a table row from Timestamp/Transaction Key to sender, receiver, amounts, currencies, payment format, and label.</w:t>
      </w:r>
    </w:p>
    <w:p>
      <w:pPr>
        <w:pStyle w:val="ListBullet"/>
        <w:spacing w:after="60"/>
      </w:pPr>
      <w:r>
        <w:t>Use the column header filters to find a value or narrow the table. Clear filters before starting a different review.</w:t>
      </w:r>
    </w:p>
    <w:p>
      <w:pPr>
        <w:pStyle w:val="ListBullet"/>
        <w:spacing w:after="60"/>
      </w:pPr>
      <w:r>
        <w:t>The table is configured to show raw Amount Paid, Amount Received, Is Laundering, and Timestamp values. If you change the visual, keep amounts and the label unsummarized and retain Transaction Key so one row remains traceable.</w:t>
      </w:r>
    </w:p>
    <w:p>
      <w:pPr>
        <w:pStyle w:val="ListBullet"/>
        <w:spacing w:after="60"/>
      </w:pPr>
      <w:r>
        <w:t>For verified bank/entity names, use the account dimension procedure in Section 5; do not infer names from bank IDs.</w:t>
      </w:r>
    </w:p>
    <w:p>
      <w:pPr>
        <w:pStyle w:val="Heading1"/>
      </w:pPr>
      <w:r>
        <w:t>3. Procedure: follow one transaction</w:t>
      </w:r>
    </w:p>
    <w:p>
      <w:pPr>
        <w:pStyle w:val="Heading2"/>
      </w:pPr>
      <w:r>
        <w:t>Step 1 — Find the row</w:t>
      </w:r>
    </w:p>
    <w:p>
      <w:r>
        <w:t>Use `Transaction Key` to distinguish the staged row and `Timestamp` to place it in time. Use the table header filters on Dataset Variant, `Is Laundering` (1 for IBM-labelled examples; 0 for comparison), or bank/account fields to narrow the view. Clear filters when starting a new review.</w:t>
      </w:r>
    </w:p>
    <w:p>
      <w:pPr>
        <w:pStyle w:val="Heading2"/>
      </w:pPr>
      <w:r>
        <w:t>Step 2 — Identify sender and receiver</w:t>
      </w:r>
    </w:p>
    <w:p>
      <w:r>
        <w:t>`From Bank` + `Account` identifies the source side. `To Bank` + `Account.1` identifies the destination side. One row is one recorded movement from sender to receiver. Keep bank and account identifiers together; an account number alone may repeat at another bank.</w:t>
      </w:r>
    </w:p>
    <w:p>
      <w:pPr>
        <w:pStyle w:val="Heading2"/>
      </w:pPr>
      <w:r>
        <w:t>Step 3 — Read the value correctly</w:t>
      </w:r>
    </w:p>
    <w:p>
      <w:r>
        <w:t>`Amount Paid` is the sender-side debit/outflow, interpreted in `Payment Currency`. `Amount Received` is the receiver-side credit/inflow, interpreted in `Receiving Currency`. These currencies can differ. Never sum or compare amounts across currencies as if they were identical unless an approved FX rate, date and conversion method are documented.</w:t>
      </w:r>
    </w:p>
    <w:p>
      <w:pPr>
        <w:pStyle w:val="Heading2"/>
      </w:pPr>
      <w:r>
        <w:t>Step 4 — Add context</w:t>
      </w:r>
    </w:p>
    <w:p>
      <w:r>
        <w:t>`Payment Format` describes the recorded transfer channel. It is a clue to compare with account behavior, not a risk conclusion by itself. `Is Laundering` is the IBM simulator's synthetic transaction label, not a real-world finding. Inspect related transactions and account behavior before describing a pattern.</w:t>
      </w:r>
    </w:p>
    <w:p>
      <w:pPr>
        <w:pStyle w:val="Heading1"/>
      </w:pPr>
      <w:r>
        <w:t>4. Worked example for the page</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8"/>
              </w:rPr>
              <w:t>Item</w:t>
            </w:r>
          </w:p>
        </w:tc>
        <w:tc>
          <w:tcPr>
            <w:tcW w:type="dxa" w:w="3360"/>
            <w:shd w:fill="17365D"/>
          </w:tcPr>
          <w:p>
            <w:r>
              <w:rPr>
                <w:b/>
                <w:color w:val="FFFFFF"/>
                <w:sz w:val="18"/>
              </w:rPr>
              <w:t>Example value</w:t>
            </w:r>
          </w:p>
        </w:tc>
        <w:tc>
          <w:tcPr>
            <w:tcW w:type="dxa" w:w="3360"/>
            <w:shd w:fill="17365D"/>
          </w:tcPr>
          <w:p>
            <w:r>
              <w:rPr>
                <w:b/>
                <w:color w:val="FFFFFF"/>
                <w:sz w:val="18"/>
              </w:rPr>
              <w:t>Meaning</w:t>
            </w:r>
          </w:p>
        </w:tc>
      </w:tr>
      <w:tr>
        <w:tc>
          <w:tcPr>
            <w:tcW w:type="dxa" w:w="3360"/>
          </w:tcPr>
          <w:p>
            <w:pPr>
              <w:spacing w:after="40"/>
            </w:pPr>
            <w:r>
              <w:rPr>
                <w:sz w:val="18"/>
              </w:rPr>
              <w:t>Dataset</w:t>
            </w:r>
          </w:p>
        </w:tc>
        <w:tc>
          <w:tcPr>
            <w:tcW w:type="dxa" w:w="3360"/>
          </w:tcPr>
          <w:p>
            <w:pPr>
              <w:spacing w:after="40"/>
            </w:pPr>
            <w:r>
              <w:rPr>
                <w:sz w:val="18"/>
              </w:rPr>
              <w:t>HI-Small</w:t>
            </w:r>
          </w:p>
        </w:tc>
        <w:tc>
          <w:tcPr>
            <w:tcW w:type="dxa" w:w="3360"/>
          </w:tcPr>
          <w:p>
            <w:pPr>
              <w:spacing w:after="40"/>
            </w:pPr>
            <w:r>
              <w:rPr>
                <w:sz w:val="18"/>
              </w:rPr>
              <w:t>Identifies the synthetic sample.</w:t>
            </w:r>
          </w:p>
        </w:tc>
      </w:tr>
      <w:tr>
        <w:tc>
          <w:tcPr>
            <w:tcW w:type="dxa" w:w="3360"/>
          </w:tcPr>
          <w:p>
            <w:pPr>
              <w:spacing w:after="40"/>
            </w:pPr>
            <w:r>
              <w:rPr>
                <w:sz w:val="18"/>
              </w:rPr>
              <w:t>Staged trace key</w:t>
            </w:r>
          </w:p>
        </w:tc>
        <w:tc>
          <w:tcPr>
            <w:tcW w:type="dxa" w:w="3360"/>
          </w:tcPr>
          <w:p>
            <w:pPr>
              <w:spacing w:after="40"/>
            </w:pPr>
            <w:r>
              <w:rPr>
                <w:sz w:val="18"/>
              </w:rPr>
              <w:t>HI-Small:4743</w:t>
            </w:r>
          </w:p>
        </w:tc>
        <w:tc>
          <w:tcPr>
            <w:tcW w:type="dxa" w:w="3360"/>
          </w:tcPr>
          <w:p>
            <w:pPr>
              <w:spacing w:after="40"/>
            </w:pPr>
            <w:r>
              <w:rPr>
                <w:sz w:val="18"/>
              </w:rPr>
              <w:t>Generated row key in the staged file; not an IBM-issued ID.</w:t>
            </w:r>
          </w:p>
        </w:tc>
      </w:tr>
      <w:tr>
        <w:tc>
          <w:tcPr>
            <w:tcW w:type="dxa" w:w="3360"/>
          </w:tcPr>
          <w:p>
            <w:pPr>
              <w:spacing w:after="40"/>
            </w:pPr>
            <w:r>
              <w:rPr>
                <w:sz w:val="18"/>
              </w:rPr>
              <w:t>Timestamp</w:t>
            </w:r>
          </w:p>
        </w:tc>
        <w:tc>
          <w:tcPr>
            <w:tcW w:type="dxa" w:w="3360"/>
          </w:tcPr>
          <w:p>
            <w:pPr>
              <w:spacing w:after="40"/>
            </w:pPr>
            <w:r>
              <w:rPr>
                <w:sz w:val="18"/>
              </w:rPr>
              <w:t>2022-09-01 00:21</w:t>
            </w:r>
          </w:p>
        </w:tc>
        <w:tc>
          <w:tcPr>
            <w:tcW w:type="dxa" w:w="3360"/>
          </w:tcPr>
          <w:p>
            <w:pPr>
              <w:spacing w:after="40"/>
            </w:pPr>
            <w:r>
              <w:rPr>
                <w:sz w:val="18"/>
              </w:rPr>
              <w:t>Recorded event time.</w:t>
            </w:r>
          </w:p>
        </w:tc>
      </w:tr>
      <w:tr>
        <w:tc>
          <w:tcPr>
            <w:tcW w:type="dxa" w:w="3360"/>
          </w:tcPr>
          <w:p>
            <w:pPr>
              <w:spacing w:after="40"/>
            </w:pPr>
            <w:r>
              <w:rPr>
                <w:sz w:val="18"/>
              </w:rPr>
              <w:t>Sender</w:t>
            </w:r>
          </w:p>
        </w:tc>
        <w:tc>
          <w:tcPr>
            <w:tcW w:type="dxa" w:w="3360"/>
          </w:tcPr>
          <w:p>
            <w:pPr>
              <w:spacing w:after="40"/>
            </w:pPr>
            <w:r>
              <w:rPr>
                <w:sz w:val="18"/>
              </w:rPr>
              <w:t>070 / 100428660</w:t>
            </w:r>
          </w:p>
        </w:tc>
        <w:tc>
          <w:tcPr>
            <w:tcW w:type="dxa" w:w="3360"/>
          </w:tcPr>
          <w:p>
            <w:pPr>
              <w:spacing w:after="40"/>
            </w:pPr>
            <w:r>
              <w:rPr>
                <w:sz w:val="18"/>
              </w:rPr>
              <w:t>Origin bank code and account.</w:t>
            </w:r>
          </w:p>
        </w:tc>
      </w:tr>
      <w:tr>
        <w:tc>
          <w:tcPr>
            <w:tcW w:type="dxa" w:w="3360"/>
          </w:tcPr>
          <w:p>
            <w:pPr>
              <w:spacing w:after="40"/>
            </w:pPr>
            <w:r>
              <w:rPr>
                <w:sz w:val="18"/>
              </w:rPr>
              <w:t>Sender bank / owner</w:t>
            </w:r>
          </w:p>
        </w:tc>
        <w:tc>
          <w:tcPr>
            <w:tcW w:type="dxa" w:w="3360"/>
          </w:tcPr>
          <w:p>
            <w:pPr>
              <w:spacing w:after="40"/>
            </w:pPr>
            <w:r>
              <w:rPr>
                <w:sz w:val="18"/>
              </w:rPr>
              <w:t>Oasis Thrift / Sole Proprietorship #41</w:t>
            </w:r>
          </w:p>
        </w:tc>
        <w:tc>
          <w:tcPr>
            <w:tcW w:type="dxa" w:w="3360"/>
          </w:tcPr>
          <w:p>
            <w:pPr>
              <w:spacing w:after="40"/>
            </w:pPr>
            <w:r>
              <w:rPr>
                <w:sz w:val="18"/>
              </w:rPr>
              <w:t>Matched from the staged account dimension.</w:t>
            </w:r>
          </w:p>
        </w:tc>
      </w:tr>
      <w:tr>
        <w:tc>
          <w:tcPr>
            <w:tcW w:type="dxa" w:w="3360"/>
          </w:tcPr>
          <w:p>
            <w:pPr>
              <w:spacing w:after="40"/>
            </w:pPr>
            <w:r>
              <w:rPr>
                <w:sz w:val="18"/>
              </w:rPr>
              <w:t>Receiver</w:t>
            </w:r>
          </w:p>
        </w:tc>
        <w:tc>
          <w:tcPr>
            <w:tcW w:type="dxa" w:w="3360"/>
          </w:tcPr>
          <w:p>
            <w:pPr>
              <w:spacing w:after="40"/>
            </w:pPr>
            <w:r>
              <w:rPr>
                <w:sz w:val="18"/>
              </w:rPr>
              <w:t>001124 / 800825340</w:t>
            </w:r>
          </w:p>
        </w:tc>
        <w:tc>
          <w:tcPr>
            <w:tcW w:type="dxa" w:w="3360"/>
          </w:tcPr>
          <w:p>
            <w:pPr>
              <w:spacing w:after="40"/>
            </w:pPr>
            <w:r>
              <w:rPr>
                <w:sz w:val="18"/>
              </w:rPr>
              <w:t>Destination bank code and account.</w:t>
            </w:r>
          </w:p>
        </w:tc>
      </w:tr>
      <w:tr>
        <w:tc>
          <w:tcPr>
            <w:tcW w:type="dxa" w:w="3360"/>
          </w:tcPr>
          <w:p>
            <w:pPr>
              <w:spacing w:after="40"/>
            </w:pPr>
            <w:r>
              <w:rPr>
                <w:sz w:val="18"/>
              </w:rPr>
              <w:t>Receiver bank / owner</w:t>
            </w:r>
          </w:p>
        </w:tc>
        <w:tc>
          <w:tcPr>
            <w:tcW w:type="dxa" w:w="3360"/>
          </w:tcPr>
          <w:p>
            <w:pPr>
              <w:spacing w:after="40"/>
            </w:pPr>
            <w:r>
              <w:rPr>
                <w:sz w:val="18"/>
              </w:rPr>
              <w:t>First Bank of Plattsburg / Sole Proprietorship #1287</w:t>
            </w:r>
          </w:p>
        </w:tc>
        <w:tc>
          <w:tcPr>
            <w:tcW w:type="dxa" w:w="3360"/>
          </w:tcPr>
          <w:p>
            <w:pPr>
              <w:spacing w:after="40"/>
            </w:pPr>
            <w:r>
              <w:rPr>
                <w:sz w:val="18"/>
              </w:rPr>
              <w:t>Matched from the staged account dimension.</w:t>
            </w:r>
          </w:p>
        </w:tc>
      </w:tr>
      <w:tr>
        <w:tc>
          <w:tcPr>
            <w:tcW w:type="dxa" w:w="3360"/>
          </w:tcPr>
          <w:p>
            <w:pPr>
              <w:spacing w:after="40"/>
            </w:pPr>
            <w:r>
              <w:rPr>
                <w:sz w:val="18"/>
              </w:rPr>
              <w:t>Debit</w:t>
            </w:r>
          </w:p>
        </w:tc>
        <w:tc>
          <w:tcPr>
            <w:tcW w:type="dxa" w:w="3360"/>
          </w:tcPr>
          <w:p>
            <w:pPr>
              <w:spacing w:after="40"/>
            </w:pPr>
            <w:r>
              <w:rPr>
                <w:sz w:val="18"/>
              </w:rPr>
              <w:t>389,769.39 US Dollar</w:t>
            </w:r>
          </w:p>
        </w:tc>
        <w:tc>
          <w:tcPr>
            <w:tcW w:type="dxa" w:w="3360"/>
          </w:tcPr>
          <w:p>
            <w:pPr>
              <w:spacing w:after="40"/>
            </w:pPr>
            <w:r>
              <w:rPr>
                <w:sz w:val="18"/>
              </w:rPr>
              <w:t>Value paid by the sender.</w:t>
            </w:r>
          </w:p>
        </w:tc>
      </w:tr>
      <w:tr>
        <w:tc>
          <w:tcPr>
            <w:tcW w:type="dxa" w:w="3360"/>
          </w:tcPr>
          <w:p>
            <w:pPr>
              <w:spacing w:after="40"/>
            </w:pPr>
            <w:r>
              <w:rPr>
                <w:sz w:val="18"/>
              </w:rPr>
              <w:t>Credit</w:t>
            </w:r>
          </w:p>
        </w:tc>
        <w:tc>
          <w:tcPr>
            <w:tcW w:type="dxa" w:w="3360"/>
          </w:tcPr>
          <w:p>
            <w:pPr>
              <w:spacing w:after="40"/>
            </w:pPr>
            <w:r>
              <w:rPr>
                <w:sz w:val="18"/>
              </w:rPr>
              <w:t>389,769.39 US Dollar</w:t>
            </w:r>
          </w:p>
        </w:tc>
        <w:tc>
          <w:tcPr>
            <w:tcW w:type="dxa" w:w="3360"/>
          </w:tcPr>
          <w:p>
            <w:pPr>
              <w:spacing w:after="40"/>
            </w:pPr>
            <w:r>
              <w:rPr>
                <w:sz w:val="18"/>
              </w:rPr>
              <w:t>Value received by the receiver.</w:t>
            </w:r>
          </w:p>
        </w:tc>
      </w:tr>
      <w:tr>
        <w:tc>
          <w:tcPr>
            <w:tcW w:type="dxa" w:w="3360"/>
          </w:tcPr>
          <w:p>
            <w:pPr>
              <w:spacing w:after="40"/>
            </w:pPr>
            <w:r>
              <w:rPr>
                <w:sz w:val="18"/>
              </w:rPr>
              <w:t>Payment format</w:t>
            </w:r>
          </w:p>
        </w:tc>
        <w:tc>
          <w:tcPr>
            <w:tcW w:type="dxa" w:w="3360"/>
          </w:tcPr>
          <w:p>
            <w:pPr>
              <w:spacing w:after="40"/>
            </w:pPr>
            <w:r>
              <w:rPr>
                <w:sz w:val="18"/>
              </w:rPr>
              <w:t>Cheque</w:t>
            </w:r>
          </w:p>
        </w:tc>
        <w:tc>
          <w:tcPr>
            <w:tcW w:type="dxa" w:w="3360"/>
          </w:tcPr>
          <w:p>
            <w:pPr>
              <w:spacing w:after="40"/>
            </w:pPr>
            <w:r>
              <w:rPr>
                <w:sz w:val="18"/>
              </w:rPr>
              <w:t>Recorded payment channel.</w:t>
            </w:r>
          </w:p>
        </w:tc>
      </w:tr>
      <w:tr>
        <w:tc>
          <w:tcPr>
            <w:tcW w:type="dxa" w:w="3360"/>
          </w:tcPr>
          <w:p>
            <w:pPr>
              <w:spacing w:after="40"/>
            </w:pPr>
            <w:r>
              <w:rPr>
                <w:sz w:val="18"/>
              </w:rPr>
              <w:t>IBM label</w:t>
            </w:r>
          </w:p>
        </w:tc>
        <w:tc>
          <w:tcPr>
            <w:tcW w:type="dxa" w:w="3360"/>
          </w:tcPr>
          <w:p>
            <w:pPr>
              <w:spacing w:after="40"/>
            </w:pPr>
            <w:r>
              <w:rPr>
                <w:sz w:val="18"/>
              </w:rPr>
              <w:t>1</w:t>
            </w:r>
          </w:p>
        </w:tc>
        <w:tc>
          <w:tcPr>
            <w:tcW w:type="dxa" w:w="3360"/>
          </w:tcPr>
          <w:p>
            <w:pPr>
              <w:spacing w:after="40"/>
            </w:pPr>
            <w:r>
              <w:rPr>
                <w:sz w:val="18"/>
              </w:rPr>
              <w:t>Simulator-labelled positive; not a real-world finding.</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9EAF7"/>
          </w:tcPr>
          <w:p>
            <w:pPr>
              <w:spacing w:after="40"/>
            </w:pPr>
            <w:r>
              <w:rPr>
                <w:b/>
                <w:color w:val="17365D"/>
              </w:rPr>
              <w:t xml:space="preserve">What we can say: </w:t>
            </w:r>
            <w:r>
              <w:t>This example row records a transfer at the stated time from the listed sender account to the listed receiver account. The staged label is 1. The row alone does not tell us the simulator's exact rationale or establish a broader laundering pattern; inspect linked activity and the IBM pattern annotations.</w:t>
            </w:r>
          </w:p>
        </w:tc>
      </w:tr>
    </w:tbl>
    <w:p>
      <w:pPr>
        <w:spacing w:after="20"/>
      </w:pPr>
    </w:p>
    <w:p>
      <w:pPr>
        <w:pStyle w:val="Heading1"/>
      </w:pPr>
      <w:r>
        <w:t>5. How to look up bank and entity names</w:t>
      </w:r>
    </w:p>
    <w:p>
      <w:pPr>
        <w:pStyle w:val="ListBullet"/>
        <w:spacing w:after="60"/>
      </w:pPr>
      <w:r>
        <w:t>Transaction fields `From Bank` and `To Bank` are identifiers; do not infer a bank name from the code.</w:t>
      </w:r>
    </w:p>
    <w:p>
      <w:pPr>
        <w:pStyle w:val="ListBullet"/>
        <w:spacing w:after="60"/>
      </w:pPr>
      <w:r>
        <w:t>The account source contains `Bank Name`, `Bank ID`, `Account Number`, `Entity ID`, and `Entity Name`.</w:t>
      </w:r>
    </w:p>
    <w:p>
      <w:pPr>
        <w:pStyle w:val="ListBullet"/>
        <w:spacing w:after="60"/>
      </w:pPr>
      <w:r>
        <w:t>Match sender and receiver separately using Dataset Variant + normalized Bank ID + Account Number.</w:t>
      </w:r>
    </w:p>
    <w:p>
      <w:pPr>
        <w:pStyle w:val="ListBullet"/>
        <w:spacing w:after="60"/>
      </w:pPr>
      <w:r>
        <w:t>Normalize bank IDs for comparison only (for example, 070 and 70 may compare numerically); keep source values as text for display.</w:t>
      </w:r>
    </w:p>
    <w:p>
      <w:pPr>
        <w:pStyle w:val="ListBullet"/>
        <w:spacing w:after="60"/>
      </w:pPr>
      <w:r>
        <w:t>Check that joins match and report unmatched rows. Do not join on account number alone.</w:t>
      </w:r>
    </w:p>
    <w:p>
      <w:pPr>
        <w:pStyle w:val="ListBullet"/>
        <w:spacing w:after="60"/>
      </w:pPr>
      <w:r>
        <w:t>The current walkthrough table displays source transaction fields. Names in the worked example are joined from the staged account data and are illustrative context for this row.</w:t>
      </w:r>
    </w:p>
    <w:p>
      <w:pPr>
        <w:pStyle w:val="Heading1"/>
      </w:pPr>
      <w:r>
        <w:t>6. Turning a row into an AML review</w:t>
      </w:r>
    </w:p>
    <w:p>
      <w:r>
        <w:t>The table is the starting point. AML interpretation comes from the behavior around a row and must be evidence-based. Useful review hypotheses include:</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8"/>
              </w:rPr>
              <w:t>Hypothesis</w:t>
            </w:r>
          </w:p>
        </w:tc>
        <w:tc>
          <w:tcPr>
            <w:tcW w:type="dxa" w:w="3360"/>
            <w:shd w:fill="17365D"/>
          </w:tcPr>
          <w:p>
            <w:r>
              <w:rPr>
                <w:b/>
                <w:color w:val="FFFFFF"/>
                <w:sz w:val="18"/>
              </w:rPr>
              <w:t>What to examine</w:t>
            </w:r>
          </w:p>
        </w:tc>
        <w:tc>
          <w:tcPr>
            <w:tcW w:type="dxa" w:w="3360"/>
            <w:shd w:fill="17365D"/>
          </w:tcPr>
          <w:p>
            <w:r>
              <w:rPr>
                <w:b/>
                <w:color w:val="FFFFFF"/>
                <w:sz w:val="18"/>
              </w:rPr>
              <w:t>Caution</w:t>
            </w:r>
          </w:p>
        </w:tc>
      </w:tr>
      <w:tr>
        <w:tc>
          <w:tcPr>
            <w:tcW w:type="dxa" w:w="3360"/>
          </w:tcPr>
          <w:p>
            <w:pPr>
              <w:spacing w:after="40"/>
            </w:pPr>
            <w:r>
              <w:rPr>
                <w:sz w:val="18"/>
              </w:rPr>
              <w:t>Unusual amount</w:t>
            </w:r>
          </w:p>
        </w:tc>
        <w:tc>
          <w:tcPr>
            <w:tcW w:type="dxa" w:w="3360"/>
          </w:tcPr>
          <w:p>
            <w:pPr>
              <w:spacing w:after="40"/>
            </w:pPr>
            <w:r>
              <w:rPr>
                <w:sz w:val="18"/>
              </w:rPr>
              <w:t>Compare with the same account's past activity in that currency.</w:t>
            </w:r>
          </w:p>
        </w:tc>
        <w:tc>
          <w:tcPr>
            <w:tcW w:type="dxa" w:w="3360"/>
          </w:tcPr>
          <w:p>
            <w:pPr>
              <w:spacing w:after="40"/>
            </w:pPr>
            <w:r>
              <w:rPr>
                <w:sz w:val="18"/>
              </w:rPr>
              <w:t>A large amount alone is not proof.</w:t>
            </w:r>
          </w:p>
        </w:tc>
      </w:tr>
      <w:tr>
        <w:tc>
          <w:tcPr>
            <w:tcW w:type="dxa" w:w="3360"/>
          </w:tcPr>
          <w:p>
            <w:pPr>
              <w:spacing w:after="40"/>
            </w:pPr>
            <w:r>
              <w:rPr>
                <w:sz w:val="18"/>
              </w:rPr>
              <w:t>Activity burst</w:t>
            </w:r>
          </w:p>
        </w:tc>
        <w:tc>
          <w:tcPr>
            <w:tcW w:type="dxa" w:w="3360"/>
          </w:tcPr>
          <w:p>
            <w:pPr>
              <w:spacing w:after="40"/>
            </w:pPr>
            <w:r>
              <w:rPr>
                <w:sz w:val="18"/>
              </w:rPr>
              <w:t>Count and total transfers in a defined short window; compare with baseline.</w:t>
            </w:r>
          </w:p>
        </w:tc>
        <w:tc>
          <w:tcPr>
            <w:tcW w:type="dxa" w:w="3360"/>
          </w:tcPr>
          <w:p>
            <w:pPr>
              <w:spacing w:after="40"/>
            </w:pPr>
            <w:r>
              <w:rPr>
                <w:sz w:val="18"/>
              </w:rPr>
              <w:t>Document window and calibrate thresholds.</w:t>
            </w:r>
          </w:p>
        </w:tc>
      </w:tr>
      <w:tr>
        <w:tc>
          <w:tcPr>
            <w:tcW w:type="dxa" w:w="3360"/>
          </w:tcPr>
          <w:p>
            <w:pPr>
              <w:spacing w:after="40"/>
            </w:pPr>
            <w:r>
              <w:rPr>
                <w:sz w:val="18"/>
              </w:rPr>
              <w:t>Many counterparties</w:t>
            </w:r>
          </w:p>
        </w:tc>
        <w:tc>
          <w:tcPr>
            <w:tcW w:type="dxa" w:w="3360"/>
          </w:tcPr>
          <w:p>
            <w:pPr>
              <w:spacing w:after="40"/>
            </w:pPr>
            <w:r>
              <w:rPr>
                <w:sz w:val="18"/>
              </w:rPr>
              <w:t>Check whether an account suddenly sends to/receives from many new accounts.</w:t>
            </w:r>
          </w:p>
        </w:tc>
        <w:tc>
          <w:tcPr>
            <w:tcW w:type="dxa" w:w="3360"/>
          </w:tcPr>
          <w:p>
            <w:pPr>
              <w:spacing w:after="40"/>
            </w:pPr>
            <w:r>
              <w:rPr>
                <w:sz w:val="18"/>
              </w:rPr>
              <w:t>The observed history may be incomplete.</w:t>
            </w:r>
          </w:p>
        </w:tc>
      </w:tr>
      <w:tr>
        <w:tc>
          <w:tcPr>
            <w:tcW w:type="dxa" w:w="3360"/>
          </w:tcPr>
          <w:p>
            <w:pPr>
              <w:spacing w:after="40"/>
            </w:pPr>
            <w:r>
              <w:rPr>
                <w:sz w:val="18"/>
              </w:rPr>
              <w:t>Rapid pass-through</w:t>
            </w:r>
          </w:p>
        </w:tc>
        <w:tc>
          <w:tcPr>
            <w:tcW w:type="dxa" w:w="3360"/>
          </w:tcPr>
          <w:p>
            <w:pPr>
              <w:spacing w:after="40"/>
            </w:pPr>
            <w:r>
              <w:rPr>
                <w:sz w:val="18"/>
              </w:rPr>
              <w:t>Review time between incoming credit and subsequent outgoing debit.</w:t>
            </w:r>
          </w:p>
        </w:tc>
        <w:tc>
          <w:tcPr>
            <w:tcW w:type="dxa" w:w="3360"/>
          </w:tcPr>
          <w:p>
            <w:pPr>
              <w:spacing w:after="40"/>
            </w:pPr>
            <w:r>
              <w:rPr>
                <w:sz w:val="18"/>
              </w:rPr>
              <w:t>Do not assume identical funds from amount similarity alone.</w:t>
            </w:r>
          </w:p>
        </w:tc>
      </w:tr>
      <w:tr>
        <w:tc>
          <w:tcPr>
            <w:tcW w:type="dxa" w:w="3360"/>
          </w:tcPr>
          <w:p>
            <w:pPr>
              <w:spacing w:after="40"/>
            </w:pPr>
            <w:r>
              <w:rPr>
                <w:sz w:val="18"/>
              </w:rPr>
              <w:t>Circular movement</w:t>
            </w:r>
          </w:p>
        </w:tc>
        <w:tc>
          <w:tcPr>
            <w:tcW w:type="dxa" w:w="3360"/>
          </w:tcPr>
          <w:p>
            <w:pPr>
              <w:spacing w:after="40"/>
            </w:pPr>
            <w:r>
              <w:rPr>
                <w:sz w:val="18"/>
              </w:rPr>
              <w:t>Trace each hop and test if a flow returns to an earlier account/entity.</w:t>
            </w:r>
          </w:p>
        </w:tc>
        <w:tc>
          <w:tcPr>
            <w:tcW w:type="dxa" w:w="3360"/>
          </w:tcPr>
          <w:p>
            <w:pPr>
              <w:spacing w:after="40"/>
            </w:pPr>
            <w:r>
              <w:rPr>
                <w:sz w:val="18"/>
              </w:rPr>
              <w:t>Validate the full path and alternative explanations.</w:t>
            </w:r>
          </w:p>
        </w:tc>
      </w:tr>
      <w:tr>
        <w:tc>
          <w:tcPr>
            <w:tcW w:type="dxa" w:w="3360"/>
          </w:tcPr>
          <w:p>
            <w:pPr>
              <w:spacing w:after="40"/>
            </w:pPr>
            <w:r>
              <w:rPr>
                <w:sz w:val="18"/>
              </w:rPr>
              <w:t>Repeated small transfers</w:t>
            </w:r>
          </w:p>
        </w:tc>
        <w:tc>
          <w:tcPr>
            <w:tcW w:type="dxa" w:w="3360"/>
          </w:tcPr>
          <w:p>
            <w:pPr>
              <w:spacing w:after="40"/>
            </w:pPr>
            <w:r>
              <w:rPr>
                <w:sz w:val="18"/>
              </w:rPr>
              <w:t>Aggregate transactions by account/entity, currency and time window.</w:t>
            </w:r>
          </w:p>
        </w:tc>
        <w:tc>
          <w:tcPr>
            <w:tcW w:type="dxa" w:w="3360"/>
          </w:tcPr>
          <w:p>
            <w:pPr>
              <w:spacing w:after="40"/>
            </w:pPr>
            <w:r>
              <w:rPr>
                <w:sz w:val="18"/>
              </w:rPr>
              <w:t>Do not import arbitrary regulatory limits.</w:t>
            </w:r>
          </w:p>
        </w:tc>
      </w:tr>
      <w:tr>
        <w:tc>
          <w:tcPr>
            <w:tcW w:type="dxa" w:w="3360"/>
          </w:tcPr>
          <w:p>
            <w:pPr>
              <w:spacing w:after="40"/>
            </w:pPr>
            <w:r>
              <w:rPr>
                <w:sz w:val="18"/>
              </w:rPr>
              <w:t>Format anomaly</w:t>
            </w:r>
          </w:p>
        </w:tc>
        <w:tc>
          <w:tcPr>
            <w:tcW w:type="dxa" w:w="3360"/>
          </w:tcPr>
          <w:p>
            <w:pPr>
              <w:spacing w:after="40"/>
            </w:pPr>
            <w:r>
              <w:rPr>
                <w:sz w:val="18"/>
              </w:rPr>
              <w:t>Compare payment format against that account's observed pattern.</w:t>
            </w:r>
          </w:p>
        </w:tc>
        <w:tc>
          <w:tcPr>
            <w:tcW w:type="dxa" w:w="3360"/>
          </w:tcPr>
          <w:p>
            <w:pPr>
              <w:spacing w:after="40"/>
            </w:pPr>
            <w:r>
              <w:rPr>
                <w:sz w:val="18"/>
              </w:rPr>
              <w:t>Format alone does not establish suspicious activity.</w:t>
            </w:r>
          </w:p>
        </w:tc>
      </w:tr>
    </w:tbl>
    <w:p>
      <w:pPr>
        <w:spacing w:after="20"/>
      </w:pPr>
    </w:p>
    <w:p>
      <w:pPr>
        <w:pStyle w:val="Heading1"/>
      </w:pPr>
      <w:r>
        <w:t>7. Investigation notes and traceability</w:t>
      </w:r>
    </w:p>
    <w:p>
      <w:pPr>
        <w:pStyle w:val="ListBullet"/>
        <w:spacing w:after="60"/>
      </w:pPr>
      <w:r>
        <w:t>Record the dataset variant and filter/window used.</w:t>
      </w:r>
    </w:p>
    <w:p>
      <w:pPr>
        <w:pStyle w:val="ListBullet"/>
        <w:spacing w:after="60"/>
      </w:pPr>
      <w:r>
        <w:t>Record all related transaction keys in chronological order when using staged data.</w:t>
      </w:r>
    </w:p>
    <w:p>
      <w:pPr>
        <w:pStyle w:val="ListBullet"/>
        <w:spacing w:after="60"/>
      </w:pPr>
      <w:r>
        <w:t>If the PBIX does not contain a staged Transaction Key, trace a source row using Timestamp + From Bank + Account + To Bank + Account.1 + amount/currency fields.</w:t>
      </w:r>
    </w:p>
    <w:p>
      <w:pPr>
        <w:pStyle w:val="ListBullet"/>
        <w:spacing w:after="60"/>
      </w:pPr>
      <w:r>
        <w:t>Capture sender/receiver codes, owner-join status, debit/credit with currency, payment format and IBM label.</w:t>
      </w:r>
    </w:p>
    <w:p>
      <w:pPr>
        <w:pStyle w:val="ListBullet"/>
        <w:spacing w:after="60"/>
      </w:pPr>
      <w:r>
        <w:t>Explain the observed facts, why they merit review, plausible benign explanations and data limitations.</w:t>
      </w:r>
    </w:p>
    <w:p>
      <w:pPr>
        <w:pStyle w:val="ListBullet"/>
        <w:spacing w:after="60"/>
      </w:pPr>
      <w:r>
        <w:t>Use an alert as a review lead only; report the disposition as an analytical review, not a legal determination.</w:t>
      </w:r>
    </w:p>
    <w:p>
      <w:pPr>
        <w:pStyle w:val="Heading1"/>
      </w:pPr>
      <w:r>
        <w:t>8. Evaluation and reporting</w:t>
      </w:r>
    </w:p>
    <w:p>
      <w:pPr>
        <w:pStyle w:val="ListBullet"/>
        <w:spacing w:after="60"/>
      </w:pPr>
      <w:r>
        <w:t>Compare rule/model alerts with `Is Laundering` only as a benchmark against synthetic simulator labels.</w:t>
      </w:r>
    </w:p>
    <w:p>
      <w:pPr>
        <w:pStyle w:val="ListBullet"/>
        <w:spacing w:after="60"/>
      </w:pPr>
      <w:r>
        <w:t>Because positive labels are rare, report precision, recall, F1, false positives, false negatives and alert volume; accuracy alone can be misleading.</w:t>
      </w:r>
    </w:p>
    <w:p>
      <w:pPr>
        <w:pStyle w:val="ListBullet"/>
        <w:spacing w:after="60"/>
      </w:pPr>
      <w:r>
        <w:t>Keep the label out of features used to generate predictions to avoid target leakage.</w:t>
      </w:r>
    </w:p>
    <w:p>
      <w:pPr>
        <w:pStyle w:val="ListBullet"/>
        <w:spacing w:after="60"/>
      </w:pPr>
      <w:r>
        <w:t>For each finding, state scope, method, trace keys, observed pattern, metrics/limitations and next action.</w:t>
      </w:r>
    </w:p>
    <w:p>
      <w:pPr>
        <w:pStyle w:val="Heading1"/>
      </w:pPr>
      <w:r>
        <w:t>9. Quick glossary</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8"/>
              </w:rPr>
              <w:t>Term</w:t>
            </w:r>
          </w:p>
        </w:tc>
        <w:tc>
          <w:tcPr>
            <w:tcW w:type="dxa" w:w="5040"/>
            <w:shd w:fill="17365D"/>
          </w:tcPr>
          <w:p>
            <w:r>
              <w:rPr>
                <w:b/>
                <w:color w:val="FFFFFF"/>
                <w:sz w:val="18"/>
              </w:rPr>
              <w:t>Meaning in this project</w:t>
            </w:r>
          </w:p>
        </w:tc>
      </w:tr>
      <w:tr>
        <w:tc>
          <w:tcPr>
            <w:tcW w:type="dxa" w:w="5040"/>
          </w:tcPr>
          <w:p>
            <w:pPr>
              <w:spacing w:after="40"/>
            </w:pPr>
            <w:r>
              <w:rPr>
                <w:sz w:val="18"/>
              </w:rPr>
              <w:t>Debit / outflow</w:t>
            </w:r>
          </w:p>
        </w:tc>
        <w:tc>
          <w:tcPr>
            <w:tcW w:type="dxa" w:w="5040"/>
          </w:tcPr>
          <w:p>
            <w:pPr>
              <w:spacing w:after="40"/>
            </w:pPr>
            <w:r>
              <w:rPr>
                <w:sz w:val="18"/>
              </w:rPr>
              <w:t>Money leaving the sender; `Amount Paid` in `Payment Currency`.</w:t>
            </w:r>
          </w:p>
        </w:tc>
      </w:tr>
      <w:tr>
        <w:tc>
          <w:tcPr>
            <w:tcW w:type="dxa" w:w="5040"/>
          </w:tcPr>
          <w:p>
            <w:pPr>
              <w:spacing w:after="40"/>
            </w:pPr>
            <w:r>
              <w:rPr>
                <w:sz w:val="18"/>
              </w:rPr>
              <w:t>Credit / inflow</w:t>
            </w:r>
          </w:p>
        </w:tc>
        <w:tc>
          <w:tcPr>
            <w:tcW w:type="dxa" w:w="5040"/>
          </w:tcPr>
          <w:p>
            <w:pPr>
              <w:spacing w:after="40"/>
            </w:pPr>
            <w:r>
              <w:rPr>
                <w:sz w:val="18"/>
              </w:rPr>
              <w:t>Money arriving at the receiver; `Amount Received` in `Receiving Currency`.</w:t>
            </w:r>
          </w:p>
        </w:tc>
      </w:tr>
      <w:tr>
        <w:tc>
          <w:tcPr>
            <w:tcW w:type="dxa" w:w="5040"/>
          </w:tcPr>
          <w:p>
            <w:pPr>
              <w:spacing w:after="40"/>
            </w:pPr>
            <w:r>
              <w:rPr>
                <w:sz w:val="18"/>
              </w:rPr>
              <w:t>Counterparty</w:t>
            </w:r>
          </w:p>
        </w:tc>
        <w:tc>
          <w:tcPr>
            <w:tcW w:type="dxa" w:w="5040"/>
          </w:tcPr>
          <w:p>
            <w:pPr>
              <w:spacing w:after="40"/>
            </w:pPr>
            <w:r>
              <w:rPr>
                <w:sz w:val="18"/>
              </w:rPr>
              <w:t>The other party/account in a transaction.</w:t>
            </w:r>
          </w:p>
        </w:tc>
      </w:tr>
      <w:tr>
        <w:tc>
          <w:tcPr>
            <w:tcW w:type="dxa" w:w="5040"/>
          </w:tcPr>
          <w:p>
            <w:pPr>
              <w:spacing w:after="40"/>
            </w:pPr>
            <w:r>
              <w:rPr>
                <w:sz w:val="18"/>
              </w:rPr>
              <w:t>Entity</w:t>
            </w:r>
          </w:p>
        </w:tc>
        <w:tc>
          <w:tcPr>
            <w:tcW w:type="dxa" w:w="5040"/>
          </w:tcPr>
          <w:p>
            <w:pPr>
              <w:spacing w:after="40"/>
            </w:pPr>
            <w:r>
              <w:rPr>
                <w:sz w:val="18"/>
              </w:rPr>
              <w:t>The named party associated with an account in the account dimension.</w:t>
            </w:r>
          </w:p>
        </w:tc>
      </w:tr>
      <w:tr>
        <w:tc>
          <w:tcPr>
            <w:tcW w:type="dxa" w:w="5040"/>
          </w:tcPr>
          <w:p>
            <w:pPr>
              <w:spacing w:after="40"/>
            </w:pPr>
            <w:r>
              <w:rPr>
                <w:sz w:val="18"/>
              </w:rPr>
              <w:t>Layering hypothesis</w:t>
            </w:r>
          </w:p>
        </w:tc>
        <w:tc>
          <w:tcPr>
            <w:tcW w:type="dxa" w:w="5040"/>
          </w:tcPr>
          <w:p>
            <w:pPr>
              <w:spacing w:after="40"/>
            </w:pPr>
            <w:r>
              <w:rPr>
                <w:sz w:val="18"/>
              </w:rPr>
              <w:t>Possible complex movement through multiple accounts intended to obscure a flow; must be evidenced, not assumed.</w:t>
            </w:r>
          </w:p>
        </w:tc>
      </w:tr>
      <w:tr>
        <w:tc>
          <w:tcPr>
            <w:tcW w:type="dxa" w:w="5040"/>
          </w:tcPr>
          <w:p>
            <w:pPr>
              <w:spacing w:after="40"/>
            </w:pPr>
            <w:r>
              <w:rPr>
                <w:sz w:val="18"/>
              </w:rPr>
              <w:t>Smurfing/structuring hypothesis</w:t>
            </w:r>
          </w:p>
        </w:tc>
        <w:tc>
          <w:tcPr>
            <w:tcW w:type="dxa" w:w="5040"/>
          </w:tcPr>
          <w:p>
            <w:pPr>
              <w:spacing w:after="40"/>
            </w:pPr>
            <w:r>
              <w:rPr>
                <w:sz w:val="18"/>
              </w:rPr>
              <w:t>Possible splitting of value into multiple smaller movements; this dataset alone does not establish intent.</w:t>
            </w:r>
          </w:p>
        </w:tc>
      </w:tr>
      <w:tr>
        <w:tc>
          <w:tcPr>
            <w:tcW w:type="dxa" w:w="5040"/>
          </w:tcPr>
          <w:p>
            <w:pPr>
              <w:spacing w:after="40"/>
            </w:pPr>
            <w:r>
              <w:rPr>
                <w:sz w:val="18"/>
              </w:rPr>
              <w:t>Simulator label</w:t>
            </w:r>
          </w:p>
        </w:tc>
        <w:tc>
          <w:tcPr>
            <w:tcW w:type="dxa" w:w="5040"/>
          </w:tcPr>
          <w:p>
            <w:pPr>
              <w:spacing w:after="40"/>
            </w:pPr>
            <w:r>
              <w:rPr>
                <w:sz w:val="18"/>
              </w:rPr>
              <w:t>IBM's synthetic ground-truth field `Is Laundering`, used for evaluation.</w:t>
            </w:r>
          </w:p>
        </w:tc>
      </w:tr>
    </w:tbl>
    <w:p>
      <w:pPr>
        <w:spacing w:after="20"/>
      </w:pPr>
    </w:p>
    <w:p>
      <w:pPr>
        <w:pStyle w:val="Heading1"/>
      </w:pPr>
      <w:r>
        <w:t>Where to find the project files</w:t>
      </w:r>
    </w:p>
    <w:p>
      <w:pPr>
        <w:pStyle w:val="ListBullet"/>
        <w:spacing w:after="60"/>
      </w:pPr>
      <w:r>
        <w:t>`IBM_AML_Analysis-updated.pbix` — original updated report, left unchanged.</w:t>
      </w:r>
    </w:p>
    <w:p>
      <w:pPr>
        <w:pStyle w:val="ListBullet"/>
        <w:spacing w:after="60"/>
      </w:pPr>
      <w:r>
        <w:t>`IBM_AML_Analysis-updated-transaction-walkthrough.pbix` — separate report copy with the visible Transaction Walkthrough page.</w:t>
      </w:r>
    </w:p>
    <w:p>
      <w:pPr>
        <w:pStyle w:val="ListBullet"/>
        <w:spacing w:after="60"/>
      </w:pPr>
      <w:r>
        <w:t>`docs/IBM_AML_Interpretation_and_Review_Guide.xlsx` — field guide and review workbook.</w:t>
      </w:r>
    </w:p>
    <w:p>
      <w:pPr>
        <w:pStyle w:val="ListBullet"/>
        <w:spacing w:after="60"/>
      </w:pPr>
      <w:r>
        <w:t>`docs/IBM_AML_Transaction_Analysis_Procedure.docx` — general analysis procedure.</w:t>
      </w:r>
    </w:p>
    <w:p>
      <w:pPr>
        <w:pStyle w:val="ListBullet"/>
        <w:spacing w:after="60"/>
      </w:pPr>
      <w:r>
        <w:t>`powerbi_staging/HI-Small_Trans_quality.json` — source count and quality facts for the illustrated variant.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Synthetic-data learning guide | Not a real-world AML determination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IBM AML ANALYSIS | POWER BI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AML Power BI Transaction Walkthrough Guide</dc:title>
  <dc:subject>How to use the Power BI transaction walkthrough and interpret IBM synthetic transaction data</dc:subject>
  <dc:creator>AML Analysis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