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00"/>
        <w:jc w:val="center"/>
      </w:pPr>
      <w:r>
        <w:rPr>
          <w:rFonts w:ascii="Aptos Display" w:hAnsi="Aptos Display"/>
          <w:b/>
          <w:color w:val="17365D"/>
          <w:sz w:val="56"/>
        </w:rPr>
        <w:t>IBM AML Transaction</w:t>
        <w:br/>
        <w:t>Analysis Procedure</w:t>
      </w:r>
    </w:p>
    <w:p>
      <w:pPr>
        <w:spacing w:after="360"/>
        <w:jc w:val="center"/>
      </w:pPr>
      <w:r>
        <w:rPr>
          <w:i/>
          <w:color w:val="595959"/>
          <w:sz w:val="24"/>
        </w:rPr>
        <w:t>A practical, traceable guide for Francois and the project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Purpose: </w:t>
            </w:r>
            <w:r>
              <w:t>Follow a consistent procedure to understand the source data, connect transactions to account owners, identify review-worthy patterns, and explain findings in plain AML language.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Important limitation: </w:t>
            </w:r>
            <w:r>
              <w:t>This is IBM synthetic AML data. `Is Laundering` is the simulator's label, not proof of a crime or a real-world bank decision. An analytical flag is a lead for review, not a conclusion.</w:t>
            </w:r>
          </w:p>
        </w:tc>
      </w:tr>
    </w:tbl>
    <w:p>
      <w:pPr>
        <w:spacing w:after="20"/>
      </w:pPr>
    </w:p>
    <w:p>
      <w:pPr>
        <w:pStyle w:val="Heading1"/>
      </w:pPr>
      <w:r>
        <w:t>Quick procedure</w:t>
      </w:r>
    </w:p>
    <w:p>
      <w:pPr>
        <w:pStyle w:val="ListNumber"/>
        <w:spacing w:after="80"/>
      </w:pPr>
      <w:r>
        <w:t>Choose and record one dataset variant; do not mix variants without keeping the variant identifier.</w:t>
      </w:r>
    </w:p>
    <w:p>
      <w:pPr>
        <w:pStyle w:val="ListNumber"/>
        <w:spacing w:after="80"/>
      </w:pPr>
      <w:r>
        <w:t>Check the staged manifest and quality report, then confirm the columns and date/amount fields.</w:t>
      </w:r>
    </w:p>
    <w:p>
      <w:pPr>
        <w:pStyle w:val="ListNumber"/>
        <w:spacing w:after="80"/>
      </w:pPr>
      <w:r>
        <w:t>Interpret each transaction as a sender-to-receiver movement; preserve both amount/currency sides.</w:t>
      </w:r>
    </w:p>
    <w:p>
      <w:pPr>
        <w:pStyle w:val="ListNumber"/>
        <w:spacing w:after="80"/>
      </w:pPr>
      <w:r>
        <w:t>Attach sender and receiver owner details using the full composite account key.</w:t>
      </w:r>
    </w:p>
    <w:p>
      <w:pPr>
        <w:pStyle w:val="ListNumber"/>
        <w:spacing w:after="80"/>
      </w:pPr>
      <w:r>
        <w:t>Build behavior summaries within relevant time windows, currencies, and account/entity groups.</w:t>
      </w:r>
    </w:p>
    <w:p>
      <w:pPr>
        <w:pStyle w:val="ListNumber"/>
        <w:spacing w:after="80"/>
      </w:pPr>
      <w:r>
        <w:t>Use pattern indicators to create explainable review alerts; calibrate thresholds rather than guessing them.</w:t>
      </w:r>
    </w:p>
    <w:p>
      <w:pPr>
        <w:pStyle w:val="ListNumber"/>
        <w:spacing w:after="80"/>
      </w:pPr>
      <w:r>
        <w:t>Trace every alert back to its transaction keys and surrounding transactions; document evidence and limitations.</w:t>
      </w:r>
    </w:p>
    <w:p>
      <w:pPr>
        <w:pStyle w:val="ListNumber"/>
        <w:spacing w:after="80"/>
      </w:pPr>
      <w:r>
        <w:t>Compare detection results with `Is Laundering` only as a simulator benchmark, then explain findings and next steps.</w:t>
      </w:r>
    </w:p>
    <w:p>
      <w:pPr>
        <w:pStyle w:val="Heading1"/>
      </w:pPr>
      <w:r>
        <w:t>1. Understand the files and select scope</w:t>
      </w:r>
    </w:p>
    <w:p>
      <w:pPr>
        <w:pStyle w:val="ListBullet"/>
        <w:spacing w:after="60"/>
      </w:pPr>
      <w:r>
        <w:t>`archive/` contains the original IBM source data; keep it unchanged.</w:t>
      </w:r>
    </w:p>
    <w:p>
      <w:pPr>
        <w:pStyle w:val="ListBullet"/>
        <w:spacing w:after="60"/>
      </w:pPr>
      <w:r>
        <w:t>`powerbi_staging/manifest.json` describes which variants and files were staged. Use the paths recorded there rather than assuming a particular subfolder.</w:t>
      </w:r>
    </w:p>
    <w:p>
      <w:pPr>
        <w:pStyle w:val="ListBullet"/>
        <w:spacing w:after="60"/>
      </w:pPr>
      <w:r>
        <w:t>Transaction Parquet files contain the transaction fact rows; account Parquet files contain account/entity details; `patterns/` contains IBM scenario descriptions.</w:t>
      </w:r>
    </w:p>
    <w:p>
      <w:pPr>
        <w:pStyle w:val="ListBullet"/>
        <w:spacing w:after="60"/>
      </w:pPr>
      <w:r>
        <w:t>The variants include HI/LI and Small/Medium/Large. Record the chosen variant and its size in every analysis output.</w:t>
      </w:r>
    </w:p>
    <w:p>
      <w:pPr>
        <w:pStyle w:val="ListBullet"/>
        <w:spacing w:after="60"/>
      </w:pPr>
      <w:r>
        <w:t>For an initial learning/review exercise, a Small variant is easier to handle; use the larger variants only when resources and the analysis question justify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Trace key: </w:t>
            </w:r>
            <w:r>
              <w:t>`Transaction Key` is a generated row identifier based on variant and source row order. It is useful for reproducing and finding a row, but it is not an IBM-issued transaction ID.</w:t>
            </w:r>
          </w:p>
        </w:tc>
      </w:tr>
    </w:tbl>
    <w:p>
      <w:pPr>
        <w:spacing w:after="20"/>
      </w:pPr>
    </w:p>
    <w:p>
      <w:pPr>
        <w:pStyle w:val="Heading1"/>
      </w:pPr>
      <w:r>
        <w:t>2. Read the transaction fields correctly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Field(s)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AML interpretation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to use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Timestamp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When the movement was recorded.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Sort into a consistent timeline and define any analysis window.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From Bank + Account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Sender institution code and sender account.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Identify the origin account; retain IDs as text.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To Bank + Account.1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Receiver institution code and receiver account.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Identify the destination account; retain IDs as text.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Amount Paid / Debit Amount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Sender-side amount leaving the account.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Analyze outgoing flow in its Payment Currency.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Amount Received / Credit Amount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Receiver-side amount arriving in the account.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Analyze incoming flow in its Receiving Currency.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Payment Currency / Receiving Currency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Currency on each side of the transfer.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Never add or compare amounts across currencies without a documented conversion.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Payment Format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Recorded transfer format/channel.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Treat as context; a format alone does not establish suspicious activity.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Is Laundering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IBM simulator label: 1 or 0.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Use as a reference label for evaluation, not as proof or as an operational decision.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Dataset Variant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Identifies the source variant for a row.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Keep in filters, keys, joins, grouping, and outputs.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Do not assume: </w:t>
            </w:r>
            <w:r>
              <w:t>Transaction bank fields are codes, not necessarily names. The account source includes a `Bank Name` field; use that dimension if a name is needed. Do not infer bank names from numeric IDs.</w:t>
            </w:r>
          </w:p>
        </w:tc>
      </w:tr>
    </w:tbl>
    <w:p>
      <w:pPr>
        <w:spacing w:after="20"/>
      </w:pPr>
    </w:p>
    <w:p>
      <w:pPr>
        <w:pStyle w:val="Heading1"/>
      </w:pPr>
      <w:r>
        <w:t>3. Validate data before analysis</w:t>
      </w:r>
    </w:p>
    <w:p>
      <w:pPr>
        <w:pStyle w:val="ListNumber"/>
        <w:spacing w:after="80"/>
      </w:pPr>
      <w:r>
        <w:t>Open the variant's transaction and account quality JSON reports and note row counts, source file names, date range, nulls, and label counts.</w:t>
      </w:r>
    </w:p>
    <w:p>
      <w:pPr>
        <w:pStyle w:val="ListNumber"/>
        <w:spacing w:after="80"/>
      </w:pPr>
      <w:r>
        <w:t>Confirm expected transaction fields exist and that identifiers are still text. Leading zeroes are meaningful for display and must not be lost.</w:t>
      </w:r>
    </w:p>
    <w:p>
      <w:pPr>
        <w:pStyle w:val="ListNumber"/>
        <w:spacing w:after="80"/>
      </w:pPr>
      <w:r>
        <w:t>Check that timestamps parse, amount fields are numeric, currency and payment-format values are present, and `Is Laundering` contains only expected 0/1 values.</w:t>
      </w:r>
    </w:p>
    <w:p>
      <w:pPr>
        <w:pStyle w:val="ListNumber"/>
        <w:spacing w:after="80"/>
      </w:pPr>
      <w:r>
        <w:t>Confirm transaction keys are populated and unique within the staged variant.</w:t>
      </w:r>
    </w:p>
    <w:p>
      <w:pPr>
        <w:pStyle w:val="ListNumber"/>
        <w:spacing w:after="80"/>
      </w:pPr>
      <w:r>
        <w:t>Record any missing data, duplicates, unexpected types, or filtering performed. Do not silently discard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Imbalance warning: </w:t>
            </w:r>
            <w:r>
              <w:t>HI-Small has 5,177 rows labelled 1 out of 5,078,345 (about 0.10%) in the available quality report. With a rare positive label, overall accuracy can look high even when a detector misses most positives. Review precision, recall, F1, and false-alert volume.</w:t>
            </w:r>
          </w:p>
        </w:tc>
      </w:tr>
    </w:tbl>
    <w:p>
      <w:pPr>
        <w:spacing w:after="20"/>
      </w:pPr>
    </w:p>
    <w:p>
      <w:pPr>
        <w:pStyle w:val="Heading1"/>
      </w:pPr>
      <w:r>
        <w:t>4. Link each transaction to the right account owner</w:t>
      </w:r>
    </w:p>
    <w:p>
      <w:r>
        <w:t>Use separate sender-side and receiver-side matches to the account dimension. The account number by itself is not a safe key because it may repeat at different banks.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Transaction side</w:t>
            </w:r>
          </w:p>
        </w:tc>
        <w:tc>
          <w:tcPr>
            <w:tcW w:type="dxa" w:w="43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Transaction fields</w:t>
            </w:r>
          </w:p>
        </w:tc>
        <w:tc>
          <w:tcPr>
            <w:tcW w:type="dxa" w:w="453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Account dimension fields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Sender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`Dataset Variant`, `From Bank`, `Account`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`Dataset Variant`, normalized `Bank ID`, `Account Number`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Receiver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`Dataset Variant`, `To Bank`, `Account.1`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`Dataset Variant`, normalized `Bank ID`, `Account Number`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Normalize bank IDs only for matching (for example, `010` and `10` compare as the same numeric ID); preserve the original source value for display and audit.</w:t>
      </w:r>
    </w:p>
    <w:p>
      <w:pPr>
        <w:pStyle w:val="ListBullet"/>
        <w:spacing w:after="60"/>
      </w:pPr>
      <w:r>
        <w:t>Keep `Dataset Variant` in the join key so records from different samples are not accidentally joined.</w:t>
      </w:r>
    </w:p>
    <w:p>
      <w:pPr>
        <w:pStyle w:val="ListBullet"/>
        <w:spacing w:after="60"/>
      </w:pPr>
      <w:r>
        <w:t>After joining, check match rates and unmatched rows on both sides. Investigate unexpected unmatched records; do not silently treat them as having no owner.</w:t>
      </w:r>
    </w:p>
    <w:p>
      <w:pPr>
        <w:pStyle w:val="ListBullet"/>
        <w:spacing w:after="60"/>
      </w:pPr>
      <w:r>
        <w:t>Use `Entity Name` for the account owner and `Bank Name` for the source-provided bank name when available.</w:t>
      </w:r>
    </w:p>
    <w:p>
      <w:pPr>
        <w:pStyle w:val="ListBullet"/>
        <w:spacing w:after="60"/>
      </w:pPr>
      <w:r>
        <w:t>If a transaction table has two account joins, use clearly named sender-owner and receiver-owner fields to prevent confusion.</w:t>
      </w:r>
    </w:p>
    <w:p>
      <w:pPr>
        <w:pStyle w:val="Heading1"/>
      </w:pPr>
      <w:r>
        <w:t>5. Create interpretable behavior summaries</w:t>
      </w:r>
    </w:p>
    <w:p>
      <w:r>
        <w:t>Start with descriptive summaries before introducing a model. Group the data by account/entity and time, and preserve the currency context.</w:t>
      </w:r>
    </w:p>
    <w:p>
      <w:pPr>
        <w:pStyle w:val="ListBullet"/>
        <w:spacing w:after="60"/>
      </w:pPr>
      <w:r>
        <w:t>Incoming and outgoing transaction counts and totals by account/entity and time window.</w:t>
      </w:r>
    </w:p>
    <w:p>
      <w:pPr>
        <w:pStyle w:val="ListBullet"/>
        <w:spacing w:after="60"/>
      </w:pPr>
      <w:r>
        <w:t>Typical transaction amount and variability for each account, calculated separately by currency.</w:t>
      </w:r>
    </w:p>
    <w:p>
      <w:pPr>
        <w:pStyle w:val="ListBullet"/>
        <w:spacing w:after="60"/>
      </w:pPr>
      <w:r>
        <w:t>Number of distinct counterparties and banks, including newly observed counterparties where history permits.</w:t>
      </w:r>
    </w:p>
    <w:p>
      <w:pPr>
        <w:pStyle w:val="ListBullet"/>
        <w:spacing w:after="60"/>
      </w:pPr>
      <w:r>
        <w:t>Time between an incoming credit and subsequent outgoing debit, as a possible rapid-throughput indicator.</w:t>
      </w:r>
    </w:p>
    <w:p>
      <w:pPr>
        <w:pStyle w:val="ListBullet"/>
        <w:spacing w:after="60"/>
      </w:pPr>
      <w:r>
        <w:t>Repeated sender-receiver relationships, high-frequency bursts, and paths where funds appear to return to an earlier account.</w:t>
      </w:r>
    </w:p>
    <w:p>
      <w:pPr>
        <w:pStyle w:val="ListBullet"/>
        <w:spacing w:after="60"/>
      </w:pPr>
      <w:r>
        <w:t>Payment-format and currency-pair distributions for each account/entity.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Currency control: </w:t>
            </w:r>
            <w:r>
              <w:t>The paid amount and received amount can be denominated in different currencies. Keep totals separated by currency unless an approved FX rate source, conversion timestamp, and conversion method are specified.</w:t>
            </w:r>
          </w:p>
        </w:tc>
      </w:tr>
    </w:tbl>
    <w:p>
      <w:pPr>
        <w:spacing w:after="20"/>
      </w:pPr>
    </w:p>
    <w:p>
      <w:pPr>
        <w:pStyle w:val="Heading1"/>
      </w:pPr>
      <w:r>
        <w:t>6. Define review rules and alert logic</w:t>
      </w:r>
    </w:p>
    <w:p>
      <w:r>
        <w:t>Treat each item below as an investigation hypothesis. Set thresholds from observed baselines and operational capacity; do not present example concepts as proven laundering.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Pattern hypothesis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Possible indicator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to inspect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Unusual amount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Amount far outside this account's normal range.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Account history, currency, comparable activity, related transfers.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Activity burst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Transaction count/value rises sharply within a short window.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Exact transactions, prior baseline, counterparties, time spacing.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Many counterparties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Sudden increase in distinct recipients or sending parties.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New vs established relationships, shared entities, timing.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Rapid pass-through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Funds received and then sent onward soon after.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Incoming/outgoing amount and currency, timing, linked transfer chain.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Circular movement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Funds appear to return through a sequence of accounts.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Full path, time order, amounts/currency; account for unrelated flows.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Repeated small transfers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Many individually small transfers aggregate to notable flow.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Aggregate by entity/account, time window, counterparty, currency.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Format anomaly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Format differs from the account's own historical pattern.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Customer/account baseline and transaction context; format alone is insufficient.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Use a documented baseline and window for each rule; state whether thresholds are illustrative or calibrated.</w:t>
      </w:r>
    </w:p>
    <w:p>
      <w:pPr>
        <w:pStyle w:val="ListBullet"/>
        <w:spacing w:after="60"/>
      </w:pPr>
      <w:r>
        <w:t>Avoid one universal monetary threshold across currencies, variants, or account types.</w:t>
      </w:r>
    </w:p>
    <w:p>
      <w:pPr>
        <w:pStyle w:val="ListBullet"/>
        <w:spacing w:after="60"/>
      </w:pPr>
      <w:r>
        <w:t>Record which transactions triggered each rule and the feature values that caused the trigger.</w:t>
      </w:r>
    </w:p>
    <w:p>
      <w:pPr>
        <w:pStyle w:val="ListBullet"/>
        <w:spacing w:after="60"/>
      </w:pPr>
      <w:r>
        <w:t>Combine indicators carefully and retain rule-level reasons; a composite score must remain explainable.</w:t>
      </w:r>
    </w:p>
    <w:p>
      <w:pPr>
        <w:pStyle w:val="ListBullet"/>
        <w:spacing w:after="60"/>
      </w:pPr>
      <w:r>
        <w:t>Review a sample of non-alerted as well as alerted records when evaluating detection quality.</w:t>
      </w:r>
    </w:p>
    <w:p>
      <w:pPr>
        <w:pStyle w:val="Heading1"/>
      </w:pPr>
      <w:r>
        <w:t>7. Investigate and document each alert</w:t>
      </w:r>
    </w:p>
    <w:p>
      <w:pPr>
        <w:pStyle w:val="ListNumber"/>
        <w:spacing w:after="80"/>
      </w:pPr>
      <w:r>
        <w:t>Capture the alert/rule name, run date, dataset variant, window, and rule version.</w:t>
      </w:r>
    </w:p>
    <w:p>
      <w:pPr>
        <w:pStyle w:val="ListNumber"/>
        <w:spacing w:after="80"/>
      </w:pPr>
      <w:r>
        <w:t>List every supporting `Transaction Key` in chronological order, not just the first triggering row.</w:t>
      </w:r>
    </w:p>
    <w:p>
      <w:pPr>
        <w:pStyle w:val="ListNumber"/>
        <w:spacing w:after="80"/>
      </w:pPr>
      <w:r>
        <w:t>Show sender and receiver bank/account codes plus linked entity names, where the account match succeeded.</w:t>
      </w:r>
    </w:p>
    <w:p>
      <w:pPr>
        <w:pStyle w:val="ListNumber"/>
        <w:spacing w:after="80"/>
      </w:pPr>
      <w:r>
        <w:t>Show timestamp, debit and credit amounts, their respective currencies, payment format, and IBM label.</w:t>
      </w:r>
    </w:p>
    <w:p>
      <w:pPr>
        <w:pStyle w:val="ListNumber"/>
        <w:spacing w:after="80"/>
      </w:pPr>
      <w:r>
        <w:t>Explain in plain language what pattern was observed and why it deserves review.</w:t>
      </w:r>
    </w:p>
    <w:p>
      <w:pPr>
        <w:pStyle w:val="ListNumber"/>
        <w:spacing w:after="80"/>
      </w:pPr>
      <w:r>
        <w:t>State alternative benign explanations, data limitations, missing joins, and any currency treatment.</w:t>
      </w:r>
    </w:p>
    <w:p>
      <w:pPr>
        <w:pStyle w:val="ListNumber"/>
        <w:spacing w:after="80"/>
      </w:pPr>
      <w:r>
        <w:t>Record the analyst disposition as a project-review outcome (for example, needs more context / not prioritized / escalated for further review). Do not claim a legal finding.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Minimum reproducibility: </w:t>
            </w:r>
            <w:r>
              <w:t>A second analyst should be able to reproduce the alert from the variant, rule/version, time window, keys, and documented calculation. If not, the alert explanation is incomplete.</w:t>
            </w:r>
          </w:p>
        </w:tc>
      </w:tr>
    </w:tbl>
    <w:p>
      <w:pPr>
        <w:spacing w:after="20"/>
      </w:pPr>
    </w:p>
    <w:p>
      <w:pPr>
        <w:pStyle w:val="Heading1"/>
      </w:pPr>
      <w:r>
        <w:t>8. Evaluate rules using the IBM label</w:t>
      </w:r>
    </w:p>
    <w:p>
      <w:pPr>
        <w:pStyle w:val="ListBullet"/>
        <w:spacing w:after="60"/>
      </w:pPr>
      <w:r>
        <w:t>Compare predicted alerts with `Is Laundering` only after the rule/features are defined; clearly label this as evaluation against simulator labels.</w:t>
      </w:r>
    </w:p>
    <w:p>
      <w:pPr>
        <w:pStyle w:val="ListBullet"/>
        <w:spacing w:after="60"/>
      </w:pPr>
      <w:r>
        <w:t>Report true positives, false positives, false negatives, precision, recall, F1, and the number of alerts requiring review.</w:t>
      </w:r>
    </w:p>
    <w:p>
      <w:pPr>
        <w:pStyle w:val="ListBullet"/>
        <w:spacing w:after="60"/>
      </w:pPr>
      <w:r>
        <w:t>Use a time-aware or scenario-aware split if training/tuning a model; avoid leaking the label into model features.</w:t>
      </w:r>
    </w:p>
    <w:p>
      <w:pPr>
        <w:pStyle w:val="ListBullet"/>
        <w:spacing w:after="60"/>
      </w:pPr>
      <w:r>
        <w:t>Inspect performance across variants and relevant subgroups; a good aggregate score may hide poor coverage.</w:t>
      </w:r>
    </w:p>
    <w:p>
      <w:pPr>
        <w:pStyle w:val="ListBullet"/>
        <w:spacing w:after="60"/>
      </w:pPr>
      <w:r>
        <w:t>Do not use a label-derived field as a detection input. Keep label-based evaluation separate from operational rule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 xml:space="preserve">Interpretation: </w:t>
            </w:r>
            <w:r>
              <w:t>The IBM label provides a benchmark for this synthetic dataset. It is not evidence that a real account or person committed money laundering.</w:t>
            </w:r>
          </w:p>
        </w:tc>
      </w:tr>
    </w:tbl>
    <w:p>
      <w:pPr>
        <w:spacing w:after="20"/>
      </w:pPr>
    </w:p>
    <w:p>
      <w:pPr>
        <w:pStyle w:val="Heading1"/>
      </w:pPr>
      <w:r>
        <w:t>9. Final reporting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Report item</w:t>
            </w:r>
          </w:p>
        </w:tc>
        <w:tc>
          <w:tcPr>
            <w:tcW w:type="dxa" w:w="84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state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Scope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Variant, source/staged file, date range, row count, filters.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Method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Join keys, rules, windows, baselines, currency handling, and rule version.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Finding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What behavior was observed, counts/amounts by currency, and involved entities/accounts.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Trace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Transaction keys and chronological transaction details.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Evaluation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Metrics against IBM label and alert volume; explain limitations.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Conclusion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What can be said from this analysis, what cannot, and recommended next review.</w:t>
            </w:r>
          </w:p>
        </w:tc>
      </w:tr>
    </w:tbl>
    <w:p>
      <w:pPr>
        <w:spacing w:after="20"/>
      </w:pPr>
    </w:p>
    <w:p>
      <w:pPr>
        <w:pStyle w:val="Heading1"/>
      </w:pPr>
      <w:r>
        <w:t>Important facts at a glance</w:t>
      </w:r>
    </w:p>
    <w:p>
      <w:pPr>
        <w:pStyle w:val="ListBullet"/>
        <w:spacing w:after="60"/>
      </w:pPr>
      <w:r>
        <w:t>One transaction row is a money movement from an origin account to a destination account.</w:t>
      </w:r>
    </w:p>
    <w:p>
      <w:pPr>
        <w:pStyle w:val="ListBullet"/>
        <w:spacing w:after="60"/>
      </w:pPr>
      <w:r>
        <w:t>`Amount Paid`/`Debit Amount` is sender-side outflow; `Amount Received`/`Credit Amount` is receiver-side inflow.</w:t>
      </w:r>
    </w:p>
    <w:p>
      <w:pPr>
        <w:pStyle w:val="ListBullet"/>
        <w:spacing w:after="60"/>
      </w:pPr>
      <w:r>
        <w:t>Always read amounts with their corresponding currency.</w:t>
      </w:r>
    </w:p>
    <w:p>
      <w:pPr>
        <w:pStyle w:val="ListBullet"/>
        <w:spacing w:after="60"/>
      </w:pPr>
      <w:r>
        <w:t>Bank IDs in transactions are codes; use account data for source-provided bank names and entity ownership.</w:t>
      </w:r>
    </w:p>
    <w:p>
      <w:pPr>
        <w:pStyle w:val="ListBullet"/>
        <w:spacing w:after="60"/>
      </w:pPr>
      <w:r>
        <w:t>Join by variant + normalized bank ID + account number, not account number alone.</w:t>
      </w:r>
    </w:p>
    <w:p>
      <w:pPr>
        <w:pStyle w:val="ListBullet"/>
        <w:spacing w:after="60"/>
      </w:pPr>
      <w:r>
        <w:t>`Transaction Key` is generated for traceability; it is not a source-system identifier.</w:t>
      </w:r>
    </w:p>
    <w:p>
      <w:pPr>
        <w:pStyle w:val="ListBullet"/>
        <w:spacing w:after="60"/>
      </w:pPr>
      <w:r>
        <w:t>`Is Laundering` is a simulator label, not a real-world determination.</w:t>
      </w:r>
    </w:p>
    <w:p>
      <w:pPr>
        <w:pStyle w:val="ListBullet"/>
        <w:spacing w:after="60"/>
      </w:pPr>
      <w:r>
        <w:t>Unusual behavior creates a review lead; context, evidence, and human review are required.</w:t>
      </w:r>
    </w:p>
    <w:p>
      <w:pPr>
        <w:pStyle w:val="Heading1"/>
      </w:pPr>
      <w:r>
        <w:t>Project references</w:t>
      </w:r>
    </w:p>
    <w:p>
      <w:pPr>
        <w:pStyle w:val="ListBullet"/>
        <w:spacing w:after="60"/>
      </w:pPr>
      <w:r>
        <w:t>`README.md` — project overview and folder map.</w:t>
      </w:r>
    </w:p>
    <w:p>
      <w:pPr>
        <w:pStyle w:val="ListBullet"/>
        <w:spacing w:after="60"/>
      </w:pPr>
      <w:r>
        <w:t>`docs/ACCOUNT_AND_BANK_IDENTIFIER_GUIDE.md` — account keys, bank identifiers, and safe joins.</w:t>
      </w:r>
    </w:p>
    <w:p>
      <w:pPr>
        <w:pStyle w:val="ListBullet"/>
        <w:spacing w:after="60"/>
      </w:pPr>
      <w:r>
        <w:t>`docs/RYNO_UDM_ANALYSIS.md` — conversion assumptions and limitations.</w:t>
      </w:r>
    </w:p>
    <w:p>
      <w:pPr>
        <w:pStyle w:val="ListBullet"/>
        <w:spacing w:after="60"/>
      </w:pPr>
      <w:r>
        <w:t>`docs/POWERBI_DATA_STAGING.md` — source inventory, staging outputs, and join guidance.</w:t>
      </w:r>
    </w:p>
    <w:p>
      <w:pPr>
        <w:pStyle w:val="ListBullet"/>
        <w:spacing w:after="60"/>
      </w:pPr>
      <w:r>
        <w:t>`analysis/stage_aml_for_powerbi.py` — reproducible source-to-Parquet staging process.</w:t>
      </w:r>
    </w:p>
    <w:p>
      <w:pPr>
        <w:pStyle w:val="ListBullet"/>
        <w:spacing w:after="60"/>
      </w:pPr>
      <w:r>
        <w:t>`Reports/PowerBI/` — the original report, walkthrough, and preserved report copies.</w:t>
      </w:r>
    </w:p>
    <w:p>
      <w:pPr>
        <w:pStyle w:val="ListBullet"/>
        <w:spacing w:after="60"/>
      </w:pPr>
      <w:r>
        <w:t>`powerbi_staging/manifest.json` and the per-variant quality JSON — actual staged paths and quality 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Working guide for analysis and training  |  Synthetic data; not a real-world case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6"/>
      </w:rPr>
      <w:t>IBM AML DATA  |  ANALYSIS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AML Transaction Analysis Procedure</dc:title>
  <dc:subject>Step-by-step interpretation and review procedure for IBM synthetic AML data</dc:subject>
  <dc:creator>AML Analysis Project</dc:creator>
  <cp:keywords>AML, transaction monitoring, IBM synthetic data, interpretation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