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drawing>
          <wp:inline distT="0" distB="0" distL="0" distR="0">
            <wp:extent cx="552450" cy="552450"/>
            <wp:effectExtent t="0" r="0" b="0" l="0"/>
            <wp:docPr id="1" name="FrameworkOPSLogo" descr="Framework OPS logo" title="Framework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 cy="552450"/>
                    </a:xfrm>
                    <a:prstGeom prst="rect">
                      <a:avLst/>
                    </a:prstGeom>
                  </pic:spPr>
                </pic:pic>
              </a:graphicData>
            </a:graphic>
          </wp:inline>
        </w:drawing>
      </w:r>
    </w:p>
    <w:p>
      <w:pPr>
        <w:pBdr>
          <w:bottom w:val="single" w:color="10B981" w:sz="24" w:space="10"/>
        </w:pBdr>
        <w:spacing w:after="0" w:before="200"/>
      </w:pPr>
      <w:r>
        <w:rPr>
          <w:b/>
          <w:bCs/>
          <w:color w:val="0F2741"/>
          <w:sz w:val="30"/>
          <w:szCs w:val="30"/>
        </w:rPr>
        <w:t xml:space="preserve">FRAMEWORK</w:t>
      </w:r>
      <w:r>
        <w:rPr>
          <w:b/>
          <w:bCs/>
          <w:color w:val="10B981"/>
          <w:sz w:val="30"/>
          <w:szCs w:val="30"/>
        </w:rPr>
        <w:t xml:space="preserve"> OPS</w:t>
      </w:r>
    </w:p>
    <w:p>
      <w:pPr>
        <w:spacing w:after="280" w:before="760"/>
      </w:pPr>
      <w:r>
        <w:rPr>
          <w:b/>
          <w:bCs/>
          <w:color w:val="94A3B8"/>
          <w:sz w:val="28"/>
          <w:szCs w:val="28"/>
        </w:rPr>
        <w:t xml:space="preserve">OPS ASSESSMENT</w:t>
      </w:r>
    </w:p>
    <w:p>
      <w:pPr>
        <w:spacing w:after="200" w:before="120"/>
      </w:pPr>
      <w:r>
        <w:rPr>
          <w:b/>
          <w:bCs/>
          <w:color w:val="0F2741"/>
          <w:sz w:val="60"/>
          <w:szCs w:val="60"/>
        </w:rPr>
        <w:t xml:space="preserve">DiBara Masonry</w:t>
      </w:r>
    </w:p>
    <w:p>
      <w:pPr>
        <w:spacing w:after="900"/>
      </w:pPr>
      <w:r>
        <w:rPr>
          <w:i/>
          <w:iCs/>
          <w:color w:val="94A3B8"/>
          <w:sz w:val="26"/>
          <w:szCs w:val="26"/>
        </w:rPr>
        <w:t xml:space="preserve">Operational maturity assessment across ten dimensions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tblGrid>
      <w:tr>
        <w:tc>
          <w:tcPr>
            <w:tcW w:type="dxa" w:w="2200"/>
            <w:tcBorders>
              <w:top w:val="none"/>
              <w:left w:val="none"/>
              <w:bottom w:val="none"/>
              <w:right w:val="none"/>
            </w:tcBorders>
            <w:tcMar>
              <w:top w:type="dxa" w:w="60"/>
              <w:left w:type="dxa" w:w="0"/>
              <w:bottom w:type="dxa" w:w="60"/>
              <w:right w:type="dxa" w:w="120"/>
            </w:tcMar>
          </w:tcPr>
          <w:p>
            <w:r>
              <w:rPr>
                <w:b/>
                <w:bCs/>
                <w:color w:val="059669"/>
                <w:sz w:val="17"/>
                <w:szCs w:val="17"/>
              </w:rPr>
              <w:t xml:space="preserve">CLIENT</w:t>
            </w:r>
          </w:p>
        </w:tc>
        <w:tc>
          <w:tcPr>
            <w:tcW w:type="dxa" w:w="4200"/>
            <w:tcBorders>
              <w:top w:val="none"/>
              <w:left w:val="none"/>
              <w:bottom w:val="none"/>
              <w:right w:val="none"/>
            </w:tcBorders>
            <w:tcMar>
              <w:top w:type="dxa" w:w="60"/>
              <w:left w:type="dxa" w:w="0"/>
              <w:bottom w:type="dxa" w:w="60"/>
              <w:right w:type="dxa" w:w="0"/>
            </w:tcMar>
          </w:tcPr>
          <w:p>
            <w:r>
              <w:rPr>
                <w:color w:val="0F2741"/>
                <w:sz w:val="21"/>
                <w:szCs w:val="21"/>
              </w:rPr>
              <w:t xml:space="preserve">DiBara Masonry — masonry &amp; concrete contractor</w:t>
            </w:r>
          </w:p>
        </w:tc>
      </w:tr>
      <w:tr>
        <w:tc>
          <w:tcPr>
            <w:tcW w:type="dxa" w:w="2200"/>
            <w:tcBorders>
              <w:top w:val="none"/>
              <w:left w:val="none"/>
              <w:bottom w:val="none"/>
              <w:right w:val="none"/>
            </w:tcBorders>
            <w:tcMar>
              <w:top w:type="dxa" w:w="60"/>
              <w:left w:type="dxa" w:w="0"/>
              <w:bottom w:type="dxa" w:w="60"/>
              <w:right w:type="dxa" w:w="120"/>
            </w:tcMar>
          </w:tcPr>
          <w:p>
            <w:r>
              <w:rPr>
                <w:b/>
                <w:bCs/>
                <w:color w:val="059669"/>
                <w:sz w:val="17"/>
                <w:szCs w:val="17"/>
              </w:rPr>
              <w:t xml:space="preserve">MARKET</w:t>
            </w:r>
          </w:p>
        </w:tc>
        <w:tc>
          <w:tcPr>
            <w:tcW w:type="dxa" w:w="4200"/>
            <w:tcBorders>
              <w:top w:val="none"/>
              <w:left w:val="none"/>
              <w:bottom w:val="none"/>
              <w:right w:val="none"/>
            </w:tcBorders>
            <w:tcMar>
              <w:top w:type="dxa" w:w="60"/>
              <w:left w:type="dxa" w:w="0"/>
              <w:bottom w:type="dxa" w:w="60"/>
              <w:right w:type="dxa" w:w="0"/>
            </w:tcMar>
          </w:tcPr>
          <w:p>
            <w:r>
              <w:rPr>
                <w:color w:val="0F2741"/>
                <w:sz w:val="21"/>
                <w:szCs w:val="21"/>
              </w:rPr>
              <w:t xml:space="preserve">Los Angeles, CA</w:t>
            </w:r>
          </w:p>
        </w:tc>
      </w:tr>
      <w:tr>
        <w:tc>
          <w:tcPr>
            <w:tcW w:type="dxa" w:w="2200"/>
            <w:tcBorders>
              <w:top w:val="none"/>
              <w:left w:val="none"/>
              <w:bottom w:val="none"/>
              <w:right w:val="none"/>
            </w:tcBorders>
            <w:tcMar>
              <w:top w:type="dxa" w:w="60"/>
              <w:left w:type="dxa" w:w="0"/>
              <w:bottom w:type="dxa" w:w="60"/>
              <w:right w:type="dxa" w:w="120"/>
            </w:tcMar>
          </w:tcPr>
          <w:p>
            <w:r>
              <w:rPr>
                <w:b/>
                <w:bCs/>
                <w:color w:val="059669"/>
                <w:sz w:val="17"/>
                <w:szCs w:val="17"/>
              </w:rPr>
              <w:t xml:space="preserve">PREPARED BY</w:t>
            </w:r>
          </w:p>
        </w:tc>
        <w:tc>
          <w:tcPr>
            <w:tcW w:type="dxa" w:w="4200"/>
            <w:tcBorders>
              <w:top w:val="none"/>
              <w:left w:val="none"/>
              <w:bottom w:val="none"/>
              <w:right w:val="none"/>
            </w:tcBorders>
            <w:tcMar>
              <w:top w:type="dxa" w:w="60"/>
              <w:left w:type="dxa" w:w="0"/>
              <w:bottom w:type="dxa" w:w="60"/>
              <w:right w:type="dxa" w:w="0"/>
            </w:tcMar>
          </w:tcPr>
          <w:p>
            <w:r>
              <w:rPr>
                <w:color w:val="0F2741"/>
                <w:sz w:val="21"/>
                <w:szCs w:val="21"/>
              </w:rPr>
              <w:t xml:space="preserve">Chance Peare, Framework OPS LLC</w:t>
            </w:r>
          </w:p>
        </w:tc>
      </w:tr>
      <w:tr>
        <w:tc>
          <w:tcPr>
            <w:tcW w:type="dxa" w:w="2200"/>
            <w:tcBorders>
              <w:top w:val="none"/>
              <w:left w:val="none"/>
              <w:bottom w:val="none"/>
              <w:right w:val="none"/>
            </w:tcBorders>
            <w:tcMar>
              <w:top w:type="dxa" w:w="60"/>
              <w:left w:type="dxa" w:w="0"/>
              <w:bottom w:type="dxa" w:w="60"/>
              <w:right w:type="dxa" w:w="120"/>
            </w:tcMar>
          </w:tcPr>
          <w:p>
            <w:r>
              <w:rPr>
                <w:b/>
                <w:bCs/>
                <w:color w:val="059669"/>
                <w:sz w:val="17"/>
                <w:szCs w:val="17"/>
              </w:rPr>
              <w:t xml:space="preserve">ASSESSMENT DATE</w:t>
            </w:r>
          </w:p>
        </w:tc>
        <w:tc>
          <w:tcPr>
            <w:tcW w:type="dxa" w:w="4200"/>
            <w:tcBorders>
              <w:top w:val="none"/>
              <w:left w:val="none"/>
              <w:bottom w:val="none"/>
              <w:right w:val="none"/>
            </w:tcBorders>
            <w:tcMar>
              <w:top w:type="dxa" w:w="60"/>
              <w:left w:type="dxa" w:w="0"/>
              <w:bottom w:type="dxa" w:w="60"/>
              <w:right w:type="dxa" w:w="0"/>
            </w:tcMar>
          </w:tcPr>
          <w:p>
            <w:r>
              <w:rPr>
                <w:color w:val="0F2741"/>
                <w:sz w:val="21"/>
                <w:szCs w:val="21"/>
              </w:rPr>
              <w:t xml:space="preserve">May 19, 2026</w:t>
            </w:r>
          </w:p>
        </w:tc>
      </w:tr>
      <w:tr>
        <w:tc>
          <w:tcPr>
            <w:tcW w:type="dxa" w:w="2200"/>
            <w:tcBorders>
              <w:top w:val="none"/>
              <w:left w:val="none"/>
              <w:bottom w:val="none"/>
              <w:right w:val="none"/>
            </w:tcBorders>
            <w:tcMar>
              <w:top w:type="dxa" w:w="60"/>
              <w:left w:type="dxa" w:w="0"/>
              <w:bottom w:type="dxa" w:w="60"/>
              <w:right w:type="dxa" w:w="120"/>
            </w:tcMar>
          </w:tcPr>
          <w:p>
            <w:r>
              <w:rPr>
                <w:b/>
                <w:bCs/>
                <w:color w:val="059669"/>
                <w:sz w:val="17"/>
                <w:szCs w:val="17"/>
              </w:rPr>
              <w:t xml:space="preserve">STATUS</w:t>
            </w:r>
          </w:p>
        </w:tc>
        <w:tc>
          <w:tcPr>
            <w:tcW w:type="dxa" w:w="4200"/>
            <w:tcBorders>
              <w:top w:val="none"/>
              <w:left w:val="none"/>
              <w:bottom w:val="none"/>
              <w:right w:val="none"/>
            </w:tcBorders>
            <w:tcMar>
              <w:top w:type="dxa" w:w="60"/>
              <w:left w:type="dxa" w:w="0"/>
              <w:bottom w:type="dxa" w:w="60"/>
              <w:right w:type="dxa" w:w="0"/>
            </w:tcMar>
          </w:tcPr>
          <w:p>
            <w:r>
              <w:rPr>
                <w:color w:val="0F2741"/>
                <w:sz w:val="21"/>
                <w:szCs w:val="21"/>
              </w:rPr>
              <w:t xml:space="preserve">Sample — discovery-stage draft</w:t>
            </w:r>
          </w:p>
        </w:tc>
      </w:tr>
    </w:tbl>
    <w:p>
      <w:r>
        <w:br w:type="page"/>
      </w:r>
    </w:p>
    <w:p>
      <w:pPr>
        <w:pStyle w:val="Heading1"/>
      </w:pPr>
      <w: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9E0B" w:sz="18"/>
              <w:bottom w:val="none"/>
              <w:right w:val="none"/>
            </w:tcBorders>
            <w:shd w:fill="FEF6E7" w:val="clear"/>
            <w:tcMar>
              <w:top w:type="dxa" w:w="140"/>
              <w:left w:type="dxa" w:w="200"/>
              <w:bottom w:type="dxa" w:w="140"/>
              <w:right w:type="dxa" w:w="200"/>
            </w:tcMar>
          </w:tcPr>
          <w:p>
            <w:pPr>
              <w:spacing w:after="80"/>
            </w:pPr>
            <w:r>
              <w:rPr>
                <w:b/>
                <w:bCs/>
                <w:color w:val="0F2741"/>
                <w:sz w:val="20"/>
                <w:szCs w:val="20"/>
              </w:rPr>
              <w:t xml:space="preserve">SAMPLE DOCUMENT</w:t>
            </w:r>
          </w:p>
          <w:p>
            <w:r>
              <w:rPr>
                <w:sz w:val="20"/>
                <w:szCs w:val="20"/>
              </w:rPr>
              <w:t xml:space="preserve">Generated from the discovery-call recap and project brief only. No Phase 0 intake form, stakeholder interviews, or P&amp;L review have been completed. Five of ten dimensions are marked Insufficient data — pending diagnostic. Scored dimensions rest on discovery-call evidence and would be confirmed in the 90-minute diagnostic. Treat all scores as provisional.</w:t>
            </w:r>
          </w:p>
        </w:tc>
      </w:tr>
    </w:tbl>
    <w:p>
      <w:pPr>
        <w:spacing w:after="60"/>
      </w:pPr>
    </w:p>
    <w:p>
      <w:pPr>
        <w:pStyle w:val="Heading1"/>
      </w:pPr>
      <w:r>
        <w:t xml:space="preserve">1. Executive Summary</w:t>
      </w:r>
    </w:p>
    <w:p>
      <w:pPr>
        <w:spacing w:after="120"/>
      </w:pPr>
      <w:r>
        <w:t xml:space="preserve">DiBara is a $12M masonry and concrete contractor in Los Angeles that has built real revenue without building the operating infrastructure to support it. The single biggest constraint is financial blindness at the job level: the weekly financial review runs at the P&amp;L level only, so margin cannot be measured, defended, or recovered job by job.</w:t>
      </w:r>
    </w:p>
    <w:p>
      <w:pPr>
        <w:spacing w:after="120"/>
      </w:pPr>
      <w:r>
        <w:t xml:space="preserve">Compounding it, no one owns the work order and subcontractors procure their own materials — meaning one of the largest cost lines in the business sits outside DiBara's direct control. The headline opportunity is straightforward: install job costing and work-order ownership, and DiBara converts a $12M top line it cannot see into one it can manage.</w:t>
      </w:r>
    </w:p>
    <w:p>
      <w:pPr>
        <w:spacing w:after="120"/>
      </w:pPr>
      <w:r>
        <w:t xml:space="preserve">Provisional scorecard average (5 of 10 dimensions scored): </w:t>
      </w:r>
      <w:r>
        <w:rPr>
          <w:b/>
          <w:bCs/>
          <w:color w:val="0F2741"/>
        </w:rPr>
        <w:t xml:space="preserve">2.2 / 5</w:t>
      </w:r>
      <w:r>
        <w:t xml:space="preserve"> — early-stage operational maturity, consistent with a company whose revenue has outgrown its systems. Weakest dimensions: Sales handoff, Job execution, Owner dependency, and Hiring — all scored 2.</w:t>
      </w:r>
    </w:p>
    <w:p>
      <w:pPr>
        <w:pStyle w:val="Heading1"/>
      </w:pPr>
      <w:r>
        <w:t xml:space="preserve">2. Scored Rubric</w:t>
      </w:r>
    </w:p>
    <w:p>
      <w:pPr>
        <w:spacing w:after="120"/>
        <w:rPr>
          <w:i/>
          <w:iCs/>
          <w:color w:val="94A3B8"/>
          <w:sz w:val="19"/>
          <w:szCs w:val="19"/>
        </w:rPr>
      </w:pPr>
      <w:r>
        <w:rPr>
          <w:i/>
          <w:iCs/>
          <w:color w:val="94A3B8"/>
          <w:sz w:val="19"/>
          <w:szCs w:val="19"/>
        </w:rPr>
        <w:t xml:space="preserve">Scoring guide — 1: nonexistent / chaotic · 2: inconsistent / undocumented · 3: documented, not consistently followed · 4: documented + followed, not optimized · 5: optimized + improving.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740"/>
        <w:gridCol w:w="3000"/>
      </w:tblGrid>
      <w:tr>
        <w:trPr>
          <w:tblHeader/>
        </w:trPr>
        <w:tc>
          <w:tcPr>
            <w:tcW w:type="dxa" w:w="620"/>
            <w:tcBorders>
              <w:top w:val="single" w:color="D8DEE6" w:sz="1"/>
              <w:left w:val="single" w:color="D8DEE6" w:sz="1"/>
              <w:bottom w:val="single" w:color="D8DEE6" w:sz="1"/>
              <w:right w:val="single" w:color="D8DEE6" w:sz="1"/>
            </w:tcBorders>
            <w:shd w:fill="0F2741" w:val="clear"/>
            <w:tcMar>
              <w:top w:type="dxa" w:w="80"/>
              <w:left w:type="dxa" w:w="120"/>
              <w:bottom w:type="dxa" w:w="80"/>
              <w:right w:type="dxa" w:w="120"/>
            </w:tcMar>
            <w:vAlign w:val="center"/>
          </w:tcPr>
          <w:p>
            <w:r>
              <w:rPr>
                <w:b/>
                <w:bCs/>
                <w:color w:val="FFFFFF"/>
              </w:rPr>
              <w:t xml:space="preserve">#</w:t>
            </w:r>
          </w:p>
        </w:tc>
        <w:tc>
          <w:tcPr>
            <w:tcW w:type="dxa" w:w="5740"/>
            <w:tcBorders>
              <w:top w:val="single" w:color="D8DEE6" w:sz="1"/>
              <w:left w:val="single" w:color="D8DEE6" w:sz="1"/>
              <w:bottom w:val="single" w:color="D8DEE6" w:sz="1"/>
              <w:right w:val="single" w:color="D8DEE6" w:sz="1"/>
            </w:tcBorders>
            <w:shd w:fill="0F2741" w:val="clear"/>
            <w:tcMar>
              <w:top w:type="dxa" w:w="80"/>
              <w:left w:type="dxa" w:w="120"/>
              <w:bottom w:type="dxa" w:w="80"/>
              <w:right w:type="dxa" w:w="120"/>
            </w:tcMar>
            <w:vAlign w:val="center"/>
          </w:tcPr>
          <w:p>
            <w:r>
              <w:rPr>
                <w:b/>
                <w:bCs/>
                <w:color w:val="FFFFFF"/>
              </w:rPr>
              <w:t xml:space="preserve">Dimension</w:t>
            </w:r>
          </w:p>
        </w:tc>
        <w:tc>
          <w:tcPr>
            <w:tcW w:type="dxa" w:w="3000"/>
            <w:tcBorders>
              <w:top w:val="single" w:color="D8DEE6" w:sz="1"/>
              <w:left w:val="single" w:color="D8DEE6" w:sz="1"/>
              <w:bottom w:val="single" w:color="D8DEE6" w:sz="1"/>
              <w:right w:val="single" w:color="D8DEE6" w:sz="1"/>
            </w:tcBorders>
            <w:shd w:fill="0F2741" w:val="clear"/>
            <w:tcMar>
              <w:top w:type="dxa" w:w="80"/>
              <w:left w:type="dxa" w:w="120"/>
              <w:bottom w:type="dxa" w:w="80"/>
              <w:right w:type="dxa" w:w="120"/>
            </w:tcMar>
            <w:vAlign w:val="center"/>
          </w:tcPr>
          <w:p>
            <w:r>
              <w:rPr>
                <w:b/>
                <w:bCs/>
                <w:color w:val="FFFFFF"/>
              </w:rPr>
              <w:t xml:space="preserve">Score (1–5)</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1</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Lead intake</w:t>
            </w:r>
          </w:p>
        </w:tc>
        <w:tc>
          <w:tcPr>
            <w:tcW w:type="dxa" w:w="3000"/>
            <w:tcBorders>
              <w:top w:val="single" w:color="D8DEE6" w:sz="1"/>
              <w:left w:val="single" w:color="D8DEE6" w:sz="1"/>
              <w:bottom w:val="single" w:color="D8DEE6" w:sz="1"/>
              <w:right w:val="single" w:color="D8DEE6" w:sz="1"/>
            </w:tcBorders>
            <w:shd w:fill="94A3B8" w:val="clear"/>
            <w:tcMar>
              <w:top w:type="dxa" w:w="80"/>
              <w:left w:type="dxa" w:w="120"/>
              <w:bottom w:type="dxa" w:w="80"/>
              <w:right w:type="dxa" w:w="120"/>
            </w:tcMar>
            <w:vAlign w:val="center"/>
          </w:tcPr>
          <w:p>
            <w:r>
              <w:rPr>
                <w:b/>
                <w:bCs/>
                <w:color w:val="FFFFFF"/>
              </w:rPr>
              <w:t xml:space="preserve">Insufficient data</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2</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Sales handoff</w:t>
            </w:r>
          </w:p>
        </w:tc>
        <w:tc>
          <w:tcPr>
            <w:tcW w:type="dxa" w:w="3000"/>
            <w:tcBorders>
              <w:top w:val="single" w:color="D8DEE6" w:sz="1"/>
              <w:left w:val="single" w:color="D8DEE6" w:sz="1"/>
              <w:bottom w:val="single" w:color="D8DEE6" w:sz="1"/>
              <w:right w:val="single" w:color="D8DEE6" w:sz="1"/>
            </w:tcBorders>
            <w:shd w:fill="F59E0B" w:val="clear"/>
            <w:tcMar>
              <w:top w:type="dxa" w:w="80"/>
              <w:left w:type="dxa" w:w="120"/>
              <w:bottom w:type="dxa" w:w="80"/>
              <w:right w:type="dxa" w:w="120"/>
            </w:tcMar>
            <w:vAlign w:val="center"/>
          </w:tcPr>
          <w:p>
            <w:r>
              <w:rPr>
                <w:b/>
                <w:bCs/>
                <w:color w:val="0F2741"/>
              </w:rPr>
              <w:t xml:space="preserve">2</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3</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Scheduling</w:t>
            </w:r>
          </w:p>
        </w:tc>
        <w:tc>
          <w:tcPr>
            <w:tcW w:type="dxa" w:w="3000"/>
            <w:tcBorders>
              <w:top w:val="single" w:color="D8DEE6" w:sz="1"/>
              <w:left w:val="single" w:color="D8DEE6" w:sz="1"/>
              <w:bottom w:val="single" w:color="D8DEE6" w:sz="1"/>
              <w:right w:val="single" w:color="D8DEE6" w:sz="1"/>
            </w:tcBorders>
            <w:shd w:fill="94A3B8" w:val="clear"/>
            <w:tcMar>
              <w:top w:type="dxa" w:w="80"/>
              <w:left w:type="dxa" w:w="120"/>
              <w:bottom w:type="dxa" w:w="80"/>
              <w:right w:type="dxa" w:w="120"/>
            </w:tcMar>
            <w:vAlign w:val="center"/>
          </w:tcPr>
          <w:p>
            <w:r>
              <w:rPr>
                <w:b/>
                <w:bCs/>
                <w:color w:val="FFFFFF"/>
              </w:rPr>
              <w:t xml:space="preserve">Insufficient data</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4</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Job execution</w:t>
            </w:r>
          </w:p>
        </w:tc>
        <w:tc>
          <w:tcPr>
            <w:tcW w:type="dxa" w:w="3000"/>
            <w:tcBorders>
              <w:top w:val="single" w:color="D8DEE6" w:sz="1"/>
              <w:left w:val="single" w:color="D8DEE6" w:sz="1"/>
              <w:bottom w:val="single" w:color="D8DEE6" w:sz="1"/>
              <w:right w:val="single" w:color="D8DEE6" w:sz="1"/>
            </w:tcBorders>
            <w:shd w:fill="F59E0B" w:val="clear"/>
            <w:tcMar>
              <w:top w:type="dxa" w:w="80"/>
              <w:left w:type="dxa" w:w="120"/>
              <w:bottom w:type="dxa" w:w="80"/>
              <w:right w:type="dxa" w:w="120"/>
            </w:tcMar>
            <w:vAlign w:val="center"/>
          </w:tcPr>
          <w:p>
            <w:r>
              <w:rPr>
                <w:b/>
                <w:bCs/>
                <w:color w:val="0F2741"/>
              </w:rPr>
              <w:t xml:space="preserve">2</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5</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Quality control</w:t>
            </w:r>
          </w:p>
        </w:tc>
        <w:tc>
          <w:tcPr>
            <w:tcW w:type="dxa" w:w="3000"/>
            <w:tcBorders>
              <w:top w:val="single" w:color="D8DEE6" w:sz="1"/>
              <w:left w:val="single" w:color="D8DEE6" w:sz="1"/>
              <w:bottom w:val="single" w:color="D8DEE6" w:sz="1"/>
              <w:right w:val="single" w:color="D8DEE6" w:sz="1"/>
            </w:tcBorders>
            <w:shd w:fill="94A3B8" w:val="clear"/>
            <w:tcMar>
              <w:top w:type="dxa" w:w="80"/>
              <w:left w:type="dxa" w:w="120"/>
              <w:bottom w:type="dxa" w:w="80"/>
              <w:right w:type="dxa" w:w="120"/>
            </w:tcMar>
            <w:vAlign w:val="center"/>
          </w:tcPr>
          <w:p>
            <w:r>
              <w:rPr>
                <w:b/>
                <w:bCs/>
                <w:color w:val="FFFFFF"/>
              </w:rPr>
              <w:t xml:space="preserve">Insufficient data</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6</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Collections</w:t>
            </w:r>
          </w:p>
        </w:tc>
        <w:tc>
          <w:tcPr>
            <w:tcW w:type="dxa" w:w="3000"/>
            <w:tcBorders>
              <w:top w:val="single" w:color="D8DEE6" w:sz="1"/>
              <w:left w:val="single" w:color="D8DEE6" w:sz="1"/>
              <w:bottom w:val="single" w:color="D8DEE6" w:sz="1"/>
              <w:right w:val="single" w:color="D8DEE6" w:sz="1"/>
            </w:tcBorders>
            <w:shd w:fill="94A3B8" w:val="clear"/>
            <w:tcMar>
              <w:top w:type="dxa" w:w="80"/>
              <w:left w:type="dxa" w:w="120"/>
              <w:bottom w:type="dxa" w:w="80"/>
              <w:right w:type="dxa" w:w="120"/>
            </w:tcMar>
            <w:vAlign w:val="center"/>
          </w:tcPr>
          <w:p>
            <w:r>
              <w:rPr>
                <w:b/>
                <w:bCs/>
                <w:color w:val="FFFFFF"/>
              </w:rPr>
              <w:t xml:space="preserve">Insufficient data</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7</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Customer follow-up</w:t>
            </w:r>
          </w:p>
        </w:tc>
        <w:tc>
          <w:tcPr>
            <w:tcW w:type="dxa" w:w="3000"/>
            <w:tcBorders>
              <w:top w:val="single" w:color="D8DEE6" w:sz="1"/>
              <w:left w:val="single" w:color="D8DEE6" w:sz="1"/>
              <w:bottom w:val="single" w:color="D8DEE6" w:sz="1"/>
              <w:right w:val="single" w:color="D8DEE6" w:sz="1"/>
            </w:tcBorders>
            <w:shd w:fill="94A3B8" w:val="clear"/>
            <w:tcMar>
              <w:top w:type="dxa" w:w="80"/>
              <w:left w:type="dxa" w:w="120"/>
              <w:bottom w:type="dxa" w:w="80"/>
              <w:right w:type="dxa" w:w="120"/>
            </w:tcMar>
            <w:vAlign w:val="center"/>
          </w:tcPr>
          <w:p>
            <w:r>
              <w:rPr>
                <w:b/>
                <w:bCs/>
                <w:color w:val="FFFFFF"/>
              </w:rPr>
              <w:t xml:space="preserve">Insufficient data</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8</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Hiring / onboarding</w:t>
            </w:r>
          </w:p>
        </w:tc>
        <w:tc>
          <w:tcPr>
            <w:tcW w:type="dxa" w:w="3000"/>
            <w:tcBorders>
              <w:top w:val="single" w:color="D8DEE6" w:sz="1"/>
              <w:left w:val="single" w:color="D8DEE6" w:sz="1"/>
              <w:bottom w:val="single" w:color="D8DEE6" w:sz="1"/>
              <w:right w:val="single" w:color="D8DEE6" w:sz="1"/>
            </w:tcBorders>
            <w:shd w:fill="F59E0B" w:val="clear"/>
            <w:tcMar>
              <w:top w:type="dxa" w:w="80"/>
              <w:left w:type="dxa" w:w="120"/>
              <w:bottom w:type="dxa" w:w="80"/>
              <w:right w:type="dxa" w:w="120"/>
            </w:tcMar>
            <w:vAlign w:val="center"/>
          </w:tcPr>
          <w:p>
            <w:r>
              <w:rPr>
                <w:b/>
                <w:bCs/>
                <w:color w:val="0F2741"/>
              </w:rPr>
              <w:t xml:space="preserve">2</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9</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Financial close</w:t>
            </w:r>
          </w:p>
        </w:tc>
        <w:tc>
          <w:tcPr>
            <w:tcW w:type="dxa" w:w="3000"/>
            <w:tcBorders>
              <w:top w:val="single" w:color="D8DEE6" w:sz="1"/>
              <w:left w:val="single" w:color="D8DEE6" w:sz="1"/>
              <w:bottom w:val="single" w:color="D8DEE6" w:sz="1"/>
              <w:right w:val="single" w:color="D8DEE6" w:sz="1"/>
            </w:tcBorders>
            <w:shd w:fill="34D399" w:val="clear"/>
            <w:tcMar>
              <w:top w:type="dxa" w:w="80"/>
              <w:left w:type="dxa" w:w="120"/>
              <w:bottom w:type="dxa" w:w="80"/>
              <w:right w:type="dxa" w:w="120"/>
            </w:tcMar>
            <w:vAlign w:val="center"/>
          </w:tcPr>
          <w:p>
            <w:r>
              <w:rPr>
                <w:b/>
                <w:bCs/>
                <w:color w:val="0F2741"/>
              </w:rPr>
              <w:t xml:space="preserve">3</w:t>
            </w:r>
          </w:p>
        </w:tc>
      </w:tr>
      <w:tr>
        <w:tc>
          <w:tcPr>
            <w:tcW w:type="dxa" w:w="62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10</w:t>
            </w:r>
          </w:p>
        </w:tc>
        <w:tc>
          <w:tcPr>
            <w:tcW w:type="dxa" w:w="5740"/>
            <w:tcBorders>
              <w:top w:val="single" w:color="D8DEE6" w:sz="1"/>
              <w:left w:val="single" w:color="D8DEE6" w:sz="1"/>
              <w:bottom w:val="single" w:color="D8DEE6" w:sz="1"/>
              <w:right w:val="single" w:color="D8DEE6" w:sz="1"/>
            </w:tcBorders>
            <w:tcMar>
              <w:top w:type="dxa" w:w="80"/>
              <w:left w:type="dxa" w:w="120"/>
              <w:bottom w:type="dxa" w:w="80"/>
              <w:right w:type="dxa" w:w="120"/>
            </w:tcMar>
            <w:vAlign w:val="center"/>
          </w:tcPr>
          <w:p>
            <w:r>
              <w:t xml:space="preserve">Owner dependency</w:t>
            </w:r>
          </w:p>
        </w:tc>
        <w:tc>
          <w:tcPr>
            <w:tcW w:type="dxa" w:w="3000"/>
            <w:tcBorders>
              <w:top w:val="single" w:color="D8DEE6" w:sz="1"/>
              <w:left w:val="single" w:color="D8DEE6" w:sz="1"/>
              <w:bottom w:val="single" w:color="D8DEE6" w:sz="1"/>
              <w:right w:val="single" w:color="D8DEE6" w:sz="1"/>
            </w:tcBorders>
            <w:shd w:fill="F59E0B" w:val="clear"/>
            <w:tcMar>
              <w:top w:type="dxa" w:w="80"/>
              <w:left w:type="dxa" w:w="120"/>
              <w:bottom w:type="dxa" w:w="80"/>
              <w:right w:type="dxa" w:w="120"/>
            </w:tcMar>
            <w:vAlign w:val="center"/>
          </w:tcPr>
          <w:p>
            <w:r>
              <w:rPr>
                <w:b/>
                <w:bCs/>
                <w:color w:val="0F2741"/>
              </w:rPr>
              <w:t xml:space="preserve">2</w:t>
            </w:r>
          </w:p>
        </w:tc>
      </w:tr>
    </w:tbl>
    <w:p>
      <w:pPr>
        <w:spacing w:after="80" w:before="200"/>
      </w:pPr>
      <w:r>
        <w:rPr>
          <w:b/>
          <w:bCs/>
          <w:color w:val="0F2741"/>
        </w:rPr>
        <w:t xml:space="preserve">Scored dimensions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c>
          <w:tcPr>
            <w:tcW w:type="dxa" w:w="2400"/>
            <w:tcBorders>
              <w:top w:val="none"/>
              <w:left w:val="none"/>
              <w:bottom w:val="none"/>
              <w:right w:val="none"/>
            </w:tcBorders>
            <w:tcMar>
              <w:top w:type="dxa" w:w="80"/>
              <w:left w:type="dxa" w:w="120"/>
              <w:bottom w:type="dxa" w:w="80"/>
              <w:right w:type="dxa" w:w="120"/>
            </w:tcMar>
            <w:vAlign w:val="center"/>
          </w:tcPr>
          <w:p>
            <w:r>
              <w:rPr>
                <w:b/>
                <w:bCs/>
                <w:sz w:val="20"/>
                <w:szCs w:val="20"/>
              </w:rPr>
              <w:t xml:space="preserve">Sales handoff</w:t>
            </w:r>
          </w:p>
        </w:tc>
        <w:tc>
          <w:tcPr>
            <w:tcW w:type="dxa" w:w="2300"/>
            <w:tcBorders>
              <w:top w:val="none"/>
              <w:left w:val="none"/>
              <w:bottom w:val="none"/>
              <w:right w:val="none"/>
            </w:tcBorders>
            <w:vAlign w:val="center"/>
          </w:tcPr>
          <w:tbl>
            <w:tblPr>
              <w:tblW w:type="dxa" w:w="2300"/>
              <w:tblBorders>
                <w:top w:val="single" w:color="auto" w:sz="4"/>
                <w:left w:val="single" w:color="auto" w:sz="4"/>
                <w:bottom w:val="single" w:color="auto" w:sz="4"/>
                <w:right w:val="single" w:color="auto" w:sz="4"/>
                <w:insideH w:val="single" w:color="auto" w:sz="4"/>
                <w:insideV w:val="single" w:color="auto" w:sz="4"/>
              </w:tblBorders>
            </w:tblPr>
            <w:tblGrid>
              <w:gridCol w:w="460"/>
              <w:gridCol w:w="460"/>
              <w:gridCol w:w="460"/>
              <w:gridCol w:w="460"/>
              <w:gridCol w:w="460"/>
            </w:tblGrid>
            <w:tr>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r>
          </w:tbl>
          <w:p/>
        </w:tc>
        <w:tc>
          <w:tcPr>
            <w:tcW w:type="dxa" w:w="4660"/>
            <w:tcBorders>
              <w:top w:val="none"/>
              <w:left w:val="none"/>
              <w:bottom w:val="none"/>
              <w:right w:val="none"/>
            </w:tcBorders>
            <w:tcMar>
              <w:top w:type="dxa" w:w="80"/>
              <w:left w:type="dxa" w:w="120"/>
              <w:bottom w:type="dxa" w:w="80"/>
              <w:right w:type="dxa" w:w="120"/>
            </w:tcMar>
            <w:vAlign w:val="center"/>
          </w:tcPr>
          <w:p>
            <w:r>
              <w:rPr>
                <w:b/>
                <w:bCs/>
                <w:color w:val="0F2741"/>
              </w:rPr>
              <w:t xml:space="preserve">2 / 5</w:t>
            </w:r>
          </w:p>
        </w:tc>
      </w:tr>
      <w:tr>
        <w:tc>
          <w:tcPr>
            <w:tcW w:type="dxa" w:w="2400"/>
            <w:tcBorders>
              <w:top w:val="none"/>
              <w:left w:val="none"/>
              <w:bottom w:val="none"/>
              <w:right w:val="none"/>
            </w:tcBorders>
            <w:tcMar>
              <w:top w:type="dxa" w:w="80"/>
              <w:left w:type="dxa" w:w="120"/>
              <w:bottom w:type="dxa" w:w="80"/>
              <w:right w:type="dxa" w:w="120"/>
            </w:tcMar>
            <w:vAlign w:val="center"/>
          </w:tcPr>
          <w:p>
            <w:r>
              <w:rPr>
                <w:b/>
                <w:bCs/>
                <w:sz w:val="20"/>
                <w:szCs w:val="20"/>
              </w:rPr>
              <w:t xml:space="preserve">Job execution</w:t>
            </w:r>
          </w:p>
        </w:tc>
        <w:tc>
          <w:tcPr>
            <w:tcW w:type="dxa" w:w="2300"/>
            <w:tcBorders>
              <w:top w:val="none"/>
              <w:left w:val="none"/>
              <w:bottom w:val="none"/>
              <w:right w:val="none"/>
            </w:tcBorders>
            <w:vAlign w:val="center"/>
          </w:tcPr>
          <w:tbl>
            <w:tblPr>
              <w:tblW w:type="dxa" w:w="2300"/>
              <w:tblBorders>
                <w:top w:val="single" w:color="auto" w:sz="4"/>
                <w:left w:val="single" w:color="auto" w:sz="4"/>
                <w:bottom w:val="single" w:color="auto" w:sz="4"/>
                <w:right w:val="single" w:color="auto" w:sz="4"/>
                <w:insideH w:val="single" w:color="auto" w:sz="4"/>
                <w:insideV w:val="single" w:color="auto" w:sz="4"/>
              </w:tblBorders>
            </w:tblPr>
            <w:tblGrid>
              <w:gridCol w:w="460"/>
              <w:gridCol w:w="460"/>
              <w:gridCol w:w="460"/>
              <w:gridCol w:w="460"/>
              <w:gridCol w:w="460"/>
            </w:tblGrid>
            <w:tr>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r>
          </w:tbl>
          <w:p/>
        </w:tc>
        <w:tc>
          <w:tcPr>
            <w:tcW w:type="dxa" w:w="4660"/>
            <w:tcBorders>
              <w:top w:val="none"/>
              <w:left w:val="none"/>
              <w:bottom w:val="none"/>
              <w:right w:val="none"/>
            </w:tcBorders>
            <w:tcMar>
              <w:top w:type="dxa" w:w="80"/>
              <w:left w:type="dxa" w:w="120"/>
              <w:bottom w:type="dxa" w:w="80"/>
              <w:right w:type="dxa" w:w="120"/>
            </w:tcMar>
            <w:vAlign w:val="center"/>
          </w:tcPr>
          <w:p>
            <w:r>
              <w:rPr>
                <w:b/>
                <w:bCs/>
                <w:color w:val="0F2741"/>
              </w:rPr>
              <w:t xml:space="preserve">2 / 5</w:t>
            </w:r>
          </w:p>
        </w:tc>
      </w:tr>
      <w:tr>
        <w:tc>
          <w:tcPr>
            <w:tcW w:type="dxa" w:w="2400"/>
            <w:tcBorders>
              <w:top w:val="none"/>
              <w:left w:val="none"/>
              <w:bottom w:val="none"/>
              <w:right w:val="none"/>
            </w:tcBorders>
            <w:tcMar>
              <w:top w:type="dxa" w:w="80"/>
              <w:left w:type="dxa" w:w="120"/>
              <w:bottom w:type="dxa" w:w="80"/>
              <w:right w:type="dxa" w:w="120"/>
            </w:tcMar>
            <w:vAlign w:val="center"/>
          </w:tcPr>
          <w:p>
            <w:r>
              <w:rPr>
                <w:b/>
                <w:bCs/>
                <w:sz w:val="20"/>
                <w:szCs w:val="20"/>
              </w:rPr>
              <w:t xml:space="preserve">Hiring / onboarding</w:t>
            </w:r>
          </w:p>
        </w:tc>
        <w:tc>
          <w:tcPr>
            <w:tcW w:type="dxa" w:w="2300"/>
            <w:tcBorders>
              <w:top w:val="none"/>
              <w:left w:val="none"/>
              <w:bottom w:val="none"/>
              <w:right w:val="none"/>
            </w:tcBorders>
            <w:vAlign w:val="center"/>
          </w:tcPr>
          <w:tbl>
            <w:tblPr>
              <w:tblW w:type="dxa" w:w="2300"/>
              <w:tblBorders>
                <w:top w:val="single" w:color="auto" w:sz="4"/>
                <w:left w:val="single" w:color="auto" w:sz="4"/>
                <w:bottom w:val="single" w:color="auto" w:sz="4"/>
                <w:right w:val="single" w:color="auto" w:sz="4"/>
                <w:insideH w:val="single" w:color="auto" w:sz="4"/>
                <w:insideV w:val="single" w:color="auto" w:sz="4"/>
              </w:tblBorders>
            </w:tblPr>
            <w:tblGrid>
              <w:gridCol w:w="460"/>
              <w:gridCol w:w="460"/>
              <w:gridCol w:w="460"/>
              <w:gridCol w:w="460"/>
              <w:gridCol w:w="460"/>
            </w:tblGrid>
            <w:tr>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r>
          </w:tbl>
          <w:p/>
        </w:tc>
        <w:tc>
          <w:tcPr>
            <w:tcW w:type="dxa" w:w="4660"/>
            <w:tcBorders>
              <w:top w:val="none"/>
              <w:left w:val="none"/>
              <w:bottom w:val="none"/>
              <w:right w:val="none"/>
            </w:tcBorders>
            <w:tcMar>
              <w:top w:type="dxa" w:w="80"/>
              <w:left w:type="dxa" w:w="120"/>
              <w:bottom w:type="dxa" w:w="80"/>
              <w:right w:type="dxa" w:w="120"/>
            </w:tcMar>
            <w:vAlign w:val="center"/>
          </w:tcPr>
          <w:p>
            <w:r>
              <w:rPr>
                <w:b/>
                <w:bCs/>
                <w:color w:val="0F2741"/>
              </w:rPr>
              <w:t xml:space="preserve">2 / 5</w:t>
            </w:r>
          </w:p>
        </w:tc>
      </w:tr>
      <w:tr>
        <w:tc>
          <w:tcPr>
            <w:tcW w:type="dxa" w:w="2400"/>
            <w:tcBorders>
              <w:top w:val="none"/>
              <w:left w:val="none"/>
              <w:bottom w:val="none"/>
              <w:right w:val="none"/>
            </w:tcBorders>
            <w:tcMar>
              <w:top w:type="dxa" w:w="80"/>
              <w:left w:type="dxa" w:w="120"/>
              <w:bottom w:type="dxa" w:w="80"/>
              <w:right w:type="dxa" w:w="120"/>
            </w:tcMar>
            <w:vAlign w:val="center"/>
          </w:tcPr>
          <w:p>
            <w:r>
              <w:rPr>
                <w:b/>
                <w:bCs/>
                <w:sz w:val="20"/>
                <w:szCs w:val="20"/>
              </w:rPr>
              <w:t xml:space="preserve">Financial close</w:t>
            </w:r>
          </w:p>
        </w:tc>
        <w:tc>
          <w:tcPr>
            <w:tcW w:type="dxa" w:w="2300"/>
            <w:tcBorders>
              <w:top w:val="none"/>
              <w:left w:val="none"/>
              <w:bottom w:val="none"/>
              <w:right w:val="none"/>
            </w:tcBorders>
            <w:vAlign w:val="center"/>
          </w:tcPr>
          <w:tbl>
            <w:tblPr>
              <w:tblW w:type="dxa" w:w="2300"/>
              <w:tblBorders>
                <w:top w:val="single" w:color="auto" w:sz="4"/>
                <w:left w:val="single" w:color="auto" w:sz="4"/>
                <w:bottom w:val="single" w:color="auto" w:sz="4"/>
                <w:right w:val="single" w:color="auto" w:sz="4"/>
                <w:insideH w:val="single" w:color="auto" w:sz="4"/>
                <w:insideV w:val="single" w:color="auto" w:sz="4"/>
              </w:tblBorders>
            </w:tblPr>
            <w:tblGrid>
              <w:gridCol w:w="460"/>
              <w:gridCol w:w="460"/>
              <w:gridCol w:w="460"/>
              <w:gridCol w:w="460"/>
              <w:gridCol w:w="460"/>
            </w:tblGrid>
            <w:tr>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r>
          </w:tbl>
          <w:p/>
        </w:tc>
        <w:tc>
          <w:tcPr>
            <w:tcW w:type="dxa" w:w="4660"/>
            <w:tcBorders>
              <w:top w:val="none"/>
              <w:left w:val="none"/>
              <w:bottom w:val="none"/>
              <w:right w:val="none"/>
            </w:tcBorders>
            <w:tcMar>
              <w:top w:type="dxa" w:w="80"/>
              <w:left w:type="dxa" w:w="120"/>
              <w:bottom w:type="dxa" w:w="80"/>
              <w:right w:type="dxa" w:w="120"/>
            </w:tcMar>
            <w:vAlign w:val="center"/>
          </w:tcPr>
          <w:p>
            <w:r>
              <w:rPr>
                <w:b/>
                <w:bCs/>
                <w:color w:val="0F2741"/>
              </w:rPr>
              <w:t xml:space="preserve">3 / 5</w:t>
            </w:r>
          </w:p>
        </w:tc>
      </w:tr>
      <w:tr>
        <w:tc>
          <w:tcPr>
            <w:tcW w:type="dxa" w:w="2400"/>
            <w:tcBorders>
              <w:top w:val="none"/>
              <w:left w:val="none"/>
              <w:bottom w:val="none"/>
              <w:right w:val="none"/>
            </w:tcBorders>
            <w:tcMar>
              <w:top w:type="dxa" w:w="80"/>
              <w:left w:type="dxa" w:w="120"/>
              <w:bottom w:type="dxa" w:w="80"/>
              <w:right w:type="dxa" w:w="120"/>
            </w:tcMar>
            <w:vAlign w:val="center"/>
          </w:tcPr>
          <w:p>
            <w:r>
              <w:rPr>
                <w:b/>
                <w:bCs/>
                <w:sz w:val="20"/>
                <w:szCs w:val="20"/>
              </w:rPr>
              <w:t xml:space="preserve">Owner dependency</w:t>
            </w:r>
          </w:p>
        </w:tc>
        <w:tc>
          <w:tcPr>
            <w:tcW w:type="dxa" w:w="2300"/>
            <w:tcBorders>
              <w:top w:val="none"/>
              <w:left w:val="none"/>
              <w:bottom w:val="none"/>
              <w:right w:val="none"/>
            </w:tcBorders>
            <w:vAlign w:val="center"/>
          </w:tcPr>
          <w:tbl>
            <w:tblPr>
              <w:tblW w:type="dxa" w:w="2300"/>
              <w:tblBorders>
                <w:top w:val="single" w:color="auto" w:sz="4"/>
                <w:left w:val="single" w:color="auto" w:sz="4"/>
                <w:bottom w:val="single" w:color="auto" w:sz="4"/>
                <w:right w:val="single" w:color="auto" w:sz="4"/>
                <w:insideH w:val="single" w:color="auto" w:sz="4"/>
                <w:insideV w:val="single" w:color="auto" w:sz="4"/>
              </w:tblBorders>
            </w:tblPr>
            <w:tblGrid>
              <w:gridCol w:w="460"/>
              <w:gridCol w:w="460"/>
              <w:gridCol w:w="460"/>
              <w:gridCol w:w="460"/>
              <w:gridCol w:w="460"/>
            </w:tblGrid>
            <w:tr>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10B981"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c>
                <w:tcPr>
                  <w:tcW w:type="dxa" w:w="460"/>
                  <w:tcBorders>
                    <w:top w:val="single" w:color="FFFFFF" w:sz="2"/>
                    <w:left w:val="single" w:color="FFFFFF" w:sz="2"/>
                    <w:bottom w:val="single" w:color="FFFFFF" w:sz="2"/>
                    <w:right w:val="single" w:color="FFFFFF" w:sz="2"/>
                  </w:tcBorders>
                  <w:shd w:fill="E3E7EB" w:val="clear"/>
                </w:tcPr>
                <w:p>
                  <w:r>
                    <w:rPr>
                      <w:sz w:val="16"/>
                      <w:szCs w:val="16"/>
                    </w:rPr>
                    <w:t xml:space="preserve"> </w:t>
                  </w:r>
                </w:p>
              </w:tc>
            </w:tr>
          </w:tbl>
          <w:p/>
        </w:tc>
        <w:tc>
          <w:tcPr>
            <w:tcW w:type="dxa" w:w="4660"/>
            <w:tcBorders>
              <w:top w:val="none"/>
              <w:left w:val="none"/>
              <w:bottom w:val="none"/>
              <w:right w:val="none"/>
            </w:tcBorders>
            <w:tcMar>
              <w:top w:type="dxa" w:w="80"/>
              <w:left w:type="dxa" w:w="120"/>
              <w:bottom w:type="dxa" w:w="80"/>
              <w:right w:type="dxa" w:w="120"/>
            </w:tcMar>
            <w:vAlign w:val="center"/>
          </w:tcPr>
          <w:p>
            <w:r>
              <w:rPr>
                <w:b/>
                <w:bCs/>
                <w:color w:val="0F2741"/>
              </w:rPr>
              <w:t xml:space="preserve">2 / 5</w:t>
            </w:r>
          </w:p>
        </w:tc>
      </w:tr>
    </w:tbl>
    <w:p>
      <w:pPr>
        <w:spacing w:before="100"/>
      </w:pPr>
      <w:r>
        <w:rPr>
          <w:i/>
          <w:iCs/>
          <w:color w:val="94A3B8"/>
          <w:sz w:val="19"/>
          <w:szCs w:val="19"/>
        </w:rPr>
        <w:t xml:space="preserve">Filled segments = score; five dimensions not covered in the discovery call are pending the diagnostic.</w:t>
      </w:r>
    </w:p>
    <w:p>
      <w:pPr>
        <w:pStyle w:val="Heading1"/>
      </w:pPr>
      <w:r>
        <w:t xml:space="preserve">3. Findings by Dimension</w:t>
      </w:r>
    </w:p>
    <w:p>
      <w:pPr>
        <w:pStyle w:val="Heading2"/>
        <w:spacing w:after="80" w:before="240"/>
      </w:pPr>
      <w:r>
        <w:t xml:space="preserve">2. Sales handoff   </w:t>
      </w:r>
      <w:r>
        <w:rPr>
          <w:b/>
          <w:bCs/>
          <w:color w:val="0F2741"/>
          <w:shd w:fill="F59E0B" w:val="clear"/>
        </w:rPr>
        <w:t xml:space="preserve"> Score 2 </w:t>
      </w:r>
    </w:p>
    <w:p>
      <w:pPr>
        <w:spacing w:after="120"/>
      </w:pPr>
      <w:r>
        <w:rPr>
          <w:b/>
          <w:bCs/>
          <w:color w:val="059669"/>
        </w:rPr>
        <w:t xml:space="preserve">Assessment. </w:t>
      </w:r>
      <w:r>
        <w:t xml:space="preserve">A marketing agency partner is standing up HubSpot Marketing and Sales Hubs, so the sales side is gaining structure. But the production-side workflow — job ticketing, customer-facing status, punch-list — has no home in HubSpot. The moment a deal is won it leaves a system and enters an undocumented manual handoff.</w:t>
      </w:r>
    </w:p>
    <w:p>
      <w:pPr>
        <w:spacing w:after="120"/>
      </w:pPr>
      <w:r>
        <w:rPr>
          <w:b/>
          <w:bCs/>
          <w:color w:val="059669"/>
        </w:rPr>
        <w:t xml:space="preserve">Benchmark gap. </w:t>
      </w:r>
      <w:r>
        <w:t xml:space="preserve">Margin in construction leaks most often in the gap between field operations and financial records — miscoded labor, vanished change orders, billing that lags the work. A systemized sales-to-production handoff is the structural fix.</w:t>
      </w:r>
    </w:p>
    <w:p>
      <w:pPr>
        <w:spacing w:after="120"/>
      </w:pPr>
      <w:r>
        <w:rPr>
          <w:b/>
          <w:bCs/>
          <w:color w:val="059669"/>
        </w:rPr>
        <w:t xml:space="preserve">Cost of inaction. </w:t>
      </w:r>
      <w:r>
        <w:t xml:space="preserve">Every undocumented handoff is a re-work and scope-creep risk on a six-figure masonry job. Unbilled change orders are pure margin loss.</w:t>
      </w:r>
    </w:p>
    <w:p>
      <w:pPr>
        <w:spacing w:after="40"/>
      </w:pPr>
      <w:r>
        <w:rPr>
          <w:b/>
          <w:bCs/>
          <w:color w:val="059669"/>
        </w:rPr>
        <w:t xml:space="preserve">Recommendations</w:t>
      </w:r>
    </w:p>
    <w:p>
      <w:pPr>
        <w:pStyle w:val="ListParagraph"/>
        <w:numPr>
          <w:ilvl w:val="0"/>
          <w:numId w:val="2"/>
        </w:numPr>
        <w:spacing w:after="80"/>
      </w:pPr>
      <w:r>
        <w:t xml:space="preserve">Stand up the production workflow — HubSpot Service Hub (the Optional Phase in the proposal) or equivalent — with a defined sales-to-production handoff record.</w:t>
      </w:r>
    </w:p>
    <w:p>
      <w:pPr>
        <w:pStyle w:val="ListParagraph"/>
        <w:numPr>
          <w:ilvl w:val="0"/>
          <w:numId w:val="2"/>
        </w:numPr>
        <w:spacing w:after="80"/>
      </w:pPr>
      <w:r>
        <w:t xml:space="preserve">Define the handoff data set: what sales must capture at close for production to start without re-asking.</w:t>
      </w:r>
    </w:p>
    <w:p>
      <w:pPr>
        <w:pStyle w:val="Heading2"/>
        <w:spacing w:after="80" w:before="240"/>
      </w:pPr>
      <w:r>
        <w:t xml:space="preserve">4. Job execution   </w:t>
      </w:r>
      <w:r>
        <w:rPr>
          <w:b/>
          <w:bCs/>
          <w:color w:val="0F2741"/>
          <w:shd w:fill="F59E0B" w:val="clear"/>
        </w:rPr>
        <w:t xml:space="preserve"> Score 2 </w:t>
      </w:r>
    </w:p>
    <w:p>
      <w:pPr>
        <w:spacing w:after="120"/>
      </w:pPr>
      <w:r>
        <w:rPr>
          <w:b/>
          <w:bCs/>
          <w:color w:val="059669"/>
        </w:rPr>
        <w:t xml:space="preserve">Assessment. </w:t>
      </w:r>
      <w:r>
        <w:t xml:space="preserve">DiBara delivers $12M of work through a production manager, an experienced PM, a couple of in-house crews, and primarily sub labor. Two structural gaps surfaced: work-order ownership is undefined (asked who creates and tracks work orders, “the answer wasn't clear” — effectively no one), and subs order their own materials. Materials are 30–40% of project cost in this trade.</w:t>
      </w:r>
    </w:p>
    <w:p>
      <w:pPr>
        <w:spacing w:after="120"/>
      </w:pPr>
      <w:r>
        <w:rPr>
          <w:b/>
          <w:bCs/>
          <w:color w:val="059669"/>
        </w:rPr>
        <w:t xml:space="preserve">Benchmark gap. </w:t>
      </w:r>
      <w:r>
        <w:t xml:space="preserve">Material waste on poorly scoped jobs is a top-named margin leak for specialty trades. Healthy masonry / concrete gross margin sits in the 20–30% range — unreachable without controlling material procurement.</w:t>
      </w:r>
    </w:p>
    <w:p>
      <w:pPr>
        <w:spacing w:after="120"/>
      </w:pPr>
      <w:r>
        <w:rPr>
          <w:b/>
          <w:bCs/>
          <w:color w:val="059669"/>
        </w:rPr>
        <w:t xml:space="preserve">Cost of inaction. </w:t>
      </w:r>
      <w:r>
        <w:t xml:space="preserve">Uncontrolled material procurement on a $12M base is the single largest unmanaged cost in the business. At LA material and labor pricing, even a few points of waste is six figures a year.</w:t>
      </w:r>
    </w:p>
    <w:p>
      <w:pPr>
        <w:spacing w:after="40"/>
      </w:pPr>
      <w:r>
        <w:rPr>
          <w:b/>
          <w:bCs/>
          <w:color w:val="059669"/>
        </w:rPr>
        <w:t xml:space="preserve">Recommendations</w:t>
      </w:r>
    </w:p>
    <w:p>
      <w:pPr>
        <w:pStyle w:val="ListParagraph"/>
        <w:numPr>
          <w:ilvl w:val="0"/>
          <w:numId w:val="2"/>
        </w:numPr>
        <w:spacing w:after="80"/>
      </w:pPr>
      <w:r>
        <w:t xml:space="preserve">Assign explicit work-order ownership — one named role creates and tracks every work order from win to closeout.</w:t>
      </w:r>
    </w:p>
    <w:p>
      <w:pPr>
        <w:pStyle w:val="ListParagraph"/>
        <w:numPr>
          <w:ilvl w:val="0"/>
          <w:numId w:val="2"/>
        </w:numPr>
        <w:spacing w:after="80"/>
      </w:pPr>
      <w:r>
        <w:t xml:space="preserve">Bring material procurement in-house, or put it under a documented PO process with DiBara approval before subs order.</w:t>
      </w:r>
    </w:p>
    <w:p>
      <w:pPr>
        <w:pStyle w:val="Heading2"/>
        <w:spacing w:after="80" w:before="240"/>
      </w:pPr>
      <w:r>
        <w:t xml:space="preserve">8. Hiring / onboarding   </w:t>
      </w:r>
      <w:r>
        <w:rPr>
          <w:b/>
          <w:bCs/>
          <w:color w:val="0F2741"/>
          <w:shd w:fill="F59E0B" w:val="clear"/>
        </w:rPr>
        <w:t xml:space="preserve"> Score 2 </w:t>
      </w:r>
    </w:p>
    <w:p>
      <w:pPr>
        <w:spacing w:after="120"/>
      </w:pPr>
      <w:r>
        <w:rPr>
          <w:b/>
          <w:bCs/>
          <w:color w:val="059669"/>
        </w:rPr>
        <w:t xml:space="preserve">Assessment. </w:t>
      </w:r>
      <w:r>
        <w:t xml:space="preserve">Evidence is limited to sales hiring: hiring “killer” reps has been hard enough that the owner is considering relocation, and a near-miss hiring pattern is noted. Hiring appears reactive, with no documented onboarding process evident. No data yet on production / field hiring or ramp time — the diagnostic must close this.</w:t>
      </w:r>
    </w:p>
    <w:p>
      <w:pPr>
        <w:spacing w:after="120"/>
      </w:pPr>
      <w:r>
        <w:rPr>
          <w:b/>
          <w:bCs/>
          <w:color w:val="059669"/>
        </w:rPr>
        <w:t xml:space="preserve">Benchmark gap. </w:t>
      </w:r>
      <w:r>
        <w:t xml:space="preserve">Owner-led reactive hiring with no onboarding system is the default failure mode for $1–20M contractors. The recommendation is not another hire — it is a rigid, documented sales training program (scripts, scorecards, ride-along cadence).</w:t>
      </w:r>
    </w:p>
    <w:p>
      <w:pPr>
        <w:spacing w:after="120"/>
      </w:pPr>
      <w:r>
        <w:rPr>
          <w:b/>
          <w:bCs/>
          <w:color w:val="059669"/>
        </w:rPr>
        <w:t xml:space="preserve">Cost of inaction. </w:t>
      </w:r>
      <w:r>
        <w:t xml:space="preserve">Hiring into a broken back end produces churn, not growth. Relocation spend to import a “killer” rep is high-risk while the handoff and job-costing systems are still missing.</w:t>
      </w:r>
    </w:p>
    <w:p>
      <w:pPr>
        <w:spacing w:after="40"/>
      </w:pPr>
      <w:r>
        <w:rPr>
          <w:b/>
          <w:bCs/>
          <w:color w:val="059669"/>
        </w:rPr>
        <w:t xml:space="preserve">Recommendations</w:t>
      </w:r>
    </w:p>
    <w:p>
      <w:pPr>
        <w:pStyle w:val="ListParagraph"/>
        <w:numPr>
          <w:ilvl w:val="0"/>
          <w:numId w:val="2"/>
        </w:numPr>
        <w:spacing w:after="80"/>
      </w:pPr>
      <w:r>
        <w:t xml:space="preserve">Build the documented sales training program before any further sales hire.</w:t>
      </w:r>
    </w:p>
    <w:p>
      <w:pPr>
        <w:pStyle w:val="ListParagraph"/>
        <w:numPr>
          <w:ilvl w:val="0"/>
          <w:numId w:val="2"/>
        </w:numPr>
        <w:spacing w:after="80"/>
      </w:pPr>
      <w:r>
        <w:t xml:space="preserve">Defer the relocation / hiring decision until job costing reveals whether unit economics support added headcount.</w:t>
      </w:r>
    </w:p>
    <w:p>
      <w:pPr>
        <w:pStyle w:val="Heading2"/>
        <w:spacing w:after="80" w:before="240"/>
      </w:pPr>
      <w:r>
        <w:t xml:space="preserve">9. Financial close   </w:t>
      </w:r>
      <w:r>
        <w:rPr>
          <w:b/>
          <w:bCs/>
          <w:color w:val="0F2741"/>
          <w:shd w:fill="34D399" w:val="clear"/>
        </w:rPr>
        <w:t xml:space="preserve"> Score 3 </w:t>
      </w:r>
    </w:p>
    <w:p>
      <w:pPr>
        <w:spacing w:after="120"/>
      </w:pPr>
      <w:r>
        <w:rPr>
          <w:b/>
          <w:bCs/>
          <w:color w:val="059669"/>
        </w:rPr>
        <w:t xml:space="preserve">Assessment. </w:t>
      </w:r>
      <w:r>
        <w:t xml:space="preserve">This is DiBara's genuine strength. A weekly financial cadence already exists, with the owner, bookkeeping, and production at the table — more than most $12M contractors have. But it is reactive and P&amp;L-level: no job-level costing, no margin by service line or crew, and the meeting reports on what already happened.</w:t>
      </w:r>
    </w:p>
    <w:p>
      <w:pPr>
        <w:spacing w:after="120"/>
      </w:pPr>
      <w:r>
        <w:rPr>
          <w:b/>
          <w:bCs/>
          <w:color w:val="059669"/>
        </w:rPr>
        <w:t xml:space="preserve">Benchmark gap. </w:t>
      </w:r>
      <w:r>
        <w:t xml:space="preserve">Contractors who track actual costs against estimate in real time achieve 15–25% better margins than those who cost jobs only at completion. Healthy masonry / concrete gross margin is 20–30%; DiBara's trailing-12-month gross margin is unconfirmed — and without job costing the company cannot place itself on that range. At $12M, each single point of gross margin is roughly $120K.</w:t>
      </w:r>
    </w:p>
    <w:p>
      <w:pPr>
        <w:spacing w:after="120"/>
      </w:pPr>
      <w:r>
        <w:rPr>
          <w:b/>
          <w:bCs/>
          <w:color w:val="059669"/>
        </w:rPr>
        <w:t xml:space="preserve">Cost of inaction. </w:t>
      </w:r>
      <w:r>
        <w:t xml:space="preserve">Margin recovery is impossible to measure or defend without job-level data. The company is flying a $12M aircraft on a fuel gauge that only reads at the end of the month.</w:t>
      </w:r>
    </w:p>
    <w:p>
      <w:pPr>
        <w:spacing w:after="40"/>
      </w:pPr>
      <w:r>
        <w:rPr>
          <w:b/>
          <w:bCs/>
          <w:color w:val="059669"/>
        </w:rPr>
        <w:t xml:space="preserve">Recommendations</w:t>
      </w:r>
    </w:p>
    <w:p>
      <w:pPr>
        <w:pStyle w:val="ListParagraph"/>
        <w:numPr>
          <w:ilvl w:val="0"/>
          <w:numId w:val="2"/>
        </w:numPr>
        <w:spacing w:after="80"/>
      </w:pPr>
      <w:r>
        <w:t xml:space="preserve">Install job costing — actual vs. estimated cost at the job and phase level.</w:t>
      </w:r>
    </w:p>
    <w:p>
      <w:pPr>
        <w:pStyle w:val="ListParagraph"/>
        <w:numPr>
          <w:ilvl w:val="0"/>
          <w:numId w:val="2"/>
        </w:numPr>
        <w:spacing w:after="80"/>
      </w:pPr>
      <w:r>
        <w:t xml:space="preserve">Upgrade the weekly review from reactive P&amp;L reporting to a forward-looking job margin scorecard plus a rolling cash forecast.</w:t>
      </w:r>
    </w:p>
    <w:p>
      <w:pPr>
        <w:pStyle w:val="Heading2"/>
        <w:spacing w:after="80" w:before="240"/>
      </w:pPr>
      <w:r>
        <w:t xml:space="preserve">10. Owner dependency   </w:t>
      </w:r>
      <w:r>
        <w:rPr>
          <w:b/>
          <w:bCs/>
          <w:color w:val="0F2741"/>
          <w:shd w:fill="F59E0B" w:val="clear"/>
        </w:rPr>
        <w:t xml:space="preserve"> Score 2 </w:t>
      </w:r>
    </w:p>
    <w:p>
      <w:pPr>
        <w:spacing w:after="120"/>
      </w:pPr>
      <w:r>
        <w:rPr>
          <w:b/>
          <w:bCs/>
          <w:color w:val="059669"/>
        </w:rPr>
        <w:t xml:space="preserve">Assessment. </w:t>
      </w:r>
      <w:r>
        <w:t xml:space="preserve">The sales team is in place — 1 inside sales manager, 3 inside reps, 2 field sales techs — yet every deal still touches the owner's desk. Sales runs through Matt and only through Matt. He wants to step out of the sales seat; today the business cannot let him.</w:t>
      </w:r>
    </w:p>
    <w:p>
      <w:pPr>
        <w:spacing w:after="120"/>
      </w:pPr>
      <w:r>
        <w:rPr>
          <w:b/>
          <w:bCs/>
          <w:color w:val="059669"/>
        </w:rPr>
        <w:t xml:space="preserve">Benchmark gap. </w:t>
      </w:r>
      <w:r>
        <w:t xml:space="preserve">Owner-as-bottleneck is the defining constraint for contractors at this stage. The unlock is process, not headcount: a documented sales system the team can run without the owner approving every deal.</w:t>
      </w:r>
    </w:p>
    <w:p>
      <w:pPr>
        <w:spacing w:after="120"/>
      </w:pPr>
      <w:r>
        <w:rPr>
          <w:b/>
          <w:bCs/>
          <w:color w:val="059669"/>
        </w:rPr>
        <w:t xml:space="preserve">Cost of inaction. </w:t>
      </w:r>
      <w:r>
        <w:t xml:space="preserve">The owner's capacity is the ceiling on growth. Until deals stop routing through him, DiBara cannot scale sales beyond his personal bandwidth.</w:t>
      </w:r>
    </w:p>
    <w:p>
      <w:pPr>
        <w:spacing w:after="40"/>
      </w:pPr>
      <w:r>
        <w:rPr>
          <w:b/>
          <w:bCs/>
          <w:color w:val="059669"/>
        </w:rPr>
        <w:t xml:space="preserve">Recommendations</w:t>
      </w:r>
    </w:p>
    <w:p>
      <w:pPr>
        <w:pStyle w:val="ListParagraph"/>
        <w:numPr>
          <w:ilvl w:val="0"/>
          <w:numId w:val="2"/>
        </w:numPr>
        <w:spacing w:after="80"/>
      </w:pPr>
      <w:r>
        <w:t xml:space="preserve">Document the sales process end to end so deals can close without owner approval.</w:t>
      </w:r>
    </w:p>
    <w:p>
      <w:pPr>
        <w:pStyle w:val="ListParagraph"/>
        <w:numPr>
          <w:ilvl w:val="0"/>
          <w:numId w:val="2"/>
        </w:numPr>
        <w:spacing w:after="80"/>
      </w:pPr>
      <w:r>
        <w:t xml:space="preserve">Sequence the owner's exit from sales after job costing and work-order ownership are stable — not before.</w:t>
      </w:r>
    </w:p>
    <w:p>
      <w:pPr>
        <w:pStyle w:val="Heading2"/>
      </w:pPr>
      <w:r>
        <w:t xml:space="preserve">Dimensions pending diagnostic</w:t>
      </w:r>
    </w:p>
    <w:p>
      <w:pPr>
        <w:spacing w:after="120"/>
      </w:pPr>
      <w:r>
        <w:rPr>
          <w:b/>
          <w:bCs/>
        </w:rPr>
        <w:t xml:space="preserve">Lead intake · Scheduling · Quality control · Collections · Customer follow-up</w:t>
      </w:r>
      <w:r>
        <w:t xml:space="preserve"> — not covered in the discovery call. Each must be scored in the 90-minute diagnostic and the 3 stakeholder interviews. Notable open questions: AR aging and collections cadence, callback / rework rate, and how jobs reach the schedule given the sub-heavy model.</w:t>
      </w:r>
    </w:p>
    <w:p>
      <w:pPr>
        <w:pStyle w:val="Heading1"/>
      </w:pPr>
      <w:r>
        <w:t xml:space="preserve">4. Prioritized Recommendations</w:t>
      </w:r>
    </w:p>
    <w:p>
      <w:pPr>
        <w:spacing w:after="120"/>
      </w:pPr>
      <w:r>
        <w:t xml:space="preserve">Ranked by impact — dollar cost and constraint on the owner's goals — not by ease.</w:t>
      </w:r>
    </w:p>
    <w:p>
      <w:pPr>
        <w:pStyle w:val="ListParagraph"/>
        <w:numPr>
          <w:ilvl w:val="0"/>
          <w:numId w:val="2"/>
        </w:numPr>
        <w:spacing w:after="80"/>
      </w:pPr>
      <w:r>
        <w:rPr>
          <w:b/>
          <w:bCs/>
        </w:rPr>
        <w:t xml:space="preserve">Install job costing (Financial close). </w:t>
      </w:r>
      <w:r>
        <w:t xml:space="preserve">Highest-ROI fix at $12M. Real-time job costing is worth 15–25% margin improvement industry-wide; each point of gross margin is roughly $120K here. Everything else is measured against this.</w:t>
      </w:r>
    </w:p>
    <w:p>
      <w:pPr>
        <w:pStyle w:val="ListParagraph"/>
        <w:numPr>
          <w:ilvl w:val="0"/>
          <w:numId w:val="2"/>
        </w:numPr>
        <w:spacing w:after="80"/>
      </w:pPr>
      <w:r>
        <w:rPr>
          <w:b/>
          <w:bCs/>
        </w:rPr>
        <w:t xml:space="preserve">Assign work-order ownership + control material procurement (Job execution). </w:t>
      </w:r>
      <w:r>
        <w:t xml:space="preserve">Closes the largest unmanaged cost line in the business. Structural — start immediately.</w:t>
      </w:r>
    </w:p>
    <w:p>
      <w:pPr>
        <w:pStyle w:val="ListParagraph"/>
        <w:numPr>
          <w:ilvl w:val="0"/>
          <w:numId w:val="2"/>
        </w:numPr>
        <w:spacing w:after="80"/>
      </w:pPr>
      <w:r>
        <w:rPr>
          <w:b/>
          <w:bCs/>
        </w:rPr>
        <w:t xml:space="preserve">Stand up the production workflow / sales-to-production handoff (Sales handoff). </w:t>
      </w:r>
      <w:r>
        <w:t xml:space="preserve">The HubSpot Service Hub Optional Phase, or equivalent. Quick win if Service Hub is elected.</w:t>
      </w:r>
    </w:p>
    <w:p>
      <w:pPr>
        <w:pStyle w:val="ListParagraph"/>
        <w:numPr>
          <w:ilvl w:val="0"/>
          <w:numId w:val="2"/>
        </w:numPr>
        <w:spacing w:after="80"/>
      </w:pPr>
      <w:r>
        <w:rPr>
          <w:b/>
          <w:bCs/>
        </w:rPr>
        <w:t xml:space="preserve">Build the documented sales training program (Hiring + Owner dependency). </w:t>
      </w:r>
      <w:r>
        <w:t xml:space="preserve">Unlocks the owner from the sales seat — but only after items 1 and 2 are stable.</w:t>
      </w:r>
    </w:p>
    <w:p>
      <w:pPr>
        <w:pStyle w:val="ListParagraph"/>
        <w:numPr>
          <w:ilvl w:val="0"/>
          <w:numId w:val="2"/>
        </w:numPr>
        <w:spacing w:after="80"/>
      </w:pPr>
      <w:r>
        <w:rPr>
          <w:b/>
          <w:bCs/>
        </w:rPr>
        <w:t xml:space="preserve">Upgrade the weekly review to forward-looking (Financial close). </w:t>
      </w:r>
      <w:r>
        <w:t xml:space="preserve">Job margin scorecard + rolling cash forecast. Quick win once job-costing data exists.</w:t>
      </w:r>
    </w:p>
    <w:p>
      <w:pPr>
        <w:spacing w:after="120"/>
      </w:pPr>
      <w:r>
        <w:rPr>
          <w:b/>
          <w:bCs/>
          <w:color w:val="059669"/>
        </w:rPr>
        <w:t xml:space="preserve">Quick wins: </w:t>
      </w:r>
      <w:r>
        <w:t xml:space="preserve">production workflow build, weekly-review upgrade.    </w:t>
      </w:r>
      <w:r>
        <w:rPr>
          <w:b/>
          <w:bCs/>
          <w:color w:val="059669"/>
        </w:rPr>
        <w:t xml:space="preserve">Structural: </w:t>
      </w:r>
      <w:r>
        <w:t xml:space="preserve">job costing, material procurement control, sales training program.</w:t>
      </w:r>
    </w:p>
    <w:p>
      <w:pPr>
        <w:pStyle w:val="Heading1"/>
      </w:pPr>
      <w:r>
        <w:t xml:space="preserve">5. 90-Day Roadmap</w:t>
      </w:r>
    </w:p>
    <w:p>
      <w:pPr>
        <w:pStyle w:val="Heading2"/>
      </w:pPr>
      <w:r>
        <w:t xml:space="preserve">Days 1–30 — See the business</w:t>
      </w:r>
    </w:p>
    <w:p>
      <w:pPr>
        <w:pStyle w:val="ListParagraph"/>
        <w:numPr>
          <w:ilvl w:val="0"/>
          <w:numId w:val="3"/>
        </w:numPr>
        <w:spacing w:after="60"/>
      </w:pPr>
      <w:r>
        <w:t xml:space="preserve">Complete the Phase 0 diagnostic and score the five pending dimensions.</w:t>
      </w:r>
    </w:p>
    <w:p>
      <w:pPr>
        <w:pStyle w:val="ListParagraph"/>
        <w:numPr>
          <w:ilvl w:val="0"/>
          <w:numId w:val="3"/>
        </w:numPr>
        <w:spacing w:after="60"/>
      </w:pPr>
      <w:r>
        <w:t xml:space="preserve">Confirm trailing-12-month gross margin and residential / commercial mix.</w:t>
      </w:r>
    </w:p>
    <w:p>
      <w:pPr>
        <w:pStyle w:val="ListParagraph"/>
        <w:numPr>
          <w:ilvl w:val="0"/>
          <w:numId w:val="3"/>
        </w:numPr>
        <w:spacing w:after="60"/>
      </w:pPr>
      <w:r>
        <w:t xml:space="preserve">Stand up job-costing structure: chart of accounts rebuilt for job-level COGS.</w:t>
      </w:r>
    </w:p>
    <w:p>
      <w:pPr>
        <w:pStyle w:val="ListParagraph"/>
        <w:numPr>
          <w:ilvl w:val="0"/>
          <w:numId w:val="3"/>
        </w:numPr>
        <w:spacing w:after="60"/>
      </w:pPr>
      <w:r>
        <w:t xml:space="preserve">Name the work-order owner; document the work-order lifecycle.</w:t>
      </w:r>
    </w:p>
    <w:p>
      <w:pPr>
        <w:pStyle w:val="Heading2"/>
      </w:pPr>
      <w:r>
        <w:t xml:space="preserve">Days 31–60 — Control the costs</w:t>
      </w:r>
    </w:p>
    <w:p>
      <w:pPr>
        <w:pStyle w:val="ListParagraph"/>
        <w:numPr>
          <w:ilvl w:val="0"/>
          <w:numId w:val="3"/>
        </w:numPr>
        <w:spacing w:after="60"/>
      </w:pPr>
      <w:r>
        <w:t xml:space="preserve">Move material procurement under a DiBara-approved PO process.</w:t>
      </w:r>
    </w:p>
    <w:p>
      <w:pPr>
        <w:pStyle w:val="ListParagraph"/>
        <w:numPr>
          <w:ilvl w:val="0"/>
          <w:numId w:val="3"/>
        </w:numPr>
        <w:spacing w:after="60"/>
      </w:pPr>
      <w:r>
        <w:t xml:space="preserve">Launch the production workflow (Service Hub if elected) with a defined handoff.</w:t>
      </w:r>
    </w:p>
    <w:p>
      <w:pPr>
        <w:pStyle w:val="ListParagraph"/>
        <w:numPr>
          <w:ilvl w:val="0"/>
          <w:numId w:val="3"/>
        </w:numPr>
        <w:spacing w:after="60"/>
      </w:pPr>
      <w:r>
        <w:t xml:space="preserve">First job-cost reports run on live jobs.</w:t>
      </w:r>
    </w:p>
    <w:p>
      <w:pPr>
        <w:pStyle w:val="Heading2"/>
      </w:pPr>
      <w:r>
        <w:t xml:space="preserve">Days 61–90 — Drive decisions</w:t>
      </w:r>
    </w:p>
    <w:p>
      <w:pPr>
        <w:pStyle w:val="ListParagraph"/>
        <w:numPr>
          <w:ilvl w:val="0"/>
          <w:numId w:val="3"/>
        </w:numPr>
        <w:spacing w:after="60"/>
      </w:pPr>
      <w:r>
        <w:t xml:space="preserve">Convert the weekly review to a forward-looking job margin scorecard + rolling cash forecast.</w:t>
      </w:r>
    </w:p>
    <w:p>
      <w:pPr>
        <w:pStyle w:val="ListParagraph"/>
        <w:numPr>
          <w:ilvl w:val="0"/>
          <w:numId w:val="3"/>
        </w:numPr>
        <w:spacing w:after="60"/>
      </w:pPr>
      <w:r>
        <w:t xml:space="preserve">Roll out v1 of the documented sales training program to the existing team.</w:t>
      </w:r>
    </w:p>
    <w:p>
      <w:pPr>
        <w:pStyle w:val="ListParagraph"/>
        <w:numPr>
          <w:ilvl w:val="0"/>
          <w:numId w:val="3"/>
        </w:numPr>
        <w:spacing w:after="60"/>
      </w:pPr>
      <w:r>
        <w:t xml:space="preserve">Review the first 90 days of job-cost data; identify any unprofitable job types.</w:t>
      </w:r>
    </w:p>
    <w:p>
      <w:pPr>
        <w:pStyle w:val="Heading1"/>
      </w:pPr>
      <w:r>
        <w:t xml:space="preserve">6. Optional — Scoped Phase 1 Proposal</w:t>
      </w:r>
    </w:p>
    <w:p>
      <w:pPr>
        <w:spacing w:after="120"/>
      </w:pPr>
      <w:r>
        <w:t xml:space="preserve">A Phase 1 Active Retainer ($4,000/mo, month-to-month) is the natural follow-on: job-costing install, COGS rebuild, KPI dashboard, work-order and procurement SOPs, the sales training program, and the upgraded weekly review. The HubSpot Service Hub Build ($3,500) runs concurrent if elected. Pricing per the existing DiBara proposal — kept proportional to the assessment's scope.</w:t>
      </w:r>
    </w:p>
    <w:p>
      <w:pPr>
        <w:pStyle w:val="Heading1"/>
      </w:pPr>
      <w:r>
        <w:t xml:space="preserve">Appendix — Sources</w:t>
      </w:r>
    </w:p>
    <w:p>
      <w:pPr>
        <w:spacing w:after="120"/>
      </w:pPr>
      <w:r>
        <w:rPr>
          <w:b/>
          <w:bCs/>
        </w:rPr>
        <w:t xml:space="preserve">Internal (Framework OPS knowledge base): </w:t>
      </w:r>
      <w:r>
        <w:t xml:space="preserve">audit-system (audit spec, 10-dimension rubric), home-service-common-problems, sop-library-v1, DiBara discovery-call recap (2026-05-19), DiBara project brief.</w:t>
      </w:r>
    </w:p>
    <w:p>
      <w:pPr>
        <w:spacing w:after="40" w:before="80"/>
      </w:pPr>
      <w:r>
        <w:rPr>
          <w:b/>
          <w:bCs/>
        </w:rPr>
        <w:t xml:space="preserve">External:</w:t>
      </w:r>
    </w:p>
    <w:p>
      <w:pPr>
        <w:pStyle w:val="ListParagraph"/>
        <w:numPr>
          <w:ilvl w:val="0"/>
          <w:numId w:val="3"/>
        </w:numPr>
        <w:spacing w:after="60"/>
      </w:pPr>
      <w:r>
        <w:t xml:space="preserve">Adeltium — Contractor Profit Margins: Where You're Leaking Money.</w:t>
      </w:r>
    </w:p>
    <w:p>
      <w:pPr>
        <w:pStyle w:val="ListParagraph"/>
        <w:numPr>
          <w:ilvl w:val="0"/>
          <w:numId w:val="3"/>
        </w:numPr>
        <w:spacing w:after="60"/>
      </w:pPr>
      <w:r>
        <w:t xml:space="preserve">Projul — Construction Profit Margin Benchmarks by Trade (2026).</w:t>
      </w:r>
    </w:p>
    <w:p>
      <w:pPr>
        <w:pStyle w:val="ListParagraph"/>
        <w:numPr>
          <w:ilvl w:val="0"/>
          <w:numId w:val="3"/>
        </w:numPr>
        <w:spacing w:after="60"/>
      </w:pPr>
      <w:r>
        <w:t xml:space="preserve">Siana — General Contractor Profit Margin: 2026 Industry Data &amp; Benchmarks (specialty-trade net margin 6.9–8.5%).</w:t>
      </w:r>
    </w:p>
    <w:p>
      <w:pPr>
        <w:pStyle w:val="ListParagraph"/>
        <w:numPr>
          <w:ilvl w:val="0"/>
          <w:numId w:val="3"/>
        </w:numPr>
        <w:spacing w:after="60"/>
      </w:pPr>
      <w:r>
        <w:t xml:space="preserve">MarginLock — Construction Accounting for Specialty Trade Contractors.</w:t>
      </w:r>
    </w:p>
    <w:p>
      <w:pPr>
        <w:pStyle w:val="ListParagraph"/>
        <w:numPr>
          <w:ilvl w:val="0"/>
          <w:numId w:val="3"/>
        </w:numPr>
        <w:spacing w:after="60"/>
      </w:pPr>
      <w:r>
        <w:t xml:space="preserve">Autodesk Digital Builder — Job Costing in Construction (real-time vs. completion costing margin delta).</w:t>
      </w:r>
    </w:p>
    <w:p>
      <w:pPr>
        <w:pStyle w:val="ListParagraph"/>
        <w:numPr>
          <w:ilvl w:val="0"/>
          <w:numId w:val="3"/>
        </w:numPr>
        <w:spacing w:after="60"/>
      </w:pPr>
      <w:r>
        <w:t xml:space="preserve">California Dept. of Industrial Relations — prevailing wage determinations, Southern California.</w:t>
      </w:r>
    </w:p>
    <w:p>
      <w:pPr>
        <w:spacing w:before="120"/>
      </w:pPr>
      <w:r>
        <w:rPr>
          <w:i/>
          <w:iCs/>
          <w:color w:val="94A3B8"/>
          <w:sz w:val="19"/>
          <w:szCs w:val="19"/>
        </w:rPr>
        <w:t xml:space="preserve">Masonry-specific gross-margin range cited as 20–30% (concrete / masonry contractors). One reviewed KPI source returned implausible figures and was discarded. The LA-specific mason wage rate was not confirmed to a single citable number — flagged for the diagnostic.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4A3B8"/>
        <w:sz w:val="16"/>
        <w:szCs w:val="16"/>
      </w:rPr>
      <w:t xml:space="preserve">Confidential — prepared by Framework OPS LLC</w:t>
    </w:r>
    <w:r>
      <w:rPr>
        <w:sz w:val="16"/>
        <w:szCs w:val="16"/>
      </w:rPr>
      <w:t xml:space="preserve">	</w:t>
    </w:r>
    <w:r>
      <w:rPr>
        <w:color w:val="94A3B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tabs>
        <w:tab w:val="right" w:pos="9360"/>
      </w:tabs>
    </w:pPr>
    <w:r>
      <w:drawing>
        <wp:inline distT="0" distB="0" distL="0" distR="0">
          <wp:extent cx="114300" cy="114300"/>
          <wp:effectExtent t="0" r="0" b="0" l="0"/>
          <wp:docPr id="1" name="FrameworkOPSLogo" descr="Framework OPS logo" title="Framework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 cy="114300"/>
                  </a:xfrm>
                  <a:prstGeom prst="rect">
                    <a:avLst/>
                  </a:prstGeom>
                </pic:spPr>
              </pic:pic>
            </a:graphicData>
          </a:graphic>
        </wp:inline>
      </w:drawing>
    </w:r>
    <w:r>
      <w:rPr>
        <w:b/>
        <w:bCs/>
        <w:color w:val="10B981"/>
        <w:sz w:val="15"/>
        <w:szCs w:val="15"/>
      </w:rPr>
      <w:t xml:space="preserve">  FRAMEWORK OPS</w:t>
    </w:r>
    <w:r>
      <w:rPr>
        <w:color w:val="94A3B8"/>
        <w:sz w:val="15"/>
        <w:szCs w:val="15"/>
      </w:rPr>
      <w:t xml:space="preserve">	OPS ASSESSMENT — DIBARA MASONRY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B981" w:sz="6" w:space="4"/>
      </w:pBdr>
      <w:spacing w:after="160" w:before="320"/>
      <w:outlineLvl w:val="0"/>
    </w:pPr>
    <w:rPr>
      <w:rFonts w:ascii="Arial" w:cs="Arial" w:eastAsia="Arial" w:hAnsi="Arial"/>
      <w:b/>
      <w:bCs/>
      <w:color w:val="0F2741"/>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F27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283c9cb49396bcae8fb1c7a01069fc7693cb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e283c9cb49396bcae8fb1c7a01069fc7693cb5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 Assessment — DiBara Masonry</dc:title>
  <dc:creator>Framework OPS LLC</dc:creator>
  <cp:lastModifiedBy>Un-named</cp:lastModifiedBy>
  <cp:revision>1</cp:revision>
  <dcterms:created xsi:type="dcterms:W3CDTF">2026-05-20T06:36:26.847Z</dcterms:created>
  <dcterms:modified xsi:type="dcterms:W3CDTF">2026-05-20T06:36:26.848Z</dcterms:modified>
</cp:coreProperties>
</file>

<file path=docProps/custom.xml><?xml version="1.0" encoding="utf-8"?>
<Properties xmlns="http://schemas.openxmlformats.org/officeDocument/2006/custom-properties" xmlns:vt="http://schemas.openxmlformats.org/officeDocument/2006/docPropsVTypes"/>
</file>