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Reglas de negocio</w:t>
        <w:br/>
        <w:t>Francesca · MVP MyCar</w:t>
      </w:r>
    </w:p>
    <w:p>
      <w:pPr>
        <w:spacing w:after="200"/>
      </w:pPr>
      <w:r>
        <w:rPr>
          <w:rFonts w:ascii="Arial" w:hAnsi="Arial"/>
          <w:b w:val="0"/>
          <w:color w:val="166D7C"/>
          <w:sz w:val="18"/>
        </w:rPr>
        <w:t>RF08 · RF09 · RF10 · RF14  |  Elaboración basada en 4 diagramas exitosos y 24 escenarios alternativos de la entrega.</w:t>
      </w:r>
    </w:p>
    <w:p>
      <w:pPr>
        <w:spacing w:after="80"/>
      </w:pPr>
      <w:r>
        <w:rPr>
          <w:rFonts w:ascii="Arial" w:hAnsi="Arial"/>
          <w:b/>
          <w:color w:val="18314E"/>
          <w:sz w:val="18"/>
        </w:rPr>
        <w:t>Estado: PARA REVISIÓN DEL EQUIPO. Separa reglas congeladas, criterios derivados del flujo y puntos que requieren acuerdos antes del SQL final.</w:t>
      </w:r>
    </w:p>
    <w:p>
      <w:pPr>
        <w:pStyle w:val="Heading1"/>
      </w:pPr>
      <w:r>
        <w:t>Criterios para esta versión</w:t>
      </w:r>
    </w:p>
    <w:p>
      <w:pPr>
        <w:pStyle w:val="ListBullet"/>
        <w:spacing w:after="40"/>
      </w:pPr>
      <w:r>
        <w:t>Alcance MVP: solo Free; no pagos Premium, TIVE, SOAT, fotografías personalizadas ni notificaciones automáticas. Los diagramas completos se conservan para futuras entregas.</w:t>
      </w:r>
    </w:p>
    <w:p>
      <w:pPr>
        <w:pStyle w:val="ListBullet"/>
        <w:spacing w:after="40"/>
      </w:pPr>
      <w:r>
        <w:t>Fuente de verdad: el Excel actualizado de los cuatro escenarios exitosos y el Excel de 24 alternativos (RF08: 10; RF09: 4; RF10: 2; RF14: 8).</w:t>
      </w:r>
    </w:p>
    <w:p>
      <w:pPr>
        <w:pStyle w:val="ListBullet"/>
        <w:spacing w:after="40"/>
      </w:pPr>
      <w:r>
        <w:t>La ficha Word de sábado se completa con estos datos. Una frase anterior de esa ficha decía «1 vehículo activo»; se adopta el acuerdo posterior y explícito: Free permite 1 vehículo REGISTRADO en total, incluidos inactivos.</w:t>
      </w:r>
    </w:p>
    <w:p>
      <w:pPr>
        <w:pStyle w:val="ListBullet"/>
        <w:spacing w:after="40"/>
      </w:pPr>
      <w:r>
        <w:t>RN = regla de negocio; EF Pxx = paso del evento exitoso; EAxx = escenario alternativo. Las reglas marcadas «Derivada» deben confirmarse antes de considerarse congeladas.</w:t>
      </w:r>
    </w:p>
    <w:p>
      <w:pPr>
        <w:pStyle w:val="Heading1"/>
      </w:pPr>
      <w:r>
        <w:t>Resumen de avance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2"/>
        <w:gridCol w:w="2572"/>
        <w:gridCol w:w="2572"/>
        <w:gridCol w:w="2572"/>
      </w:tblGrid>
      <w:tr>
        <w:trPr>
          <w:tblHeader/>
        </w:trPr>
        <w:tc>
          <w:tcPr>
            <w:tcW w:type="dxa" w:w="1474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RF</w:t>
            </w:r>
          </w:p>
        </w:tc>
        <w:tc>
          <w:tcPr>
            <w:tcW w:type="dxa" w:w="2324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Reglas documentadas</w:t>
            </w:r>
          </w:p>
        </w:tc>
        <w:tc>
          <w:tcPr>
            <w:tcW w:type="dxa" w:w="2665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Escenarios alternativos MVP</w:t>
            </w:r>
          </w:p>
        </w:tc>
        <w:tc>
          <w:tcPr>
            <w:tcW w:type="dxa" w:w="2891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RF08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19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10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Revisar dependencias Free/identidad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RF09</w:t>
            </w:r>
          </w:p>
        </w:tc>
        <w:tc>
          <w:tcPr>
            <w:tcW w:type="dxa" w:w="232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9</w:t>
            </w:r>
          </w:p>
        </w:tc>
        <w:tc>
          <w:tcPr>
            <w:tcW w:type="dxa" w:w="2665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4</w:t>
            </w:r>
          </w:p>
        </w:tc>
        <w:tc>
          <w:tcPr>
            <w:tcW w:type="dxa" w:w="289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Reglas listas para contrato preliminar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RF10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8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2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Reglas listas para contrato preliminar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RF14</w:t>
            </w:r>
          </w:p>
        </w:tc>
        <w:tc>
          <w:tcPr>
            <w:tcW w:type="dxa" w:w="2324"/>
            <w:vAlign w:val="center"/>
            <w:shd w:fill="F3F7FA"/>
          </w:tcPr>
          <w:p>
            <w:r>
              <w:t>15</w:t>
            </w:r>
          </w:p>
        </w:tc>
        <w:tc>
          <w:tcPr>
            <w:tcW w:type="dxa" w:w="2665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8</w:t>
            </w:r>
          </w:p>
        </w:tc>
        <w:tc>
          <w:tcPr>
            <w:tcW w:type="dxa" w:w="2891"/>
            <w:vAlign w:val="center"/>
            <w:shd w:fill="F3F7FA"/>
          </w:tcPr>
          <w:p>
            <w:r>
              <w:t>Integración funcional aprobada; datos físicos pendientes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RF08  |  Registrar vehículo</w:t>
      </w:r>
    </w:p>
    <w:p>
      <w:pPr>
        <w:spacing w:after="80"/>
      </w:pPr>
      <w:r>
        <w:rPr>
          <w:rFonts w:ascii="Arial" w:hAnsi="Arial"/>
          <w:b/>
          <w:color w:val="166D7C"/>
          <w:sz w:val="18"/>
        </w:rPr>
        <w:t>Registro Free seguro; vehículo + lectura inicial + recordatorio en una sola operación.</w:t>
      </w:r>
    </w:p>
    <w:p>
      <w:pPr>
        <w:pStyle w:val="Heading2"/>
      </w:pPr>
      <w:r>
        <w:t>A. Reglas de negocio del MVP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2"/>
        <w:gridCol w:w="2572"/>
        <w:gridCol w:w="2572"/>
        <w:gridCol w:w="2572"/>
      </w:tblGrid>
      <w:tr>
        <w:trPr>
          <w:tblHeader/>
        </w:trPr>
        <w:tc>
          <w:tcPr>
            <w:tcW w:type="dxa" w:w="1191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Código</w:t>
            </w:r>
          </w:p>
        </w:tc>
        <w:tc>
          <w:tcPr>
            <w:tcW w:type="dxa" w:w="5102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Regla / condición</w:t>
            </w:r>
          </w:p>
        </w:tc>
        <w:tc>
          <w:tcPr>
            <w:tcW w:type="dxa" w:w="1928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Referencia EF / EA</w:t>
            </w:r>
          </w:p>
        </w:tc>
        <w:tc>
          <w:tcPr>
            <w:tcW w:type="dxa" w:w="1701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RN08-01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El registro requiere usuario autenticado; el backend toma su identidad de la sesión, no de un idUsuario libre enviado por Android.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P06–P13, P32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Confirmada / contrato auth pendiente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RN08-02</w:t>
            </w:r>
          </w:p>
        </w:tc>
        <w:tc>
          <w:tcPr>
            <w:tcW w:type="dxa" w:w="510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En el MVP el plan operativo es FREE: puede tener como máximo un vehículo aún registrado, sumando ACTIVOS e INACTIVOS. Si ya existe uno, no se abre un nuevo registro.</w:t>
            </w:r>
          </w:p>
        </w:tc>
        <w:tc>
          <w:tcPr>
            <w:tcW w:type="dxa" w:w="192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P07–P13 · EA01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RN08-03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t>RF08 POST: después de validar sesión, resolver idOperacion antes del cupo. Confirmada idéntica = mismo idVehiculo sin LIMITE_FREE; distinta carga = conflicto. SOLO operación NUEVA bloquea fila usuario y revalida plan/cupo dentro de la transacción.</w:t>
            </w:r>
            <w:r>
              <w:rPr>
                <w:rFonts w:ascii="Arial" w:hAnsi="Arial"/>
                <w:color w:val="485664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P31–P32 · EA10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RN08-04</w:t>
            </w:r>
          </w:p>
        </w:tc>
        <w:tc>
          <w:tcPr>
            <w:tcW w:type="dxa" w:w="510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VEHICULO se identifica con idVehiculo (PK generada e inmutable). No utilizar placa ni VIN como PK; las demás entidades refieren a idVehiculo.</w:t>
            </w:r>
          </w:p>
        </w:tc>
        <w:tc>
          <w:tcPr>
            <w:tcW w:type="dxa" w:w="192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P32–P33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RN08-05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La placa debe cumplir exactamente ^[A-Z][0-9][A-Z][0-9]{3}$ (ejemplo A1B234); no admite guiones ni espacios, y debe ser única GLOBALMENTE aun en vehículos inactivos.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P20, P27–P28 · EA03, EA08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RN08-06</w:t>
            </w:r>
          </w:p>
        </w:tc>
        <w:tc>
          <w:tcPr>
            <w:tcW w:type="dxa" w:w="5102"/>
            <w:vAlign w:val="center"/>
            <w:shd w:fill="F3F7FA"/>
          </w:tcPr>
          <w:p>
            <w:r>
              <w:t>El VIN es opcional (NULL si no se informa) y debe ser único si está informado. Será modificable en RF11 futuro sin cambiar idVehiculo.</w:t>
              <w:br/>
              <w:t>Si se informa: exactamente 17 caracteres, solo A–Z y 0–9, sin I, O ni Q; Regex de coincidencia completa [A-HJ-NPR-Z0-9]{17}.</w:t>
            </w:r>
          </w:p>
        </w:tc>
        <w:tc>
          <w:tcPr>
            <w:tcW w:type="dxa" w:w="192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P29–P30, P33 · EA09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RN08-07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Obligatorios: marca, modelo, uso de vehículo, placa, año de fabricación, color, tipo de motor y kilometraje inicial. Combustible es obligatorio cuando el motor NO es eléctrico.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P16–P19 · EA02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RN08-08</w:t>
            </w:r>
          </w:p>
        </w:tc>
        <w:tc>
          <w:tcPr>
            <w:tcW w:type="dxa" w:w="5102"/>
            <w:vAlign w:val="center"/>
            <w:shd w:fill="F3F7FA"/>
          </w:tcPr>
          <w:p>
            <w:r>
              <w:t>Opcionales del modelo: VIN, número de serie, número de motor y tipo de aceite. Imagen personalizada no se implementa en el MVP.</w:t>
              <w:br/>
              <w:t>Código de motor (numeroMotor / numero_motor): entre 5 y 15 caracteres, solo A–Z, 0–9, guion y espacio simple; Regex [A-Z0-9 -]{5,15}. No aplica a motor eléctrico.</w:t>
              <w:br/>
              <w:t>Número de serie: mínimo 6 caracteres, ajustable mediante MIN_SERIE; solo A–Z y 0–9, sin espacios ni caracteres especiales; Regex [A-Z0-9]{6,}.</w:t>
            </w:r>
          </w:p>
        </w:tc>
        <w:tc>
          <w:tcPr>
            <w:tcW w:type="dxa" w:w="192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P16–P17, P25–P26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 / imagen futura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RN08-09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Marca, modelo y color se ingresan como texto. El año debe ser numérico y no posterior al año actual; no se fijó aún un límite inferior especial.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P19–P23 · EA04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Validación del EF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RN08-10</w:t>
            </w:r>
          </w:p>
        </w:tc>
        <w:tc>
          <w:tcPr>
            <w:tcW w:type="dxa" w:w="510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El kilometraje inicial debe ser numérico y estrictamente mayor que cero. No guardar vehículo si esa lectura es inválida.</w:t>
            </w:r>
          </w:p>
        </w:tc>
        <w:tc>
          <w:tcPr>
            <w:tcW w:type="dxa" w:w="192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P22 · EA05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RN08-11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Si tipo de motor, combustible o aceite = OTRO, se requiere especificación no vacía del campo correspondiente. Si no se elige OTRO, la especificación no se utiliza.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P16–P17, P23 · EA06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RN08-12</w:t>
            </w:r>
          </w:p>
        </w:tc>
        <w:tc>
          <w:tcPr>
            <w:tcW w:type="dxa" w:w="510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Para motor ELÉCTRICO se deshabilitan y guardan como no aplicables combustible, tipo de aceite y número de motor; para motor no eléctrico combustible es obligatorio.</w:t>
            </w:r>
          </w:p>
        </w:tc>
        <w:tc>
          <w:tcPr>
            <w:tcW w:type="dxa" w:w="192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P16–P17, P23 · EA06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RN08-13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El primer vehículo se establece como principal; un usuario no puede tener dos vehículos principales a la vez. Los cambios de principal posteriores pertenecen a RF13.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P36–P38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RN08-14</w:t>
            </w:r>
          </w:p>
        </w:tc>
        <w:tc>
          <w:tcPr>
            <w:tcW w:type="dxa" w:w="5102"/>
            <w:vAlign w:val="center"/>
            <w:shd w:fill="F3F7FA"/>
          </w:tcPr>
          <w:p>
            <w:pPr>
              <w:spacing w:after="0"/>
            </w:pPr>
            <w:r>
              <w:t>idOperacion obligatorio y estable por operación lógica: si el resultado está CONFIRMADO, retornar mismo vehículo, lectura y recordatorio antes de consultar Free. Si distinto hash, conflicto. Si EN_PROCESO, reconciliar; si NUEVA, bloquear usuario y verificar cupo. Persistencia técnica pendiente.</w:t>
            </w:r>
            <w:r>
              <w:rPr>
                <w:rFonts w:ascii="Arial" w:hAnsi="Arial"/>
                <w:color w:val="485664"/>
                <w:sz w:val="16"/>
              </w:rPr>
            </w:r>
          </w:p>
        </w:tc>
        <w:tc>
          <w:tcPr>
            <w:tcW w:type="dxa" w:w="192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P17, P32 · EA11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Congelada; soporte físico por definir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RN08-15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En una sola transacción se confirma: registro de VEHICULO, condición de principal, una lectura inicial y una configuración individual de recordatorio. Ante fallo: rollback total; mostrar éxito solo con COMMIT.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P32, P36–P45 · EA11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RN08-16</w:t>
            </w:r>
          </w:p>
        </w:tc>
        <w:tc>
          <w:tcPr>
            <w:tcW w:type="dxa" w:w="510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La lectura inicial se guarda UNA sola vez, asociada a idVehiculo, con origen INICIAL y fecha del servidor. No genera alertas automáticamente.</w:t>
            </w:r>
          </w:p>
        </w:tc>
        <w:tc>
          <w:tcPr>
            <w:tcW w:type="dxa" w:w="192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P39–P42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RN08-17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Se crea exactamente una configuración por vehículo: INTERDIARIO, PAUSADO, fecha base del registro y próximo/último envío NULL. No alterar la configuración global del usuario.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P43–P46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RN08-18</w:t>
            </w:r>
          </w:p>
        </w:tc>
        <w:tc>
          <w:tcPr>
            <w:tcW w:type="dxa" w:w="510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Para esta entrega se usa imagen predeterminada incluida en APK. SOAT, TIVE, imágenes personalizadas y Premium real quedan documentados como ampliaciones futuras.</w:t>
            </w:r>
          </w:p>
        </w:tc>
        <w:tc>
          <w:tcPr>
            <w:tcW w:type="dxa" w:w="192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P25–P26, P34–P35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 para MVP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RN08-19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Al guardar correctamente se muestra confirmación con accesos Ver mis vehículos o Ir a inicio; las dos opciones son excluyentes y no generan una nueva escritura.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P47–P54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</w:tbl>
    <w:p>
      <w:pPr>
        <w:spacing w:after="0"/>
      </w:pPr>
    </w:p>
    <w:p>
      <w:pPr>
        <w:pStyle w:val="Heading2"/>
      </w:pPr>
      <w:r>
        <w:t>B. Escenarios alternativos que deben cubrirse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30"/>
        <w:gridCol w:w="3430"/>
        <w:gridCol w:w="3430"/>
      </w:tblGrid>
      <w:tr>
        <w:trPr>
          <w:tblHeader/>
        </w:trPr>
        <w:tc>
          <w:tcPr>
            <w:tcW w:type="dxa" w:w="1757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EA</w:t>
            </w:r>
          </w:p>
        </w:tc>
        <w:tc>
          <w:tcPr>
            <w:tcW w:type="dxa" w:w="2948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Situación</w:t>
            </w:r>
          </w:p>
        </w:tc>
        <w:tc>
          <w:tcPr>
            <w:tcW w:type="dxa" w:w="5216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Resultado obligatorio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RF08_EA01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Límite Free alcanzado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No abre formulario; permanece en Mis vehículos; sin INSERT.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RF08_EA02</w:t>
            </w:r>
          </w:p>
        </w:tc>
        <w:tc>
          <w:tcPr>
            <w:tcW w:type="dxa" w:w="294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Campos obligatorios faltantes</w:t>
            </w:r>
          </w:p>
        </w:tc>
        <w:tc>
          <w:tcPr>
            <w:tcW w:type="dxa" w:w="521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Señalar campos y corregir; sin persistir.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RF08_EA03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Placa inválida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Rechazar formato incorrecto; exigir LNLNNN sin guiones.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RF08_EA04</w:t>
            </w:r>
          </w:p>
        </w:tc>
        <w:tc>
          <w:tcPr>
            <w:tcW w:type="dxa" w:w="294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Año no permitido</w:t>
            </w:r>
          </w:p>
        </w:tc>
        <w:tc>
          <w:tcPr>
            <w:tcW w:type="dxa" w:w="521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No permitir años futuros o datos no numéricos.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RF08_EA05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Kilometraje inicial inválido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Exigir &gt; 0; no crear lectura ni vehículo.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RF08_EA06</w:t>
            </w:r>
          </w:p>
        </w:tc>
        <w:tc>
          <w:tcPr>
            <w:tcW w:type="dxa" w:w="2948"/>
            <w:vAlign w:val="center"/>
            <w:shd w:fill="F3F7FA"/>
          </w:tcPr>
          <w:p>
            <w:r>
              <w:t>OTRO / ELÉCTRICO incoherente; VIN, código de motor o serie con formato inválido</w:t>
            </w:r>
          </w:p>
        </w:tc>
        <w:tc>
          <w:tcPr>
            <w:tcW w:type="dxa" w:w="5216"/>
            <w:vAlign w:val="center"/>
            <w:shd w:fill="F3F7FA"/>
          </w:tcPr>
          <w:p>
            <w:r>
              <w:t>Solicitar especificación OTRO o corregir campos no aplicables. Devolver errores específicos por campo, conservar datos y no guardar.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RF08_EA08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Placa duplicada global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Rechazar aunque otro usuario o un vehículo inactivo la tenga.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RF08_EA09</w:t>
            </w:r>
          </w:p>
        </w:tc>
        <w:tc>
          <w:tcPr>
            <w:tcW w:type="dxa" w:w="294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VIN informado duplicado</w:t>
            </w:r>
          </w:p>
        </w:tc>
        <w:tc>
          <w:tcPr>
            <w:tcW w:type="dxa" w:w="521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No guardar y permitir corregir; VIN vacío no bloquea.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RF08_EA10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Cupo cambió al confirmar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Revalidar en transacción y no insertar si se agotó.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RF08_EA11</w:t>
            </w:r>
          </w:p>
        </w:tc>
        <w:tc>
          <w:tcPr>
            <w:tcW w:type="dxa" w:w="294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Fallo de registro atómico</w:t>
            </w:r>
          </w:p>
        </w:tc>
        <w:tc>
          <w:tcPr>
            <w:tcW w:type="dxa" w:w="521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Rollback completo, no éxito y reintento con idOperacion.</w:t>
            </w:r>
          </w:p>
        </w:tc>
      </w:tr>
    </w:tbl>
    <w:p>
      <w:pPr>
        <w:spacing w:after="0"/>
      </w:pPr>
    </w:p>
    <w:p>
      <w:pPr>
        <w:pStyle w:val="Heading2"/>
      </w:pPr>
      <w:r>
        <w:t>C. Datos y relaciones necesarias para la BD</w:t>
      </w:r>
    </w:p>
    <w:p>
      <w:pPr>
        <w:spacing w:after="80"/>
      </w:pPr>
      <w:r>
        <w:rPr>
          <w:rFonts w:ascii="Arial" w:hAnsi="Arial"/>
          <w:b w:val="0"/>
          <w:color w:val="485664"/>
          <w:sz w:val="18"/>
        </w:rPr>
        <w:t>Entidades a evaluar: usuario (Elsa), plan/asignación (Sebastián), vehiculo, uso_vehiculo, tipo_motor, combustible, tipo_aceite, lectura_kilometraje, config_recordatorio_km.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45"/>
        <w:gridCol w:w="5145"/>
      </w:tblGrid>
      <w:tr>
        <w:trPr>
          <w:tblHeader/>
        </w:trPr>
        <w:tc>
          <w:tcPr>
            <w:tcW w:type="dxa" w:w="2494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Grupo de datos</w:t>
            </w:r>
          </w:p>
        </w:tc>
        <w:tc>
          <w:tcPr>
            <w:tcW w:type="dxa" w:w="7427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Obligatorios / opcionales / regla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Campos obligatorios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Marca, modelo, uso, placa, año, color, tipo motor, km inicial &gt;0; combustible si motor no eléctrico.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Campos opcionales</w:t>
            </w:r>
          </w:p>
        </w:tc>
        <w:tc>
          <w:tcPr>
            <w:tcW w:type="dxa" w:w="7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VIN, serie, número motor y tipo aceite. Foto personalizada FUTURA.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Identificación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idVehiculo estable como PK; idUsuario FK; placa UNIQUE global; VIN UNIQUE cuando informado.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Lectura inicial</w:t>
            </w:r>
          </w:p>
        </w:tc>
        <w:tc>
          <w:tcPr>
            <w:tcW w:type="dxa" w:w="7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Una fila ORIGEN=INICIAL, km&gt;0, idVehiculo FK, fecha del servidor.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Recordatorio individual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Una fila por vehículo, INTERDIARIO/PAUSADO/fechaBaseUTC y próximo/último envío NULL.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Catálogos / OTRO</w:t>
            </w:r>
          </w:p>
        </w:tc>
        <w:tc>
          <w:tcPr>
            <w:tcW w:type="dxa" w:w="7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Uso, motor, combustible y aceite; opción OTRO con especificación correspondiente.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Idempotencia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idOperacion reintentos; persistencia física por acordar.</w:t>
            </w:r>
          </w:p>
        </w:tc>
      </w:tr>
    </w:tbl>
    <w:p>
      <w:pPr>
        <w:spacing w:after="0"/>
      </w:pPr>
    </w:p>
    <w:p>
      <w:pPr>
        <w:pStyle w:val="Heading2"/>
      </w:pPr>
      <w:r>
        <w:t>D. Dependencias y decisiones de integración</w:t>
      </w:r>
    </w:p>
    <w:p>
      <w:pPr>
        <w:pStyle w:val="ListBullet"/>
        <w:spacing w:after="40"/>
      </w:pPr>
      <w:r>
        <w:t>Elsa: usuario autenticado y estados de cuenta; Sebastián: plan Free y control de cupo; Nayu: última lectura de RF08 puede alimentar RF22/RF23.</w:t>
      </w:r>
    </w:p>
    <w:p>
      <w:pPr>
        <w:pStyle w:val="ListBullet"/>
        <w:spacing w:after="40"/>
      </w:pPr>
      <w:r>
        <w:t>El nombre y tipo de PK/FK lo aprobará todo el equipo; no agregar columnas arbitrarias en SQL.</w:t>
      </w:r>
    </w:p>
    <w:p>
      <w:pPr>
        <w:pStyle w:val="Heading2"/>
      </w:pPr>
      <w:r>
        <w:t>E. Pruebas de aceptación mínimas</w:t>
      </w:r>
    </w:p>
    <w:p>
      <w:pPr>
        <w:pStyle w:val="ListBullet"/>
        <w:spacing w:after="40"/>
      </w:pPr>
      <w:r>
        <w:t>Free sin vehículos registra uno con placa válida y km inicial &gt;0.</w:t>
      </w:r>
    </w:p>
    <w:p>
      <w:pPr>
        <w:pStyle w:val="ListBullet"/>
        <w:spacing w:after="40"/>
      </w:pPr>
      <w:r>
        <w:t>Free con vehículo inactivo no registra otro.</w:t>
      </w:r>
    </w:p>
    <w:p>
      <w:pPr>
        <w:pStyle w:val="ListBullet"/>
        <w:spacing w:after="40"/>
      </w:pPr>
      <w:r>
        <w:t>Placa registrada en otra cuenta debe rechazarse.</w:t>
      </w:r>
    </w:p>
    <w:p>
      <w:pPr>
        <w:pStyle w:val="ListBullet"/>
        <w:spacing w:after="40"/>
      </w:pPr>
      <w:r>
        <w:t>VIN vacío se permite y duplicado informado se rechaza.</w:t>
      </w:r>
    </w:p>
    <w:p>
      <w:pPr>
        <w:pStyle w:val="ListBullet"/>
        <w:spacing w:after="40"/>
      </w:pPr>
      <w:r>
        <w:t>Fallo guardando configuración individual revierte también vehículo y lectura.</w:t>
      </w:r>
    </w:p>
    <w:p>
      <w:pPr>
        <w:pStyle w:val="ListBullet"/>
        <w:spacing w:after="40"/>
      </w:pPr>
      <w:r>
        <w:t>Reenvío idéntico con idOperacion no duplica registros.</w:t>
      </w:r>
    </w:p>
    <w:p>
      <w:pPr>
        <w:spacing w:after="280"/>
      </w:pPr>
      <w:r>
        <w:rPr>
          <w:rFonts w:ascii="Arial" w:hAnsi="Arial"/>
          <w:b/>
          <w:color w:val="18314E"/>
          <w:sz w:val="18"/>
        </w:rPr>
        <w:t>Revisión:  [  ] Reglas aprobadas   [  ] Alternativos cotejados   [  ] Campos y relaciones confirmados   [  ] Listo para contratos y BD</w:t>
      </w:r>
    </w:p>
    <w:p>
      <w:r>
        <w:br w:type="page"/>
      </w:r>
    </w:p>
    <w:p>
      <w:pPr>
        <w:pStyle w:val="Heading1"/>
      </w:pPr>
      <w:r>
        <w:t>RF09  |  Consultar vehículos registrados</w:t>
      </w:r>
    </w:p>
    <w:p>
      <w:pPr>
        <w:spacing w:after="80"/>
      </w:pPr>
      <w:r>
        <w:rPr>
          <w:rFonts w:ascii="Arial" w:hAnsi="Arial"/>
          <w:b/>
          <w:color w:val="166D7C"/>
          <w:sz w:val="18"/>
        </w:rPr>
        <w:t>Lectura y filtrado de tarjetas de vehículos del usuario; sin dependencias obligatorias de documentos futuros.</w:t>
      </w:r>
    </w:p>
    <w:p>
      <w:pPr>
        <w:pStyle w:val="Heading2"/>
      </w:pPr>
      <w:r>
        <w:t>A. Reglas de negocio del MVP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2"/>
        <w:gridCol w:w="2572"/>
        <w:gridCol w:w="2572"/>
        <w:gridCol w:w="2572"/>
      </w:tblGrid>
      <w:tr>
        <w:trPr>
          <w:tblHeader/>
        </w:trPr>
        <w:tc>
          <w:tcPr>
            <w:tcW w:type="dxa" w:w="1191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Código</w:t>
            </w:r>
          </w:p>
        </w:tc>
        <w:tc>
          <w:tcPr>
            <w:tcW w:type="dxa" w:w="5102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Regla / condición</w:t>
            </w:r>
          </w:p>
        </w:tc>
        <w:tc>
          <w:tcPr>
            <w:tcW w:type="dxa" w:w="1928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Referencia EF / EA</w:t>
            </w:r>
          </w:p>
        </w:tc>
        <w:tc>
          <w:tcPr>
            <w:tcW w:type="dxa" w:w="1701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RN09-01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Solo un usuario autenticado consulta sus propios vehículos; identidad desde sesión y filtros de propiedad en servidor.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P04–P06, P28–P31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RN09-02</w:t>
            </w:r>
          </w:p>
        </w:tc>
        <w:tc>
          <w:tcPr>
            <w:tcW w:type="dxa" w:w="510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La consulta incluye vehículos ACTIVOS e INACTIVOS registrados; filtro inicial TODOS y contadores Todos, Activos e Inactivos.</w:t>
            </w:r>
          </w:p>
        </w:tc>
        <w:tc>
          <w:tcPr>
            <w:tcW w:type="dxa" w:w="192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P23–P25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RN09-03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En los resultados se ordena primero el vehículo principal que coincida con el filtro; no se debe incluir uno que no cumpla el criterio.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P22, P47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RN09-04</w:t>
            </w:r>
          </w:p>
        </w:tc>
        <w:tc>
          <w:tcPr>
            <w:tcW w:type="dxa" w:w="510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Cada tarjeta MVP integra: idVehiculo, marca, modelo, placa, año, uso, estado, indicador principal, kilometraje vigente y combustible si aplica; usa imagen predeterminada.</w:t>
            </w:r>
          </w:p>
        </w:tc>
        <w:tc>
          <w:tcPr>
            <w:tcW w:type="dxa" w:w="192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P21, P25–P26, P46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RN09-05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La lectura presentada corresponde a la última lectura efectiva del vehículo. Listar no altera el historial ni el valor.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P09–P12, P34–P37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RN09-06</w:t>
            </w:r>
          </w:p>
        </w:tc>
        <w:tc>
          <w:tcPr>
            <w:tcW w:type="dxa" w:w="510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La búsqueda combina texto por placa, marca, modelo o marca + modelo con filtro TODOS/ACTIVO/INACTIVO; un filtro desconocido se rechaza.</w:t>
            </w:r>
          </w:p>
        </w:tc>
        <w:tc>
          <w:tcPr>
            <w:tcW w:type="dxa" w:w="192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P27–P31 · EA02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RN09-07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Distinguir lista completamente vacía, búsqueda sin coincidencias y fallo técnico; un error de servidor no equivale a «sin vehículos».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EA01, EA03, EA04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RN09-08</w:t>
            </w:r>
          </w:p>
        </w:tc>
        <w:tc>
          <w:tcPr>
            <w:tcW w:type="dxa" w:w="510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Indicadores SOAT/TIVE no se obtienen del backend MVP: se ocultan o señalan «Próximamente»; jamás se interpretan como NO_REGISTRADO por no existir todavía el módulo.</w:t>
            </w:r>
          </w:p>
        </w:tc>
        <w:tc>
          <w:tcPr>
            <w:tcW w:type="dxa" w:w="192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P13–P21, P38–P46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Congelada, elección visual pendiente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RN09-09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Consultar el listado no registra vehículos, ni modifica kilometraje, alertas o estado del vehículo.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Naturaleza de RF09; EF lectura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Derivada para API</w:t>
            </w:r>
          </w:p>
        </w:tc>
      </w:tr>
    </w:tbl>
    <w:p>
      <w:pPr>
        <w:spacing w:after="0"/>
      </w:pPr>
    </w:p>
    <w:p>
      <w:pPr>
        <w:pStyle w:val="Heading2"/>
      </w:pPr>
      <w:r>
        <w:t>B. Escenarios alternativos que deben cubrirse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30"/>
        <w:gridCol w:w="3430"/>
        <w:gridCol w:w="3430"/>
      </w:tblGrid>
      <w:tr>
        <w:trPr>
          <w:tblHeader/>
        </w:trPr>
        <w:tc>
          <w:tcPr>
            <w:tcW w:type="dxa" w:w="1757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EA</w:t>
            </w:r>
          </w:p>
        </w:tc>
        <w:tc>
          <w:tcPr>
            <w:tcW w:type="dxa" w:w="2948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Situación</w:t>
            </w:r>
          </w:p>
        </w:tc>
        <w:tc>
          <w:tcPr>
            <w:tcW w:type="dxa" w:w="5216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Resultado obligatorio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RF09_EA01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Usuario sin vehículos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Presentar estado vacío real y opción de agregar.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RF09_EA02</w:t>
            </w:r>
          </w:p>
        </w:tc>
        <w:tc>
          <w:tcPr>
            <w:tcW w:type="dxa" w:w="294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Filtro desconocido</w:t>
            </w:r>
          </w:p>
        </w:tc>
        <w:tc>
          <w:tcPr>
            <w:tcW w:type="dxa" w:w="521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Rechazar criterio o exigir filtro permitido, sin escritura.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RF09_EA03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Búsqueda sin coincidencias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Mostrar sin resultados conservando texto y filtros.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RF09_EA04</w:t>
            </w:r>
          </w:p>
        </w:tc>
        <w:tc>
          <w:tcPr>
            <w:tcW w:type="dxa" w:w="294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Fallo de consulta</w:t>
            </w:r>
          </w:p>
        </w:tc>
        <w:tc>
          <w:tcPr>
            <w:tcW w:type="dxa" w:w="521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Informar error técnico y opción reintentar, sin confundir con vacío.</w:t>
            </w:r>
          </w:p>
        </w:tc>
      </w:tr>
    </w:tbl>
    <w:p>
      <w:pPr>
        <w:spacing w:after="0"/>
      </w:pPr>
    </w:p>
    <w:p>
      <w:pPr>
        <w:pStyle w:val="Heading2"/>
      </w:pPr>
      <w:r>
        <w:t>C. Datos y relaciones necesarias para la BD</w:t>
      </w:r>
    </w:p>
    <w:p>
      <w:pPr>
        <w:spacing w:after="80"/>
      </w:pPr>
      <w:r>
        <w:rPr>
          <w:rFonts w:ascii="Arial" w:hAnsi="Arial"/>
          <w:b w:val="0"/>
          <w:color w:val="485664"/>
          <w:sz w:val="18"/>
        </w:rPr>
        <w:t>Entidades a evaluar: vehiculo; catálogos de presentación; lectura_kilometraje (última efectiva). SOAT, TIVE e imágenes personalizadas solo versión completa.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45"/>
        <w:gridCol w:w="5145"/>
      </w:tblGrid>
      <w:tr>
        <w:trPr>
          <w:tblHeader/>
        </w:trPr>
        <w:tc>
          <w:tcPr>
            <w:tcW w:type="dxa" w:w="2494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Grupo de datos</w:t>
            </w:r>
          </w:p>
        </w:tc>
        <w:tc>
          <w:tcPr>
            <w:tcW w:type="dxa" w:w="7427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Obligatorios / opcionales / regla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Entrada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Identidad de la sesión; texto de búsqueda opcional; filtro TODOS/ACTIVO/INACTIVO.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Salida por tarjeta</w:t>
            </w:r>
          </w:p>
        </w:tc>
        <w:tc>
          <w:tcPr>
            <w:tcW w:type="dxa" w:w="7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idVehiculo, marca/modelo, placa, año, uso, estado, principal, última lectura y combustible cuando corresponda.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Indicadores futuros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SOAT/TIVE y foto personalizada opcionales y NO invocados en MVP.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Orden / resumen</w:t>
            </w:r>
          </w:p>
        </w:tc>
        <w:tc>
          <w:tcPr>
            <w:tcW w:type="dxa" w:w="7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Principal primero entre coincidencias; contadores total/activo/inactivo.</w:t>
            </w:r>
          </w:p>
        </w:tc>
      </w:tr>
    </w:tbl>
    <w:p>
      <w:pPr>
        <w:spacing w:after="0"/>
      </w:pPr>
    </w:p>
    <w:p>
      <w:pPr>
        <w:pStyle w:val="Heading2"/>
      </w:pPr>
      <w:r>
        <w:t>D. Dependencias y decisiones de integración</w:t>
      </w:r>
    </w:p>
    <w:p>
      <w:pPr>
        <w:pStyle w:val="ListBullet"/>
        <w:spacing w:after="40"/>
      </w:pPr>
      <w:r>
        <w:t>Elsa: identidad del usuario; RF08: listado toma vehículos creados; RF14: última lectura efectiva.</w:t>
      </w:r>
    </w:p>
    <w:p>
      <w:pPr>
        <w:pStyle w:val="ListBullet"/>
        <w:spacing w:after="40"/>
      </w:pPr>
      <w:r>
        <w:t>No confundir «sin dato porque no se implementó» con «documento no registrado».</w:t>
      </w:r>
    </w:p>
    <w:p>
      <w:pPr>
        <w:pStyle w:val="Heading2"/>
      </w:pPr>
      <w:r>
        <w:t>E. Pruebas de aceptación mínimas</w:t>
      </w:r>
    </w:p>
    <w:p>
      <w:pPr>
        <w:pStyle w:val="ListBullet"/>
        <w:spacing w:after="40"/>
      </w:pPr>
      <w:r>
        <w:t>Listar cuenta sin vehículos; estado vacío.</w:t>
      </w:r>
    </w:p>
    <w:p>
      <w:pPr>
        <w:pStyle w:val="ListBullet"/>
        <w:spacing w:after="40"/>
      </w:pPr>
      <w:r>
        <w:t>Filtrar ACTIVO e INACTIVO; principal se muestra primero si coincide.</w:t>
      </w:r>
    </w:p>
    <w:p>
      <w:pPr>
        <w:pStyle w:val="ListBullet"/>
        <w:spacing w:after="40"/>
      </w:pPr>
      <w:r>
        <w:t>Buscar placa/marca/modelo sin coincidencias.</w:t>
      </w:r>
    </w:p>
    <w:p>
      <w:pPr>
        <w:pStyle w:val="ListBullet"/>
        <w:spacing w:after="40"/>
      </w:pPr>
      <w:r>
        <w:t>Filtro inválido no genera actualización.</w:t>
      </w:r>
    </w:p>
    <w:p>
      <w:pPr>
        <w:pStyle w:val="ListBullet"/>
        <w:spacing w:after="40"/>
      </w:pPr>
      <w:r>
        <w:t>Fallo de base de datos no se presenta como lista vacía.</w:t>
      </w:r>
    </w:p>
    <w:p>
      <w:pPr>
        <w:spacing w:after="280"/>
      </w:pPr>
      <w:r>
        <w:rPr>
          <w:rFonts w:ascii="Arial" w:hAnsi="Arial"/>
          <w:b/>
          <w:color w:val="18314E"/>
          <w:sz w:val="18"/>
        </w:rPr>
        <w:t>Revisión:  [  ] Reglas aprobadas   [  ] Alternativos cotejados   [  ] Campos y relaciones confirmados   [  ] Listo para contratos y BD</w:t>
      </w:r>
    </w:p>
    <w:p>
      <w:r>
        <w:br w:type="page"/>
      </w:r>
    </w:p>
    <w:p>
      <w:pPr>
        <w:pStyle w:val="Heading1"/>
      </w:pPr>
      <w:r>
        <w:t>RF10  |  Consultar detalle del vehículo</w:t>
      </w:r>
    </w:p>
    <w:p>
      <w:pPr>
        <w:spacing w:after="80"/>
      </w:pPr>
      <w:r>
        <w:rPr>
          <w:rFonts w:ascii="Arial" w:hAnsi="Arial"/>
          <w:b/>
          <w:color w:val="166D7C"/>
          <w:sz w:val="18"/>
        </w:rPr>
        <w:t>Detalle autorizado con campos del vehículo y kilometraje; SOAT/TIVE opcionales futuros.</w:t>
      </w:r>
    </w:p>
    <w:p>
      <w:pPr>
        <w:pStyle w:val="Heading2"/>
      </w:pPr>
      <w:r>
        <w:t>A. Reglas de negocio del MVP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2"/>
        <w:gridCol w:w="2572"/>
        <w:gridCol w:w="2572"/>
        <w:gridCol w:w="2572"/>
      </w:tblGrid>
      <w:tr>
        <w:trPr>
          <w:tblHeader/>
        </w:trPr>
        <w:tc>
          <w:tcPr>
            <w:tcW w:type="dxa" w:w="1191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Código</w:t>
            </w:r>
          </w:p>
        </w:tc>
        <w:tc>
          <w:tcPr>
            <w:tcW w:type="dxa" w:w="5102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Regla / condición</w:t>
            </w:r>
          </w:p>
        </w:tc>
        <w:tc>
          <w:tcPr>
            <w:tcW w:type="dxa" w:w="1928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Referencia EF / EA</w:t>
            </w:r>
          </w:p>
        </w:tc>
        <w:tc>
          <w:tcPr>
            <w:tcW w:type="dxa" w:w="1701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RN10-01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Solo puede consultarse el detalle de un vehículo existente vinculado al usuario autenticado; no exponer información de terceros.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P01–P05 · EA01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RN10-02</w:t>
            </w:r>
          </w:p>
        </w:tc>
        <w:tc>
          <w:tcPr>
            <w:tcW w:type="dxa" w:w="510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El detalle es consultable tanto si el vehículo está ACTIVO como INACTIVO; RF10 no cambia su estado.</w:t>
            </w:r>
          </w:p>
        </w:tc>
        <w:tc>
          <w:tcPr>
            <w:tcW w:type="dxa" w:w="192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P04–P05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RN10-03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Información básica: idVehiculo, marca, modelo, placa, año, color, uso, tipo de motor, combustible cuando aplica, estado y condición principal.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P04, P22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RN10-04</w:t>
            </w:r>
          </w:p>
        </w:tc>
        <w:tc>
          <w:tcPr>
            <w:tcW w:type="dxa" w:w="510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Los campos opcionales del vehículo (VIN, serie, motor, tipo de aceite y especificaciones OTRO) aparecen solo cuando tienen contenido y corresponden al motor.</w:t>
            </w:r>
          </w:p>
        </w:tc>
        <w:tc>
          <w:tcPr>
            <w:tcW w:type="dxa" w:w="192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P04, P22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RN10-05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El kilometraje mostrado proviene de la última lectura efectiva, con fecha de lectura; el detalle no crea ni modifica lecturas.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P06–P09, P22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RN10-06</w:t>
            </w:r>
          </w:p>
        </w:tc>
        <w:tc>
          <w:tcPr>
            <w:tcW w:type="dxa" w:w="510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Si falla técnicamente la consulta del kilometraje, mostrar datos generales con «Kilometraje temporalmente no disponible», permitir reintentar y no mostrar 0 ni inventar un valor.</w:t>
            </w:r>
          </w:p>
        </w:tc>
        <w:tc>
          <w:tcPr>
            <w:tcW w:type="dxa" w:w="192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EA02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RN10-07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Durante el MVP, SOAT, TIVE y fotografía personalizada son datos opcionales NO SOLICITADOS al backend. Pueden mostrarse como «Próximamente» u ocultarse; no asumir NO_REGISTRADO.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P10–P22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Congelada; presentación pendiente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RN10-08</w:t>
            </w:r>
          </w:p>
        </w:tc>
        <w:tc>
          <w:tcPr>
            <w:tcW w:type="dxa" w:w="510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Los accesos a RF futuros pueden visualizarse deshabilitados; mostrar un botón no implica ejecutar la operación. El acceso a kilometraje debe usar idVehiculo.</w:t>
            </w:r>
          </w:p>
        </w:tc>
        <w:tc>
          <w:tcPr>
            <w:tcW w:type="dxa" w:w="192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P23–P24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Interpretación MVP</w:t>
            </w:r>
          </w:p>
        </w:tc>
      </w:tr>
    </w:tbl>
    <w:p>
      <w:pPr>
        <w:spacing w:after="0"/>
      </w:pPr>
    </w:p>
    <w:p>
      <w:pPr>
        <w:pStyle w:val="Heading2"/>
      </w:pPr>
      <w:r>
        <w:t>B. Escenarios alternativos que deben cubrirse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30"/>
        <w:gridCol w:w="3430"/>
        <w:gridCol w:w="3430"/>
      </w:tblGrid>
      <w:tr>
        <w:trPr>
          <w:tblHeader/>
        </w:trPr>
        <w:tc>
          <w:tcPr>
            <w:tcW w:type="dxa" w:w="1757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EA</w:t>
            </w:r>
          </w:p>
        </w:tc>
        <w:tc>
          <w:tcPr>
            <w:tcW w:type="dxa" w:w="2948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Situación</w:t>
            </w:r>
          </w:p>
        </w:tc>
        <w:tc>
          <w:tcPr>
            <w:tcW w:type="dxa" w:w="5216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Resultado obligatorio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RF10_EA01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Vehículo inexistente o ajeno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No devolver detalle ni datos sensibles; informar que no está disponible.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RF10_EA02</w:t>
            </w:r>
          </w:p>
        </w:tc>
        <w:tc>
          <w:tcPr>
            <w:tcW w:type="dxa" w:w="294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Kilometraje no recuperable</w:t>
            </w:r>
          </w:p>
        </w:tc>
        <w:tc>
          <w:tcPr>
            <w:tcW w:type="dxa" w:w="521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Detalle parcial; mensaje de fallo temporal y reintento de consulta.</w:t>
            </w:r>
          </w:p>
        </w:tc>
      </w:tr>
    </w:tbl>
    <w:p>
      <w:pPr>
        <w:spacing w:after="0"/>
      </w:pPr>
    </w:p>
    <w:p>
      <w:pPr>
        <w:pStyle w:val="Heading2"/>
      </w:pPr>
      <w:r>
        <w:t>C. Datos y relaciones necesarias para la BD</w:t>
      </w:r>
    </w:p>
    <w:p>
      <w:pPr>
        <w:spacing w:after="80"/>
      </w:pPr>
      <w:r>
        <w:rPr>
          <w:rFonts w:ascii="Arial" w:hAnsi="Arial"/>
          <w:b w:val="0"/>
          <w:color w:val="485664"/>
          <w:sz w:val="18"/>
        </w:rPr>
        <w:t>Entidades a evaluar: vehiculo; catálogos vinculados; lectura_kilometraje (última efectiva). Documentos y fotos personalizados posteriores.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45"/>
        <w:gridCol w:w="5145"/>
      </w:tblGrid>
      <w:tr>
        <w:trPr>
          <w:tblHeader/>
        </w:trPr>
        <w:tc>
          <w:tcPr>
            <w:tcW w:type="dxa" w:w="2494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Grupo de datos</w:t>
            </w:r>
          </w:p>
        </w:tc>
        <w:tc>
          <w:tcPr>
            <w:tcW w:type="dxa" w:w="7427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Obligatorios / opcionales / regla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Entrada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idVehiculo de la tarjeta; identidad del propietario desde sesión.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Salida principal</w:t>
            </w:r>
          </w:p>
        </w:tc>
        <w:tc>
          <w:tcPr>
            <w:tcW w:type="dxa" w:w="7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idVehiculo, marca/modelo, placa, año, color, uso, tipo motor, combustible aplicable, estado, principal, kmActual y fechaLectura.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Atributos opcionales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VIN, serie, número motor, aceite, campos de texto OTRO: informar solo si aplican.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Datos futuros</w:t>
            </w:r>
          </w:p>
        </w:tc>
        <w:tc>
          <w:tcPr>
            <w:tcW w:type="dxa" w:w="7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SOAT, TIVE, fotografía personalizada: no solicitarlos en MVP; mostrar Próximamente u ocultar.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Seguridad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Vehículo ajeno/inexistente no devuelve datos.</w:t>
            </w:r>
          </w:p>
        </w:tc>
      </w:tr>
    </w:tbl>
    <w:p>
      <w:pPr>
        <w:spacing w:after="0"/>
      </w:pPr>
    </w:p>
    <w:p>
      <w:pPr>
        <w:pStyle w:val="Heading2"/>
      </w:pPr>
      <w:r>
        <w:t>D. Dependencias y decisiones de integración</w:t>
      </w:r>
    </w:p>
    <w:p>
      <w:pPr>
        <w:pStyle w:val="ListBullet"/>
        <w:spacing w:after="40"/>
      </w:pPr>
      <w:r>
        <w:t>Elsa: sesión; Francesca RF08/RF14: vehículo y última lectura; Nayu consume mismo idVehiculo para mantener relaciones correctas.</w:t>
      </w:r>
    </w:p>
    <w:p>
      <w:pPr>
        <w:pStyle w:val="ListBullet"/>
        <w:spacing w:after="40"/>
      </w:pPr>
      <w:r>
        <w:t>RF10 es consulta: mostrar acceso a módulo no implica ejecutar RF futuros.</w:t>
      </w:r>
    </w:p>
    <w:p>
      <w:pPr>
        <w:pStyle w:val="Heading2"/>
      </w:pPr>
      <w:r>
        <w:t>E. Pruebas de aceptación mínimas</w:t>
      </w:r>
    </w:p>
    <w:p>
      <w:pPr>
        <w:pStyle w:val="ListBullet"/>
        <w:spacing w:after="40"/>
      </w:pPr>
      <w:r>
        <w:t>Consultar detalle de vehículo ACTIVO e INACTIVO propio.</w:t>
      </w:r>
    </w:p>
    <w:p>
      <w:pPr>
        <w:pStyle w:val="ListBullet"/>
        <w:spacing w:after="40"/>
      </w:pPr>
      <w:r>
        <w:t>Vehículo ajeno o inexistente no permite lectura.</w:t>
      </w:r>
    </w:p>
    <w:p>
      <w:pPr>
        <w:pStyle w:val="ListBullet"/>
        <w:spacing w:after="40"/>
      </w:pPr>
      <w:r>
        <w:t>Fallo temporal de kilometraje muestra dato no disponible y reintento, no 0.</w:t>
      </w:r>
    </w:p>
    <w:p>
      <w:pPr>
        <w:pStyle w:val="ListBullet"/>
        <w:spacing w:after="40"/>
      </w:pPr>
      <w:r>
        <w:t>SOAT/TIVE no implementados no se presentan como NO_REGISTRADO.</w:t>
      </w:r>
    </w:p>
    <w:p>
      <w:pPr>
        <w:spacing w:after="280"/>
      </w:pPr>
      <w:r>
        <w:rPr>
          <w:rFonts w:ascii="Arial" w:hAnsi="Arial"/>
          <w:b/>
          <w:color w:val="18314E"/>
          <w:sz w:val="18"/>
        </w:rPr>
        <w:t>Revisión:  [  ] Reglas aprobadas   [  ] Alternativos cotejados   [  ] Campos y relaciones confirmados   [  ] Listo para contratos y BD</w:t>
      </w:r>
    </w:p>
    <w:p>
      <w:r>
        <w:br w:type="page"/>
      </w:r>
    </w:p>
    <w:p>
      <w:pPr>
        <w:pStyle w:val="Heading1"/>
      </w:pPr>
      <w:r>
        <w:t>RF14  |  Actualizar kilometraje</w:t>
      </w:r>
    </w:p>
    <w:p>
      <w:pPr>
        <w:spacing w:after="80"/>
      </w:pPr>
      <w:r>
        <w:rPr>
          <w:rFonts w:ascii="Arial" w:hAnsi="Arial"/>
          <w:b/>
          <w:color w:val="166D7C"/>
          <w:sz w:val="18"/>
        </w:rPr>
        <w:t>Vista previa y guardado solo tras Continuar; pantalla de confirmación y navegación excluyente.</w:t>
      </w:r>
    </w:p>
    <w:p>
      <w:pPr>
        <w:pStyle w:val="Heading2"/>
      </w:pPr>
      <w:r>
        <w:t>A. Reglas de negocio del MVP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2"/>
        <w:gridCol w:w="2572"/>
        <w:gridCol w:w="2572"/>
        <w:gridCol w:w="2572"/>
      </w:tblGrid>
      <w:tr>
        <w:trPr>
          <w:tblHeader/>
        </w:trPr>
        <w:tc>
          <w:tcPr>
            <w:tcW w:type="dxa" w:w="1191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Código</w:t>
            </w:r>
          </w:p>
        </w:tc>
        <w:tc>
          <w:tcPr>
            <w:tcW w:type="dxa" w:w="5102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Regla / condición</w:t>
            </w:r>
          </w:p>
        </w:tc>
        <w:tc>
          <w:tcPr>
            <w:tcW w:type="dxa" w:w="1928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Referencia EF / EA</w:t>
            </w:r>
          </w:p>
        </w:tc>
        <w:tc>
          <w:tcPr>
            <w:tcW w:type="dxa" w:w="1701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RN14-01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Solo usuario autenticado y autorizado puede actualizar el kilometraje de un vehículo ACTIVO; no basta con conocer idVehiculo.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P02–P06, P18–P19 · EA05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RN14-02</w:t>
            </w:r>
          </w:p>
        </w:tc>
        <w:tc>
          <w:tcPr>
            <w:tcW w:type="dxa" w:w="510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Se consulta la última lectura efectiva válida del vehículo (inicial RF08 o posteriores RF14) y se presenta como km previo de solo lectura.</w:t>
            </w:r>
          </w:p>
        </w:tc>
        <w:tc>
          <w:tcPr>
            <w:tcW w:type="dxa" w:w="192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P07–P10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RN14-03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El formulario permite ingresar solamente el nuevo kilometraje; no fecha manual ni motivo. La corrección histórica con motivo corresponde a RF16 futuro.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P09–P11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RN14-04</w:t>
            </w:r>
          </w:p>
        </w:tc>
        <w:tc>
          <w:tcPr>
            <w:tcW w:type="dxa" w:w="510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La nueva lectura debe ser numérica entera, no negativa y ESTRICTAMENTE MAYOR que el kilometraje vigente. Igual, menor, decimal o vacío no se guardan.</w:t>
            </w:r>
          </w:p>
        </w:tc>
        <w:tc>
          <w:tcPr>
            <w:tcW w:type="dxa" w:w="192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P12–P13 · EA01, EA02, EA03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RN14-05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Tras la validación aparece I_VistaPreviaKilometraje con km previo/nuevo y botones Volver a editar y Continuar; antes de Continuar no se guarda nada.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P14–P17 · EA04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RN14-06</w:t>
            </w:r>
          </w:p>
        </w:tc>
        <w:tc>
          <w:tcPr>
            <w:tcW w:type="dxa" w:w="510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Al confirmar, el backend revalida propietario, vehículo ACTIVO, última lectura y versión; un cambio concurrente no debe guardar una lectura basada en datos obsoletos.</w:t>
            </w:r>
          </w:p>
        </w:tc>
        <w:tc>
          <w:tcPr>
            <w:tcW w:type="dxa" w:w="192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P18–P22 · EA05, EA06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RN14-07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El guardado se hace en una transacción, bloqueando una fila estable del vehículo o usando mecanismo equivalente seguro para serializar confirmaciones concurrentes.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P20–P24 · EA06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Congelada; técnica específica por implementar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RN14-08</w:t>
            </w:r>
          </w:p>
        </w:tc>
        <w:tc>
          <w:tcPr>
            <w:tcW w:type="dxa" w:w="510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Un idOperacion único y estable identifica la intención; reenvío idéntico devuelve el resultado existente, sin duplicar. Reutilizar la misma clave con datos diferentes se considera conflicto.</w:t>
            </w:r>
          </w:p>
        </w:tc>
        <w:tc>
          <w:tcPr>
            <w:tcW w:type="dxa" w:w="192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P17, P23–P24 · EA07–EA08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Congelada; soporte físico por definir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RN14-09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Registrar una NUEVA lectura con fecha del servidor, sin sobrescribir lectura anterior. La lectura inicial y el historial permanecen íntegros.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P23–P24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RN14-10</w:t>
            </w:r>
          </w:p>
        </w:tc>
        <w:tc>
          <w:tcPr>
            <w:tcW w:type="dxa" w:w="5102"/>
            <w:vAlign w:val="center"/>
            <w:shd w:fill="F3F7FA"/>
          </w:tcPr>
          <w:p>
            <w:pPr>
              <w:spacing w:after="0"/>
            </w:pPr>
            <w:r>
              <w:t>RF14 MVP NO modifica alerta.estado ni historial_alerta; Nayu/RF23 sincroniza las alertas al abrir Mis alertas mediante operación transaccional explícita. El motor automático y notificaciones quedan para versión completa.</w:t>
            </w:r>
          </w:p>
        </w:tc>
        <w:tc>
          <w:tcPr>
            <w:tcW w:type="dxa" w:w="192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P25–P41, P42 · Alineación Nayu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spacing w:after="0"/>
            </w:pPr>
            <w:r>
              <w:t>Separación funcional APROBADA; implementación RF23 corresponde a Nayu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RN14-11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t>Tras COMMIT confirmado se muestra I_ConfirmacionKilometraje: «Kilometraje actualizado correctamente», con EXACTAMENTE dos botones «Continuar» e «Ir a inicio». El «Continuar» FINAL solo navega, nunca vuelve a escribir kilometraje.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P42–P43 · EA07–EA08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RN14-12</w:t>
            </w:r>
          </w:p>
        </w:tc>
        <w:tc>
          <w:tcPr>
            <w:tcW w:type="dxa" w:w="5102"/>
            <w:vAlign w:val="center"/>
            <w:shd w:fill="F3F7FA"/>
          </w:tcPr>
          <w:p>
            <w:pPr>
              <w:spacing w:after="0"/>
            </w:pPr>
            <w:r>
              <w:t>El «Continuar» FINAL regresa a I_DetalleKilometraje (origen normal, reconsultando km) o a RF17 (origen mantenimiento, conservando el borrador y refrescando SOLO km actual). «Ir a inicio» abre I_Inicio y descarta el borrador no guardado. Ninguna navegación inserta otra lectura.</w:t>
            </w:r>
          </w:p>
        </w:tc>
        <w:tc>
          <w:tcPr>
            <w:tcW w:type="dxa" w:w="192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EF P44–P53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RN14-13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Si no llega respuesta de red, NO asumir error ni éxito: recuperar el estado real de idOperacion y mostrar confirmación solo si hubo COMMIT; reintento sin duplicación.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EA08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Congelada; API de recuperación por definir</w:t>
            </w:r>
          </w:p>
        </w:tc>
      </w:tr>
      <w:tr>
        <w:tc>
          <w:tcPr>
            <w:tcW w:type="dxa" w:w="1191"/>
            <w:vAlign w:val="center"/>
          </w:tcPr>
          <w:p>
            <w:r>
              <w:t>RN14-14</w:t>
            </w:r>
          </w:p>
        </w:tc>
        <w:tc>
          <w:tcPr>
            <w:tcW w:type="dxa" w:w="5102"/>
            <w:vAlign w:val="center"/>
          </w:tcPr>
          <w:p>
            <w:r>
              <w:t>Desde RF17 se abre directamente I_ActualizarKilometraje sin pasar por Detalle; el borrador RF17 se conserva TEMPORALMENTE durante la navegación. Al retornar no se sobrescribe el kilometraje histórico del servicio.</w:t>
            </w:r>
          </w:p>
        </w:tc>
        <w:tc>
          <w:tcPr>
            <w:tcW w:type="dxa" w:w="1928"/>
            <w:vAlign w:val="center"/>
          </w:tcPr>
          <w:p>
            <w:r>
              <w:t>EF P01–P10, P42–P49 · ACUERDO RF17-EA01</w:t>
            </w:r>
          </w:p>
        </w:tc>
        <w:tc>
          <w:tcPr>
            <w:tcW w:type="dxa" w:w="1701"/>
            <w:vAlign w:val="center"/>
          </w:tcPr>
          <w:p>
            <w:r>
              <w:t>Integración funcional aprobada; implementación Android pendiente</w:t>
            </w:r>
          </w:p>
        </w:tc>
      </w:tr>
      <w:tr>
        <w:tc>
          <w:tcPr>
            <w:tcW w:type="dxa" w:w="1191"/>
            <w:vAlign w:val="center"/>
          </w:tcPr>
          <w:p>
            <w:r>
              <w:t>RN14-15</w:t>
            </w:r>
          </w:p>
        </w:tc>
        <w:tc>
          <w:tcPr>
            <w:tcW w:type="dxa" w:w="5102"/>
            <w:vAlign w:val="center"/>
          </w:tcPr>
          <w:p>
            <w:r>
              <w:t>Cancelar desde el FORMULARIO RF14 retorna al origen sin guardar; «Volver a editar» o Atrás desde VISTA PREVIA retorna a I_ActualizarKilometraje, también sin guardar. Cancelar mantenimiento, ir a inicio, cerrar sesión o reiniciar app tras finalizarla descarta el borrador RF17; una lectura ya confirmada permanece.</w:t>
            </w:r>
          </w:p>
        </w:tc>
        <w:tc>
          <w:tcPr>
            <w:tcW w:type="dxa" w:w="1928"/>
            <w:vAlign w:val="center"/>
          </w:tcPr>
          <w:p>
            <w:r>
              <w:t>EA02–EA04 · ACUERDOS ELSA/NAYU</w:t>
            </w:r>
          </w:p>
        </w:tc>
        <w:tc>
          <w:tcPr>
            <w:tcW w:type="dxa" w:w="1701"/>
            <w:vAlign w:val="center"/>
          </w:tcPr>
          <w:p>
            <w:r>
              <w:t>Integración funcional aprobada</w:t>
            </w:r>
          </w:p>
        </w:tc>
      </w:tr>
    </w:tbl>
    <w:p>
      <w:pPr>
        <w:spacing w:after="0"/>
      </w:pPr>
    </w:p>
    <w:p>
      <w:pPr>
        <w:pStyle w:val="Heading2"/>
      </w:pPr>
      <w:r>
        <w:t>B. Escenarios alternativos que deben cubrirse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30"/>
        <w:gridCol w:w="3430"/>
        <w:gridCol w:w="3430"/>
      </w:tblGrid>
      <w:tr>
        <w:trPr>
          <w:tblHeader/>
        </w:trPr>
        <w:tc>
          <w:tcPr>
            <w:tcW w:type="dxa" w:w="1757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EA</w:t>
            </w:r>
          </w:p>
        </w:tc>
        <w:tc>
          <w:tcPr>
            <w:tcW w:type="dxa" w:w="2948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Situación</w:t>
            </w:r>
          </w:p>
        </w:tc>
        <w:tc>
          <w:tcPr>
            <w:tcW w:type="dxa" w:w="5216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Resultado obligatorio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RF14_EA01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Kilometraje nuevo inválido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Solicitar número entero válido; sin guardar.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RF14_EA02</w:t>
            </w:r>
          </w:p>
        </w:tc>
        <w:tc>
          <w:tcPr>
            <w:tcW w:type="dxa" w:w="294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Misma lectura</w:t>
            </w:r>
          </w:p>
        </w:tc>
        <w:tc>
          <w:tcPr>
            <w:tcW w:type="dxa" w:w="521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Informar que debe ser mayor al km actual; sin crear registro.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RF14_EA03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Lectura menor que la actual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Rechazar actualización y reservar derivación a RF16 futuro.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RF14_EA04</w:t>
            </w:r>
          </w:p>
        </w:tc>
        <w:tc>
          <w:tcPr>
            <w:tcW w:type="dxa" w:w="294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Volver a editar desde vista previa</w:t>
            </w:r>
          </w:p>
        </w:tc>
        <w:tc>
          <w:tcPr>
            <w:tcW w:type="dxa" w:w="5216"/>
            <w:vAlign w:val="center"/>
            <w:shd w:fill="F3F7FA"/>
          </w:tcPr>
          <w:p>
            <w:pPr>
              <w:spacing w:after="0"/>
            </w:pPr>
            <w:r>
              <w:t>Volver a editar o Atrás desde vista previa retorna a la edición sin escritura; Cancelar desde formulario vuelve al origen.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RF14_EA05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Pérdida de permiso / vehículo inactivo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Rechazar antes del guardado; preservar datos previos.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RF14_EA06</w:t>
            </w:r>
          </w:p>
        </w:tc>
        <w:tc>
          <w:tcPr>
            <w:tcW w:type="dxa" w:w="294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Cambio concurrente de lectura</w:t>
            </w:r>
          </w:p>
        </w:tc>
        <w:tc>
          <w:tcPr>
            <w:tcW w:type="dxa" w:w="521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Actualizar referencia y pedir nueva revisión/vista previa.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RF14_EA07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Doble confirmación, misma clave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t>Devolver idLectura existente; confirmación única con «Continuar»/«Ir a inicio», sin escritura al navegar.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RF14_EA08</w:t>
            </w:r>
          </w:p>
        </w:tc>
        <w:tc>
          <w:tcPr>
            <w:tcW w:type="dxa" w:w="294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Sin respuesta de red</w:t>
            </w:r>
          </w:p>
        </w:tc>
        <w:tc>
          <w:tcPr>
            <w:tcW w:type="dxa" w:w="5216"/>
            <w:vAlign w:val="center"/>
            <w:shd w:fill="F3F7FA"/>
          </w:tcPr>
          <w:p>
            <w:pPr>
              <w:spacing w:after="0"/>
            </w:pPr>
            <w:r>
              <w:t>Verificar idOperacion tras timeout y mostrar éxito solo con COMMIT. El «Continuar» FINAL navega según origen, sin guardar de nuevo.</w:t>
            </w:r>
          </w:p>
        </w:tc>
      </w:tr>
    </w:tbl>
    <w:p>
      <w:pPr>
        <w:spacing w:after="0"/>
      </w:pPr>
    </w:p>
    <w:p>
      <w:pPr>
        <w:pStyle w:val="Heading2"/>
      </w:pPr>
      <w:r>
        <w:t>C. Datos y relaciones necesarias para la BD</w:t>
      </w:r>
    </w:p>
    <w:p>
      <w:pPr>
        <w:spacing w:after="80"/>
      </w:pPr>
      <w:r>
        <w:rPr>
          <w:rFonts w:ascii="Arial" w:hAnsi="Arial"/>
          <w:b w:val="0"/>
          <w:color w:val="485664"/>
          <w:sz w:val="18"/>
        </w:rPr>
        <w:t>Entidades a evaluar: vehiculo; lectura_kilometraje; mecanismo de idempotencia sobre registro de lectura o solución acordada; NO escribe alerta/historial_alerta en MVP.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45"/>
        <w:gridCol w:w="5145"/>
      </w:tblGrid>
      <w:tr>
        <w:trPr>
          <w:tblHeader/>
        </w:trPr>
        <w:tc>
          <w:tcPr>
            <w:tcW w:type="dxa" w:w="2494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Grupo de datos</w:t>
            </w:r>
          </w:p>
        </w:tc>
        <w:tc>
          <w:tcPr>
            <w:tcW w:type="dxa" w:w="7427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Obligatorios / opcionales / regla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Entrada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idVehiculo, kmNuevo entero y positivo, referencia previa/version, idOperacion estable. Usuario autenticado por sesión.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Consulta inicial</w:t>
            </w:r>
          </w:p>
        </w:tc>
        <w:tc>
          <w:tcPr>
            <w:tcW w:type="dxa" w:w="7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kmPrevio y referencia/idLectura/version de última lectura efectiva.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Persistencia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Nueva lectura con idVehiculo, valor, origen de actualización, fecha del servidor y idOperacion para reintentos.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Salida</w:t>
            </w:r>
          </w:p>
        </w:tc>
        <w:tc>
          <w:tcPr>
            <w:tcW w:type="dxa" w:w="7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idLectura, kmNuevo, fechaGuardado y resultado comprobado.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Navegación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>
              <w:t>I_VistaPreviaKilometraje → Continuar → I_ConfirmacionKilometraje → Continuar/Ir a inicio.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Integración Nayu</w:t>
            </w:r>
          </w:p>
        </w:tc>
        <w:tc>
          <w:tcPr>
            <w:tcW w:type="dxa" w:w="7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RF14 no modifica ALERTA ni HISTORIAL_ALERTA; RF23 sincroniza luego según política aprobada.</w:t>
            </w:r>
          </w:p>
        </w:tc>
      </w:tr>
    </w:tbl>
    <w:p>
      <w:pPr>
        <w:spacing w:after="0"/>
      </w:pPr>
    </w:p>
    <w:p>
      <w:pPr>
        <w:pStyle w:val="Heading2"/>
      </w:pPr>
      <w:r>
        <w:t>D. Dependencias y decisiones de integración</w:t>
      </w:r>
    </w:p>
    <w:p>
      <w:pPr>
        <w:pStyle w:val="ListBullet"/>
        <w:spacing w:after="40"/>
      </w:pPr>
      <w:r>
        <w:t>Elsa: identidad desde sesión; RF08: vehículo y lectura INICIAL; Nayu: RF22/23 consultan última lectura efectiva.</w:t>
      </w:r>
    </w:p>
    <w:p>
      <w:pPr>
        <w:pStyle w:val="ListBullet"/>
        <w:spacing w:after="40"/>
      </w:pPr>
      <w:r>
        <w:t>Pendiente: RF23: sincronización de alertas asignada a Nayu y umbrales aprobados; cálculo técnico de 30 días y BD real pendientes de verificar, sin bloquear RF14.</w:t>
      </w:r>
    </w:p>
    <w:p>
      <w:pPr>
        <w:pStyle w:val="Heading2"/>
      </w:pPr>
      <w:r>
        <w:t>E. Pruebas de aceptación mínimas</w:t>
      </w:r>
    </w:p>
    <w:p>
      <w:pPr>
        <w:pStyle w:val="ListBullet"/>
        <w:spacing w:after="40"/>
      </w:pPr>
      <w:r>
        <w:t>kmNuevo menor, igual o decimal no produce lectura nueva.</w:t>
      </w:r>
    </w:p>
    <w:p>
      <w:pPr>
        <w:pStyle w:val="ListBullet"/>
        <w:spacing w:after="40"/>
      </w:pPr>
      <w:r>
        <w:t>Cambiar de usuario o desactivar vehículo antes de Continuar bloquea actualización.</w:t>
      </w:r>
    </w:p>
    <w:p>
      <w:pPr>
        <w:pStyle w:val="ListBullet"/>
        <w:spacing w:after="40"/>
      </w:pPr>
      <w:r>
        <w:t>Volver a editar desde vista previa no escribe.</w:t>
      </w:r>
    </w:p>
    <w:p>
      <w:pPr>
        <w:pStyle w:val="ListBullet"/>
        <w:spacing w:after="40"/>
      </w:pPr>
      <w:r>
        <w:t>Lectura concurrente cambia: refrescar previo y solicitar confirmación de nueva vista previa.</w:t>
      </w:r>
    </w:p>
    <w:p>
      <w:pPr>
        <w:pStyle w:val="ListBullet"/>
        <w:spacing w:after="40"/>
      </w:pPr>
      <w:r>
        <w:t>Doble pulsación con misma idOperacion guarda solo una lectura.</w:t>
      </w:r>
    </w:p>
    <w:p>
      <w:pPr>
        <w:pStyle w:val="ListBullet"/>
        <w:spacing w:after="40"/>
      </w:pPr>
      <w:r>
        <w:t>Timeout: reconsulta la operación antes de afirmar éxito o fallo.</w:t>
      </w:r>
    </w:p>
    <w:p>
      <w:pPr>
        <w:pStyle w:val="ListBullet"/>
        <w:spacing w:after="40"/>
      </w:pPr>
      <w:r>
        <w:t>Tras COMMIT se muestran exactamente los dos botones, con navegación sin escrituras.</w:t>
      </w:r>
    </w:p>
    <w:p>
      <w:pPr>
        <w:spacing w:after="280"/>
      </w:pPr>
      <w:r>
        <w:rPr>
          <w:rFonts w:ascii="Arial" w:hAnsi="Arial"/>
          <w:b/>
          <w:color w:val="18314E"/>
          <w:sz w:val="18"/>
        </w:rPr>
        <w:t>Revisión:  [  ] Reglas aprobadas   [  ] Alternativos cotejados   [  ] Campos y relaciones confirmados   [  ] Listo para contratos y BD</w:t>
      </w:r>
    </w:p>
    <w:p>
      <w:r>
        <w:br w:type="page"/>
      </w:r>
    </w:p>
    <w:p>
      <w:pPr>
        <w:pStyle w:val="Heading1"/>
      </w:pPr>
      <w:r>
        <w:t>Consolidación: decisiones abiertas antes de SQL y contratos finales</w:t>
      </w:r>
    </w:p>
    <w:p>
      <w:pPr>
        <w:spacing w:after="80"/>
      </w:pPr>
      <w:r>
        <w:rPr>
          <w:rFonts w:ascii="Arial" w:hAnsi="Arial"/>
          <w:b/>
          <w:color w:val="166D7C"/>
          <w:sz w:val="18"/>
        </w:rPr>
        <w:t>Estas preguntas no deben convertirse silenciosamente en columnas, endpoints o restricciones definitivas.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30"/>
        <w:gridCol w:w="3430"/>
        <w:gridCol w:w="3430"/>
      </w:tblGrid>
      <w:tr>
        <w:trPr>
          <w:tblHeader/>
        </w:trPr>
        <w:tc>
          <w:tcPr>
            <w:tcW w:type="dxa" w:w="2324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ID / responsable</w:t>
            </w:r>
          </w:p>
        </w:tc>
        <w:tc>
          <w:tcPr>
            <w:tcW w:type="dxa" w:w="4876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Decisión necesaria</w:t>
            </w:r>
          </w:p>
        </w:tc>
        <w:tc>
          <w:tcPr>
            <w:tcW w:type="dxa" w:w="2721"/>
            <w:shd w:fill="DDEBF7"/>
            <w:vAlign w:val="center"/>
          </w:tcPr>
          <w:p>
            <w:r/>
            <w:r>
              <w:rPr>
                <w:b/>
                <w:color w:val="18314E"/>
                <w:sz w:val="16"/>
              </w:rPr>
              <w:t>Consecuencia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P01 · Elsa / Sebastián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>
              <w:t>ACORDADO funcionalmente: RF01 asigna FREE ACTIVA sin fin en una TX Spring Boot con usuario+preferencias; sin trigger. RF08 consulta plan/cupo. Solo estructura física, PK/FK y rutas pendientes.</w:t>
            </w:r>
            <w:r>
              <w:rPr>
                <w:rFonts w:ascii="Arial" w:hAnsi="Arial"/>
                <w:color w:val="485664"/>
                <w:sz w:val="16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No bloquea reglas; sí PK/FK/contrato definitivo.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P02 · Elsa</w:t>
            </w:r>
          </w:p>
        </w:tc>
        <w:tc>
          <w:tcPr>
            <w:tcW w:type="dxa" w:w="487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Acordar mecanismo de sesión y qué identificador/tipo de usuario expone el backend (nunca confiar en idUsuario de Android).</w:t>
            </w:r>
          </w:p>
        </w:tc>
        <w:tc>
          <w:tcPr>
            <w:tcW w:type="dxa" w:w="272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Necesario para autorización y claves FK.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P03 · Equipo BD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Definir tipo físico de idVehiculo, idUsuario, idLectura, idOperacion; nombres SQL y diseño de unicidad/idempotencia.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No asumir UUID o BIGINT sin acuerdo.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P04 · Nayu</w:t>
            </w:r>
          </w:p>
        </w:tc>
        <w:tc>
          <w:tcPr>
            <w:tcW w:type="dxa" w:w="4876"/>
            <w:vAlign w:val="center"/>
            <w:shd w:fill="F3F7FA"/>
          </w:tcPr>
          <w:p>
            <w:pPr>
              <w:spacing w:after="0"/>
            </w:pPr>
            <w:r>
              <w:t>ACORDADO con Nayu: RF22/RF23 consumen la lectura vigente compartida (RF08 INICIAL + RF14 posteriores); no registran nuevas lecturas.</w:t>
            </w:r>
          </w:p>
        </w:tc>
        <w:tc>
          <w:tcPr>
            <w:tcW w:type="dxa" w:w="272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Permite consumir servicio/consulta única.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P05 · Nayu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>
              <w:t>ACORDADO con Nayu: estados y umbrales de RF23 aprobados; sincronización explícita de estado e historial al abrir Mis alertas, separada del GET. PENDIENTE técnico: reconstrucción de evidencia VENCIDA y soporte físico.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RF14 no depende de esto para guardar.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P06 · Android equipo</w:t>
            </w:r>
          </w:p>
        </w:tc>
        <w:tc>
          <w:tcPr>
            <w:tcW w:type="dxa" w:w="487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Elegir un solo tratamiento visual SOAT/TIVE no implementados: «Próximamente» o secciones ocultas.</w:t>
            </w:r>
          </w:p>
        </w:tc>
        <w:tc>
          <w:tcPr>
            <w:tcW w:type="dxa" w:w="272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No alterar el significado NO_REGISTRADO.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P07 · Equipo BD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Confirmar catálogos semilla: uso (Particular/Taxi), tipos de motor, combustible, aceite y los siete tipos de mantenimiento de Nayu.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Evitar IDs hardcodeados.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P08 · Contratos</w:t>
            </w:r>
          </w:p>
        </w:tc>
        <w:tc>
          <w:tcPr>
            <w:tcW w:type="dxa" w:w="487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Definir endpoints HTTP, DTO, códigos de error (duplicidad, permisos, concurrencia, timeouts) y recuperación por idOperacion.</w:t>
            </w:r>
          </w:p>
        </w:tc>
        <w:tc>
          <w:tcPr>
            <w:tcW w:type="dxa" w:w="272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color w:val="485664"/>
                <w:sz w:val="16"/>
              </w:rPr>
              <w:t>Cerrar tras acordar modelo físico.</w:t>
            </w:r>
          </w:p>
        </w:tc>
      </w:tr>
    </w:tbl>
    <w:p>
      <w:pPr>
        <w:spacing w:after="0"/>
      </w:pPr>
    </w:p>
    <w:p>
      <w:pPr>
        <w:pStyle w:val="Heading1"/>
      </w:pPr>
      <w:r>
        <w:t>Orden recomendado para avanzar</w:t>
      </w:r>
    </w:p>
    <w:p>
      <w:pPr>
        <w:pStyle w:val="ListBullet"/>
        <w:spacing w:after="40"/>
      </w:pPr>
      <w:r>
        <w:t>1. Francesca aprueba este listado de reglas y que cada EA apunte al mismo comportamiento.</w:t>
      </w:r>
    </w:p>
    <w:p>
      <w:pPr>
        <w:pStyle w:val="ListBullet"/>
        <w:spacing w:after="40"/>
      </w:pPr>
      <w:r>
        <w:t>2. Elsa/Sebastián acuerdan usuario autenticado, plan Free inicial y claves compartidas.</w:t>
      </w:r>
    </w:p>
    <w:p>
      <w:pPr>
        <w:pStyle w:val="ListBullet"/>
        <w:spacing w:after="40"/>
      </w:pPr>
      <w:r>
        <w:t>3. Acordado con Nayu: RF22/RF23 obtienen última lectura RF08/RF14; RF23 sincroniza alertas. Calcular 30 días y campos físicos sigue pendiente de verificación.</w:t>
      </w:r>
    </w:p>
    <w:p>
      <w:pPr>
        <w:pStyle w:val="ListBullet"/>
        <w:spacing w:after="40"/>
      </w:pPr>
      <w:r>
        <w:t>4. El equipo aprueba diccionario, restricciones y cardinalidades antes de escribir el script SQL.</w:t>
      </w:r>
    </w:p>
    <w:p>
      <w:pPr>
        <w:pStyle w:val="ListBullet"/>
        <w:spacing w:after="40"/>
      </w:pPr>
      <w:r>
        <w:t>5. Con modelo acordado, terminar contratos REST de RF08, RF09, RF10 y RF14 y ejecutar pruebas integradas.</w:t>
      </w:r>
    </w:p>
    <w:p>
      <w:pPr>
        <w:pStyle w:val="Heading2"/>
      </w:pPr>
      <w:r>
        <w:t>Archivos de referencia usados</w:t>
      </w:r>
    </w:p>
    <w:p>
      <w:pPr>
        <w:pStyle w:val="ListBullet"/>
        <w:spacing w:after="40"/>
      </w:pPr>
      <w:r>
        <w:t>MyCar_Francesca_4RF_Corregidos_Integracion_Nayu_MVP_Completo(2).xlsx — 4 eventos exitosos y hojas de acuerdos.</w:t>
      </w:r>
    </w:p>
    <w:p>
      <w:pPr>
        <w:pStyle w:val="ListBullet"/>
        <w:spacing w:after="40"/>
      </w:pPr>
      <w:r>
        <w:t>MyCar_24_Alternativos_Solo_MVP_RF08_RF09_RF10_RF14(1).xlsx — 24 alternativos del MVP.</w:t>
      </w:r>
    </w:p>
    <w:p>
      <w:pPr>
        <w:pStyle w:val="ListBullet"/>
        <w:spacing w:after="40"/>
      </w:pPr>
      <w:r>
        <w:t>01_FICHA_FRANCESCA_SABADO(1).docx — estructura A–E y dependencias del equipo.</w:t>
      </w:r>
    </w:p>
    <w:p>
      <w:pPr>
        <w:spacing w:after="80"/>
      </w:pPr>
      <w:r>
        <w:rPr>
          <w:rFonts w:ascii="Arial" w:hAnsi="Arial"/>
          <w:b/>
          <w:color w:val="18314E"/>
          <w:sz w:val="18"/>
        </w:rPr>
        <w:t>Fin · Estado del documento: REVISIÓN FUNCIONAL, no representa implementación verificada ni esquema PostgreSQL ejecutado.</w:t>
      </w:r>
    </w:p>
    <w:p>
      <w:pPr>
        <w:pStyle w:val="Heading2"/>
      </w:pPr>
      <w:r>
        <w:t>Anexo de integración aprobada — RF14 ↔ RF17</w:t>
      </w:r>
    </w:p>
    <w:p>
      <w:pPr>
        <w:pStyle w:val="ListBullet"/>
      </w:pPr>
      <w:r>
        <w:t>Ruta normal: Detalle KM → I_ActualizarKilometraje → I_VistaPreviaKilometraje → COMMIT → I_ConfirmacionKilometraje → Continuar → I_DetalleKilometraje.</w:t>
      </w:r>
    </w:p>
    <w:p>
      <w:pPr>
        <w:pStyle w:val="ListBullet"/>
      </w:pPr>
      <w:r>
        <w:t>Ruta RF17: formulario mantenimiento (borrador) → I_ActualizarKilometraje directo → vista previa → COMMIT → confirmación → Continuar → RF17 con borrador y km vigente actualizado; el km histórico de servicio no se altera.</w:t>
      </w:r>
    </w:p>
    <w:p>
      <w:pPr>
        <w:pStyle w:val="ListBullet"/>
      </w:pPr>
      <w:r>
        <w:t>«Ir a inicio» siempre navega a Inicio. El botón «Continuar» de la confirmación FINAL no realiza ninguna operación de escritura.</w:t>
      </w:r>
    </w:p>
    <w:p>
      <w:pPr>
        <w:pStyle w:val="ListBullet"/>
      </w:pPr>
      <w:r>
        <w:t>Cancelar desde RF14: vuelve al origen sin guardar. Atrás / «Volver a editar» en vista previa vuelve a edición RF14 sin guardar. El borrador RF17 solo existe temporalmente durante el recorrido: no se guarda como mantenimiento.</w:t>
      </w:r>
    </w:p>
    <w:p>
      <w:pPr>
        <w:pStyle w:val="ListBullet"/>
      </w:pPr>
      <w:r>
        <w:t>La desconexión tras intentar guardar obliga a consultar el resultado de la misma idOperacion antes de reintentar; no generar nuevas lecturas por timeout.</w:t>
      </w:r>
    </w:p>
    <w:p>
      <w:pPr>
        <w:pStyle w:val="ListBullet"/>
      </w:pPr>
      <w:r>
        <w:t>PENDIENTES TÉCNICOS: mecanismo físico de sesión, renovación y reautenticación con Elsa; persistencia de idOperacion y esquema PostgreSQL compartido. El umbral de 30 días calendario de RF23 ya está aprobado por Nayu; falta comprobar sus datos de evidencia en BD.</w:t>
      </w:r>
    </w:p>
    <w:p>
      <w:r>
        <w:br w:type="page"/>
      </w:r>
    </w:p>
    <w:p>
      <w:pPr>
        <w:pStyle w:val="Heading1"/>
      </w:pPr>
      <w:r>
        <w:t>Reglas transversales de integración — vigentes al 25/10/2026</w:t>
      </w:r>
    </w:p>
    <w:p>
      <w:r>
        <w:t>Se conservan las 51 reglas de negocio originales de Francesca. Las siguientes precisiones de integración no renumeran los RF ni reemplazan sus escenarios exitosos o alternativos.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30"/>
        <w:gridCol w:w="3430"/>
        <w:gridCol w:w="3430"/>
      </w:tblGrid>
      <w:tr>
        <w:tc>
          <w:tcPr>
            <w:tcW w:type="dxa" w:w="3430"/>
            <w:vAlign w:val="center"/>
          </w:tcPr>
          <w:p>
            <w:pPr>
              <w:spacing w:after="40"/>
            </w:pPr>
            <w:r>
              <w:rPr>
                <w:sz w:val="17"/>
              </w:rPr>
              <w:t>Código</w:t>
            </w:r>
          </w:p>
        </w:tc>
        <w:tc>
          <w:tcPr>
            <w:tcW w:type="dxa" w:w="3430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Regla final</w:t>
            </w:r>
          </w:p>
        </w:tc>
        <w:tc>
          <w:tcPr>
            <w:tcW w:type="dxa" w:w="3430"/>
            <w:vAlign w:val="center"/>
          </w:tcPr>
          <w:p>
            <w:pPr>
              <w:spacing w:after="40"/>
            </w:pPr>
            <w:r>
              <w:rPr>
                <w:sz w:val="17"/>
              </w:rPr>
              <w:t>Impacto</w:t>
            </w:r>
          </w:p>
        </w:tc>
      </w:tr>
      <w:tr>
        <w:tc>
          <w:tcPr>
            <w:tcW w:type="dxa" w:w="3430"/>
            <w:vAlign w:val="center"/>
          </w:tcPr>
          <w:p>
            <w:pPr>
              <w:spacing w:after="40"/>
            </w:pPr>
            <w:r>
              <w:rPr>
                <w:sz w:val="17"/>
              </w:rPr>
              <w:t>RNT-01</w:t>
            </w:r>
          </w:p>
        </w:tc>
        <w:tc>
          <w:tcPr>
            <w:tcW w:type="dxa" w:w="3430"/>
            <w:vAlign w:val="center"/>
          </w:tcPr>
          <w:p>
            <w:pPr>
              <w:spacing w:after="40"/>
            </w:pPr>
            <w:r>
              <w:rPr>
                <w:sz w:val="17"/>
              </w:rPr>
              <w:t>Cada operación protegida valida sesión, identidad y estado de cuenta en Spring Boot; SUSPENDIDA deniega operaciones incluso con sesión abierta.</w:t>
            </w:r>
          </w:p>
        </w:tc>
        <w:tc>
          <w:tcPr>
            <w:tcW w:type="dxa" w:w="3430"/>
            <w:vAlign w:val="center"/>
          </w:tcPr>
          <w:p>
            <w:pPr>
              <w:spacing w:after="40"/>
            </w:pPr>
            <w:r>
              <w:rPr>
                <w:sz w:val="17"/>
              </w:rPr>
              <w:t>RF08, RF09, RF10, RF14</w:t>
            </w:r>
          </w:p>
        </w:tc>
      </w:tr>
      <w:tr>
        <w:tc>
          <w:tcPr>
            <w:tcW w:type="dxa" w:w="3430"/>
            <w:vAlign w:val="center"/>
          </w:tcPr>
          <w:p>
            <w:pPr>
              <w:spacing w:after="40"/>
            </w:pPr>
            <w:r>
              <w:rPr>
                <w:sz w:val="17"/>
              </w:rPr>
              <w:t>RNT-02</w:t>
            </w:r>
          </w:p>
        </w:tc>
        <w:tc>
          <w:tcPr>
            <w:tcW w:type="dxa" w:w="3430"/>
            <w:vAlign w:val="center"/>
          </w:tcPr>
          <w:p>
            <w:pPr>
              <w:spacing w:after="40"/>
            </w:pPr>
            <w:r>
              <w:rPr>
                <w:sz w:val="17"/>
              </w:rPr>
              <w:t>Tres contraseñas incorrectas en diez minutos bloquean nuevos inicios por diez minutos, NO suspenden cuenta ni sesiones existentes.</w:t>
            </w:r>
          </w:p>
        </w:tc>
        <w:tc>
          <w:tcPr>
            <w:tcW w:type="dxa" w:w="3430"/>
            <w:vAlign w:val="center"/>
          </w:tcPr>
          <w:p>
            <w:pPr>
              <w:spacing w:after="40"/>
            </w:pPr>
            <w:r>
              <w:rPr>
                <w:sz w:val="17"/>
              </w:rPr>
              <w:t>Dependencia de RF02</w:t>
            </w:r>
          </w:p>
        </w:tc>
      </w:tr>
      <w:tr>
        <w:tc>
          <w:tcPr>
            <w:tcW w:type="dxa" w:w="3430"/>
            <w:vAlign w:val="center"/>
          </w:tcPr>
          <w:p>
            <w:pPr>
              <w:spacing w:after="40"/>
            </w:pPr>
            <w:r>
              <w:rPr>
                <w:sz w:val="17"/>
              </w:rPr>
              <w:t>RNT-03</w:t>
            </w:r>
          </w:p>
        </w:tc>
        <w:tc>
          <w:tcPr>
            <w:tcW w:type="dxa" w:w="3430"/>
            <w:vAlign w:val="center"/>
          </w:tcPr>
          <w:p>
            <w:pPr>
              <w:spacing w:after="40"/>
            </w:pPr>
            <w:r>
              <w:rPr>
                <w:sz w:val="17"/>
              </w:rPr>
              <w:t>RF01 crea cuenta + Free ACTIVE sin vencimiento + preferencias dentro de una única transacción Spring Boot, sin trigger.</w:t>
            </w:r>
          </w:p>
        </w:tc>
        <w:tc>
          <w:tcPr>
            <w:tcW w:type="dxa" w:w="3430"/>
            <w:vAlign w:val="center"/>
          </w:tcPr>
          <w:p>
            <w:pPr>
              <w:spacing w:after="40"/>
            </w:pPr>
            <w:r>
              <w:rPr>
                <w:sz w:val="17"/>
              </w:rPr>
              <w:t>Dependencia de RF08</w:t>
            </w:r>
          </w:p>
        </w:tc>
      </w:tr>
      <w:tr>
        <w:tc>
          <w:tcPr>
            <w:tcW w:type="dxa" w:w="3430"/>
            <w:vAlign w:val="center"/>
          </w:tcPr>
          <w:p>
            <w:pPr>
              <w:spacing w:after="40"/>
            </w:pPr>
            <w:r>
              <w:rPr>
                <w:sz w:val="17"/>
              </w:rPr>
              <w:t>RNT-04</w:t>
            </w:r>
          </w:p>
        </w:tc>
        <w:tc>
          <w:tcPr>
            <w:tcW w:type="dxa" w:w="3430"/>
            <w:vAlign w:val="center"/>
          </w:tcPr>
          <w:p>
            <w:pPr>
              <w:spacing w:after="40"/>
            </w:pPr>
            <w:r>
              <w:rPr>
                <w:sz w:val="17"/>
              </w:rPr>
              <w:t>RF08 Free: 1 vehículo registrado ACTIVO+INACTIVO. POST resuelve primero idOperacion: confirmado retorna misma respuesta; solo nuevo bloqueo de usuario + revalidación de cupo; LIMITE_FREE si nueva alta no permitida.</w:t>
            </w:r>
          </w:p>
        </w:tc>
        <w:tc>
          <w:tcPr>
            <w:tcW w:type="dxa" w:w="3430"/>
            <w:vAlign w:val="center"/>
          </w:tcPr>
          <w:p>
            <w:pPr>
              <w:spacing w:after="40"/>
            </w:pPr>
            <w:r>
              <w:rPr>
                <w:sz w:val="17"/>
              </w:rPr>
              <w:t>RF08</w:t>
            </w:r>
          </w:p>
        </w:tc>
      </w:tr>
      <w:tr>
        <w:tc>
          <w:tcPr>
            <w:tcW w:type="dxa" w:w="3430"/>
            <w:vAlign w:val="center"/>
          </w:tcPr>
          <w:p>
            <w:pPr>
              <w:spacing w:after="40"/>
            </w:pPr>
            <w:r>
              <w:rPr>
                <w:sz w:val="17"/>
              </w:rPr>
              <w:t>RNT-05</w:t>
            </w:r>
          </w:p>
        </w:tc>
        <w:tc>
          <w:tcPr>
            <w:tcW w:type="dxa" w:w="3430"/>
            <w:vAlign w:val="center"/>
          </w:tcPr>
          <w:p>
            <w:pPr>
              <w:spacing w:after="40"/>
            </w:pPr>
            <w:r>
              <w:rPr>
                <w:sz w:val="17"/>
              </w:rPr>
              <w:t>RF14 recibe acceso directo desde RF17 y preserva borrador temporal durante ese recorrido; la última lectura se reconsulta sin sobrescribir km histórico.</w:t>
            </w:r>
          </w:p>
        </w:tc>
        <w:tc>
          <w:tcPr>
            <w:tcW w:type="dxa" w:w="3430"/>
            <w:vAlign w:val="center"/>
          </w:tcPr>
          <w:p>
            <w:pPr>
              <w:spacing w:after="40"/>
            </w:pPr>
            <w:r>
              <w:rPr>
                <w:sz w:val="17"/>
              </w:rPr>
              <w:t>RF14 / Nayu RF17</w:t>
            </w:r>
          </w:p>
        </w:tc>
      </w:tr>
      <w:tr>
        <w:tc>
          <w:tcPr>
            <w:tcW w:type="dxa" w:w="3430"/>
            <w:vAlign w:val="center"/>
          </w:tcPr>
          <w:p>
            <w:pPr>
              <w:spacing w:after="40"/>
            </w:pPr>
            <w:r>
              <w:rPr>
                <w:sz w:val="17"/>
              </w:rPr>
              <w:t>RNT-06</w:t>
            </w:r>
          </w:p>
        </w:tc>
        <w:tc>
          <w:tcPr>
            <w:tcW w:type="dxa" w:w="3430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Confirmación final RF14: Continuar es solo navegación; Ir a inicio descarta borrador. Desconexión: verificar idOperacion antes de reintento.</w:t>
            </w:r>
          </w:p>
        </w:tc>
        <w:tc>
          <w:tcPr>
            <w:tcW w:type="dxa" w:w="3430"/>
            <w:vAlign w:val="center"/>
          </w:tcPr>
          <w:p>
            <w:pPr>
              <w:spacing w:after="40"/>
            </w:pPr>
            <w:r>
              <w:rPr>
                <w:sz w:val="17"/>
              </w:rPr>
              <w:t>RF14 EA07 / EA08</w:t>
            </w:r>
          </w:p>
        </w:tc>
      </w:tr>
      <w:tr>
        <w:tc>
          <w:tcPr>
            <w:tcW w:type="dxa" w:w="3430"/>
            <w:vAlign w:val="center"/>
          </w:tcPr>
          <w:p>
            <w:pPr>
              <w:spacing w:after="40"/>
            </w:pPr>
            <w:r>
              <w:rPr>
                <w:sz w:val="17"/>
              </w:rPr>
              <w:t>RNT-07</w:t>
            </w:r>
          </w:p>
        </w:tc>
        <w:tc>
          <w:tcPr>
            <w:tcW w:type="dxa" w:w="3430"/>
            <w:vAlign w:val="center"/>
          </w:tcPr>
          <w:p>
            <w:pPr>
              <w:spacing w:after="40"/>
            </w:pPr>
            <w:r>
              <w:rPr>
                <w:sz w:val="17"/>
              </w:rPr>
              <w:t>RF14 y RF08 no crean/sincronizan alertas automáticamente; RF23 es responsable de estado e historial al abrir Mis alertas.</w:t>
            </w:r>
          </w:p>
        </w:tc>
        <w:tc>
          <w:tcPr>
            <w:tcW w:type="dxa" w:w="3430"/>
            <w:vAlign w:val="center"/>
          </w:tcPr>
          <w:p>
            <w:pPr>
              <w:spacing w:after="40"/>
            </w:pPr>
            <w:r>
              <w:rPr>
                <w:sz w:val="17"/>
              </w:rPr>
              <w:t>Dependencia de Nayu</w:t>
            </w:r>
          </w:p>
        </w:tc>
      </w:tr>
      <w:tr>
        <w:tc>
          <w:tcPr>
            <w:tcW w:type="dxa" w:w="3430"/>
            <w:vAlign w:val="center"/>
          </w:tcPr>
          <w:p>
            <w:pPr>
              <w:spacing w:after="40"/>
            </w:pPr>
            <w:r>
              <w:rPr>
                <w:sz w:val="17"/>
              </w:rPr>
              <w:t>RNT-08</w:t>
            </w:r>
          </w:p>
        </w:tc>
        <w:tc>
          <w:tcPr>
            <w:tcW w:type="dxa" w:w="3430"/>
            <w:vAlign w:val="center"/>
          </w:tcPr>
          <w:p>
            <w:pPr>
              <w:spacing w:after="40"/>
            </w:pPr>
            <w:r>
              <w:rPr>
                <w:sz w:val="17"/>
              </w:rPr>
              <w:t>RF06 cierra localmente en forma inmediata; solo informar revocación remota si el servidor la confirma.</w:t>
            </w:r>
          </w:p>
        </w:tc>
        <w:tc>
          <w:tcPr>
            <w:tcW w:type="dxa" w:w="3430"/>
            <w:vAlign w:val="center"/>
          </w:tcPr>
          <w:p>
            <w:pPr>
              <w:spacing w:after="40"/>
            </w:pPr>
            <w:r>
              <w:rPr>
                <w:sz w:val="17"/>
              </w:rPr>
              <w:t>Dependencia de Elsa</w:t>
            </w:r>
          </w:p>
        </w:tc>
      </w:tr>
      <w:tr>
        <w:tc>
          <w:tcPr>
            <w:tcW w:type="dxa" w:w="3430"/>
            <w:vAlign w:val="center"/>
          </w:tcPr>
          <w:p>
            <w:pPr>
              <w:spacing w:after="40"/>
            </w:pPr>
            <w:r>
              <w:rPr>
                <w:sz w:val="17"/>
              </w:rPr>
              <w:t>RNT-09</w:t>
            </w:r>
          </w:p>
        </w:tc>
        <w:tc>
          <w:tcPr>
            <w:tcW w:type="dxa" w:w="3430"/>
            <w:vAlign w:val="center"/>
          </w:tcPr>
          <w:p>
            <w:pPr>
              <w:spacing w:after="40"/>
            </w:pPr>
            <w:r>
              <w:rPr>
                <w:sz w:val="17"/>
              </w:rPr>
              <w:t>Revocación de todas las sesiones por suspensión real no está aprobada; mecanismos y tipos físicos solo después de auditar BD.</w:t>
            </w:r>
          </w:p>
        </w:tc>
        <w:tc>
          <w:tcPr>
            <w:tcW w:type="dxa" w:w="3430"/>
            <w:vAlign w:val="center"/>
          </w:tcPr>
          <w:p>
            <w:pPr>
              <w:spacing w:after="40"/>
            </w:pPr>
            <w:r>
              <w:rPr>
                <w:sz w:val="17"/>
              </w:rPr>
              <w:t>Todos / posterior</w:t>
            </w:r>
          </w:p>
        </w:tc>
      </w:tr>
    </w:tbl>
    <w:p>
      <w:pPr>
        <w:pStyle w:val="Heading2"/>
      </w:pPr>
      <w:r>
        <w:t>ADENDA APROBADA: SEBASTIÁN — IDEMPOTENCIA, PLAN Y SUSCRIPCIÓN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D64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5040"/>
            <w:shd w:fill="173D64"/>
          </w:tcPr>
          <w:p>
            <w:r>
              <w:rPr>
                <w:b/>
                <w:color w:val="FFFFFF"/>
              </w:rPr>
              <w:t>Regla / alcance</w:t>
            </w:r>
          </w:p>
        </w:tc>
      </w:tr>
      <w:tr>
        <w:tc>
          <w:tcPr>
            <w:tcW w:type="dxa" w:w="5040"/>
          </w:tcPr>
          <w:p>
            <w:r>
              <w:t>RNS-01</w:t>
            </w:r>
          </w:p>
        </w:tc>
        <w:tc>
          <w:tcPr>
            <w:tcW w:type="dxa" w:w="5040"/>
          </w:tcPr>
          <w:p>
            <w:r>
              <w:t>POST RF08: sesión autorizada → idOperacion+hash. Confirmada mismo payload =&gt; retornar misma alta aunque Free ahora esté completo; NUNCA LIMITE_FREE para reintento de su propio COMMIT.</w:t>
            </w:r>
          </w:p>
        </w:tc>
      </w:tr>
      <w:tr>
        <w:tc>
          <w:tcPr>
            <w:tcW w:type="dxa" w:w="5040"/>
          </w:tcPr>
          <w:p>
            <w:r>
              <w:t>RNS-02</w:t>
            </w:r>
          </w:p>
        </w:tc>
        <w:tc>
          <w:tcPr>
            <w:tcW w:type="dxa" w:w="5040"/>
          </w:tcPr>
          <w:p>
            <w:r>
              <w:t>Solo operación nueva: bloquear fila usuario, comprobar suscripción FREE ACTIVA y total de vehículos registrados, incluidos inactivos; insertar vehículo, lectura inicial y recordatorio en TX única.</w:t>
            </w:r>
          </w:p>
        </w:tc>
      </w:tr>
      <w:tr>
        <w:tc>
          <w:tcPr>
            <w:tcW w:type="dxa" w:w="5040"/>
          </w:tcPr>
          <w:p>
            <w:r>
              <w:t>RNS-03</w:t>
            </w:r>
          </w:p>
        </w:tc>
        <w:tc>
          <w:tcPr>
            <w:tcW w:type="dxa" w:w="5040"/>
          </w:tcPr>
          <w:p>
            <w:r>
              <w:t>suscripcion: id_suscripcion PK; índice único parcial sobre id_usuario WHERE estado='ACTIVA'; estados ACTIVA/VENCIDA; sin proveedor ni token de compras en MVP.</w:t>
            </w:r>
          </w:p>
        </w:tc>
      </w:tr>
      <w:tr>
        <w:tc>
          <w:tcPr>
            <w:tcW w:type="dxa" w:w="5040"/>
          </w:tcPr>
          <w:p>
            <w:r>
              <w:t>RNS-04</w:t>
            </w:r>
          </w:p>
        </w:tc>
        <w:tc>
          <w:tcPr>
            <w:tcW w:type="dxa" w:w="5040"/>
          </w:tcPr>
          <w:p>
            <w:r>
              <w:t>plan: id_plan PK y codigo/nombre/max_vehiculos_registrados/activo. FREE=1 y habilitado. No hay Premium operativo en MVP.</w:t>
            </w:r>
          </w:p>
        </w:tc>
      </w:tr>
    </w:tbl>
    <w:p>
      <w:pPr>
        <w:pStyle w:val="Heading2"/>
        <w:pageBreakBefore/>
      </w:pPr>
      <w:r>
        <w:t>PRUEBAS AÑADIDAS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D64"/>
          </w:tcPr>
          <w:p>
            <w:r>
              <w:rPr>
                <w:b/>
                <w:color w:val="FFFFFF"/>
              </w:rPr>
              <w:t>Caso</w:t>
            </w:r>
          </w:p>
        </w:tc>
        <w:tc>
          <w:tcPr>
            <w:tcW w:type="dxa" w:w="5040"/>
            <w:shd w:fill="173D64"/>
          </w:tcPr>
          <w:p>
            <w:r>
              <w:rPr>
                <w:b/>
                <w:color w:val="FFFFFF"/>
              </w:rPr>
              <w:t>Resultado esperado</w:t>
            </w:r>
          </w:p>
        </w:tc>
      </w:tr>
      <w:tr>
        <w:tc>
          <w:tcPr>
            <w:tcW w:type="dxa" w:w="5040"/>
          </w:tcPr>
          <w:p>
            <w:r>
              <w:t>RF08 reintento tras éxito</w:t>
            </w:r>
          </w:p>
        </w:tc>
        <w:tc>
          <w:tcPr>
            <w:tcW w:type="dxa" w:w="5040"/>
          </w:tcPr>
          <w:p>
            <w:r>
              <w:t>POST con misma idOperacion/payload ya CONFIRMADA en Free de 1 vehículo: devuelve MISMO idVehiculo, no LIMITE_FREE.</w:t>
            </w:r>
          </w:p>
        </w:tc>
      </w:tr>
      <w:tr>
        <w:tc>
          <w:tcPr>
            <w:tcW w:type="dxa" w:w="5040"/>
          </w:tcPr>
          <w:p>
            <w:r>
              <w:t>RF08 concurrencia</w:t>
            </w:r>
          </w:p>
        </w:tc>
        <w:tc>
          <w:tcPr>
            <w:tcW w:type="dxa" w:w="5040"/>
          </w:tcPr>
          <w:p>
            <w:r>
              <w:t>Dos POST distintos simultáneos para Free sin vehículos: exactamente un alta, el otro LIMITE_FREE.</w:t>
            </w:r>
          </w:p>
        </w:tc>
      </w:tr>
      <w:tr>
        <w:tc>
          <w:tcPr>
            <w:tcW w:type="dxa" w:w="5040"/>
          </w:tcPr>
          <w:p>
            <w:r>
              <w:t>Suscripción ACTIVA duplicada</w:t>
            </w:r>
          </w:p>
        </w:tc>
        <w:tc>
          <w:tcPr>
            <w:tcW w:type="dxa" w:w="5040"/>
          </w:tcPr>
          <w:p>
            <w:r>
              <w:t>Segunda suscripción ACTIVA con mismo id_usuario debe ser rechazada por índice parcial; una VENCIDA histórica no impide la vigente.</w:t>
            </w:r>
          </w:p>
        </w:tc>
      </w:tr>
    </w:tbl>
    <w:p>
      <w:r>
        <w:br w:type="page"/>
      </w:r>
    </w:p>
    <w:p>
      <w:pPr>
        <w:pStyle w:val="Heading1"/>
      </w:pPr>
      <w:r>
        <w:t>Validación de identificación vehicular en RF08</w:t>
      </w:r>
    </w:p>
    <w:p>
      <w:r>
        <w:t>Actualización documental del 27 de octubre de 2026 a partir de las validaciones reportadas por Francesca. Se amplían RN08-06 y RN08-08 y la rama RF08_EA06 sin cambiar la numeración de reglas ni escenarios. El código fuente no forma parte del paquete revisado.</w:t>
      </w:r>
    </w:p>
    <w:p>
      <w:pPr>
        <w:pStyle w:val="Heading2"/>
      </w:pPr>
      <w:r>
        <w:t>Reglas de formato</w:t>
      </w:r>
    </w:p>
    <w:p>
      <w:r>
        <w:t>Si se informa: exactamente 17 caracteres, solo A–Z y 0–9, sin I, O ni Q; Regex de coincidencia completa [A-HJ-NPR-Z0-9]{17}.</w:t>
      </w:r>
    </w:p>
    <w:p>
      <w:r>
        <w:t>Código de motor (numeroMotor / numero_motor): entre 5 y 15 caracteres, solo A–Z, 0–9, guion y espacio simple; Regex [A-Z0-9 -]{5,15}. No aplica a motor eléctrico.</w:t>
      </w:r>
    </w:p>
    <w:p>
      <w:r>
        <w:t>Número de serie: mínimo 6 caracteres, ajustable mediante MIN_SERIE; solo A–Z y 0–9, sin espacios ni caracteres especiales; Regex [A-Z0-9]{6,}.</w:t>
      </w:r>
    </w:p>
    <w:p>
      <w:r>
        <w:t>Aplicar coincidencia sobre toda la cadena, sensible a mayúsculas. No convertir minúsculas ni recortar espacios para aceptar datos inválidos. En motor se interpreta espacio como U+0020, no tabulaciones ni saltos de línea. La longitud incluye guiones y espacios. No se agregan restricciones de composición no solicitadas.</w:t>
      </w:r>
    </w:p>
    <w:p>
      <w:pPr>
        <w:pStyle w:val="Heading2"/>
      </w:pPr>
      <w:r>
        <w:t>Integración con los campos opcionales</w:t>
      </w:r>
    </w:p>
    <w:p>
      <w:r>
        <w:t>Se conserva la opcionalidad de RF08: ausente, NULL o cadena vacía representan un dato no informado y se persisten como NULL. Un valor no vacío debe cumplir su regla. Una cadena de espacios no se convierte automáticamente en ausencia. Para eléctrico, numeroMotor permanece no aplicable/NULL; un valor incompatible se trata en EA06. Código de motor y número de motor nombran el mismo atributo, no tipoMotorCodigo.</w:t>
      </w:r>
    </w:p>
    <w:p>
      <w:r>
        <w:t>El validador estricto evalúa los tres valores recibidos y devuelve true solo si todos cumplen; una cadena vacía falla su longitud. La integración RF08 omite previamente los campos opcionales no informados. Esta distinción conserva las reglas existentes sin convertir los tres campos en obligatorios.</w:t>
      </w:r>
    </w:p>
    <w:p>
      <w:pPr>
        <w:pStyle w:val="Heading2"/>
      </w:pPr>
      <w:r>
        <w:t>Resultado y flujo de errores</w:t>
      </w:r>
    </w:p>
    <w:p>
      <w:r>
        <w:t>Detectar I, O o Q rechaza el VIN de inmediato y genera un mensaje por letra prohibida presente. Continuar evaluando los otros campos para devolver sus errores. Para longitudes incorrectas informar la longitud recibida y la requerida; para otros caracteres informar el campo afectado. Sin errores, devolver true; con errores, devolver la lista de mensajes.</w:t>
      </w:r>
    </w:p>
    <w:p>
      <w:r>
        <w:t>En RF008-EF1, validar los identificadores informados dentro de P23 y devolver el resultado en P24. Si falla, seguir RF08_EA06, conservar los datos y permitir corrección sin crear vehículo, lectura ni recordatorio. Tras corregir, revalidar P23 y continuar con los controles restantes. VIN duplicado sigue siendo EA09 y se comprueba después del formato. Se mantiene la recuperación de idOperacion ya CONFIRMADA antes de tratar una solicitud como nueva.</w:t>
      </w:r>
    </w:p>
    <w:p>
      <w:pPr>
        <w:pStyle w:val="Heading2"/>
      </w:pPr>
      <w:r>
        <w:t>Casos de aceptación</w:t>
      </w:r>
    </w:p>
    <w:p>
      <w:r>
        <w:t>Válido: VIN = 1HGCM82633A004352; código de motor = AB12-345; serie = ABC123. Resultado del validador: true. El alta todavía requiere las demás validaciones de RF08.</w:t>
      </w:r>
    </w:p>
    <w:p>
      <w:r>
        <w:t>Inválido: VIN = 1HGCM82633A00435O; código de motor = AB12@345; serie = AB-12. Resultado: [“Error: El VIN contiene la letra 'O'”, “Error: El Código de Motor tiene caracteres no válidos”, “Error: El Número de Serie tiene 5 caracteres; mínimo 6”, “Error: El Número de Serie tiene caracteres no válidos”].</w:t>
      </w:r>
    </w:p>
    <w:p>
      <w:r>
        <w:t>Fronteras: VIN de 16/18 caracteres se rechaza; motor de 5/15 se acepta y de 4/16 se rechaza si los caracteres son válidos; serie de 6 se acepta y de 5 se rechaza. Rechazar minúsculas en los tres campos, I/O/Q en VIN, espacios en VIN/serie y tabulaciones o saltos de línea en todos. RF08 acepta opcionales omitidos y motor NULL en eléctrico.</w:t>
      </w:r>
    </w:p>
    <w:p>
      <w:r>
        <w:t>El mínimo de serie es 6 por defecto. No se establece máximo funcional para serie ni unicidad de motor o serie. Cualquier límite físico de BD debe conciliarse por separado. Las rutas y estructuras REST del documento siguen siendo propuestas, no evidencia de pruebas ejecutadas.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85664"/>
        <w:sz w:val="14"/>
      </w:rPr>
      <w:t>Francesca · RF08, RF09, RF10, RF14  |  Versión para aprobación del equipo · 25/10/2026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166D7C"/>
        <w:sz w:val="15"/>
      </w:rPr>
      <w:t>MYCAR  /  REGLAS DE NEGOCIO  / 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48566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8314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65A8C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8314E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