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58.0" w:type="dxa"/>
        <w:jc w:val="left"/>
        <w:tblLayout w:type="fixed"/>
        <w:tblLook w:val="0400"/>
      </w:tblPr>
      <w:tblGrid>
        <w:gridCol w:w="1355"/>
        <w:gridCol w:w="1455"/>
        <w:gridCol w:w="2043"/>
        <w:gridCol w:w="1567"/>
        <w:gridCol w:w="1538"/>
        <w:tblGridChange w:id="0">
          <w:tblGrid>
            <w:gridCol w:w="1355"/>
            <w:gridCol w:w="1455"/>
            <w:gridCol w:w="2043"/>
            <w:gridCol w:w="1567"/>
            <w:gridCol w:w="15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Estrategia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Intensidad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1–7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Asumir descuido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Colaborativo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8–30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Urgencia suave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Medio-Alto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30–60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Ofrecer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Firme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60+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Ultimátum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Formal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Crítico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Reincidente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Pre-legal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Jurídico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F0F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F0F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F0F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F0F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F0F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F0F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F0F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F0F9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F0F9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F0F9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F0F9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F0F9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F0F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F0F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F0F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F0F9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F0F9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F0F9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F0F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F0F9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F0F9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PRD7L41nvtGG8Vcag9LSEUCr0Q==">CgMxLjA4AHIhMVZwSlJ0VHJndHlJbVFEODNJUnpScjFBQ180NXNpa0Z0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2026-02-26T17:34:00Z</dcterms:created>
  <dc:creator>Maria · Sinapsis</dc:creator>
</cp:coreProperties>
</file>