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300" w:after="360"/>
        <w:jc w:val="center"/>
      </w:pPr>
      <w:r>
        <w:drawing>
          <wp:inline xmlns:a="http://schemas.openxmlformats.org/drawingml/2006/main" xmlns:pic="http://schemas.openxmlformats.org/drawingml/2006/picture">
            <wp:extent cx="2651760" cy="883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88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"/>
        <w:spacing w:before="300"/>
        <w:jc w:val="center"/>
      </w:pPr>
      <w:r>
        <w:rPr>
          <w:color w:val="642138"/>
        </w:rPr>
        <w:t>Diagramas generales de casos de uso por proceso</w:t>
      </w:r>
    </w:p>
    <w:p>
      <w:pPr>
        <w:jc w:val="right"/>
      </w:pPr>
      <w:r>
        <w:rPr>
          <w:color w:val="642138"/>
          <w:sz w:val="18"/>
        </w:rPr>
        <w:t>Versión 1.0 · 13 de octubre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448"/>
            <w:vAlign w:val="center"/>
            <w:shd w:fill="642138"/>
          </w:tcPr>
          <w:p>
            <w:pPr>
              <w:spacing w:after="0"/>
            </w:pPr>
            <w:r>
              <w:rPr>
                <w:rFonts w:ascii="Heebo Light" w:hAnsi="Heebo Light"/>
                <w:b/>
                <w:color w:val="F0EAC8"/>
                <w:sz w:val="17"/>
              </w:rPr>
              <w:t>Control documental</w:t>
            </w:r>
          </w:p>
        </w:tc>
        <w:tc>
          <w:tcPr>
            <w:tcW w:type="dxa" w:w="7445"/>
            <w:vAlign w:val="center"/>
            <w:shd w:fill="642138"/>
          </w:tcPr>
          <w:p>
            <w:pPr>
              <w:spacing w:after="0"/>
            </w:pPr>
            <w:r>
              <w:rPr>
                <w:rFonts w:ascii="Heebo Light" w:hAnsi="Heebo Light"/>
                <w:b/>
                <w:color w:val="F0EAC8"/>
                <w:sz w:val="17"/>
              </w:rPr>
              <w:t>Valor</w:t>
            </w:r>
          </w:p>
        </w:tc>
      </w:tr>
      <w:tr>
        <w:tc>
          <w:tcPr>
            <w:tcW w:type="dxa" w:w="244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Código</w:t>
            </w:r>
          </w:p>
        </w:tc>
        <w:tc>
          <w:tcPr>
            <w:tcW w:type="dxa" w:w="7445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ZA-CU-003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Módulo</w:t>
            </w:r>
          </w:p>
        </w:tc>
        <w:tc>
          <w:tcPr>
            <w:tcW w:type="dxa" w:w="7445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Transversal — procesos del sistema</w:t>
            </w:r>
          </w:p>
        </w:tc>
      </w:tr>
      <w:tr>
        <w:tc>
          <w:tcPr>
            <w:tcW w:type="dxa" w:w="244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Fase / entregable</w:t>
            </w:r>
          </w:p>
        </w:tc>
        <w:tc>
          <w:tcPr>
            <w:tcW w:type="dxa" w:w="7445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Fase 2 — Diagramas generales de casos de uso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Versión / fecha</w:t>
            </w:r>
          </w:p>
        </w:tc>
        <w:tc>
          <w:tcPr>
            <w:tcW w:type="dxa" w:w="7445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v1.0 / 13 de octubre de 2026</w:t>
            </w:r>
          </w:p>
        </w:tc>
      </w:tr>
      <w:tr>
        <w:tc>
          <w:tcPr>
            <w:tcW w:type="dxa" w:w="244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Autor / analista</w:t>
            </w:r>
          </w:p>
        </w:tc>
        <w:tc>
          <w:tcPr>
            <w:tcW w:type="dxa" w:w="7445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Franklin Acero / Codex (asistencia de redacción)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Estado</w:t>
            </w:r>
          </w:p>
        </w:tc>
        <w:tc>
          <w:tcPr>
            <w:tcW w:type="dxa" w:w="7445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Propuesta interna pendiente de revisión; no publicada</w:t>
            </w:r>
          </w:p>
        </w:tc>
      </w:tr>
    </w:tbl>
    <w:p>
      <w:pPr>
        <w:pStyle w:val="Ttulo2"/>
        <w:spacing w:before="200"/>
      </w:pPr>
      <w:r>
        <w:t>Historial de revisiones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008"/>
            <w:vAlign w:val="center"/>
            <w:shd w:fill="642138"/>
          </w:tcPr>
          <w:p>
            <w:pPr>
              <w:spacing w:after="0"/>
            </w:pPr>
            <w:r>
              <w:rPr>
                <w:rFonts w:ascii="Heebo Light" w:hAnsi="Heebo Light"/>
                <w:b/>
                <w:color w:val="F0EAC8"/>
                <w:sz w:val="17"/>
              </w:rPr>
              <w:t>Versión</w:t>
            </w:r>
          </w:p>
        </w:tc>
        <w:tc>
          <w:tcPr>
            <w:tcW w:type="dxa" w:w="1224"/>
            <w:vAlign w:val="center"/>
            <w:shd w:fill="642138"/>
          </w:tcPr>
          <w:p>
            <w:pPr>
              <w:spacing w:after="0"/>
            </w:pPr>
            <w:r>
              <w:rPr>
                <w:rFonts w:ascii="Heebo Light" w:hAnsi="Heebo Light"/>
                <w:b/>
                <w:color w:val="F0EAC8"/>
                <w:sz w:val="17"/>
              </w:rPr>
              <w:t>Fecha</w:t>
            </w:r>
          </w:p>
        </w:tc>
        <w:tc>
          <w:tcPr>
            <w:tcW w:type="dxa" w:w="5328"/>
            <w:vAlign w:val="center"/>
            <w:shd w:fill="642138"/>
          </w:tcPr>
          <w:p>
            <w:pPr>
              <w:spacing w:after="0"/>
            </w:pPr>
            <w:r>
              <w:rPr>
                <w:rFonts w:ascii="Heebo Light" w:hAnsi="Heebo Light"/>
                <w:b/>
                <w:color w:val="F0EAC8"/>
                <w:sz w:val="17"/>
              </w:rPr>
              <w:t>Descripción del cambio</w:t>
            </w:r>
          </w:p>
        </w:tc>
        <w:tc>
          <w:tcPr>
            <w:tcW w:type="dxa" w:w="2333"/>
            <w:vAlign w:val="center"/>
            <w:shd w:fill="642138"/>
          </w:tcPr>
          <w:p>
            <w:pPr>
              <w:spacing w:after="0"/>
            </w:pPr>
            <w:r>
              <w:rPr>
                <w:rFonts w:ascii="Heebo Light" w:hAnsi="Heebo Light"/>
                <w:b/>
                <w:color w:val="F0EAC8"/>
                <w:sz w:val="17"/>
              </w:rPr>
              <w:t>Responsable</w:t>
            </w:r>
          </w:p>
        </w:tc>
      </w:tr>
      <w:tr>
        <w:tc>
          <w:tcPr>
            <w:tcW w:type="dxa" w:w="100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v1.0</w:t>
            </w:r>
          </w:p>
        </w:tc>
        <w:tc>
          <w:tcPr>
            <w:tcW w:type="dxa" w:w="1224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13-10-2026</w:t>
            </w:r>
          </w:p>
        </w:tc>
        <w:tc>
          <w:tcPr>
            <w:tcW w:type="dxa" w:w="532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Catálogo de ocho diagramas nuevos por proceso, trazabilidad RF y dos diagramas generales de asistencia reutilizados de ZA-CU-002 v1.2.</w:t>
            </w:r>
          </w:p>
        </w:tc>
        <w:tc>
          <w:tcPr>
            <w:tcW w:type="dxa" w:w="2333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Franklin Acero; redacción asistida por Codex</w:t>
            </w:r>
          </w:p>
        </w:tc>
      </w:tr>
    </w:tbl>
    <w:p>
      <w:r>
        <w:br w:type="page"/>
      </w:r>
    </w:p>
    <w:p>
      <w:pPr>
        <w:spacing w:after="200"/>
      </w:pPr>
      <w:r>
        <w:t>Este catálogo presenta diagramas UML generales por proceso, trazados a los requisitos confirmados de CAT-REQ-001 v1.2. No reemplaza las especificaciones detalladas ni agrega funcionalidades. La asistencia reutiliza sus dos diagramas generales vigentes.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320"/>
            <w:vAlign w:val="center"/>
            <w:shd w:fill="642138"/>
          </w:tcPr>
          <w:p>
            <w:pPr>
              <w:spacing w:after="0"/>
            </w:pPr>
            <w:r>
              <w:rPr>
                <w:rFonts w:ascii="Heebo Light" w:hAnsi="Heebo Light"/>
                <w:b/>
                <w:color w:val="F0EAC8"/>
                <w:sz w:val="17"/>
              </w:rPr>
              <w:t>Proceso</w:t>
            </w:r>
          </w:p>
        </w:tc>
        <w:tc>
          <w:tcPr>
            <w:tcW w:type="dxa" w:w="5573"/>
            <w:vAlign w:val="center"/>
            <w:shd w:fill="642138"/>
          </w:tcPr>
          <w:p>
            <w:pPr>
              <w:spacing w:after="0"/>
            </w:pPr>
            <w:r>
              <w:rPr>
                <w:rFonts w:ascii="Heebo Light" w:hAnsi="Heebo Light"/>
                <w:b/>
                <w:color w:val="F0EAC8"/>
                <w:sz w:val="17"/>
              </w:rPr>
              <w:t>Requisitos representados</w:t>
            </w:r>
          </w:p>
        </w:tc>
      </w:tr>
      <w:tr>
        <w:tc>
          <w:tcPr>
            <w:tcW w:type="dxa" w:w="4320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Acceso, membresías y permisos</w:t>
            </w:r>
          </w:p>
        </w:tc>
        <w:tc>
          <w:tcPr>
            <w:tcW w:type="dxa" w:w="5573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RF-ACC-001 a RF-ACC-004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Planificación de actividades y encargos</w:t>
            </w:r>
          </w:p>
        </w:tc>
        <w:tc>
          <w:tcPr>
            <w:tcW w:type="dxa" w:w="5573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RF-PLA-001 a RF-PLA-005</w:t>
            </w:r>
          </w:p>
        </w:tc>
      </w:tr>
      <w:tr>
        <w:tc>
          <w:tcPr>
            <w:tcW w:type="dxa" w:w="4320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Producción y trazabilidad</w:t>
            </w:r>
          </w:p>
        </w:tc>
        <w:tc>
          <w:tcPr>
            <w:tcW w:type="dxa" w:w="5573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RF-CAT-001; RF-INV-001; RF-TRA-001 a RF-TRA-005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Inventario, entregas y conciliación física</w:t>
            </w:r>
          </w:p>
        </w:tc>
        <w:tc>
          <w:tcPr>
            <w:tcW w:type="dxa" w:w="5573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RF-INV-002 a RF-INV-006</w:t>
            </w:r>
          </w:p>
        </w:tc>
      </w:tr>
      <w:tr>
        <w:tc>
          <w:tcPr>
            <w:tcW w:type="dxa" w:w="4320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Ventas, tesorería y rendición</w:t>
            </w:r>
          </w:p>
        </w:tc>
        <w:tc>
          <w:tcPr>
            <w:tcW w:type="dxa" w:w="5573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RF-VEN-001 a RF-VEN-009; RF-GAS-001/002; RF-CXC-001 a RF-CXC-003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Reportes, recordatorios y sitio público</w:t>
            </w:r>
          </w:p>
        </w:tc>
        <w:tc>
          <w:tcPr>
            <w:tcW w:type="dxa" w:w="5573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RF-REP-001 a RF-REP-006; RF-NOT-001/002; RF-PUB-001 a RF-PUB-003</w:t>
            </w:r>
          </w:p>
        </w:tc>
      </w:tr>
      <w:tr>
        <w:tc>
          <w:tcPr>
            <w:tcW w:type="dxa" w:w="4320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Gestión documental y activos</w:t>
            </w:r>
          </w:p>
        </w:tc>
        <w:tc>
          <w:tcPr>
            <w:tcW w:type="dxa" w:w="5573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RF-DOC-001; RF-AST-001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Continuidad y sincronización sin conexión</w:t>
            </w:r>
          </w:p>
        </w:tc>
        <w:tc>
          <w:tcPr>
            <w:tcW w:type="dxa" w:w="5573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RF-PWA-001 a RF-PWA-003; RNF-CON-001</w:t>
            </w:r>
          </w:p>
        </w:tc>
      </w:tr>
      <w:tr>
        <w:tc>
          <w:tcPr>
            <w:tcW w:type="dxa" w:w="4320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Asistencia: captura/participación</w:t>
            </w:r>
          </w:p>
        </w:tc>
        <w:tc>
          <w:tcPr>
            <w:tcW w:type="dxa" w:w="5573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RF-ASI-001 a RF-ASI-005; RF-ASI-007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Asistencia: faltas/multas</w:t>
            </w:r>
          </w:p>
        </w:tc>
        <w:tc>
          <w:tcPr>
            <w:tcW w:type="dxa" w:w="5573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RF-ASI-006</w:t>
            </w:r>
          </w:p>
        </w:tc>
      </w:tr>
    </w:tbl>
    <w:p>
      <w:r>
        <w:br w:type="page"/>
      </w:r>
    </w:p>
    <w:p>
      <w:pPr>
        <w:pStyle w:val="Ttulo1"/>
        <w:keepNext/>
      </w:pPr>
      <w:r>
        <w:t>ZA-DG-01 — Acceso, membresías y permisos</w:t>
      </w:r>
    </w:p>
    <w:p>
      <w:pPr>
        <w:spacing w:after="60"/>
        <w:jc w:val="center"/>
      </w:pPr>
      <w:r>
        <w:t>Requisitos representados: RF-ACC-001 a RF-ACC-004</w:t>
      </w:r>
      <w:r>
        <w:drawing>
          <wp:inline xmlns:a="http://schemas.openxmlformats.org/drawingml/2006/main" xmlns:pic="http://schemas.openxmlformats.org/drawingml/2006/picture">
            <wp:extent cx="5897880" cy="4190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dg-01-acceso-membresias-y-permi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Los permisos organizacionales se asignan por operación; el soporte técnico no adquiere autoridad de negocio.</w:t>
      </w:r>
    </w:p>
    <w:p>
      <w:r>
        <w:br w:type="page"/>
      </w:r>
    </w:p>
    <w:p>
      <w:pPr>
        <w:pStyle w:val="Ttulo1"/>
        <w:keepNext/>
      </w:pPr>
      <w:r>
        <w:t>ZA-DG-02 — Planificación de actividades y encargos</w:t>
      </w:r>
    </w:p>
    <w:p>
      <w:pPr>
        <w:spacing w:after="60"/>
        <w:jc w:val="center"/>
      </w:pPr>
      <w:r>
        <w:t>Requisitos representados: RF-PLA-001 a RF-PLA-005</w:t>
      </w:r>
      <w:r>
        <w:drawing>
          <wp:inline xmlns:a="http://schemas.openxmlformats.org/drawingml/2006/main" xmlns:pic="http://schemas.openxmlformats.org/drawingml/2006/picture">
            <wp:extent cx="5897880" cy="4764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dg-02-planificacion-de-actividades-y-encarg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64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La planificación no crea lotes ni existencias; los encargos conservan aceptación, cambios y evidencia de cierre.</w:t>
      </w:r>
    </w:p>
    <w:p>
      <w:r>
        <w:br w:type="page"/>
      </w:r>
    </w:p>
    <w:p>
      <w:pPr>
        <w:pStyle w:val="Ttulo1"/>
        <w:keepNext/>
      </w:pPr>
      <w:r>
        <w:t>ZA-DG-03 — Producción y trazabilidad</w:t>
      </w:r>
    </w:p>
    <w:p>
      <w:pPr>
        <w:spacing w:after="60"/>
        <w:jc w:val="center"/>
      </w:pPr>
      <w:r>
        <w:t>Requisitos representados: RF-CAT-001; RF-INV-001; RF-TRA-001 a RF-TRA-005</w:t>
      </w:r>
      <w:r>
        <w:drawing>
          <wp:inline xmlns:a="http://schemas.openxmlformats.org/drawingml/2006/main" xmlns:pic="http://schemas.openxmlformats.org/drawingml/2006/picture">
            <wp:extent cx="5897880" cy="47648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dg-03-produccion-y-trazabilid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64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El agotamiento de stock no cierra por sí solo un lote. Solo una mezcla física crea un lote derivado.</w:t>
      </w:r>
    </w:p>
    <w:p>
      <w:r>
        <w:br w:type="page"/>
      </w:r>
    </w:p>
    <w:p>
      <w:pPr>
        <w:pStyle w:val="Ttulo1"/>
        <w:keepNext/>
      </w:pPr>
      <w:r>
        <w:t>ZA-DG-04 — Inventario, entregas y conciliación física</w:t>
      </w:r>
    </w:p>
    <w:p>
      <w:pPr>
        <w:spacing w:after="60"/>
        <w:jc w:val="center"/>
      </w:pPr>
      <w:r>
        <w:t>Requisitos representados: RF-INV-002 a RF-INV-006</w:t>
      </w:r>
      <w:r>
        <w:drawing>
          <wp:inline xmlns:a="http://schemas.openxmlformats.org/drawingml/2006/main" xmlns:pic="http://schemas.openxmlformats.org/drawingml/2006/picture">
            <wp:extent cx="5897880" cy="47648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dg-04-inventario-entregas-y-conciliacion-fisic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64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Las existencias se derivan de movimientos. Custodia individual, propiedad y deuda monetaria se mantienen diferenciadas.</w:t>
      </w:r>
    </w:p>
    <w:p>
      <w:r>
        <w:br w:type="page"/>
      </w:r>
    </w:p>
    <w:p>
      <w:pPr>
        <w:pStyle w:val="Ttulo1"/>
        <w:keepNext/>
      </w:pPr>
      <w:r>
        <w:t>ZA-DG-05 — Ventas, tesorería y rendición</w:t>
      </w:r>
    </w:p>
    <w:p>
      <w:pPr>
        <w:spacing w:after="60"/>
        <w:jc w:val="center"/>
      </w:pPr>
      <w:r>
        <w:t>Requisitos representados: RF-VEN-001 a RF-VEN-009; RF-GAS-001/002; RF-CXC-001 a RF-CXC-003</w:t>
      </w:r>
      <w:r>
        <w:drawing>
          <wp:inline xmlns:a="http://schemas.openxmlformats.org/drawingml/2006/main" xmlns:pic="http://schemas.openxmlformats.org/drawingml/2006/picture">
            <wp:extent cx="5897880" cy="47648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dg-05-ventas-tesoreria-y-rendi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64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Los precios, saldos, gastos y comisiones conservan sus bases separadas. Los importes no se distribuyen mientras falten reglas aprobadas.</w:t>
      </w:r>
    </w:p>
    <w:p>
      <w:r>
        <w:br w:type="page"/>
      </w:r>
    </w:p>
    <w:p>
      <w:pPr>
        <w:pStyle w:val="Ttulo1"/>
        <w:keepNext/>
      </w:pPr>
      <w:r>
        <w:t>ZA-DG-06 — Reportes, recordatorios y sitio público</w:t>
      </w:r>
    </w:p>
    <w:p>
      <w:pPr>
        <w:spacing w:after="60"/>
        <w:jc w:val="center"/>
      </w:pPr>
      <w:r>
        <w:t>Requisitos representados: RF-REP-001 a RF-REP-006; RF-NOT-001/002; RF-PUB-001 a RF-PUB-003</w:t>
      </w:r>
      <w:r>
        <w:drawing>
          <wp:inline xmlns:a="http://schemas.openxmlformats.org/drawingml/2006/main" xmlns:pic="http://schemas.openxmlformats.org/drawingml/2006/picture">
            <wp:extent cx="5897880" cy="47648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dg-06-reportes-recordatorios-y-sitio-públic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64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Publicadora autorizada representa un permiso, no un rol adicional. El contenido público debe estar aprobado y no revela datos internos.</w:t>
      </w:r>
    </w:p>
    <w:p>
      <w:r>
        <w:br w:type="page"/>
      </w:r>
    </w:p>
    <w:p>
      <w:pPr>
        <w:pStyle w:val="Ttulo1"/>
        <w:keepNext/>
      </w:pPr>
      <w:r>
        <w:t>ZA-DG-07 — Gestión documental y activos</w:t>
      </w:r>
    </w:p>
    <w:p>
      <w:pPr>
        <w:spacing w:after="60"/>
        <w:jc w:val="center"/>
      </w:pPr>
      <w:r>
        <w:t>Requisitos representados: RF-DOC-001; RF-AST-001</w:t>
      </w:r>
      <w:r>
        <w:drawing>
          <wp:inline xmlns:a="http://schemas.openxmlformats.org/drawingml/2006/main" xmlns:pic="http://schemas.openxmlformats.org/drawingml/2006/picture">
            <wp:extent cx="5897880" cy="36163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dg-07-gestion-documental-y-activ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El acceso, los tipos documentales, la conservación y los metadatos aún requieren definición antes de implementar datos sensibles.</w:t>
      </w:r>
    </w:p>
    <w:p>
      <w:r>
        <w:br w:type="page"/>
      </w:r>
    </w:p>
    <w:p>
      <w:pPr>
        <w:pStyle w:val="Ttulo1"/>
        <w:keepNext/>
      </w:pPr>
      <w:r>
        <w:t>ZA-DG-08 — Continuidad y sincronización sin conexión</w:t>
      </w:r>
    </w:p>
    <w:p>
      <w:pPr>
        <w:spacing w:after="60"/>
        <w:jc w:val="center"/>
      </w:pPr>
      <w:r>
        <w:t>Requisitos representados: RF-PWA-001 a RF-PWA-003; RNF-CON-001</w:t>
      </w:r>
      <w:r>
        <w:drawing>
          <wp:inline xmlns:a="http://schemas.openxmlformats.org/drawingml/2006/main" xmlns:pic="http://schemas.openxmlformats.org/drawingml/2006/picture">
            <wp:extent cx="5897880" cy="36163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dg-08-continuidad-y-sincronizacion-sin-conex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t>La sincronización revalida sesión, permisos y reglas en servidor; un guardado local no se muestra como aceptación remota.</w:t>
      </w:r>
    </w:p>
    <w:p>
      <w:r>
        <w:br w:type="page"/>
      </w:r>
    </w:p>
    <w:p>
      <w:pPr>
        <w:pStyle w:val="Ttulo1"/>
        <w:keepNext/>
      </w:pPr>
      <w:r>
        <w:t>Asistencia: captura, consulta y participación</w:t>
      </w:r>
    </w:p>
    <w:p>
      <w:pPr>
        <w:jc w:val="center"/>
      </w:pPr>
      <w:r>
        <w:t>Requisitos representados: RF-ASI-001 a RF-ASI-005; RF-ASI-007</w:t>
      </w:r>
      <w:r>
        <w:drawing>
          <wp:inline xmlns:a="http://schemas.openxmlformats.org/drawingml/2006/main" xmlns:pic="http://schemas.openxmlformats.org/drawingml/2006/picture">
            <wp:extent cx="5897880" cy="33999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diagrama-registro-consul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99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Diagrama general de alcance reutilizado de ZA-CU-002 v1.2.</w:t>
      </w:r>
    </w:p>
    <w:p>
      <w:r>
        <w:br w:type="page"/>
      </w:r>
    </w:p>
    <w:p>
      <w:pPr>
        <w:pStyle w:val="Ttulo1"/>
        <w:keepNext/>
      </w:pPr>
      <w:r>
        <w:t>Asistencia: faltas y multas</w:t>
      </w:r>
    </w:p>
    <w:p>
      <w:pPr>
        <w:jc w:val="center"/>
      </w:pPr>
      <w:r>
        <w:t>Requisitos representados: RF-ASI-006</w:t>
      </w:r>
      <w:r>
        <w:drawing>
          <wp:inline xmlns:a="http://schemas.openxmlformats.org/drawingml/2006/main" xmlns:pic="http://schemas.openxmlformats.org/drawingml/2006/picture">
            <wp:extent cx="5897880" cy="28448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diagrama-faltas-mult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4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falta se genera al cierre, se admite justificativo hasta tres días hábiles y la Tesorera valida antes de aplicar una multa; los detalles de P-03 siguen abiertos.</w:t>
      </w:r>
    </w:p>
    <w:p>
      <w:r>
        <w:br w:type="page"/>
      </w:r>
    </w:p>
    <w:p>
      <w:pPr>
        <w:pStyle w:val="Ttulo1"/>
      </w:pPr>
      <w:r>
        <w:t>Trazabilidad y límites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448"/>
            <w:vAlign w:val="center"/>
            <w:shd w:fill="642138"/>
          </w:tcPr>
          <w:p>
            <w:pPr>
              <w:spacing w:after="0"/>
            </w:pPr>
            <w:r>
              <w:rPr>
                <w:rFonts w:ascii="Heebo Light" w:hAnsi="Heebo Light"/>
                <w:b/>
                <w:color w:val="F0EAC8"/>
                <w:sz w:val="17"/>
              </w:rPr>
              <w:t>Proceso</w:t>
            </w:r>
          </w:p>
        </w:tc>
        <w:tc>
          <w:tcPr>
            <w:tcW w:type="dxa" w:w="3528"/>
            <w:vAlign w:val="center"/>
            <w:shd w:fill="642138"/>
          </w:tcPr>
          <w:p>
            <w:pPr>
              <w:spacing w:after="0"/>
            </w:pPr>
            <w:r>
              <w:rPr>
                <w:rFonts w:ascii="Heebo Light" w:hAnsi="Heebo Light"/>
                <w:b/>
                <w:color w:val="F0EAC8"/>
                <w:sz w:val="17"/>
              </w:rPr>
              <w:t>RF base</w:t>
            </w:r>
          </w:p>
        </w:tc>
        <w:tc>
          <w:tcPr>
            <w:tcW w:type="dxa" w:w="3917"/>
            <w:vAlign w:val="center"/>
            <w:shd w:fill="642138"/>
          </w:tcPr>
          <w:p>
            <w:pPr>
              <w:spacing w:after="0"/>
            </w:pPr>
            <w:r>
              <w:rPr>
                <w:rFonts w:ascii="Heebo Light" w:hAnsi="Heebo Light"/>
                <w:b/>
                <w:color w:val="F0EAC8"/>
                <w:sz w:val="17"/>
              </w:rPr>
              <w:t>Estado de representación</w:t>
            </w:r>
          </w:p>
        </w:tc>
      </w:tr>
      <w:tr>
        <w:tc>
          <w:tcPr>
            <w:tcW w:type="dxa" w:w="244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Acceso, membresías y permisos</w:t>
            </w:r>
          </w:p>
        </w:tc>
        <w:tc>
          <w:tcPr>
            <w:tcW w:type="dxa" w:w="352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RF-ACC-001 a RF-ACC-004</w:t>
            </w:r>
          </w:p>
        </w:tc>
        <w:tc>
          <w:tcPr>
            <w:tcW w:type="dxa" w:w="3917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Diagrama general; especificación detallada pendiente por módulo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Planificación de actividades y encargos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RF-PLA-001 a RF-PLA-005</w:t>
            </w:r>
          </w:p>
        </w:tc>
        <w:tc>
          <w:tcPr>
            <w:tcW w:type="dxa" w:w="3917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Diagrama general; especificación detallada pendiente por módulo</w:t>
            </w:r>
          </w:p>
        </w:tc>
      </w:tr>
      <w:tr>
        <w:tc>
          <w:tcPr>
            <w:tcW w:type="dxa" w:w="244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Producción y trazabilidad</w:t>
            </w:r>
          </w:p>
        </w:tc>
        <w:tc>
          <w:tcPr>
            <w:tcW w:type="dxa" w:w="352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RF-CAT-001; RF-INV-001; RF-TRA-001 a RF-TRA-005</w:t>
            </w:r>
          </w:p>
        </w:tc>
        <w:tc>
          <w:tcPr>
            <w:tcW w:type="dxa" w:w="3917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Diagrama general; especificación detallada pendiente por módulo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Inventario, entregas y conciliación física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RF-INV-002 a RF-INV-006</w:t>
            </w:r>
          </w:p>
        </w:tc>
        <w:tc>
          <w:tcPr>
            <w:tcW w:type="dxa" w:w="3917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Diagrama general; especificación detallada pendiente por módulo</w:t>
            </w:r>
          </w:p>
        </w:tc>
      </w:tr>
      <w:tr>
        <w:tc>
          <w:tcPr>
            <w:tcW w:type="dxa" w:w="244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Ventas, tesorería y rendición</w:t>
            </w:r>
          </w:p>
        </w:tc>
        <w:tc>
          <w:tcPr>
            <w:tcW w:type="dxa" w:w="352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RF-VEN-001 a RF-VEN-009; RF-GAS-001/002; RF-CXC-001 a RF-CXC-003</w:t>
            </w:r>
          </w:p>
        </w:tc>
        <w:tc>
          <w:tcPr>
            <w:tcW w:type="dxa" w:w="3917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Diagrama general; especificación detallada pendiente por módulo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Reportes, recordatorios y sitio público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RF-REP-001 a RF-REP-006; RF-NOT-001/002; RF-PUB-001 a RF-PUB-003</w:t>
            </w:r>
          </w:p>
        </w:tc>
        <w:tc>
          <w:tcPr>
            <w:tcW w:type="dxa" w:w="3917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Diagrama general; especificación detallada pendiente por módulo</w:t>
            </w:r>
          </w:p>
        </w:tc>
      </w:tr>
      <w:tr>
        <w:tc>
          <w:tcPr>
            <w:tcW w:type="dxa" w:w="244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Gestión documental y activos</w:t>
            </w:r>
          </w:p>
        </w:tc>
        <w:tc>
          <w:tcPr>
            <w:tcW w:type="dxa" w:w="352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RF-DOC-001; RF-AST-001</w:t>
            </w:r>
          </w:p>
        </w:tc>
        <w:tc>
          <w:tcPr>
            <w:tcW w:type="dxa" w:w="3917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Diagrama general; especificación detallada pendiente por módulo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Continuidad y sincronización sin conexión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RF-PWA-001 a RF-PWA-003; RNF-CON-001</w:t>
            </w:r>
          </w:p>
        </w:tc>
        <w:tc>
          <w:tcPr>
            <w:tcW w:type="dxa" w:w="3917"/>
            <w:vAlign w:val="center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Diagrama general; especificación detallada pendiente por módulo</w:t>
            </w:r>
          </w:p>
        </w:tc>
      </w:tr>
      <w:tr>
        <w:tc>
          <w:tcPr>
            <w:tcW w:type="dxa" w:w="244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Asistencia</w:t>
            </w:r>
          </w:p>
        </w:tc>
        <w:tc>
          <w:tcPr>
            <w:tcW w:type="dxa" w:w="3528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RF-ASI-001 a RF-ASI-007</w:t>
            </w:r>
          </w:p>
        </w:tc>
        <w:tc>
          <w:tcPr>
            <w:tcW w:type="dxa" w:w="3917"/>
            <w:vAlign w:val="center"/>
            <w:shd w:fill="F0EAC8"/>
          </w:tcPr>
          <w:p>
            <w:pPr>
              <w:spacing w:after="0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Diagramas generales más casos detallados en ZA-CU-002 v1.2</w:t>
            </w:r>
          </w:p>
        </w:tc>
      </w:tr>
    </w:tbl>
    <w:p>
      <w:pPr>
        <w:spacing w:before="160"/>
      </w:pPr>
      <w:r>
        <w:t>Los diagramas usan perfiles como actores funcionales. La matriz de autorización se define en cada especificación. P-01 a P-14 mantienen el estado aprobado en el catálogo; cada decisión pendiente debe cerrarse antes de precisar el flujo afectado.</w:t>
      </w:r>
    </w:p>
    <w:p>
      <w:pPr>
        <w:pStyle w:val="Listaconvietas"/>
      </w:pPr>
      <w:r>
        <w:t>Fuente principal: CAT-REQ-001 v1.2, estado confirmed, aprobado por el tesista.</w:t>
      </w:r>
    </w:p>
    <w:p>
      <w:pPr>
        <w:pStyle w:val="Listaconvietas"/>
      </w:pPr>
      <w:r>
        <w:t>Fuente de contexto: alcance del proyecto v1.2 y propuestas de diagramas de 2026-09-28.</w:t>
      </w:r>
    </w:p>
    <w:p>
      <w:pPr>
        <w:pStyle w:val="Listaconvietas"/>
      </w:pPr>
      <w:r>
        <w:t>Estado documental: propuesta interna; no cambia requisitos, no publica ni aprueba decisiones organizacionales.</w:t>
      </w:r>
    </w:p>
    <w:sectPr w:rsidR="00F47597" w:rsidRPr="00A56C50" w:rsidSect="00034616">
      <w:headerReference w:type="default" r:id="rId9"/>
      <w:footerReference w:type="default" r:id="rId10"/>
      <w:pgSz w:w="11909" w:h="16834"/>
      <w:pgMar w:top="936" w:right="1008" w:bottom="864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1CC5" w14:textId="77777777" w:rsidR="00F47597" w:rsidRDefault="00F47597">
      <w:pPr>
        <w:spacing w:after="0" w:line="240" w:lineRule="auto"/>
      </w:pPr>
      <w:r>
        <w:separator/>
      </w:r>
    </w:p>
  </w:endnote>
  <w:endnote w:type="continuationSeparator" w:id="0">
    <w:p w14:paraId="564EFF48" w14:textId="77777777" w:rsidR="00F47597" w:rsidRDefault="00F47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CAAF" w14:textId="062CBE0E" w:rsidR="00872B37" w:rsidRPr="00A56C50" w:rsidRDefault="00A56C50" w:rsidP="00A56C50">
    <w:pPr>
      <w:pStyle w:val="Piedepgina"/>
      <w:pBdr>
        <w:top w:val="single" w:sz="8" w:space="4" w:color="AC6E40"/>
      </w:pBdr>
      <w:tabs>
        <w:tab w:val="left" w:pos="5465"/>
        <w:tab w:val="right" w:pos="9893"/>
      </w:tabs>
      <w:spacing w:before="80"/>
      <w:rPr>
        <w:lang w:val="es-EC"/>
      </w:rPr>
    </w:pPr>
    <w:r>
      <w:rPr>
        <w:color w:val="642138"/>
        <w:sz w:val="16"/>
      </w:rPr>
      <w:tab/>
    </w:r>
    <w:r>
      <w:rPr>
        <w:b/>
        <w:color w:val="4C5B4A"/>
        <w:sz w:val="16"/>
        <w:lang w:val="es-EC"/>
      </w:rPr>
      <w:t>Comité de mujeres indígenas “Transito Amaguaña” de la parroquia Zhud</w:t>
    </w:r>
    <w:r w:rsidRPr="00A56C50">
      <w:rPr>
        <w:color w:val="642138"/>
        <w:sz w:val="16"/>
        <w:lang w:val="es-EC"/>
      </w:rPr>
      <w:tab/>
    </w:r>
    <w:r w:rsidR="00000000" w:rsidRPr="00A56C50">
      <w:rPr>
        <w:color w:val="642138"/>
        <w:sz w:val="16"/>
        <w:lang w:val="es-EC"/>
      </w:rPr>
      <w:t xml:space="preserve">Página </w:t>
    </w:r>
    <w:r w:rsidR="00000000">
      <w:fldChar w:fldCharType="begin"/>
    </w:r>
    <w:r w:rsidR="00000000" w:rsidRPr="00A56C50">
      <w:rPr>
        <w:lang w:val="es-EC"/>
      </w:rPr>
      <w:instrText>PAGE</w:instrText>
    </w:r>
    <w:r w:rsidR="00000000">
      <w:fldChar w:fldCharType="separate"/>
    </w:r>
    <w:r w:rsidR="00DE1D4A" w:rsidRPr="00A56C50">
      <w:rPr>
        <w:noProof/>
        <w:lang w:val="es-EC"/>
      </w:rPr>
      <w:t>2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297D5" w14:textId="77777777" w:rsidR="00F47597" w:rsidRDefault="00F47597">
      <w:pPr>
        <w:spacing w:after="0" w:line="240" w:lineRule="auto"/>
      </w:pPr>
      <w:r>
        <w:separator/>
      </w:r>
    </w:p>
  </w:footnote>
  <w:footnote w:type="continuationSeparator" w:id="0">
    <w:p w14:paraId="4C16AD26" w14:textId="77777777" w:rsidR="00F47597" w:rsidRDefault="00F47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2194" w14:textId="77777777" w:rsidR="00872B37" w:rsidRDefault="00872B37">
    <w:pPr>
      <w:pStyle w:val="Encabezad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96"/>
      <w:gridCol w:w="8597"/>
    </w:tblGrid>
    <w:tr w:rsidR="00872B37" w:rsidRPr="00A56C50" w14:paraId="31FAD2BF" w14:textId="77777777" w:rsidTr="00A32810">
      <w:tc>
        <w:tcPr>
          <w:tcW w:w="1296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  <w:vAlign w:val="center"/>
        </w:tcPr>
        <w:p w14:paraId="6E51EC8D" w14:textId="47E5D197" w:rsidR="00872B37" w:rsidRDefault="00A32810"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438912" cy="43891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4389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97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</w:tcPr>
        <w:p w14:paraId="57ECC97E" w14:textId="6A4D970A" w:rsidR="00872B37" w:rsidRPr="00A56C50" w:rsidRDefault="00000000">
          <w:pPr>
            <w:spacing w:after="0"/>
            <w:jc w:val="right"/>
            <w:rPr>
              <w:lang w:val="es-EC"/>
            </w:rPr>
          </w:pPr>
          <w:r>
            <w:t>ZHUD ALELÍ  |  ZA-CU-003  |  DIAGRAMAS GENERALES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3884">
    <w:abstractNumId w:val="8"/>
  </w:num>
  <w:num w:numId="2" w16cid:durableId="1397586179">
    <w:abstractNumId w:val="6"/>
  </w:num>
  <w:num w:numId="3" w16cid:durableId="141511066">
    <w:abstractNumId w:val="5"/>
  </w:num>
  <w:num w:numId="4" w16cid:durableId="1209075834">
    <w:abstractNumId w:val="4"/>
  </w:num>
  <w:num w:numId="5" w16cid:durableId="776292030">
    <w:abstractNumId w:val="7"/>
  </w:num>
  <w:num w:numId="6" w16cid:durableId="1849557611">
    <w:abstractNumId w:val="3"/>
  </w:num>
  <w:num w:numId="7" w16cid:durableId="1583367723">
    <w:abstractNumId w:val="2"/>
  </w:num>
  <w:num w:numId="8" w16cid:durableId="1979525533">
    <w:abstractNumId w:val="1"/>
  </w:num>
  <w:num w:numId="9" w16cid:durableId="208714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A60"/>
    <w:rsid w:val="00872B37"/>
    <w:rsid w:val="00A32810"/>
    <w:rsid w:val="00A56C50"/>
    <w:rsid w:val="00AA1D8D"/>
    <w:rsid w:val="00B47730"/>
    <w:rsid w:val="00CB0664"/>
    <w:rsid w:val="00DE1D4A"/>
    <w:rsid w:val="00F4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8848DB"/>
  <w14:defaultImageDpi w14:val="300"/>
  <w15:docId w15:val="{C07A0781-5843-4CB4-8495-7640FB21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ebo Light" w:eastAsia="Heebo Light" w:hAnsi="Heebo Light"/>
      <w:color w:val="22222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64213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1579</Words>
  <Characters>8687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ZA-ALC-001 Alcance del módulo de acceso de usuarias y roles</vt:lpstr>
      <vt:lpstr/>
    </vt:vector>
  </TitlesOfParts>
  <Manager/>
  <Company/>
  <LinksUpToDate>false</LinksUpToDate>
  <CharactersWithSpaces>10246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ZA-CU-003 v1.0 — Diagramas generales por proceso</dc:title>
  <dc:subject>Fase 2 — Diagramas generales de casos de uso</dc:subject>
  <dc:creator>Franklin Acero; asistencia de redacción Codex</dc:creator>
  <cp:keywords>Zhud Alelí, requisitos, acceso, roles, alcance</cp:keywords>
  <dc:description>generated by python-docx</dc:description>
  <cp:lastModifiedBy>Franklin Acero Camas</cp:lastModifiedBy>
  <cp:revision>3</cp:revision>
  <dcterms:created xsi:type="dcterms:W3CDTF">2026-10-13T22:15:00Z</dcterms:created>
  <dcterms:modified xsi:type="dcterms:W3CDTF">2026-10-13T22:33:00Z</dcterms:modified>
  <cp:category/>
</cp:coreProperties>
</file>