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EA37" w14:textId="77777777" w:rsidR="00542F3F" w:rsidRDefault="00000000">
      <w:pPr>
        <w:spacing w:before="1300" w:after="360"/>
        <w:jc w:val="center"/>
      </w:pPr>
      <w:r>
        <w:rPr>
          <w:noProof/>
        </w:rPr>
        <w:drawing>
          <wp:inline distT="0" distB="0" distL="0" distR="0" wp14:anchorId="38C7003C" wp14:editId="4560DEAE">
            <wp:extent cx="2651760" cy="88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2D0" w14:textId="77777777" w:rsidR="00542F3F" w:rsidRPr="00BA6CCA" w:rsidRDefault="00000000">
      <w:pPr>
        <w:pStyle w:val="Ttulo"/>
        <w:spacing w:before="300"/>
        <w:jc w:val="center"/>
        <w:rPr>
          <w:lang w:val="es-EC"/>
        </w:rPr>
      </w:pPr>
      <w:r w:rsidRPr="00BA6CCA">
        <w:rPr>
          <w:lang w:val="es-EC"/>
        </w:rPr>
        <w:t>Diagramas generales de casos de uso por proceso</w:t>
      </w:r>
    </w:p>
    <w:p w14:paraId="0D024F72" w14:textId="77777777" w:rsidR="00542F3F" w:rsidRDefault="00000000">
      <w:pPr>
        <w:jc w:val="right"/>
      </w:pPr>
      <w:r>
        <w:rPr>
          <w:color w:val="642138"/>
          <w:sz w:val="18"/>
        </w:rPr>
        <w:t>Versión 1.1 · 13 de octubre de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45"/>
      </w:tblGrid>
      <w:tr w:rsidR="00542F3F" w14:paraId="2927D56D" w14:textId="77777777">
        <w:trPr>
          <w:jc w:val="center"/>
        </w:trPr>
        <w:tc>
          <w:tcPr>
            <w:tcW w:w="2448" w:type="dxa"/>
            <w:shd w:val="clear" w:color="auto" w:fill="642138"/>
            <w:vAlign w:val="center"/>
          </w:tcPr>
          <w:p w14:paraId="2CAE7FA3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Control documental</w:t>
            </w:r>
          </w:p>
        </w:tc>
        <w:tc>
          <w:tcPr>
            <w:tcW w:w="7445" w:type="dxa"/>
            <w:shd w:val="clear" w:color="auto" w:fill="642138"/>
            <w:vAlign w:val="center"/>
          </w:tcPr>
          <w:p w14:paraId="3D636509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Valor</w:t>
            </w:r>
          </w:p>
        </w:tc>
      </w:tr>
      <w:tr w:rsidR="00542F3F" w14:paraId="1AD1287B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78337130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Código</w:t>
            </w:r>
          </w:p>
        </w:tc>
        <w:tc>
          <w:tcPr>
            <w:tcW w:w="7445" w:type="dxa"/>
            <w:shd w:val="clear" w:color="auto" w:fill="F0EAC8"/>
            <w:vAlign w:val="center"/>
          </w:tcPr>
          <w:p w14:paraId="688A4049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ZA-DG-001</w:t>
            </w:r>
          </w:p>
        </w:tc>
      </w:tr>
      <w:tr w:rsidR="00542F3F" w14:paraId="340440E9" w14:textId="77777777">
        <w:trPr>
          <w:jc w:val="center"/>
        </w:trPr>
        <w:tc>
          <w:tcPr>
            <w:tcW w:w="2448" w:type="dxa"/>
            <w:vAlign w:val="center"/>
          </w:tcPr>
          <w:p w14:paraId="650AC91A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Módulo</w:t>
            </w:r>
          </w:p>
        </w:tc>
        <w:tc>
          <w:tcPr>
            <w:tcW w:w="7445" w:type="dxa"/>
            <w:vAlign w:val="center"/>
          </w:tcPr>
          <w:p w14:paraId="69D1E327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Transversal — procesos del sistema</w:t>
            </w:r>
          </w:p>
        </w:tc>
      </w:tr>
      <w:tr w:rsidR="00542F3F" w:rsidRPr="00BA6CCA" w14:paraId="1B098953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223AFA25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Fase / entregable</w:t>
            </w:r>
          </w:p>
        </w:tc>
        <w:tc>
          <w:tcPr>
            <w:tcW w:w="7445" w:type="dxa"/>
            <w:shd w:val="clear" w:color="auto" w:fill="F0EAC8"/>
            <w:vAlign w:val="center"/>
          </w:tcPr>
          <w:p w14:paraId="4B9B2C91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Fase 2 — Diagramas generales de casos de uso</w:t>
            </w:r>
          </w:p>
        </w:tc>
      </w:tr>
      <w:tr w:rsidR="00542F3F" w14:paraId="66721AB6" w14:textId="77777777">
        <w:trPr>
          <w:jc w:val="center"/>
        </w:trPr>
        <w:tc>
          <w:tcPr>
            <w:tcW w:w="2448" w:type="dxa"/>
            <w:vAlign w:val="center"/>
          </w:tcPr>
          <w:p w14:paraId="57E5F60A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Versión / fecha</w:t>
            </w:r>
          </w:p>
        </w:tc>
        <w:tc>
          <w:tcPr>
            <w:tcW w:w="7445" w:type="dxa"/>
            <w:vAlign w:val="center"/>
          </w:tcPr>
          <w:p w14:paraId="2C1CC303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v1.0 / 13 de octubre de 2026</w:t>
            </w:r>
          </w:p>
        </w:tc>
      </w:tr>
      <w:tr w:rsidR="00542F3F" w:rsidRPr="00BA6CCA" w14:paraId="31F9564F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4277A30A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Autor / analista</w:t>
            </w:r>
          </w:p>
        </w:tc>
        <w:tc>
          <w:tcPr>
            <w:tcW w:w="7445" w:type="dxa"/>
            <w:shd w:val="clear" w:color="auto" w:fill="F0EAC8"/>
            <w:vAlign w:val="center"/>
          </w:tcPr>
          <w:p w14:paraId="02B69832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Franklin Acero / Codex (asistencia de redacción)</w:t>
            </w:r>
          </w:p>
        </w:tc>
      </w:tr>
      <w:tr w:rsidR="00542F3F" w:rsidRPr="00BA6CCA" w14:paraId="1D4A0FCA" w14:textId="77777777">
        <w:trPr>
          <w:jc w:val="center"/>
        </w:trPr>
        <w:tc>
          <w:tcPr>
            <w:tcW w:w="2448" w:type="dxa"/>
            <w:vAlign w:val="center"/>
          </w:tcPr>
          <w:p w14:paraId="4570EB9E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Estado</w:t>
            </w:r>
          </w:p>
        </w:tc>
        <w:tc>
          <w:tcPr>
            <w:tcW w:w="7445" w:type="dxa"/>
            <w:vAlign w:val="center"/>
          </w:tcPr>
          <w:p w14:paraId="180BF1DB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Propuesta interna pendiente de revisión; no publicada</w:t>
            </w:r>
          </w:p>
        </w:tc>
      </w:tr>
    </w:tbl>
    <w:p w14:paraId="3D4C78D2" w14:textId="77777777" w:rsidR="00542F3F" w:rsidRDefault="00000000">
      <w:pPr>
        <w:pStyle w:val="Ttulo2"/>
      </w:pPr>
      <w:r>
        <w:t>Historial de revisiones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961"/>
        <w:gridCol w:w="1961"/>
        <w:gridCol w:w="4226"/>
        <w:gridCol w:w="1961"/>
      </w:tblGrid>
      <w:tr w:rsidR="00542F3F" w14:paraId="54F4967D" w14:textId="77777777" w:rsidTr="00BA6CCA">
        <w:trPr>
          <w:jc w:val="center"/>
        </w:trPr>
        <w:tc>
          <w:tcPr>
            <w:tcW w:w="970" w:type="pct"/>
            <w:shd w:val="clear" w:color="auto" w:fill="642138"/>
            <w:vAlign w:val="center"/>
          </w:tcPr>
          <w:p w14:paraId="39C3F239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Versión</w:t>
            </w:r>
          </w:p>
        </w:tc>
        <w:tc>
          <w:tcPr>
            <w:tcW w:w="970" w:type="pct"/>
            <w:shd w:val="clear" w:color="auto" w:fill="642138"/>
            <w:vAlign w:val="center"/>
          </w:tcPr>
          <w:p w14:paraId="2D3037B2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Fecha</w:t>
            </w:r>
          </w:p>
        </w:tc>
        <w:tc>
          <w:tcPr>
            <w:tcW w:w="2090" w:type="pct"/>
            <w:shd w:val="clear" w:color="auto" w:fill="642138"/>
            <w:vAlign w:val="center"/>
          </w:tcPr>
          <w:p w14:paraId="2DD569FA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Descripción del cambio</w:t>
            </w:r>
          </w:p>
        </w:tc>
        <w:tc>
          <w:tcPr>
            <w:tcW w:w="970" w:type="pct"/>
            <w:shd w:val="clear" w:color="auto" w:fill="642138"/>
            <w:vAlign w:val="center"/>
          </w:tcPr>
          <w:p w14:paraId="6F4F6C24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Responsable</w:t>
            </w:r>
          </w:p>
        </w:tc>
      </w:tr>
      <w:tr w:rsidR="00542F3F" w:rsidRPr="00BA6CCA" w14:paraId="5E515980" w14:textId="77777777" w:rsidTr="00BA6CCA">
        <w:trPr>
          <w:jc w:val="center"/>
        </w:trPr>
        <w:tc>
          <w:tcPr>
            <w:tcW w:w="970" w:type="pct"/>
            <w:shd w:val="clear" w:color="auto" w:fill="F0EAC8"/>
            <w:vAlign w:val="center"/>
          </w:tcPr>
          <w:p w14:paraId="463E2B87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v1.0</w:t>
            </w:r>
          </w:p>
        </w:tc>
        <w:tc>
          <w:tcPr>
            <w:tcW w:w="970" w:type="pct"/>
            <w:shd w:val="clear" w:color="auto" w:fill="F0EAC8"/>
            <w:vAlign w:val="center"/>
          </w:tcPr>
          <w:p w14:paraId="5A18A605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13-10-2026</w:t>
            </w:r>
          </w:p>
        </w:tc>
        <w:tc>
          <w:tcPr>
            <w:tcW w:w="2090" w:type="pct"/>
            <w:shd w:val="clear" w:color="auto" w:fill="F0EAC8"/>
            <w:vAlign w:val="center"/>
          </w:tcPr>
          <w:p w14:paraId="7EA5EEB2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Catálogo de ocho diagramas nuevos por proceso, trazabilidad RF y dos diagramas generales de asistencia reutilizados de ZA-CU-002 v1.2.</w:t>
            </w:r>
          </w:p>
        </w:tc>
        <w:tc>
          <w:tcPr>
            <w:tcW w:w="970" w:type="pct"/>
            <w:shd w:val="clear" w:color="auto" w:fill="F0EAC8"/>
            <w:vAlign w:val="center"/>
          </w:tcPr>
          <w:p w14:paraId="3EC31D8C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Franklin Acero; redacción asistida por Codex</w:t>
            </w:r>
          </w:p>
        </w:tc>
      </w:tr>
      <w:tr w:rsidR="00542F3F" w:rsidRPr="00BA6CCA" w14:paraId="2A10EEDA" w14:textId="77777777" w:rsidTr="00BA6CCA">
        <w:trPr>
          <w:jc w:val="center"/>
        </w:trPr>
        <w:tc>
          <w:tcPr>
            <w:tcW w:w="970" w:type="pct"/>
          </w:tcPr>
          <w:p w14:paraId="71E374F0" w14:textId="77777777" w:rsidR="00542F3F" w:rsidRDefault="00000000">
            <w:r>
              <w:t>v1.1</w:t>
            </w:r>
          </w:p>
        </w:tc>
        <w:tc>
          <w:tcPr>
            <w:tcW w:w="970" w:type="pct"/>
          </w:tcPr>
          <w:p w14:paraId="3E0A1B8A" w14:textId="77777777" w:rsidR="00542F3F" w:rsidRDefault="00000000">
            <w:r>
              <w:t>2026-10-13</w:t>
            </w:r>
          </w:p>
        </w:tc>
        <w:tc>
          <w:tcPr>
            <w:tcW w:w="2090" w:type="pct"/>
          </w:tcPr>
          <w:p w14:paraId="24CF5CD1" w14:textId="77777777" w:rsidR="00542F3F" w:rsidRPr="00BA6CCA" w:rsidRDefault="00000000">
            <w:pPr>
              <w:rPr>
                <w:lang w:val="es-EC"/>
              </w:rPr>
            </w:pPr>
            <w:r w:rsidRPr="00BA6CCA">
              <w:rPr>
                <w:lang w:val="es-EC"/>
              </w:rPr>
              <w:t>Se corrige la clase del identificador documental de ZA-DG-001 a ZA-DG-001.</w:t>
            </w:r>
          </w:p>
        </w:tc>
        <w:tc>
          <w:tcPr>
            <w:tcW w:w="970" w:type="pct"/>
          </w:tcPr>
          <w:p w14:paraId="4228960B" w14:textId="77777777" w:rsidR="00542F3F" w:rsidRPr="00BA6CCA" w:rsidRDefault="00000000">
            <w:pPr>
              <w:rPr>
                <w:lang w:val="es-EC"/>
              </w:rPr>
            </w:pPr>
            <w:r w:rsidRPr="00BA6CCA">
              <w:rPr>
                <w:lang w:val="es-EC"/>
              </w:rPr>
              <w:t>Franklin Acero; redacción asistida por Codex</w:t>
            </w:r>
          </w:p>
        </w:tc>
      </w:tr>
    </w:tbl>
    <w:p w14:paraId="523A1DC4" w14:textId="047EAE35" w:rsidR="00542F3F" w:rsidRPr="00BA6CCA" w:rsidRDefault="00000000">
      <w:pPr>
        <w:rPr>
          <w:lang w:val="es-EC"/>
        </w:rPr>
      </w:pPr>
      <w:r w:rsidRPr="00BA6CCA">
        <w:rPr>
          <w:lang w:val="es-EC"/>
        </w:rPr>
        <w:t>Este catálogo presenta diagramas UML generales por proceso, trazados a los requisitos confirmados de CAT-REQ-001 v1.2. No reemplaza las especificaciones detalladas ni agrega funcionalidades. La asistencia reutiliza sus dos diagramas generales vigentes.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573"/>
      </w:tblGrid>
      <w:tr w:rsidR="00542F3F" w14:paraId="170FD6D6" w14:textId="77777777">
        <w:trPr>
          <w:jc w:val="center"/>
        </w:trPr>
        <w:tc>
          <w:tcPr>
            <w:tcW w:w="4320" w:type="dxa"/>
            <w:shd w:val="clear" w:color="auto" w:fill="642138"/>
            <w:vAlign w:val="center"/>
          </w:tcPr>
          <w:p w14:paraId="1A94B83B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Proceso</w:t>
            </w:r>
          </w:p>
        </w:tc>
        <w:tc>
          <w:tcPr>
            <w:tcW w:w="5573" w:type="dxa"/>
            <w:shd w:val="clear" w:color="auto" w:fill="642138"/>
            <w:vAlign w:val="center"/>
          </w:tcPr>
          <w:p w14:paraId="566C629C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Requisitos representados</w:t>
            </w:r>
          </w:p>
        </w:tc>
      </w:tr>
      <w:tr w:rsidR="00542F3F" w14:paraId="59B97071" w14:textId="77777777">
        <w:trPr>
          <w:jc w:val="center"/>
        </w:trPr>
        <w:tc>
          <w:tcPr>
            <w:tcW w:w="4320" w:type="dxa"/>
            <w:shd w:val="clear" w:color="auto" w:fill="F0EAC8"/>
            <w:vAlign w:val="center"/>
          </w:tcPr>
          <w:p w14:paraId="55B19340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Acceso, membresías y permisos</w:t>
            </w:r>
          </w:p>
        </w:tc>
        <w:tc>
          <w:tcPr>
            <w:tcW w:w="5573" w:type="dxa"/>
            <w:shd w:val="clear" w:color="auto" w:fill="F0EAC8"/>
            <w:vAlign w:val="center"/>
          </w:tcPr>
          <w:p w14:paraId="186AF158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RF-ACC-001 a RF-ACC-004</w:t>
            </w:r>
          </w:p>
        </w:tc>
      </w:tr>
      <w:tr w:rsidR="00542F3F" w:rsidRPr="00BA6CCA" w14:paraId="7C9B7DD3" w14:textId="77777777">
        <w:trPr>
          <w:jc w:val="center"/>
        </w:trPr>
        <w:tc>
          <w:tcPr>
            <w:tcW w:w="4320" w:type="dxa"/>
            <w:vAlign w:val="center"/>
          </w:tcPr>
          <w:p w14:paraId="3A1B9716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Planificación de actividades y encargos</w:t>
            </w:r>
          </w:p>
        </w:tc>
        <w:tc>
          <w:tcPr>
            <w:tcW w:w="5573" w:type="dxa"/>
            <w:vAlign w:val="center"/>
          </w:tcPr>
          <w:p w14:paraId="4F800062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RF-PLA-001 a RF-PLA-005</w:t>
            </w:r>
          </w:p>
        </w:tc>
      </w:tr>
      <w:tr w:rsidR="00542F3F" w:rsidRPr="00BA6CCA" w14:paraId="5D888353" w14:textId="77777777">
        <w:trPr>
          <w:jc w:val="center"/>
        </w:trPr>
        <w:tc>
          <w:tcPr>
            <w:tcW w:w="4320" w:type="dxa"/>
            <w:shd w:val="clear" w:color="auto" w:fill="F0EAC8"/>
            <w:vAlign w:val="center"/>
          </w:tcPr>
          <w:p w14:paraId="7436F9C4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Producción y trazabilidad</w:t>
            </w:r>
          </w:p>
        </w:tc>
        <w:tc>
          <w:tcPr>
            <w:tcW w:w="5573" w:type="dxa"/>
            <w:shd w:val="clear" w:color="auto" w:fill="F0EAC8"/>
            <w:vAlign w:val="center"/>
          </w:tcPr>
          <w:p w14:paraId="7C18C69E" w14:textId="77777777" w:rsidR="00542F3F" w:rsidRPr="00BA6CCA" w:rsidRDefault="00000000">
            <w:pPr>
              <w:spacing w:after="0"/>
              <w:rPr>
                <w:lang w:val="it-IT"/>
              </w:rPr>
            </w:pPr>
            <w:r w:rsidRPr="00BA6CCA">
              <w:rPr>
                <w:color w:val="292929"/>
                <w:sz w:val="17"/>
                <w:lang w:val="it-IT"/>
              </w:rPr>
              <w:t>RF-CAT-001; RF-INV-001; RF-TRA-001 a RF-TRA-005</w:t>
            </w:r>
          </w:p>
        </w:tc>
      </w:tr>
      <w:tr w:rsidR="00542F3F" w14:paraId="1D077DCE" w14:textId="77777777">
        <w:trPr>
          <w:jc w:val="center"/>
        </w:trPr>
        <w:tc>
          <w:tcPr>
            <w:tcW w:w="4320" w:type="dxa"/>
            <w:vAlign w:val="center"/>
          </w:tcPr>
          <w:p w14:paraId="5922DE98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Inventario, entregas y conciliación física</w:t>
            </w:r>
          </w:p>
        </w:tc>
        <w:tc>
          <w:tcPr>
            <w:tcW w:w="5573" w:type="dxa"/>
            <w:vAlign w:val="center"/>
          </w:tcPr>
          <w:p w14:paraId="29C24616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RF-INV-002 a RF-INV-006</w:t>
            </w:r>
          </w:p>
        </w:tc>
      </w:tr>
      <w:tr w:rsidR="00542F3F" w14:paraId="5DBC6B25" w14:textId="77777777">
        <w:trPr>
          <w:jc w:val="center"/>
        </w:trPr>
        <w:tc>
          <w:tcPr>
            <w:tcW w:w="4320" w:type="dxa"/>
            <w:shd w:val="clear" w:color="auto" w:fill="F0EAC8"/>
            <w:vAlign w:val="center"/>
          </w:tcPr>
          <w:p w14:paraId="43720A13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Ventas, tesorería y rendición</w:t>
            </w:r>
          </w:p>
        </w:tc>
        <w:tc>
          <w:tcPr>
            <w:tcW w:w="5573" w:type="dxa"/>
            <w:shd w:val="clear" w:color="auto" w:fill="F0EAC8"/>
            <w:vAlign w:val="center"/>
          </w:tcPr>
          <w:p w14:paraId="08F94443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RF-VEN-001 a RF-VEN-009; RF-GAS-001/002; RF-CXC-001 a RF-CXC-003</w:t>
            </w:r>
          </w:p>
        </w:tc>
      </w:tr>
      <w:tr w:rsidR="00542F3F" w14:paraId="5981DAA2" w14:textId="77777777">
        <w:trPr>
          <w:jc w:val="center"/>
        </w:trPr>
        <w:tc>
          <w:tcPr>
            <w:tcW w:w="4320" w:type="dxa"/>
            <w:vAlign w:val="center"/>
          </w:tcPr>
          <w:p w14:paraId="20675C1C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Reportes, recordatorios y sitio público</w:t>
            </w:r>
          </w:p>
        </w:tc>
        <w:tc>
          <w:tcPr>
            <w:tcW w:w="5573" w:type="dxa"/>
            <w:vAlign w:val="center"/>
          </w:tcPr>
          <w:p w14:paraId="384566B4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RF-REP-001 a RF-REP-006; RF-NOT-001/002; RF-PUB-001 a RF-PUB-003</w:t>
            </w:r>
          </w:p>
        </w:tc>
      </w:tr>
      <w:tr w:rsidR="00542F3F" w14:paraId="531227E8" w14:textId="77777777">
        <w:trPr>
          <w:jc w:val="center"/>
        </w:trPr>
        <w:tc>
          <w:tcPr>
            <w:tcW w:w="4320" w:type="dxa"/>
            <w:shd w:val="clear" w:color="auto" w:fill="F0EAC8"/>
            <w:vAlign w:val="center"/>
          </w:tcPr>
          <w:p w14:paraId="65AD717C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Gestión documental y activos</w:t>
            </w:r>
          </w:p>
        </w:tc>
        <w:tc>
          <w:tcPr>
            <w:tcW w:w="5573" w:type="dxa"/>
            <w:shd w:val="clear" w:color="auto" w:fill="F0EAC8"/>
            <w:vAlign w:val="center"/>
          </w:tcPr>
          <w:p w14:paraId="49E78CD2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RF-DOC-001; RF-AST-001</w:t>
            </w:r>
          </w:p>
        </w:tc>
      </w:tr>
      <w:tr w:rsidR="00542F3F" w14:paraId="2906E991" w14:textId="77777777">
        <w:trPr>
          <w:jc w:val="center"/>
        </w:trPr>
        <w:tc>
          <w:tcPr>
            <w:tcW w:w="4320" w:type="dxa"/>
            <w:vAlign w:val="center"/>
          </w:tcPr>
          <w:p w14:paraId="7A91E464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Continuidad y sincronización sin conexión</w:t>
            </w:r>
          </w:p>
        </w:tc>
        <w:tc>
          <w:tcPr>
            <w:tcW w:w="5573" w:type="dxa"/>
            <w:vAlign w:val="center"/>
          </w:tcPr>
          <w:p w14:paraId="49F3CCDC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RF-PWA-001 a RF-PWA-003; RNF-CON-001</w:t>
            </w:r>
          </w:p>
        </w:tc>
      </w:tr>
      <w:tr w:rsidR="00542F3F" w14:paraId="7017AD0D" w14:textId="77777777">
        <w:trPr>
          <w:jc w:val="center"/>
        </w:trPr>
        <w:tc>
          <w:tcPr>
            <w:tcW w:w="4320" w:type="dxa"/>
            <w:shd w:val="clear" w:color="auto" w:fill="F0EAC8"/>
            <w:vAlign w:val="center"/>
          </w:tcPr>
          <w:p w14:paraId="093B2AC2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Asistencia: captura/participación</w:t>
            </w:r>
          </w:p>
        </w:tc>
        <w:tc>
          <w:tcPr>
            <w:tcW w:w="5573" w:type="dxa"/>
            <w:shd w:val="clear" w:color="auto" w:fill="F0EAC8"/>
            <w:vAlign w:val="center"/>
          </w:tcPr>
          <w:p w14:paraId="3DE4081A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RF-ASI-001 a RF-ASI-005; RF-ASI-007</w:t>
            </w:r>
          </w:p>
        </w:tc>
      </w:tr>
      <w:tr w:rsidR="00542F3F" w14:paraId="4C768782" w14:textId="77777777">
        <w:trPr>
          <w:jc w:val="center"/>
        </w:trPr>
        <w:tc>
          <w:tcPr>
            <w:tcW w:w="4320" w:type="dxa"/>
            <w:vAlign w:val="center"/>
          </w:tcPr>
          <w:p w14:paraId="5756C33B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Asistencia: faltas/multas</w:t>
            </w:r>
          </w:p>
        </w:tc>
        <w:tc>
          <w:tcPr>
            <w:tcW w:w="5573" w:type="dxa"/>
            <w:vAlign w:val="center"/>
          </w:tcPr>
          <w:p w14:paraId="368CA3D9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RF-ASI-006</w:t>
            </w:r>
          </w:p>
        </w:tc>
      </w:tr>
    </w:tbl>
    <w:p w14:paraId="08C7DF97" w14:textId="40544D19" w:rsidR="00542F3F" w:rsidRPr="00BA6CCA" w:rsidRDefault="00000000" w:rsidP="00BA6CCA">
      <w:pPr>
        <w:rPr>
          <w:lang w:val="es-EC"/>
        </w:rPr>
      </w:pPr>
      <w:r w:rsidRPr="00BA6CCA">
        <w:rPr>
          <w:lang w:val="es-EC"/>
        </w:rPr>
        <w:br w:type="page"/>
      </w:r>
      <w:r w:rsidRPr="00BA6CCA">
        <w:rPr>
          <w:lang w:val="es-EC"/>
        </w:rPr>
        <w:lastRenderedPageBreak/>
        <w:t>ZA-DG-01 — Acceso, membresías y permisos</w:t>
      </w:r>
    </w:p>
    <w:p w14:paraId="76D951A2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RF-ACC-001 a RF-ACC-004</w:t>
      </w:r>
      <w:r>
        <w:rPr>
          <w:noProof/>
        </w:rPr>
        <w:drawing>
          <wp:inline distT="0" distB="0" distL="0" distR="0" wp14:anchorId="304B8DBB" wp14:editId="5D891493">
            <wp:extent cx="5897880" cy="41905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1-acceso-membresias-y-permis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B362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Los permisos organizacionales se asignan por operación; el soporte técnico no adquiere autoridad de negocio.</w:t>
      </w:r>
    </w:p>
    <w:p w14:paraId="30777013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71134897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ZA-DG-02 — Planificación de actividades y encargos</w:t>
      </w:r>
    </w:p>
    <w:p w14:paraId="0BD4B1D5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RF-PLA-001 a RF-PLA-005</w:t>
      </w:r>
      <w:r>
        <w:rPr>
          <w:noProof/>
        </w:rPr>
        <w:drawing>
          <wp:inline distT="0" distB="0" distL="0" distR="0" wp14:anchorId="6EE73CD7" wp14:editId="38160475">
            <wp:extent cx="5897880" cy="4764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2-planificacion-de-actividades-y-encar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FE49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La planificación no crea lotes ni existencias; los encargos conservan aceptación, cambios y evidencia de cierre.</w:t>
      </w:r>
    </w:p>
    <w:p w14:paraId="7C46226A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29A32BEE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ZA-DG-03 — Producción y trazabilidad</w:t>
      </w:r>
    </w:p>
    <w:p w14:paraId="73D900D5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RF-CAT-001; RF-INV-001; RF-TRA-001 a RF-TRA-005</w:t>
      </w:r>
      <w:r>
        <w:rPr>
          <w:noProof/>
        </w:rPr>
        <w:drawing>
          <wp:inline distT="0" distB="0" distL="0" distR="0" wp14:anchorId="3FB5DC30" wp14:editId="3ECCF58E">
            <wp:extent cx="5897880" cy="4764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3-produccion-y-trazabil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CE22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El agotamiento de stock no cierra por sí solo un lote. Solo una mezcla física crea un lote derivado.</w:t>
      </w:r>
    </w:p>
    <w:p w14:paraId="4B4DD7C6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045BB694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ZA-DG-04 — Inventario, entregas y conciliación física</w:t>
      </w:r>
    </w:p>
    <w:p w14:paraId="4D77F19B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RF-INV-002 a RF-INV-006</w:t>
      </w:r>
      <w:r>
        <w:rPr>
          <w:noProof/>
        </w:rPr>
        <w:drawing>
          <wp:inline distT="0" distB="0" distL="0" distR="0" wp14:anchorId="57F51370" wp14:editId="6FF79B22">
            <wp:extent cx="5897880" cy="47648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4-inventario-entregas-y-conciliacion-fis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6BC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Las existencias se derivan de movimientos. Custodia individual, propiedad y deuda monetaria se mantienen diferenciadas.</w:t>
      </w:r>
    </w:p>
    <w:p w14:paraId="7FAF7273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08C6A2E9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ZA-DG-05 — Ventas, tesorería y rendición</w:t>
      </w:r>
    </w:p>
    <w:p w14:paraId="4764854F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RF-VEN-001 a RF-VEN-009; RF-GAS-001/002; RF-CXC-001 a RF-CXC-003</w:t>
      </w:r>
      <w:r>
        <w:rPr>
          <w:noProof/>
        </w:rPr>
        <w:drawing>
          <wp:inline distT="0" distB="0" distL="0" distR="0" wp14:anchorId="09075354" wp14:editId="7914673F">
            <wp:extent cx="5897880" cy="47648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5-ventas-tesoreria-y-rendi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F82B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Los precios, saldos, gastos y comisiones conservan sus bases separadas. Los importes no se distribuyen mientras falten reglas aprobadas.</w:t>
      </w:r>
    </w:p>
    <w:p w14:paraId="1AEF8CF9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72FFEFF7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ZA-DG-06 — Reportes, recordatorios y sitio público</w:t>
      </w:r>
    </w:p>
    <w:p w14:paraId="5FA5C9D2" w14:textId="77777777" w:rsidR="00542F3F" w:rsidRDefault="00000000">
      <w:pPr>
        <w:spacing w:after="60"/>
        <w:jc w:val="center"/>
      </w:pPr>
      <w:r>
        <w:t>Requisitos representados: RF-REP-001 a RF-REP-006; RF-NOT-001/002; RF-PUB-001 a RF-PUB-003</w:t>
      </w:r>
      <w:r>
        <w:rPr>
          <w:noProof/>
        </w:rPr>
        <w:drawing>
          <wp:inline distT="0" distB="0" distL="0" distR="0" wp14:anchorId="1EC9E2C3" wp14:editId="420D0484">
            <wp:extent cx="5897880" cy="47648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6-reportes-recordatorios-y-sitio-públ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5720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Publicadora autorizada representa un permiso, no un rol adicional. El contenido público debe estar aprobado y no revela datos internos.</w:t>
      </w:r>
    </w:p>
    <w:p w14:paraId="03E75EAA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5E2752EF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ZA-DG-07 — Gestión documental y activos</w:t>
      </w:r>
    </w:p>
    <w:p w14:paraId="25A576FD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RF-DOC-001; RF-AST-001</w:t>
      </w:r>
      <w:r>
        <w:rPr>
          <w:noProof/>
        </w:rPr>
        <w:drawing>
          <wp:inline distT="0" distB="0" distL="0" distR="0" wp14:anchorId="08732635" wp14:editId="448D6218">
            <wp:extent cx="5897880" cy="36163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7-gestion-documental-y-activ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8B6B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El acceso, los tipos documentales, la conservación y los metadatos aún requieren definición antes de implementar datos sensibles.</w:t>
      </w:r>
    </w:p>
    <w:p w14:paraId="433B7AF6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5BE90934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ZA-DG-08 — Continuidad y sincronización sin conexión</w:t>
      </w:r>
    </w:p>
    <w:p w14:paraId="161307EE" w14:textId="77777777" w:rsidR="00542F3F" w:rsidRPr="00BA6CCA" w:rsidRDefault="00000000">
      <w:pPr>
        <w:spacing w:after="60"/>
        <w:jc w:val="center"/>
        <w:rPr>
          <w:lang w:val="es-EC"/>
        </w:rPr>
      </w:pPr>
      <w:r w:rsidRPr="00BA6CCA">
        <w:rPr>
          <w:lang w:val="es-EC"/>
        </w:rPr>
        <w:t>Requisitos representados: RF-PWA-001 a RF-PWA-003; RNF-CON-001</w:t>
      </w:r>
      <w:r>
        <w:rPr>
          <w:noProof/>
        </w:rPr>
        <w:drawing>
          <wp:inline distT="0" distB="0" distL="0" distR="0" wp14:anchorId="7EF91E50" wp14:editId="360CDCF9">
            <wp:extent cx="5897880" cy="36163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8-continuidad-y-sincronizacion-sin-conex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E87C" w14:textId="77777777" w:rsidR="00542F3F" w:rsidRPr="00BA6CCA" w:rsidRDefault="00000000">
      <w:pPr>
        <w:spacing w:before="120"/>
        <w:rPr>
          <w:lang w:val="es-EC"/>
        </w:rPr>
      </w:pPr>
      <w:r w:rsidRPr="00BA6CCA">
        <w:rPr>
          <w:lang w:val="es-EC"/>
        </w:rPr>
        <w:t>La sincronización revalida sesión, permisos y reglas en servidor; un guardado local no se muestra como aceptación remota.</w:t>
      </w:r>
    </w:p>
    <w:p w14:paraId="439AD1A3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256925F8" w14:textId="77777777" w:rsidR="00542F3F" w:rsidRPr="00BA6CCA" w:rsidRDefault="00000000">
      <w:pPr>
        <w:pStyle w:val="Ttulo1"/>
        <w:rPr>
          <w:lang w:val="es-EC"/>
        </w:rPr>
      </w:pPr>
      <w:r w:rsidRPr="00BA6CCA">
        <w:rPr>
          <w:lang w:val="es-EC"/>
        </w:rPr>
        <w:lastRenderedPageBreak/>
        <w:t>Asistencia: captura, consulta y participación</w:t>
      </w:r>
    </w:p>
    <w:p w14:paraId="4DE26712" w14:textId="77777777" w:rsidR="00542F3F" w:rsidRPr="00BA6CCA" w:rsidRDefault="00000000">
      <w:pPr>
        <w:jc w:val="center"/>
        <w:rPr>
          <w:lang w:val="es-EC"/>
        </w:rPr>
      </w:pPr>
      <w:r w:rsidRPr="00BA6CCA">
        <w:rPr>
          <w:lang w:val="es-EC"/>
        </w:rPr>
        <w:t>Requisitos representados: RF-ASI-001 a RF-ASI-005; RF-ASI-007</w:t>
      </w:r>
      <w:r>
        <w:rPr>
          <w:noProof/>
        </w:rPr>
        <w:drawing>
          <wp:inline distT="0" distB="0" distL="0" distR="0" wp14:anchorId="26860451" wp14:editId="7E605251">
            <wp:extent cx="5897880" cy="33999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ASI-diagrama-registro-consul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FE6D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t>Diagrama general de alcance reutilizado de ZA-CU-002 v1.2.</w:t>
      </w:r>
    </w:p>
    <w:p w14:paraId="79CB46C1" w14:textId="1A26ED05" w:rsidR="00542F3F" w:rsidRPr="00BA6CCA" w:rsidRDefault="00000000" w:rsidP="00BA6CCA">
      <w:pPr>
        <w:rPr>
          <w:lang w:val="es-EC"/>
        </w:rPr>
      </w:pPr>
      <w:r w:rsidRPr="00BA6CCA">
        <w:rPr>
          <w:lang w:val="es-EC"/>
        </w:rPr>
        <w:t>Asistencia: faltas y multas</w:t>
      </w:r>
    </w:p>
    <w:p w14:paraId="06665706" w14:textId="77777777" w:rsidR="00542F3F" w:rsidRPr="00BA6CCA" w:rsidRDefault="00000000">
      <w:pPr>
        <w:jc w:val="center"/>
        <w:rPr>
          <w:lang w:val="es-EC"/>
        </w:rPr>
      </w:pPr>
      <w:r w:rsidRPr="00BA6CCA">
        <w:rPr>
          <w:lang w:val="es-EC"/>
        </w:rPr>
        <w:t>Requisitos representados: RF-ASI-006</w:t>
      </w:r>
      <w:r>
        <w:rPr>
          <w:noProof/>
        </w:rPr>
        <w:drawing>
          <wp:inline distT="0" distB="0" distL="0" distR="0" wp14:anchorId="5042E4C9" wp14:editId="314FDA7F">
            <wp:extent cx="5897880" cy="2844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ASI-diagrama-faltas-mul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2CDD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t>La falta se genera al cierre, se admite justificativo hasta tres días hábiles y la Tesorera valida antes de aplicar una multa; los detalles de P-03 siguen abiertos.</w:t>
      </w:r>
    </w:p>
    <w:p w14:paraId="7036F026" w14:textId="77777777" w:rsidR="00542F3F" w:rsidRPr="00BA6CCA" w:rsidRDefault="00000000">
      <w:pPr>
        <w:rPr>
          <w:lang w:val="es-EC"/>
        </w:rPr>
      </w:pPr>
      <w:r w:rsidRPr="00BA6CCA">
        <w:rPr>
          <w:lang w:val="es-EC"/>
        </w:rPr>
        <w:br w:type="page"/>
      </w:r>
    </w:p>
    <w:p w14:paraId="06A7E828" w14:textId="77777777" w:rsidR="00542F3F" w:rsidRDefault="00000000">
      <w:pPr>
        <w:pStyle w:val="Ttulo1"/>
      </w:pPr>
      <w:r>
        <w:lastRenderedPageBreak/>
        <w:t>Trazabilidad y límites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528"/>
        <w:gridCol w:w="3917"/>
      </w:tblGrid>
      <w:tr w:rsidR="00542F3F" w14:paraId="2F63ECDE" w14:textId="77777777">
        <w:trPr>
          <w:jc w:val="center"/>
        </w:trPr>
        <w:tc>
          <w:tcPr>
            <w:tcW w:w="2448" w:type="dxa"/>
            <w:shd w:val="clear" w:color="auto" w:fill="642138"/>
            <w:vAlign w:val="center"/>
          </w:tcPr>
          <w:p w14:paraId="7281EDDE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Proceso</w:t>
            </w:r>
          </w:p>
        </w:tc>
        <w:tc>
          <w:tcPr>
            <w:tcW w:w="3528" w:type="dxa"/>
            <w:shd w:val="clear" w:color="auto" w:fill="642138"/>
            <w:vAlign w:val="center"/>
          </w:tcPr>
          <w:p w14:paraId="7D8F4559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RF base</w:t>
            </w:r>
          </w:p>
        </w:tc>
        <w:tc>
          <w:tcPr>
            <w:tcW w:w="3917" w:type="dxa"/>
            <w:shd w:val="clear" w:color="auto" w:fill="642138"/>
            <w:vAlign w:val="center"/>
          </w:tcPr>
          <w:p w14:paraId="7C645027" w14:textId="77777777" w:rsidR="00542F3F" w:rsidRDefault="00000000">
            <w:pPr>
              <w:spacing w:after="0"/>
            </w:pPr>
            <w:r>
              <w:rPr>
                <w:b/>
                <w:color w:val="F0EAC8"/>
                <w:sz w:val="17"/>
              </w:rPr>
              <w:t>Estado de representación</w:t>
            </w:r>
          </w:p>
        </w:tc>
      </w:tr>
      <w:tr w:rsidR="00542F3F" w:rsidRPr="00BA6CCA" w14:paraId="37C2079A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2782CE80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Acceso, membresías y permisos</w:t>
            </w:r>
          </w:p>
        </w:tc>
        <w:tc>
          <w:tcPr>
            <w:tcW w:w="3528" w:type="dxa"/>
            <w:shd w:val="clear" w:color="auto" w:fill="F0EAC8"/>
            <w:vAlign w:val="center"/>
          </w:tcPr>
          <w:p w14:paraId="6038D3C6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RF-ACC-001 a RF-ACC-004</w:t>
            </w:r>
          </w:p>
        </w:tc>
        <w:tc>
          <w:tcPr>
            <w:tcW w:w="3917" w:type="dxa"/>
            <w:shd w:val="clear" w:color="auto" w:fill="F0EAC8"/>
            <w:vAlign w:val="center"/>
          </w:tcPr>
          <w:p w14:paraId="7F213382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52CC98F6" w14:textId="77777777">
        <w:trPr>
          <w:jc w:val="center"/>
        </w:trPr>
        <w:tc>
          <w:tcPr>
            <w:tcW w:w="2448" w:type="dxa"/>
            <w:vAlign w:val="center"/>
          </w:tcPr>
          <w:p w14:paraId="29AA5EB6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Planificación de actividades y encargos</w:t>
            </w:r>
          </w:p>
        </w:tc>
        <w:tc>
          <w:tcPr>
            <w:tcW w:w="3528" w:type="dxa"/>
            <w:vAlign w:val="center"/>
          </w:tcPr>
          <w:p w14:paraId="080035B3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RF-PLA-001 a RF-PLA-005</w:t>
            </w:r>
          </w:p>
        </w:tc>
        <w:tc>
          <w:tcPr>
            <w:tcW w:w="3917" w:type="dxa"/>
            <w:vAlign w:val="center"/>
          </w:tcPr>
          <w:p w14:paraId="0B18D5BE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6C630BA7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0E150563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Producción y trazabilidad</w:t>
            </w:r>
          </w:p>
        </w:tc>
        <w:tc>
          <w:tcPr>
            <w:tcW w:w="3528" w:type="dxa"/>
            <w:shd w:val="clear" w:color="auto" w:fill="F0EAC8"/>
            <w:vAlign w:val="center"/>
          </w:tcPr>
          <w:p w14:paraId="577C6FA5" w14:textId="77777777" w:rsidR="00542F3F" w:rsidRPr="00BA6CCA" w:rsidRDefault="00000000">
            <w:pPr>
              <w:spacing w:after="0"/>
              <w:rPr>
                <w:lang w:val="it-IT"/>
              </w:rPr>
            </w:pPr>
            <w:r w:rsidRPr="00BA6CCA">
              <w:rPr>
                <w:color w:val="292929"/>
                <w:sz w:val="17"/>
                <w:lang w:val="it-IT"/>
              </w:rPr>
              <w:t>RF-CAT-001; RF-INV-001; RF-TRA-001 a RF-TRA-005</w:t>
            </w:r>
          </w:p>
        </w:tc>
        <w:tc>
          <w:tcPr>
            <w:tcW w:w="3917" w:type="dxa"/>
            <w:shd w:val="clear" w:color="auto" w:fill="F0EAC8"/>
            <w:vAlign w:val="center"/>
          </w:tcPr>
          <w:p w14:paraId="5BD3EE1F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475F82E2" w14:textId="77777777">
        <w:trPr>
          <w:jc w:val="center"/>
        </w:trPr>
        <w:tc>
          <w:tcPr>
            <w:tcW w:w="2448" w:type="dxa"/>
            <w:vAlign w:val="center"/>
          </w:tcPr>
          <w:p w14:paraId="2EC2F131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Inventario, entregas y conciliación física</w:t>
            </w:r>
          </w:p>
        </w:tc>
        <w:tc>
          <w:tcPr>
            <w:tcW w:w="3528" w:type="dxa"/>
            <w:vAlign w:val="center"/>
          </w:tcPr>
          <w:p w14:paraId="07ABB175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RF-INV-002 a RF-INV-006</w:t>
            </w:r>
          </w:p>
        </w:tc>
        <w:tc>
          <w:tcPr>
            <w:tcW w:w="3917" w:type="dxa"/>
            <w:vAlign w:val="center"/>
          </w:tcPr>
          <w:p w14:paraId="60C38202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136DCB3B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362CF11E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Ventas, tesorería y rendición</w:t>
            </w:r>
          </w:p>
        </w:tc>
        <w:tc>
          <w:tcPr>
            <w:tcW w:w="3528" w:type="dxa"/>
            <w:shd w:val="clear" w:color="auto" w:fill="F0EAC8"/>
            <w:vAlign w:val="center"/>
          </w:tcPr>
          <w:p w14:paraId="752ADDA4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RF-VEN-001 a RF-VEN-009; RF-GAS-001/002; RF-CXC-001 a RF-CXC-003</w:t>
            </w:r>
          </w:p>
        </w:tc>
        <w:tc>
          <w:tcPr>
            <w:tcW w:w="3917" w:type="dxa"/>
            <w:shd w:val="clear" w:color="auto" w:fill="F0EAC8"/>
            <w:vAlign w:val="center"/>
          </w:tcPr>
          <w:p w14:paraId="0885E34E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0F6185A2" w14:textId="77777777">
        <w:trPr>
          <w:jc w:val="center"/>
        </w:trPr>
        <w:tc>
          <w:tcPr>
            <w:tcW w:w="2448" w:type="dxa"/>
            <w:vAlign w:val="center"/>
          </w:tcPr>
          <w:p w14:paraId="761A4A22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Reportes, recordatorios y sitio público</w:t>
            </w:r>
          </w:p>
        </w:tc>
        <w:tc>
          <w:tcPr>
            <w:tcW w:w="3528" w:type="dxa"/>
            <w:vAlign w:val="center"/>
          </w:tcPr>
          <w:p w14:paraId="699AE0ED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RF-REP-001 a RF-REP-006; RF-NOT-001/002; RF-PUB-001 a RF-PUB-003</w:t>
            </w:r>
          </w:p>
        </w:tc>
        <w:tc>
          <w:tcPr>
            <w:tcW w:w="3917" w:type="dxa"/>
            <w:vAlign w:val="center"/>
          </w:tcPr>
          <w:p w14:paraId="75B3D78F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15FC6E33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2B5054EB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Gestión documental y activos</w:t>
            </w:r>
          </w:p>
        </w:tc>
        <w:tc>
          <w:tcPr>
            <w:tcW w:w="3528" w:type="dxa"/>
            <w:shd w:val="clear" w:color="auto" w:fill="F0EAC8"/>
            <w:vAlign w:val="center"/>
          </w:tcPr>
          <w:p w14:paraId="43D696A2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RF-DOC-001; RF-AST-001</w:t>
            </w:r>
          </w:p>
        </w:tc>
        <w:tc>
          <w:tcPr>
            <w:tcW w:w="3917" w:type="dxa"/>
            <w:shd w:val="clear" w:color="auto" w:fill="F0EAC8"/>
            <w:vAlign w:val="center"/>
          </w:tcPr>
          <w:p w14:paraId="1A5DA7D6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549BBD74" w14:textId="77777777">
        <w:trPr>
          <w:jc w:val="center"/>
        </w:trPr>
        <w:tc>
          <w:tcPr>
            <w:tcW w:w="2448" w:type="dxa"/>
            <w:vAlign w:val="center"/>
          </w:tcPr>
          <w:p w14:paraId="101C4983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Continuidad y sincronización sin conexión</w:t>
            </w:r>
          </w:p>
        </w:tc>
        <w:tc>
          <w:tcPr>
            <w:tcW w:w="3528" w:type="dxa"/>
            <w:vAlign w:val="center"/>
          </w:tcPr>
          <w:p w14:paraId="283CD5CC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RF-PWA-001 a RF-PWA-003; RNF-CON-001</w:t>
            </w:r>
          </w:p>
        </w:tc>
        <w:tc>
          <w:tcPr>
            <w:tcW w:w="3917" w:type="dxa"/>
            <w:vAlign w:val="center"/>
          </w:tcPr>
          <w:p w14:paraId="40E2B738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 general; especificación detallada pendiente por módulo</w:t>
            </w:r>
          </w:p>
        </w:tc>
      </w:tr>
      <w:tr w:rsidR="00542F3F" w:rsidRPr="00BA6CCA" w14:paraId="7A2E1AD7" w14:textId="77777777">
        <w:trPr>
          <w:jc w:val="center"/>
        </w:trPr>
        <w:tc>
          <w:tcPr>
            <w:tcW w:w="2448" w:type="dxa"/>
            <w:shd w:val="clear" w:color="auto" w:fill="F0EAC8"/>
            <w:vAlign w:val="center"/>
          </w:tcPr>
          <w:p w14:paraId="75BFEA5F" w14:textId="77777777" w:rsidR="00542F3F" w:rsidRDefault="00000000">
            <w:pPr>
              <w:spacing w:after="0"/>
            </w:pPr>
            <w:r>
              <w:rPr>
                <w:color w:val="292929"/>
                <w:sz w:val="17"/>
              </w:rPr>
              <w:t>Asistencia</w:t>
            </w:r>
          </w:p>
        </w:tc>
        <w:tc>
          <w:tcPr>
            <w:tcW w:w="3528" w:type="dxa"/>
            <w:shd w:val="clear" w:color="auto" w:fill="F0EAC8"/>
            <w:vAlign w:val="center"/>
          </w:tcPr>
          <w:p w14:paraId="5E8F398B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RF-ASI-001 a RF-ASI-007</w:t>
            </w:r>
          </w:p>
        </w:tc>
        <w:tc>
          <w:tcPr>
            <w:tcW w:w="3917" w:type="dxa"/>
            <w:shd w:val="clear" w:color="auto" w:fill="F0EAC8"/>
            <w:vAlign w:val="center"/>
          </w:tcPr>
          <w:p w14:paraId="379F6D3A" w14:textId="77777777" w:rsidR="00542F3F" w:rsidRPr="00BA6CCA" w:rsidRDefault="00000000">
            <w:pPr>
              <w:spacing w:after="0"/>
              <w:rPr>
                <w:lang w:val="es-EC"/>
              </w:rPr>
            </w:pPr>
            <w:r w:rsidRPr="00BA6CCA">
              <w:rPr>
                <w:color w:val="292929"/>
                <w:sz w:val="17"/>
                <w:lang w:val="es-EC"/>
              </w:rPr>
              <w:t>Diagramas generales más casos detallados en ZA-CU-002 v1.2</w:t>
            </w:r>
          </w:p>
        </w:tc>
      </w:tr>
    </w:tbl>
    <w:p w14:paraId="55C8A2F7" w14:textId="77777777" w:rsidR="00542F3F" w:rsidRPr="00BA6CCA" w:rsidRDefault="00000000">
      <w:pPr>
        <w:spacing w:before="160"/>
        <w:rPr>
          <w:lang w:val="es-EC"/>
        </w:rPr>
      </w:pPr>
      <w:r w:rsidRPr="00BA6CCA">
        <w:rPr>
          <w:lang w:val="es-EC"/>
        </w:rPr>
        <w:t>Los diagramas usan perfiles como actores funcionales. La matriz de autorización se define en cada especificación. P-01 a P-14 mantienen el estado aprobado en el catálogo; cada decisión pendiente debe cerrarse antes de precisar el flujo afectado.</w:t>
      </w:r>
    </w:p>
    <w:p w14:paraId="0D20B720" w14:textId="77777777" w:rsidR="00542F3F" w:rsidRPr="00BA6CCA" w:rsidRDefault="00000000">
      <w:pPr>
        <w:pStyle w:val="Listaconvietas"/>
        <w:rPr>
          <w:lang w:val="es-EC"/>
        </w:rPr>
      </w:pPr>
      <w:r w:rsidRPr="00BA6CCA">
        <w:rPr>
          <w:lang w:val="es-EC"/>
        </w:rPr>
        <w:t>Fuente principal: CAT-REQ-001 v1.2, estado confirmed, aprobado por el tesista.</w:t>
      </w:r>
    </w:p>
    <w:p w14:paraId="3B1DEE7D" w14:textId="77777777" w:rsidR="00542F3F" w:rsidRPr="00BA6CCA" w:rsidRDefault="00000000">
      <w:pPr>
        <w:pStyle w:val="Listaconvietas"/>
        <w:rPr>
          <w:lang w:val="es-EC"/>
        </w:rPr>
      </w:pPr>
      <w:r w:rsidRPr="00BA6CCA">
        <w:rPr>
          <w:lang w:val="es-EC"/>
        </w:rPr>
        <w:t>Fuente de contexto: alcance del proyecto v1.2 y propuestas de diagramas de 2026-09-28.</w:t>
      </w:r>
    </w:p>
    <w:p w14:paraId="0652FD2B" w14:textId="77777777" w:rsidR="00542F3F" w:rsidRPr="00BA6CCA" w:rsidRDefault="00000000">
      <w:pPr>
        <w:pStyle w:val="Listaconvietas"/>
        <w:rPr>
          <w:lang w:val="es-EC"/>
        </w:rPr>
      </w:pPr>
      <w:r w:rsidRPr="00BA6CCA">
        <w:rPr>
          <w:lang w:val="es-EC"/>
        </w:rPr>
        <w:t>Estado documental: propuesta interna; no cambia requisitos, no publica ni aprueba decisiones organizacionales.</w:t>
      </w:r>
    </w:p>
    <w:sectPr w:rsidR="00542F3F" w:rsidRPr="00BA6CCA" w:rsidSect="00034616">
      <w:headerReference w:type="default" r:id="rId19"/>
      <w:footerReference w:type="default" r:id="rId2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D17F" w14:textId="77777777" w:rsidR="00047CD5" w:rsidRDefault="00047CD5">
      <w:pPr>
        <w:spacing w:after="0" w:line="240" w:lineRule="auto"/>
      </w:pPr>
      <w:r>
        <w:separator/>
      </w:r>
    </w:p>
  </w:endnote>
  <w:endnote w:type="continuationSeparator" w:id="0">
    <w:p w14:paraId="78C3A56C" w14:textId="77777777" w:rsidR="00047CD5" w:rsidRDefault="00047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ebo Light">
    <w:charset w:val="B1"/>
    <w:family w:val="auto"/>
    <w:pitch w:val="variable"/>
    <w:sig w:usb0="A00008E7" w:usb1="40000043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61FE" w14:textId="77777777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  <w:t xml:space="preserve">Página </w:t>
    </w:r>
    <w:r>
      <w:fldChar w:fldCharType="begin"/>
    </w:r>
    <w:r w:rsidRPr="00A56C50">
      <w:rPr>
        <w:lang w:val="es-EC"/>
      </w:rPr>
      <w:instrText>PAGE</w:instrText>
    </w:r>
    <w:r>
      <w:fldChar w:fldCharType="separate"/>
    </w:r>
    <w:r w:rsidR="00DE1D4A" w:rsidRPr="00A56C50">
      <w:rPr>
        <w:noProof/>
        <w:lang w:val="es-EC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8977" w14:textId="77777777" w:rsidR="00047CD5" w:rsidRDefault="00047CD5">
      <w:pPr>
        <w:spacing w:after="0" w:line="240" w:lineRule="auto"/>
      </w:pPr>
      <w:r>
        <w:separator/>
      </w:r>
    </w:p>
  </w:footnote>
  <w:footnote w:type="continuationSeparator" w:id="0">
    <w:p w14:paraId="6ADA2FF8" w14:textId="77777777" w:rsidR="00047CD5" w:rsidRDefault="00047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A877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BA6CCA" w14:paraId="308017E8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47C9C250" w14:textId="77777777" w:rsidR="00872B37" w:rsidRDefault="00A32810">
          <w:pPr>
            <w:jc w:val="center"/>
          </w:pPr>
          <w:r>
            <w:rPr>
              <w:noProof/>
            </w:rPr>
            <w:drawing>
              <wp:inline distT="0" distB="0" distL="0" distR="0" wp14:anchorId="7D0C81C3" wp14:editId="63DB1BE2">
                <wp:extent cx="438912" cy="438912"/>
                <wp:effectExtent l="0" t="0" r="0" b="0"/>
                <wp:docPr id="17048869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223042D1" w14:textId="77777777" w:rsidR="00872B37" w:rsidRPr="00A56C50" w:rsidRDefault="00000000">
          <w:pPr>
            <w:spacing w:after="0"/>
            <w:jc w:val="right"/>
            <w:rPr>
              <w:lang w:val="es-EC"/>
            </w:rPr>
          </w:pPr>
          <w:r w:rsidRPr="00BA6CCA">
            <w:rPr>
              <w:lang w:val="es-EC"/>
            </w:rPr>
            <w:t>ZHUD ALELÍ  |  ZA-CU-003  |  DIAGRAMAS GENERALES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D5"/>
    <w:rsid w:val="0006063C"/>
    <w:rsid w:val="0015074B"/>
    <w:rsid w:val="0029639D"/>
    <w:rsid w:val="00326F90"/>
    <w:rsid w:val="003B2A60"/>
    <w:rsid w:val="00542F3F"/>
    <w:rsid w:val="00872B37"/>
    <w:rsid w:val="00A32810"/>
    <w:rsid w:val="00A56C50"/>
    <w:rsid w:val="00A91936"/>
    <w:rsid w:val="00AA1D8D"/>
    <w:rsid w:val="00B47730"/>
    <w:rsid w:val="00BA6CCA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3DA9AA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905</Words>
  <Characters>4982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5876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ZA-DG-001 v1.0 — Diagramas generales por proceso</dc:title>
  <dc:subject>Fase 2 — Diagramas generales de casos de uso</dc:subject>
  <dc:creator>Franklin Acero; asistencia de redacción Codex</dc:creator>
  <cp:keywords>Zhud Alelí, requisitos, acceso, roles, alcance</cp:keywords>
  <dc:description>generated by python-docx</dc:description>
  <cp:lastModifiedBy>Franklin Acero Camas</cp:lastModifiedBy>
  <cp:revision>4</cp:revision>
  <dcterms:created xsi:type="dcterms:W3CDTF">2026-10-13T22:15:00Z</dcterms:created>
  <dcterms:modified xsi:type="dcterms:W3CDTF">2026-10-14T14:21:00Z</dcterms:modified>
  <cp:category/>
</cp:coreProperties>
</file>