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281928" cy="3533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1928" cy="353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100" w:after="60"/>
        <w:jc w:val="center"/>
      </w:pPr>
      <w:r>
        <w:rPr>
          <w:rFonts w:ascii="Georgia" w:hAnsi="Georgia" w:eastAsia="Georgia"/>
          <w:b/>
          <w:color w:val="4C5B4A"/>
          <w:sz w:val="38"/>
        </w:rPr>
        <w:t>Alcance del módulo de acceso de usuarias y roles</w:t>
      </w:r>
    </w:p>
    <w:p>
      <w:pPr>
        <w:spacing w:after="140"/>
        <w:jc w:val="center"/>
      </w:pPr>
      <w:r>
        <w:rPr>
          <w:rFonts w:ascii="Calibri Light" w:hAnsi="Calibri Light" w:eastAsia="Calibri Light"/>
          <w:b w:val="0"/>
          <w:color w:val="642138"/>
          <w:sz w:val="20"/>
        </w:rPr>
        <w:t>Fase 1 · Documento de alcance del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4C5B4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/>
                <w:color w:val="F0EAC8"/>
                <w:sz w:val="17"/>
              </w:rPr>
              <w:t>Control documental</w:t>
            </w:r>
          </w:p>
        </w:tc>
        <w:tc>
          <w:tcPr>
            <w:tcW w:type="dxa" w:w="751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4C5B4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/>
                <w:color w:val="F0EAC8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7"/>
              </w:rPr>
              <w:t>Código del documento</w:t>
            </w:r>
          </w:p>
        </w:tc>
        <w:tc>
          <w:tcPr>
            <w:tcW w:type="dxa" w:w="751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7"/>
              </w:rPr>
              <w:t>ZA-ALC-001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7"/>
              </w:rPr>
              <w:t>Módulo</w:t>
            </w:r>
          </w:p>
        </w:tc>
        <w:tc>
          <w:tcPr>
            <w:tcW w:type="dxa" w:w="751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7"/>
              </w:rPr>
              <w:t>Acceso de usuarias y roles (accounts)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7"/>
              </w:rPr>
              <w:t>Fase / entregable</w:t>
            </w:r>
          </w:p>
        </w:tc>
        <w:tc>
          <w:tcPr>
            <w:tcW w:type="dxa" w:w="751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7"/>
              </w:rPr>
              <w:t>Fase 1 — Alcance del módulo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7"/>
              </w:rPr>
              <w:t>Versión / fecha</w:t>
            </w:r>
          </w:p>
        </w:tc>
        <w:tc>
          <w:tcPr>
            <w:tcW w:type="dxa" w:w="751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7"/>
              </w:rPr>
              <w:t>v1.0 / 13 de octubre de 2026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7"/>
              </w:rPr>
              <w:t>Autor / analista</w:t>
            </w:r>
          </w:p>
        </w:tc>
        <w:tc>
          <w:tcPr>
            <w:tcW w:type="dxa" w:w="751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7"/>
              </w:rPr>
              <w:t>Franklin Acero (tesista) / Codex (asistencia de redacción)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7"/>
              </w:rPr>
              <w:t>Estado</w:t>
            </w:r>
          </w:p>
        </w:tc>
        <w:tc>
          <w:tcPr>
            <w:tcW w:type="dxa" w:w="751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7"/>
              </w:rPr>
              <w:t>BORRADOR — pendiente de aprobación del tesista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60"/>
        <w:pBdr>
          <w:bottom w:val="single" w:sz="5" w:space="3" w:color="AC6E40"/>
        </w:pBdr>
      </w:pPr>
      <w:r>
        <w:rPr>
          <w:rFonts w:ascii="Georgia" w:hAnsi="Georgia" w:eastAsia="Georgia"/>
          <w:b/>
          <w:color w:val="642138"/>
          <w:sz w:val="23"/>
        </w:rPr>
        <w:t>Historial de revisiones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93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4C5B4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/>
                <w:color w:val="F0EAC8"/>
                <w:sz w:val="15"/>
              </w:rPr>
              <w:t>Versión</w:t>
            </w:r>
          </w:p>
        </w:tc>
        <w:tc>
          <w:tcPr>
            <w:tcW w:type="dxa" w:w="132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4C5B4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/>
                <w:color w:val="F0EAC8"/>
                <w:sz w:val="15"/>
              </w:rPr>
              <w:t>Fecha</w:t>
            </w:r>
          </w:p>
        </w:tc>
        <w:tc>
          <w:tcPr>
            <w:tcW w:type="dxa" w:w="525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4C5B4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/>
                <w:color w:val="F0EAC8"/>
                <w:sz w:val="15"/>
              </w:rPr>
              <w:t>Descripción del cambio</w:t>
            </w:r>
          </w:p>
        </w:tc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4C5B4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/>
                <w:color w:val="F0EAC8"/>
                <w:sz w:val="15"/>
              </w:rPr>
              <w:t>Responsable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v1.0</w:t>
            </w:r>
          </w:p>
        </w:tc>
        <w:tc>
          <w:tcPr>
            <w:tcW w:type="dxa" w:w="132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13-10-2026</w:t>
            </w:r>
          </w:p>
        </w:tc>
        <w:tc>
          <w:tcPr>
            <w:tcW w:type="dxa" w:w="525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Emisión inicial del alcance, derivada de la línea base confirmada y priorizada.</w:t>
            </w:r>
          </w:p>
        </w:tc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Franklin Acero; borrador asistido por Codex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100"/>
        <w:pBdr>
          <w:bottom w:val="single" w:sz="9" w:space="3" w:color="AC6E40"/>
        </w:pBdr>
      </w:pPr>
      <w:r>
        <w:rPr>
          <w:rFonts w:ascii="Georgia" w:hAnsi="Georgia" w:eastAsia="Georgia"/>
          <w:b/>
          <w:color w:val="4C5B4A"/>
          <w:sz w:val="30"/>
        </w:rPr>
        <w:t>1. Propósito y descripción general del módulo</w:t>
      </w:r>
    </w:p>
    <w:p>
      <w:pPr>
        <w:spacing w:after="100" w:line="259" w:lineRule="auto"/>
      </w:pPr>
      <w:r>
        <w:rPr>
          <w:rFonts w:ascii="Calibri Light" w:hAnsi="Calibri Light" w:eastAsia="Calibri Light"/>
          <w:b w:val="0"/>
          <w:i w:val="0"/>
          <w:color w:val="222222"/>
          <w:sz w:val="20"/>
        </w:rPr>
        <w:t>El módulo proporciona acceso autenticado a las usuarias internas y hace cumplir, en el servidor, los permisos derivados del perfil, cargo organizativo o encargo vigente. También permite que la Directiva administre la vigencia de las membresías y que cada usuaria encuentre en su inicio privado las actividades, pendientes y encargos que le corresponden.</w:t>
      </w:r>
    </w:p>
    <w:p>
      <w:pPr>
        <w:spacing w:after="100" w:line="259" w:lineRule="auto"/>
      </w:pPr>
      <w:r>
        <w:rPr>
          <w:rFonts w:ascii="Calibri Light" w:hAnsi="Calibri Light" w:eastAsia="Calibri Light"/>
          <w:b w:val="0"/>
          <w:i w:val="0"/>
          <w:color w:val="222222"/>
          <w:sz w:val="20"/>
        </w:rPr>
        <w:t>Su límite principal es la identidad y la autorización de acceso. No decide por sí mismo las reglas de asistencia, producción, ventas u otras operaciones: cada módulo de negocio conserva sus reglas y precisa los permisos que necesita. El soporte técnico no adquiere autoridad organizacional por prestar asistencia.</w:t>
      </w:r>
    </w:p>
    <w:p>
      <w:pPr>
        <w:spacing w:after="100" w:line="259" w:lineRule="auto"/>
      </w:pPr>
      <w:r>
        <w:rPr>
          <w:rFonts w:ascii="Calibri Light" w:hAnsi="Calibri Light" w:eastAsia="Calibri Light"/>
          <w:b/>
          <w:color w:val="222222"/>
          <w:sz w:val="20"/>
        </w:rPr>
        <w:t>Actores y perfiles de referencia confirmados:</w:t>
      </w:r>
      <w:r>
        <w:rPr>
          <w:rFonts w:ascii="Calibri Light" w:hAnsi="Calibri Light" w:eastAsia="Calibri Light"/>
          <w:b w:val="0"/>
          <w:color w:val="222222"/>
          <w:sz w:val="20"/>
        </w:rPr>
        <w:t xml:space="preserve"> Directiva, Socia operaria y Visitante. Visitante representa consulta pública, no una cuenta interna ni un rol que permita entrar a información privada. Presidenta, tesorera y secretaria son cargos organizativos; no se crean automáticamente como cuentas o perfiles técnicos distintos. Un encargo temporal puede habilitar únicamente las operaciones que le correspondan durante su vigencia.</w:t>
      </w:r>
    </w:p>
    <w:p>
      <w:pPr>
        <w:pStyle w:val="Heading1"/>
        <w:keepNext/>
        <w:spacing w:before="220" w:after="100"/>
        <w:pBdr>
          <w:bottom w:val="single" w:sz="9" w:space="3" w:color="AC6E40"/>
        </w:pBdr>
      </w:pPr>
      <w:r>
        <w:rPr>
          <w:rFonts w:ascii="Georgia" w:hAnsi="Georgia" w:eastAsia="Georgia"/>
          <w:b/>
          <w:color w:val="4C5B4A"/>
          <w:sz w:val="30"/>
        </w:rPr>
        <w:t>2. Objetivos de negocio y alineación con Zhud Alelí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Restringir la información organizacional y productiva a usuarias autenticadas y autorizadas.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Reflejar la estructura comunitaria: distinguir perfil, cargo, encargo temporal y apoyo técnico sin convertirlos en autoridades equivalentes.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Mantener la historia organizativa cuando una membresía o cuenta se desactiva.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Reducir errores de uso con un inicio privado claro y acciones pertinentes a cada usuaria.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Proteger la confianza de las socias mediante autorización comprobada en el servidor, minimización de datos, privacidad y trazabilidad de cambios sensibles.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Permitir que otros módulos consulten la identidad y autorización mediante contratos definidos, sin escribir directamente en los datos que pertenecen a este módulo.</w:t>
      </w:r>
    </w:p>
    <w:p>
      <w:pPr>
        <w:pStyle w:val="Heading1"/>
        <w:keepNext/>
        <w:spacing w:before="220" w:after="100"/>
        <w:pBdr>
          <w:bottom w:val="single" w:sz="9" w:space="3" w:color="AC6E40"/>
        </w:pBdr>
      </w:pPr>
      <w:r>
        <w:rPr>
          <w:rFonts w:ascii="Georgia" w:hAnsi="Georgia" w:eastAsia="Georgia"/>
          <w:b/>
          <w:color w:val="4C5B4A"/>
          <w:sz w:val="30"/>
        </w:rPr>
        <w:t>3. Entregables clave y funcionalidades incluidas</w:t>
      </w:r>
    </w:p>
    <w:p>
      <w:pPr>
        <w:spacing w:after="140" w:line="259" w:lineRule="auto"/>
      </w:pPr>
      <w:r>
        <w:rPr>
          <w:rFonts w:ascii="Calibri Light" w:hAnsi="Calibri Light" w:eastAsia="Calibri Light"/>
          <w:b w:val="0"/>
          <w:i w:val="0"/>
          <w:color w:val="222222"/>
          <w:sz w:val="20"/>
        </w:rPr>
        <w:t>La tabla reúne las capacidades que este módulo deberá cubrir y su nivel de importancia. La clasificación procede de la priorización aprobada por el tesista; identifica riesgos y dependencias, no modifica el calendario de sprints.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54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4C5B4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/>
                <w:color w:val="F0EAC8"/>
                <w:sz w:val="15"/>
              </w:rPr>
              <w:t>ID</w:t>
            </w:r>
          </w:p>
        </w:tc>
        <w:tc>
          <w:tcPr>
            <w:tcW w:type="dxa" w:w="492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4C5B4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/>
                <w:color w:val="F0EAC8"/>
                <w:sz w:val="15"/>
              </w:rPr>
              <w:t>Entregable o capacidad incluida</w:t>
            </w:r>
          </w:p>
        </w:tc>
        <w:tc>
          <w:tcPr>
            <w:tcW w:type="dxa" w:w="168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4C5B4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/>
                <w:color w:val="F0EAC8"/>
                <w:sz w:val="15"/>
              </w:rPr>
              <w:t>Importancia</w:t>
            </w:r>
          </w:p>
        </w:tc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4C5B4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/>
                <w:color w:val="F0EAC8"/>
                <w:sz w:val="15"/>
              </w:rPr>
              <w:t>Requisitos relacionados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A1</w:t>
            </w:r>
          </w:p>
        </w:tc>
        <w:tc>
          <w:tcPr>
            <w:tcW w:type="dxa" w:w="492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Autenticación de usuarias internas: iniciar y cerrar sesión; rechazar credenciales inválidas y cuentas inactivas sin revelar información sensible.</w:t>
            </w:r>
          </w:p>
        </w:tc>
        <w:tc>
          <w:tcPr>
            <w:tcW w:type="dxa" w:w="168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642138"/>
              </w:rPr>
            </w:r>
            <w:r>
              <w:rPr>
                <w:rFonts w:ascii="Calibri Light" w:hAnsi="Calibri Light" w:eastAsia="Calibri Light"/>
                <w:b/>
                <w:color w:val="642138"/>
                <w:sz w:val="15"/>
              </w:rPr>
              <w:t>Esencial</w:t>
            </w:r>
          </w:p>
        </w:tc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RF-ACC-001; RNF-SEC-001; RNF-PRV-001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A2</w:t>
            </w:r>
          </w:p>
        </w:tc>
        <w:tc>
          <w:tcPr>
            <w:tcW w:type="dxa" w:w="492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Autorización en backend según perfil, cargo, encargo vigente y permiso de la operación; denegar accesos directos no autorizados sin modificar datos.</w:t>
            </w:r>
          </w:p>
        </w:tc>
        <w:tc>
          <w:tcPr>
            <w:tcW w:type="dxa" w:w="168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642138"/>
              </w:rPr>
            </w:r>
            <w:r>
              <w:rPr>
                <w:rFonts w:ascii="Calibri Light" w:hAnsi="Calibri Light" w:eastAsia="Calibri Light"/>
                <w:b/>
                <w:color w:val="642138"/>
                <w:sz w:val="15"/>
              </w:rPr>
              <w:t>Esencial</w:t>
            </w:r>
          </w:p>
        </w:tc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RF-ACC-003; RNF-SEC-001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A3</w:t>
            </w:r>
          </w:p>
        </w:tc>
        <w:tc>
          <w:tcPr>
            <w:tcW w:type="dxa" w:w="492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Administración de membresías por la Directiva, incluida activación y desactivación sin borrar la historia; proteger frente a cambios por socias sin permiso.</w:t>
            </w:r>
          </w:p>
        </w:tc>
        <w:tc>
          <w:tcPr>
            <w:tcW w:type="dxa" w:w="168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642138"/>
              </w:rPr>
            </w:r>
            <w:r>
              <w:rPr>
                <w:rFonts w:ascii="Calibri Light" w:hAnsi="Calibri Light" w:eastAsia="Calibri Light"/>
                <w:b/>
                <w:color w:val="642138"/>
                <w:sz w:val="15"/>
              </w:rPr>
              <w:t>Alta</w:t>
            </w:r>
          </w:p>
        </w:tc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RF-ACC-002; RNF-AUD-001; RNF-DAT-001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A4</w:t>
            </w:r>
          </w:p>
        </w:tc>
        <w:tc>
          <w:tcPr>
            <w:tcW w:type="dxa" w:w="492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Inicio privado comprensible con actividades, pendientes y encargos propios, mostrando acciones disponibles según la situación vigente.</w:t>
            </w:r>
          </w:p>
        </w:tc>
        <w:tc>
          <w:tcPr>
            <w:tcW w:type="dxa" w:w="168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642138"/>
              </w:rPr>
            </w:r>
            <w:r>
              <w:rPr>
                <w:rFonts w:ascii="Calibri Light" w:hAnsi="Calibri Light" w:eastAsia="Calibri Light"/>
                <w:b/>
                <w:color w:val="642138"/>
                <w:sz w:val="15"/>
              </w:rPr>
              <w:t>Complementaria</w:t>
            </w:r>
          </w:p>
        </w:tc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RF-ACC-004; RNF-UX-001/002/003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A5</w:t>
            </w:r>
          </w:p>
        </w:tc>
        <w:tc>
          <w:tcPr>
            <w:tcW w:type="dxa" w:w="492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Registro trazable de cambios sensibles de cuenta, membresía y autorización, conservando actor, fecha y resultado conforme al requisito de auditoría.</w:t>
            </w:r>
          </w:p>
        </w:tc>
        <w:tc>
          <w:tcPr>
            <w:tcW w:type="dxa" w:w="168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642138"/>
              </w:rPr>
            </w:r>
            <w:r>
              <w:rPr>
                <w:rFonts w:ascii="Calibri Light" w:hAnsi="Calibri Light" w:eastAsia="Calibri Light"/>
                <w:b/>
                <w:color w:val="642138"/>
                <w:sz w:val="15"/>
              </w:rPr>
              <w:t>Esencial</w:t>
            </w:r>
          </w:p>
        </w:tc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RNF-AUD-001; RNF-PRV-001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A6</w:t>
            </w:r>
          </w:p>
        </w:tc>
        <w:tc>
          <w:tcPr>
            <w:tcW w:type="dxa" w:w="492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Contrato de integración para que los módulos consumidores consulten identidad y autorización por operaciones explícitas y lecturas autorizadas.</w:t>
            </w:r>
          </w:p>
        </w:tc>
        <w:tc>
          <w:tcPr>
            <w:tcW w:type="dxa" w:w="168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642138"/>
              </w:rPr>
            </w:r>
            <w:r>
              <w:rPr>
                <w:rFonts w:ascii="Calibri Light" w:hAnsi="Calibri Light" w:eastAsia="Calibri Light"/>
                <w:b/>
                <w:color w:val="642138"/>
                <w:sz w:val="15"/>
              </w:rPr>
              <w:t>Esencial para las operaciones protegidas</w:t>
            </w:r>
          </w:p>
        </w:tc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RF-ACC-003; RNF-SEC-001; RNF-DAT-001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A7</w:t>
            </w:r>
          </w:p>
        </w:tc>
        <w:tc>
          <w:tcPr>
            <w:tcW w:type="dxa" w:w="492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Revalidación de sesión, cuenta y permisos en el servidor al recibir operaciones sincronizadas que dependan de identidad autenticada.</w:t>
            </w:r>
          </w:p>
        </w:tc>
        <w:tc>
          <w:tcPr>
            <w:tcW w:type="dxa" w:w="168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642138"/>
              </w:rPr>
            </w:r>
            <w:r>
              <w:rPr>
                <w:rFonts w:ascii="Calibri Light" w:hAnsi="Calibri Light" w:eastAsia="Calibri Light"/>
                <w:b/>
                <w:color w:val="642138"/>
                <w:sz w:val="15"/>
              </w:rPr>
              <w:t>Esencial para operaciones sincronizadas</w:t>
            </w:r>
          </w:p>
        </w:tc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RF-PWA-003; RNF-CON-001; RNF-SEC-001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A8</w:t>
            </w:r>
          </w:p>
        </w:tc>
        <w:tc>
          <w:tcPr>
            <w:tcW w:type="dxa" w:w="492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Artefactos verificables: matriz de perfiles, cargos, encargos y permisos por operación; reglas de acceso, flujos de cuenta y criterios de aceptación, sujetos a las decisiones abiertas.</w:t>
            </w:r>
          </w:p>
        </w:tc>
        <w:tc>
          <w:tcPr>
            <w:tcW w:type="dxa" w:w="168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642138"/>
              </w:rPr>
            </w:r>
            <w:r>
              <w:rPr>
                <w:rFonts w:ascii="Calibri Light" w:hAnsi="Calibri Light" w:eastAsia="Calibri Light"/>
                <w:b/>
                <w:color w:val="642138"/>
                <w:sz w:val="15"/>
              </w:rPr>
              <w:t>Esencial como base de especificación</w:t>
            </w:r>
          </w:p>
        </w:tc>
        <w:tc>
          <w:tcPr>
            <w:tcW w:type="dxa" w:w="180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RF-ACC-001 a 004; RNF-SEC-001; RNF-AUD-001; RNF-PRV-001</w:t>
            </w:r>
          </w:p>
        </w:tc>
      </w:tr>
    </w:tbl>
    <w:p>
      <w:pPr>
        <w:pStyle w:val="Heading2"/>
        <w:keepNext/>
        <w:spacing w:before="120" w:after="60"/>
        <w:pBdr>
          <w:bottom w:val="single" w:sz="5" w:space="3" w:color="AC6E40"/>
        </w:pBdr>
      </w:pPr>
      <w:r>
        <w:rPr>
          <w:rFonts w:ascii="Georgia" w:hAnsi="Georgia" w:eastAsia="Georgia"/>
          <w:b/>
          <w:color w:val="642138"/>
          <w:sz w:val="23"/>
        </w:rPr>
        <w:t>Lectura de la importancia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tblHeader w:val="true"/>
        </w:trPr>
        <w:tc>
          <w:tcPr>
            <w:tcW w:type="dxa" w:w="17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4C5B4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/>
                <w:color w:val="F0EAC8"/>
                <w:sz w:val="16"/>
              </w:rPr>
              <w:t>Nivel</w:t>
            </w:r>
          </w:p>
        </w:tc>
        <w:tc>
          <w:tcPr>
            <w:tcW w:type="dxa" w:w="816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4C5B4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/>
                <w:color w:val="F0EAC8"/>
                <w:sz w:val="16"/>
              </w:rPr>
              <w:t>Significado para este módulo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6"/>
              </w:rPr>
              <w:t>Esencial</w:t>
            </w:r>
          </w:p>
        </w:tc>
        <w:tc>
          <w:tcPr>
            <w:tcW w:type="dxa" w:w="816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6"/>
              </w:rPr>
              <w:t>Protege un recorrido central o evita un riesgo grave de acceso, pérdida o resultado incorrecto.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6"/>
              </w:rPr>
              <w:t>Alta</w:t>
            </w:r>
          </w:p>
        </w:tc>
        <w:tc>
          <w:tcPr>
            <w:tcW w:type="dxa" w:w="816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6"/>
              </w:rPr>
              <w:t>Necesaria para completar la administración acordada de cuentas y membresías.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6"/>
              </w:rPr>
              <w:t>Complementaria</w:t>
            </w:r>
          </w:p>
        </w:tc>
        <w:tc>
          <w:tcPr>
            <w:tcW w:type="dxa" w:w="816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6"/>
              </w:rPr>
              <w:t>Mejora la consulta y la claridad del uso; se mantiene dentro del alcance aprobado.</w:t>
            </w:r>
          </w:p>
        </w:tc>
      </w:tr>
    </w:tbl>
    <w:p>
      <w:pPr>
        <w:spacing w:after="100" w:line="259" w:lineRule="auto"/>
      </w:pPr>
      <w:r>
        <w:rPr>
          <w:rFonts w:ascii="Calibri Light" w:hAnsi="Calibri Light" w:eastAsia="Calibri Light"/>
          <w:b w:val="0"/>
          <w:i/>
          <w:color w:val="222222"/>
          <w:sz w:val="18"/>
        </w:rPr>
        <w:t>La importancia no sustituye el orden del plan de sprints ni completa permisos operativos que deben definirse en cada especificación de negocio.</w:t>
      </w:r>
    </w:p>
    <w:p>
      <w:pPr>
        <w:pStyle w:val="Heading1"/>
        <w:keepNext/>
        <w:spacing w:before="220" w:after="100"/>
        <w:pBdr>
          <w:bottom w:val="single" w:sz="9" w:space="3" w:color="AC6E40"/>
        </w:pBdr>
      </w:pPr>
      <w:r>
        <w:rPr>
          <w:rFonts w:ascii="Georgia" w:hAnsi="Georgia" w:eastAsia="Georgia"/>
          <w:b/>
          <w:color w:val="4C5B4A"/>
          <w:sz w:val="30"/>
        </w:rPr>
        <w:t>4. Exclusiones explícitas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Registro de asistencia, faltas, justificativos y multas; pertenecen al módulo de asistencia, que consumirá identidad y permisos. La validación de multas por la Tesorera no se implementa aquí.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Registro o aprobación de jornadas, producción, pesajes, inventario, ventas, gastos, pagos, reportes o contenido público; sus reglas pertenecen a sus módulos respectivos.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Autoregistro público de cuentas, cuentas de visitantes y exposición de información privada a visitantes.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Concesión de autoridad de negocio al soporte técnico, permisos ilimitados o acceso privilegiado implícito.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Reglas no confirmadas de alta/invitación, recuperación o cambio de contraseña, complejidad/rotación de credenciales, caducidad y duración de sesión, bloqueo tras intentos, factores adicionales, nombres de usuario o granularidad final de permisos. No se inventarán en este alcance.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Inicio de sesión sin conexión, administración local offline de cuentas o aceptación de permisos en el dispositivo sin revalidación del servidor. La disponibilidad de una interfaz PWA no equivale a autenticar o autorizar offline.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Construcción o despliegue de la aplicación. Este documento define alcance; no afirma que exista una aplicación Django funcional ni que el módulo esté implementado o probado.</w:t>
      </w:r>
    </w:p>
    <w:p>
      <w:pPr>
        <w:pStyle w:val="Heading1"/>
        <w:keepNext/>
        <w:spacing w:before="220" w:after="100"/>
        <w:pBdr>
          <w:bottom w:val="single" w:sz="9" w:space="3" w:color="AC6E40"/>
        </w:pBdr>
      </w:pPr>
      <w:r>
        <w:rPr>
          <w:rFonts w:ascii="Georgia" w:hAnsi="Georgia" w:eastAsia="Georgia"/>
          <w:b/>
          <w:color w:val="4C5B4A"/>
          <w:sz w:val="30"/>
        </w:rPr>
        <w:t>5. Restricciones, supuestos y dependencias técnicas</w:t>
      </w:r>
    </w:p>
    <w:p>
      <w:pPr>
        <w:pStyle w:val="Heading2"/>
        <w:keepNext/>
        <w:spacing w:before="120" w:after="60"/>
        <w:pBdr>
          <w:bottom w:val="single" w:sz="5" w:space="3" w:color="AC6E40"/>
        </w:pBdr>
      </w:pPr>
      <w:r>
        <w:rPr>
          <w:rFonts w:ascii="Georgia" w:hAnsi="Georgia" w:eastAsia="Georgia"/>
          <w:b/>
          <w:color w:val="642138"/>
          <w:sz w:val="23"/>
        </w:rPr>
        <w:t>Restricciones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Tecnología prevista por la constitución: Python 3.12, Django 5.2 LTS, PostgreSQL, Bootstrap 5 y plantillas Django con JavaScript progresivo mínimo. La cuenta de usuario personalizada se define antes de la primera migración estable.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La autorización vive en backend y se comprueba también en accesos directos y operaciones sincronizadas. Ocultar una opción en la interfaz no constituye control de acceso.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El módulo posee las escrituras de cuentas, membresías y asignaciones que se le definan. Otros módulos usan operaciones públicas y lecturas autorizadas; no modifican directamente sus tablas internas.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Las operaciones que deban cambiar varias entidades de manera indivisible usan una transacción común y preservan sus invariantes.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La interfaz debe ser clara en móvil desde 360 px, navegable por teclado, con contraste AA, foco visible, texto además de color y errores recuperables.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Se minimizan los datos personales. El inicio privado y los datos de cuenta no se exponen en el sitio público ni en cachés públicas.</w:t>
      </w:r>
    </w:p>
    <w:p>
      <w:pPr>
        <w:pStyle w:val="Heading2"/>
        <w:keepNext/>
        <w:spacing w:before="120" w:after="60"/>
        <w:pBdr>
          <w:bottom w:val="single" w:sz="5" w:space="3" w:color="AC6E40"/>
        </w:pBdr>
      </w:pPr>
      <w:r>
        <w:rPr>
          <w:rFonts w:ascii="Georgia" w:hAnsi="Georgia" w:eastAsia="Georgia"/>
          <w:b/>
          <w:color w:val="642138"/>
          <w:sz w:val="23"/>
        </w:rPr>
        <w:t>Supuestos explícitos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Una usuaria interna necesita una cuenta vigente asociada a una membresía habilitada; desactivar no elimina operaciones o evidencias históricas.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Directiva, Socia operaria y Visitante son los perfiles de referencia; cargos y encargos se representan por separado y limitan operaciones según vigencia.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El visitante consulta únicamente contenido público aprobado y no requiere autenticación interna.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Cada especificación de negocio indicará las operaciones, cargos y encargos autorizados que consume. Este documento no crea un permiso general para toda una categoría.</w:t>
      </w:r>
    </w:p>
    <w:p>
      <w:pPr>
        <w:pStyle w:val="Heading2"/>
        <w:keepNext/>
        <w:spacing w:before="120" w:after="60"/>
        <w:pBdr>
          <w:bottom w:val="single" w:sz="5" w:space="3" w:color="AC6E40"/>
        </w:pBdr>
      </w:pPr>
      <w:r>
        <w:rPr>
          <w:rFonts w:ascii="Georgia" w:hAnsi="Georgia" w:eastAsia="Georgia"/>
          <w:b/>
          <w:color w:val="642138"/>
          <w:sz w:val="23"/>
        </w:rPr>
        <w:t>Dependencias y decisiones abiertas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4C5B4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/>
                <w:color w:val="F0EAC8"/>
                <w:sz w:val="15"/>
              </w:rPr>
              <w:t>Dependencia o decisión</w:t>
            </w:r>
          </w:p>
        </w:tc>
        <w:tc>
          <w:tcPr>
            <w:tcW w:type="dxa" w:w="381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4C5B4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/>
                <w:color w:val="F0EAC8"/>
                <w:sz w:val="15"/>
              </w:rPr>
              <w:t>Estado conocido</w:t>
            </w:r>
          </w:p>
        </w:tc>
        <w:tc>
          <w:tcPr>
            <w:tcW w:type="dxa" w:w="398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4C5B4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/>
                <w:color w:val="F0EAC8"/>
                <w:sz w:val="15"/>
              </w:rPr>
              <w:t>Efecto sobre este módulo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CAT-REQ-001 v1.2 y requisitos generales v2.0</w:t>
            </w:r>
          </w:p>
        </w:tc>
        <w:tc>
          <w:tcPr>
            <w:tcW w:type="dxa" w:w="381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Línea base confirmada por el tesista; no se atribuye aquí revisión académica de la directora ni validación directa de la organización para los ajustes.</w:t>
            </w:r>
          </w:p>
        </w:tc>
        <w:tc>
          <w:tcPr>
            <w:tcW w:type="dxa" w:w="398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Son la fuente de requisitos funcionales y no funcionales del alcance.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P-01 — acceso básico</w:t>
            </w:r>
          </w:p>
        </w:tc>
        <w:tc>
          <w:tcPr>
            <w:tcW w:type="dxa" w:w="381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Cerrada para acceso básico según el catálogo.</w:t>
            </w:r>
          </w:p>
        </w:tc>
        <w:tc>
          <w:tcPr>
            <w:tcW w:type="dxa" w:w="398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No cierra la matriz detallada de permisos de cada operación de negocio.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SPEC-001 — acceso de usuarias internas</w:t>
            </w:r>
          </w:p>
        </w:tc>
        <w:tc>
          <w:tcPr>
            <w:tcW w:type="dxa" w:w="381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El índice de funcionalidades la registra confirmada, con plan aprobado y tareas planificadas; cubre acceso básico.</w:t>
            </w:r>
          </w:p>
        </w:tc>
        <w:tc>
          <w:tcPr>
            <w:tcW w:type="dxa" w:w="398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Debe conservarse y revisarse su compatibilidad al elaborar casos de uso; este documento no la reemplaza ni amplía automáticamente.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Permisos por cargo, encargo y operación</w:t>
            </w:r>
          </w:p>
        </w:tc>
        <w:tc>
          <w:tcPr>
            <w:tcW w:type="dxa" w:w="381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Requieren detalle en cada especificación de negocio.</w:t>
            </w:r>
          </w:p>
        </w:tc>
        <w:tc>
          <w:tcPr>
            <w:tcW w:type="dxa" w:w="398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No puede completarse aquí una matriz definitiva para asistencia, producción, finanzas y publicación.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Reglas de credenciales, sesión y recuperación</w:t>
            </w:r>
          </w:p>
        </w:tc>
        <w:tc>
          <w:tcPr>
            <w:tcW w:type="dxa" w:w="381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No quedan fijadas por RF-ACC-001 a RF-ACC-004.</w:t>
            </w:r>
          </w:p>
        </w:tc>
        <w:tc>
          <w:tcPr>
            <w:tcW w:type="dxa" w:w="398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Deben decidirse antes de especificar o implementar el comportamiento afectado.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Integración PWA y sincronización</w:t>
            </w:r>
          </w:p>
        </w:tc>
        <w:tc>
          <w:tcPr>
            <w:tcW w:type="dxa" w:w="381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RF-PWA-003 exige revalidar sesión, permisos y reglas en el servidor; detalles de retención y dispositivo compartido dependen de P-13/P-14.</w:t>
            </w:r>
          </w:p>
        </w:tc>
        <w:tc>
          <w:tcPr>
            <w:tcW w:type="dxa" w:w="398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 Light" w:hAnsi="Calibri Light" w:eastAsia="Calibri Light"/>
                <w:b w:val="0"/>
                <w:color w:val="222222"/>
                <w:sz w:val="15"/>
              </w:rPr>
              <w:t>La cola local no extiende permisos revocados ni elude controles al sincronizar.</w:t>
            </w:r>
          </w:p>
        </w:tc>
      </w:tr>
    </w:tbl>
    <w:p>
      <w:pPr>
        <w:pStyle w:val="Heading1"/>
        <w:keepNext/>
        <w:spacing w:before="220" w:after="100"/>
        <w:pBdr>
          <w:bottom w:val="single" w:sz="9" w:space="3" w:color="AC6E40"/>
        </w:pBdr>
      </w:pPr>
      <w:r>
        <w:rPr>
          <w:rFonts w:ascii="Georgia" w:hAnsi="Georgia" w:eastAsia="Georgia"/>
          <w:b/>
          <w:color w:val="4C5B4A"/>
          <w:sz w:val="30"/>
        </w:rPr>
        <w:t>Fuentes y trazabilidad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CAT-REQ-001 v1.2, fuente interna canónica: perfiles organizacionales, RF-ACC-001 a RF-ACC-004, requisitos de seguridad, auditoría y privacidad, e invariantes de sincronización.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Requisitos generales v2.0, edición completa en tablas.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Priorización de requisitos v1.3, clasificación de importancia aprobada por el tesista.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Índice de funcionalidades activas, estado y límite declarado de SPEC-001.</w:t>
      </w:r>
    </w:p>
    <w:p>
      <w:pPr>
        <w:pStyle w:val="ListBullet"/>
        <w:spacing w:after="60" w:line="252" w:lineRule="auto"/>
        <w:ind w:left="360" w:hanging="173"/>
      </w:pPr>
      <w:r>
        <w:rPr>
          <w:rFonts w:ascii="Calibri Light" w:hAnsi="Calibri Light" w:eastAsia="Calibri Light"/>
          <w:b w:val="0"/>
          <w:color w:val="222222"/>
          <w:sz w:val="19"/>
        </w:rPr>
        <w:t>Manual de marca Zhud Alelí suministrado por el tesista. La identidad visual de esta edición sigue también los colores y tipografías indicados directamente por él.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0EAC8"/>
            <w:tcBorders>
              <w:top w:val="single" w:sz="10" w:space="0" w:color="AC6E40"/>
              <w:left w:val="single" w:sz="10" w:space="0" w:color="AC6E40"/>
              <w:bottom w:val="single" w:sz="10" w:space="0" w:color="AC6E40"/>
              <w:right w:val="single" w:sz="10" w:space="0" w:color="AC6E40"/>
              <w:insideH w:val="single" w:sz="10" w:space="0" w:color="AC6E40"/>
              <w:insideV w:val="single" w:sz="10" w:space="0" w:color="AC6E40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 Light" w:hAnsi="Calibri Light" w:eastAsia="Calibri Light"/>
                <w:b/>
                <w:color w:val="642138"/>
                <w:sz w:val="18"/>
              </w:rPr>
              <w:t xml:space="preserve">PUERTA DE AVANCE  </w:t>
            </w:r>
            <w:r>
              <w:rPr>
                <w:rFonts w:ascii="Calibri Light" w:hAnsi="Calibri Light" w:eastAsia="Calibri Light"/>
                <w:b w:val="0"/>
                <w:color w:val="222222"/>
                <w:sz w:val="18"/>
              </w:rPr>
              <w:t>Este entregable permanece en borrador hasta que el tesista revise y apruebe el alcance. Después se elaborarán los casos de uso detallados de este módulo. No se inicia otro módulo antes de cerrar la secuencia solicitada.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864" w:left="1008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pBdr>
        <w:top w:val="single" w:sz="8" w:space="4" w:color="AC6E40"/>
      </w:pBdr>
      <w:jc w:val="right"/>
    </w:pPr>
    <w:r>
      <w:rPr>
        <w:rFonts w:ascii="Calibri Light" w:hAnsi="Calibri Light" w:eastAsia="Calibri Light"/>
        <w:b w:val="0"/>
        <w:color w:val="642138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35"/>
      <w:gridCol w:w="9058"/>
    </w:tblGrid>
    <w:tr>
      <w:tc>
        <w:tcPr>
          <w:tcW w:type="dxa" w:w="835"/>
          <w:vAlign w:val="center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  <w:insideH w:val="single" w:sz="0" w:space="0" w:color="F0EAC8"/>
            <w:insideV w:val="single" w:sz="0" w:space="0" w:color="F0EAC8"/>
          </w:tcBorders>
          <w:tcMar>
            <w:top w:w="20" w:type="dxa"/>
            <w:start w:w="20" w:type="dxa"/>
            <w:bottom w:w="45" w:type="dxa"/>
            <w:end w:w="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393192" cy="51616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ran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192" cy="51616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058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  <w:insideH w:val="single" w:sz="0" w:space="0" w:color="F0EAC8"/>
            <w:insideV w:val="single" w:sz="0" w:space="0" w:color="F0EAC8"/>
          </w:tcBorders>
          <w:tcMar>
            <w:top w:w="20" w:type="dxa"/>
            <w:start w:w="20" w:type="dxa"/>
            <w:bottom w:w="45" w:type="dxa"/>
            <w:end w:w="20" w:type="dxa"/>
          </w:tcMar>
        </w:tcPr>
        <w:p>
          <w:pPr>
            <w:spacing w:after="0"/>
            <w:jc w:val="right"/>
          </w:pPr>
          <w:r>
            <w:rPr>
              <w:rFonts w:ascii="Calibri Light" w:hAnsi="Calibri Light" w:eastAsia="Calibri Light"/>
              <w:b/>
              <w:color w:val="4C5B4A"/>
              <w:sz w:val="16"/>
            </w:rPr>
            <w:t>ZHUD ALELÍ  |  ZA-ALC-001  |  ALCANCE DEL MÓDULO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 Light" w:hAnsi="Calibri Light" w:eastAsia="Calibri Light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4C5B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6421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color w:val="4C5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ZA-ALC-001 Alcance del módulo de acceso de usuarias y roles</dc:title>
  <dc:subject>Fase 1 — Alcance del módulo</dc:subject>
  <dc:creator>Franklin Acero</dc:creator>
  <cp:keywords>Zhud Alelí, requisitos, acceso, roles, alcance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