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Insight Trader: Copiloto de Trading Explicable</w:t>
      </w:r>
    </w:p>
    <w:p>
      <w:pPr>
        <w:pStyle w:val="Heading3"/>
      </w:pPr>
      <w:r>
        <w:t>Informe tecnico de propuesta e implementacion</w:t>
      </w:r>
    </w:p>
    <w:p>
      <w:r>
        <w:rPr>
          <w:b/>
        </w:rPr>
        <w:t>Autora:</w:t>
      </w:r>
      <w:r>
        <w:t xml:space="preserve"> Francisca Alarcon Saldana</w:t>
      </w:r>
    </w:p>
    <w:p>
      <w:r>
        <w:rPr>
          <w:b/>
        </w:rPr>
        <w:t>Asignatura:</w:t>
      </w:r>
      <w:r>
        <w:t xml:space="preserve"> ISY0101 - Ingenieria de Soluciones con IA</w:t>
      </w:r>
    </w:p>
    <w:p>
      <w:r>
        <w:rPr>
          <w:b/>
        </w:rPr>
        <w:t>Evaluacion:</w:t>
      </w:r>
      <w:r>
        <w:t xml:space="preserve"> Diseno e implementacion de solucion con agentes de IA</w:t>
      </w:r>
    </w:p>
    <w:p>
      <w:pPr>
        <w:pStyle w:val="Heading2"/>
      </w:pPr>
      <w:r>
        <w:t>1. Analisis del caso organizacional</w:t>
      </w:r>
    </w:p>
    <w:p>
      <w:r>
        <w:rPr>
          <w:b/>
        </w:rPr>
        <w:t>Organizacion:</w:t>
      </w:r>
      <w:r>
        <w:t xml:space="preserve"> Fintech de inversion asistida por IA (caso representativo del</w:t>
      </w:r>
    </w:p>
    <w:p>
      <w:r>
        <w:t>sector, con preferencia por un contexto real de la industria de wealthtech</w:t>
      </w:r>
    </w:p>
    <w:p>
      <w:r>
        <w:t>retail y boutique).</w:t>
      </w:r>
    </w:p>
    <w:p>
      <w:r>
        <w:rPr>
          <w:b/>
        </w:rPr>
        <w:t>Rubro y contexto:</w:t>
      </w:r>
      <w:r>
        <w:t xml:space="preserve"> Servicios financieros digitales (fintech), segmento de</w:t>
      </w:r>
    </w:p>
    <w:p>
      <w:r>
        <w:t>herramientas de inversion asistida por inteligencia artificial dirigidas a</w:t>
      </w:r>
    </w:p>
    <w:p>
      <w:r>
        <w:t>inversionistas retail y gestores de fondos boutique.</w:t>
      </w:r>
    </w:p>
    <w:p>
      <w:r>
        <w:rPr>
          <w:b/>
        </w:rPr>
        <w:t>Problema:</w:t>
      </w:r>
      <w:r>
        <w:t xml:space="preserve"> Los clientes de este tipo de fintech reciben recomendaciones de</w:t>
      </w:r>
    </w:p>
    <w:p>
      <w:r>
        <w:t>trading (comprar, vender, mantener) generadas por modelos de IA, pero sin</w:t>
      </w:r>
    </w:p>
    <w:p>
      <w:r>
        <w:t xml:space="preserve">entender </w:t>
      </w:r>
      <w:r>
        <w:rPr>
          <w:i/>
        </w:rPr>
        <w:t>por que</w:t>
      </w:r>
      <w:r>
        <w:t xml:space="preserve"> el sistema sugiere esa accion. Esta falta de trazabilidad</w:t>
      </w:r>
    </w:p>
    <w:p>
      <w:r>
        <w:t>genera tres impactos concretos:</w:t>
      </w:r>
    </w:p>
    <w:p>
      <w:pPr>
        <w:pStyle w:val="ListNumber"/>
      </w:pPr>
      <w:r>
        <w:rPr>
          <w:b/>
        </w:rPr>
        <w:t>Desconfianza del cliente</w:t>
      </w:r>
      <w:r>
        <w:t>, que reduce la adopcion y retencion del</w:t>
      </w:r>
    </w:p>
    <w:p>
      <w:r>
        <w:t xml:space="preserve">   producto.</w:t>
      </w:r>
    </w:p>
    <w:p>
      <w:pPr>
        <w:pStyle w:val="ListNumber"/>
      </w:pPr>
      <w:r>
        <w:rPr>
          <w:b/>
        </w:rPr>
        <w:t>Riesgo de incumplimiento regulatorio</w:t>
      </w:r>
      <w:r>
        <w:t>, ya que las normativas de</w:t>
      </w:r>
    </w:p>
    <w:p>
      <w:r>
        <w:t xml:space="preserve">   transparencia algoritmica en servicios financieros (ej. requisitos de</w:t>
      </w:r>
    </w:p>
    <w:p>
      <w:r>
        <w:t xml:space="preserve">   explicabilidad de modelos que afectan decisiones de inversion) exigen poder</w:t>
      </w:r>
    </w:p>
    <w:p>
      <w:r>
        <w:t xml:space="preserve">   justificar una recomendacion ante clientes y auditores.</w:t>
      </w:r>
    </w:p>
    <w:p>
      <w:pPr>
        <w:pStyle w:val="ListNumber"/>
      </w:pPr>
      <w:r>
        <w:rPr>
          <w:b/>
        </w:rPr>
        <w:t>Barrera de adopcion en segmentos profesionales</w:t>
      </w:r>
      <w:r>
        <w:t>, ya que gestores de</w:t>
      </w:r>
    </w:p>
    <w:p>
      <w:r>
        <w:t xml:space="preserve">   fondos boutique necesitan poder defender cada decision ante sus propios</w:t>
      </w:r>
    </w:p>
    <w:p>
      <w:r>
        <w:t xml:space="preserve">   clientes finales.</w:t>
      </w:r>
    </w:p>
    <w:p>
      <w:r>
        <w:rPr>
          <w:b/>
        </w:rPr>
        <w:t>Objetivos de la intervencion:</w:t>
      </w:r>
    </w:p>
    <w:p>
      <w:pPr>
        <w:pStyle w:val="ListBullet"/>
      </w:pPr>
      <w:r>
        <w:t>O1: Generar recomendaciones de trading (comprar/vender/mantener) que citen</w:t>
      </w:r>
    </w:p>
    <w:p>
      <w:r>
        <w:t xml:space="preserve">  explicitamente los datos concretos (cifras de mercado, perfil de riesgo) que</w:t>
      </w:r>
    </w:p>
    <w:p>
      <w:r>
        <w:t xml:space="preserve">  las respaldan.</w:t>
      </w:r>
    </w:p>
    <w:p>
      <w:pPr>
        <w:pStyle w:val="ListBullet"/>
      </w:pPr>
      <w:r>
        <w:t>O2: Cruzar automaticamente el perfil de riesgo declarado por el cliente con</w:t>
      </w:r>
    </w:p>
    <w:p>
      <w:r>
        <w:t xml:space="preserve">  las condiciones de mercado vigentes del activo consultado, antes de emitir</w:t>
      </w:r>
    </w:p>
    <w:p>
      <w:r>
        <w:t xml:space="preserve">  una recomendacion.</w:t>
      </w:r>
    </w:p>
    <w:p>
      <w:pPr>
        <w:pStyle w:val="ListBullet"/>
      </w:pPr>
      <w:r>
        <w:t>O3: Mantener una arquitectura auditable, donde cada respuesta pueda</w:t>
      </w:r>
    </w:p>
    <w:p>
      <w:r>
        <w:t xml:space="preserve">  trazarse hasta las fuentes de datos (internas y externas) que la originaron.</w:t>
      </w:r>
    </w:p>
    <w:p>
      <w:r>
        <w:rPr>
          <w:b/>
        </w:rPr>
        <w:t>Datos disponibles o simulados:</w:t>
      </w:r>
      <w:r>
        <w:t xml:space="preserve"> Para esta evaluacion se simulan los cuatro</w:t>
      </w:r>
    </w:p>
    <w:p>
      <w:r>
        <w:t>insumos de datos que la fintech ya posee o puede obtener via integraciones: (a)</w:t>
      </w:r>
    </w:p>
    <w:p>
      <w:r>
        <w:t>portafolio y perfil de riesgo del cliente, (b) historial de transacciones, (c)</w:t>
      </w:r>
    </w:p>
    <w:p>
      <w:r>
        <w:t>datos de mercado en tiempo real (con formato analogo a un oraculo de precios</w:t>
      </w:r>
    </w:p>
    <w:p>
      <w:r>
        <w:t>tipo Chainlink Price Feeds) y (d) noticias financieras con sentimiento. Los</w:t>
      </w:r>
    </w:p>
    <w:p>
      <w:r>
        <w:t xml:space="preserve">archivos JSON de datos simulados estan en </w:t>
      </w:r>
      <w:r>
        <w:rPr>
          <w:rFonts w:ascii="Consolas" w:hAnsi="Consolas"/>
        </w:rPr>
        <w:t>src/insight_trader/data/</w:t>
      </w:r>
      <w:r>
        <w:t>.</w:t>
      </w:r>
    </w:p>
    <w:p>
      <w:r>
        <w:rPr>
          <w:b/>
        </w:rPr>
        <w:t>Restricciones y requerimientos particulares:</w:t>
      </w:r>
    </w:p>
    <w:p>
      <w:pPr>
        <w:pStyle w:val="ListBullet"/>
      </w:pPr>
      <w:r>
        <w:t>El sistema no debe inventar cifras: toda afirmacion numerica en la</w:t>
      </w:r>
    </w:p>
    <w:p>
      <w:r>
        <w:t xml:space="preserve">  recomendacion debe provenir de datos efectivamente recuperados (requisito de</w:t>
      </w:r>
    </w:p>
    <w:p>
      <w:r>
        <w:t xml:space="preserve">  explicabilidad/transparencia algoritmica).</w:t>
      </w:r>
    </w:p>
    <w:p>
      <w:pPr>
        <w:pStyle w:val="ListBullet"/>
      </w:pPr>
      <w:r>
        <w:t>La recomendacion debe respetar el perfil de riesgo declarado por el cliente</w:t>
      </w:r>
    </w:p>
    <w:p>
      <w:r>
        <w:t xml:space="preserve">  (regla de negocio: si la volatilidad del activo excede la tolerancia de</w:t>
      </w:r>
    </w:p>
    <w:p>
      <w:r>
        <w:t xml:space="preserve">  drawdown del cliente, se debe priorizar preservacion de capital).</w:t>
      </w:r>
    </w:p>
    <w:p>
      <w:pPr>
        <w:pStyle w:val="ListBullet"/>
      </w:pPr>
      <w:r>
        <w:t>La solucion debe ser reproducible sin costo de API para fines de evaluacion</w:t>
      </w:r>
    </w:p>
    <w:p>
      <w:r>
        <w:t xml:space="preserve">  academica (se implemento con un LLM simulado por defecto, con interfaz</w:t>
      </w:r>
    </w:p>
    <w:p>
      <w:r>
        <w:t xml:space="preserve">  intercambiable a un proveedor real).</w:t>
      </w:r>
    </w:p>
    <w:p>
      <w:r>
        <w:rPr>
          <w:b/>
        </w:rPr>
        <w:t>Motivacion para el uso de agentes de IA, LLMs y RAG:</w:t>
      </w:r>
      <w:r>
        <w:t xml:space="preserve"> Un unico LLM</w:t>
      </w:r>
    </w:p>
    <w:p>
      <w:r>
        <w:t>consultado directamente sobre el portafolio del cliente no puede garantizar</w:t>
      </w:r>
    </w:p>
    <w:p>
      <w:r>
        <w:t>que las cifras citadas sean reales ni que se hayan considerado ambas fuentes de</w:t>
      </w:r>
    </w:p>
    <w:p>
      <w:r>
        <w:t>informacion (interna y externa) de forma sistematica. Una arquitectura de</w:t>
      </w:r>
    </w:p>
    <w:p>
      <w:r>
        <w:t>agentes con RAG permite: (1) separar la recuperacion de evidencia verificable</w:t>
      </w:r>
    </w:p>
    <w:p>
      <w:r>
        <w:t>de la generacion de lenguaje natural, (2) aplicar logica de negocio</w:t>
      </w:r>
    </w:p>
    <w:p>
      <w:r>
        <w:t>determinista (cruce riesgo-mercado) de forma confiable antes de la generacion,</w:t>
      </w:r>
    </w:p>
    <w:p>
      <w:r>
        <w:t>y (3) mantener trazabilidad de cada fuente citada, condiciones necesarias para</w:t>
      </w:r>
    </w:p>
    <w:p>
      <w:r>
        <w:t>cumplir los objetivos O1-O3.</w:t>
      </w:r>
    </w:p>
    <w:p>
      <w:pPr>
        <w:pStyle w:val="Heading2"/>
      </w:pPr>
      <w:r>
        <w:t>2. Formulacion de prompts</w:t>
      </w:r>
    </w:p>
    <w:p>
      <w:r>
        <w:t>El diseno de prompts se detalla extensamente en [</w:t>
      </w:r>
      <w:r>
        <w:rPr>
          <w:rFonts w:ascii="Consolas" w:hAnsi="Consolas"/>
        </w:rPr>
        <w:t>docs/prompts.md</w:t>
      </w:r>
      <w:r>
        <w:t>](prompts.md).</w:t>
      </w:r>
    </w:p>
    <w:p>
      <w:r>
        <w:t>En sintesis, el prompt del Agente Generador:</w:t>
      </w:r>
    </w:p>
    <w:p>
      <w:pPr>
        <w:pStyle w:val="ListNumber"/>
      </w:pPr>
      <w:r>
        <w:t>Fija el rol del sistema y una restriccion explicita anti-alucinacion</w:t>
      </w:r>
    </w:p>
    <w:p>
      <w:r>
        <w:t xml:space="preserve">   ("Nunca inventes cifras: usa solo los datos entregados abajo"), directamente</w:t>
      </w:r>
    </w:p>
    <w:p>
      <w:r>
        <w:t xml:space="preserve">   alineada con el requerimiento regulatorio de transparencia algoritmica.</w:t>
      </w:r>
    </w:p>
    <w:p>
      <w:pPr>
        <w:pStyle w:val="ListNumber"/>
      </w:pPr>
      <w:r>
        <w:t>Separa visualmente el contexto interno del externo, para permitir auditar</w:t>
      </w:r>
    </w:p>
    <w:p>
      <w:r>
        <w:t xml:space="preserve">   el origen de cada dato citado.</w:t>
      </w:r>
    </w:p>
    <w:p>
      <w:pPr>
        <w:pStyle w:val="ListNumber"/>
      </w:pPr>
      <w:r>
        <w:t>Aisla las cifras calculadas por el Agente de Analisis en un namespace propio</w:t>
      </w:r>
    </w:p>
    <w:p>
      <w:r>
        <w:t xml:space="preserve">   (</w:t>
      </w:r>
      <w:r>
        <w:rPr>
          <w:rFonts w:ascii="Consolas" w:hAnsi="Consolas"/>
        </w:rPr>
        <w:t>senal_*</w:t>
      </w:r>
      <w:r>
        <w:t>) para evitar ambiguedad cuando el contexto recuperado contiene</w:t>
      </w:r>
    </w:p>
    <w:p>
      <w:r>
        <w:t xml:space="preserve">   multiples cifras similares.</w:t>
      </w:r>
    </w:p>
    <w:p>
      <w:pPr>
        <w:pStyle w:val="ListNumber"/>
      </w:pPr>
      <w:r>
        <w:t>Enumera instrucciones de salida verificables: recomendacion clara de tres</w:t>
      </w:r>
    </w:p>
    <w:p>
      <w:r>
        <w:t xml:space="preserve">   opciones, cita obligatoria de al menos una cifra concreta, y una regla de</w:t>
      </w:r>
    </w:p>
    <w:p>
      <w:r>
        <w:t xml:space="preserve">   negocio condicional que traduce el perfil de riesgo del cliente en una</w:t>
      </w:r>
    </w:p>
    <w:p>
      <w:r>
        <w:t xml:space="preserve">   restriccion de generacion.</w:t>
      </w:r>
    </w:p>
    <w:p>
      <w:r>
        <w:t>Las consultas de recuperacion tambien se formulan de forma diferenciada segun</w:t>
      </w:r>
    </w:p>
    <w:p>
      <w:r>
        <w:t>la fuente (vocabulario de portafolio/riesgo vs. vocabulario de mercado/noticias)</w:t>
      </w:r>
    </w:p>
    <w:p>
      <w:r>
        <w:t>y se combinan con un filtro obligatorio por ticker, decision que se tomo tras</w:t>
      </w:r>
    </w:p>
    <w:p>
      <w:r>
        <w:t>detectar en las pruebas que el embedding liviano por si solo no discriminaba</w:t>
      </w:r>
    </w:p>
    <w:p>
      <w:r>
        <w:t>con precision suficiente entre activos de vocabulario similar (ver seccion 5).</w:t>
      </w:r>
    </w:p>
    <w:p>
      <w:pPr>
        <w:pStyle w:val="Heading2"/>
      </w:pPr>
      <w:r>
        <w:t>3. Diseno e implementacion del pipeline RAG</w:t>
      </w:r>
    </w:p>
    <w:p>
      <w:r>
        <w:t>El pipeline RAG (</w:t>
      </w:r>
      <w:r>
        <w:rPr>
          <w:rFonts w:ascii="Consolas" w:hAnsi="Consolas"/>
        </w:rPr>
        <w:t>src/insight_trader/rag/</w:t>
      </w:r>
      <w:r>
        <w:t>) integra dos fuentes de datos en</w:t>
      </w:r>
    </w:p>
    <w:p>
      <w:r>
        <w:t xml:space="preserve">indices vectoriales independientes, construidos con </w:t>
      </w:r>
      <w:r>
        <w:rPr>
          <w:b/>
        </w:rPr>
        <w:t>FAISS</w:t>
      </w:r>
      <w:r>
        <w:t xml:space="preserve"> a traves de</w:t>
      </w:r>
    </w:p>
    <w:p>
      <w:r>
        <w:rPr>
          <w:b/>
        </w:rPr>
        <w:t>LangChain</w:t>
      </w:r>
      <w:r>
        <w:t>:</w:t>
      </w:r>
    </w:p>
    <w:p>
      <w:pPr>
        <w:pStyle w:val="ListBullet"/>
      </w:pPr>
      <w:r>
        <w:rPr>
          <w:b/>
        </w:rPr>
        <w:t>Indice interno</w:t>
      </w:r>
      <w:r>
        <w:t xml:space="preserve">: documentos generados a partir de </w:t>
      </w:r>
      <w:r>
        <w:rPr>
          <w:rFonts w:ascii="Consolas" w:hAnsi="Consolas"/>
        </w:rPr>
        <w:t>portfolio.json</w:t>
      </w:r>
    </w:p>
    <w:p>
      <w:r>
        <w:t xml:space="preserve">  (perfil de riesgo y posiciones) y </w:t>
      </w:r>
      <w:r>
        <w:rPr>
          <w:rFonts w:ascii="Consolas" w:hAnsi="Consolas"/>
        </w:rPr>
        <w:t>transactions.json</w:t>
      </w:r>
      <w:r>
        <w:t xml:space="preserve"> (historial), con</w:t>
      </w:r>
    </w:p>
    <w:p>
      <w:r>
        <w:t xml:space="preserve">  metadata </w:t>
      </w:r>
      <w:r>
        <w:rPr>
          <w:rFonts w:ascii="Consolas" w:hAnsi="Consolas"/>
        </w:rPr>
        <w:t>{type, ticker}</w:t>
      </w:r>
      <w:r>
        <w:t xml:space="preserve"> por documento.</w:t>
      </w:r>
    </w:p>
    <w:p>
      <w:pPr>
        <w:pStyle w:val="ListBullet"/>
      </w:pPr>
      <w:r>
        <w:rPr>
          <w:b/>
        </w:rPr>
        <w:t>Indice externo</w:t>
      </w:r>
      <w:r>
        <w:t xml:space="preserve">: documentos generados a partir de </w:t>
      </w:r>
      <w:r>
        <w:rPr>
          <w:rFonts w:ascii="Consolas" w:hAnsi="Consolas"/>
        </w:rPr>
        <w:t>market_data.json</w:t>
      </w:r>
    </w:p>
    <w:p>
      <w:r>
        <w:t xml:space="preserve">  (precios y volatilidad estilo Chainlink) y </w:t>
      </w:r>
      <w:r>
        <w:rPr>
          <w:rFonts w:ascii="Consolas" w:hAnsi="Consolas"/>
        </w:rPr>
        <w:t>news.json</w:t>
      </w:r>
      <w:r>
        <w:t xml:space="preserve"> (noticias con</w:t>
      </w:r>
    </w:p>
    <w:p>
      <w:r>
        <w:t xml:space="preserve">  sentimiento), con la misma metadata.</w:t>
      </w:r>
    </w:p>
    <w:p>
      <w:r>
        <w:rPr>
          <w:b/>
        </w:rPr>
        <w:t>Flujo de recuperacion (hibrido):</w:t>
      </w:r>
    </w:p>
    <w:p>
      <w:pPr>
        <w:pStyle w:val="ListNumber"/>
      </w:pPr>
      <w:r>
        <w:t xml:space="preserve">El </w:t>
      </w:r>
      <w:r>
        <w:rPr>
          <w:rFonts w:ascii="Consolas" w:hAnsi="Consolas"/>
        </w:rPr>
        <w:t>RetrievalAgent</w:t>
      </w:r>
      <w:r>
        <w:t xml:space="preserve"> recibe </w:t>
      </w:r>
      <w:r>
        <w:rPr>
          <w:rFonts w:ascii="Consolas" w:hAnsi="Consolas"/>
        </w:rPr>
        <w:t>(ticker, pregunta)</w:t>
      </w:r>
      <w:r>
        <w:t xml:space="preserve"> y construye una consulta</w:t>
      </w:r>
    </w:p>
    <w:p>
      <w:r>
        <w:t xml:space="preserve">   textual por fuente.</w:t>
      </w:r>
    </w:p>
    <w:p>
      <w:pPr>
        <w:pStyle w:val="ListNumber"/>
      </w:pPr>
      <w:r>
        <w:rPr>
          <w:rFonts w:ascii="Consolas" w:hAnsi="Consolas"/>
        </w:rPr>
        <w:t>RAGRetriever._filter_and_rank</w:t>
      </w:r>
      <w:r>
        <w:t xml:space="preserve"> primero </w:t>
      </w:r>
      <w:r>
        <w:rPr>
          <w:b/>
        </w:rPr>
        <w:t>filtra por metadata</w:t>
      </w:r>
      <w:r>
        <w:t xml:space="preserve"> (documentos</w:t>
      </w:r>
    </w:p>
    <w:p>
      <w:r>
        <w:t xml:space="preserve">   cuyo </w:t>
      </w:r>
      <w:r>
        <w:rPr>
          <w:rFonts w:ascii="Consolas" w:hAnsi="Consolas"/>
        </w:rPr>
        <w:t>ticker</w:t>
      </w:r>
      <w:r>
        <w:t xml:space="preserve"> coincide con el consultado, o documentos generales sin ticker</w:t>
      </w:r>
    </w:p>
    <w:p>
      <w:r>
        <w:t xml:space="preserve">   como el perfil de riesgo), y luego </w:t>
      </w:r>
      <w:r>
        <w:rPr>
          <w:b/>
        </w:rPr>
        <w:t>ordena por similitud semantica</w:t>
      </w:r>
      <w:r>
        <w:t xml:space="preserve"> dentro</w:t>
      </w:r>
    </w:p>
    <w:p>
      <w:r>
        <w:t xml:space="preserve">   de ese subconjunto ya acotado.</w:t>
      </w:r>
    </w:p>
    <w:p>
      <w:pPr>
        <w:pStyle w:val="ListNumber"/>
      </w:pPr>
      <w:r>
        <w:t xml:space="preserve">El resultado son </w:t>
      </w:r>
      <w:r>
        <w:rPr>
          <w:i/>
        </w:rPr>
        <w:t>chunks</w:t>
      </w:r>
      <w:r>
        <w:t xml:space="preserve"> citables (oraciones autocontenidas con cifras),</w:t>
      </w:r>
    </w:p>
    <w:p>
      <w:r>
        <w:t xml:space="preserve">   que se pasan intactos al Agente Generador junto con la senal del Agente de</w:t>
      </w:r>
    </w:p>
    <w:p>
      <w:r>
        <w:t xml:space="preserve">   Analisis.</w:t>
      </w:r>
    </w:p>
    <w:p>
      <w:r>
        <w:rPr>
          <w:b/>
        </w:rPr>
        <w:t>Decision tecnica documentada:</w:t>
      </w:r>
      <w:r>
        <w:t xml:space="preserve"> los embeddings usados (</w:t>
      </w:r>
      <w:r>
        <w:rPr>
          <w:rFonts w:ascii="Consolas" w:hAnsi="Consolas"/>
        </w:rPr>
        <w:t>rag/embeddings.py</w:t>
      </w:r>
      <w:r>
        <w:t>,</w:t>
      </w:r>
    </w:p>
    <w:p>
      <w:r>
        <w:rPr>
          <w:rFonts w:ascii="Consolas" w:hAnsi="Consolas"/>
        </w:rPr>
        <w:t>rag/vector_store.py</w:t>
      </w:r>
      <w:r>
        <w:t>) son deterministas (hashing de palabras) en vez de un</w:t>
      </w:r>
    </w:p>
    <w:p>
      <w:r>
        <w:t>modelo neuronal, para que el pipeline sea 100% offline, gratuito y</w:t>
      </w:r>
    </w:p>
    <w:p>
      <w:r>
        <w:t>reproducible en cualquier entorno de evaluacion, sin depender de descargas de</w:t>
      </w:r>
    </w:p>
    <w:p>
      <w:r>
        <w:t>modelos ni API keys. Esta eleccion tiene una limitacion conocida -baja</w:t>
      </w:r>
    </w:p>
    <w:p>
      <w:r>
        <w:t>capacidad de discriminacion semantica fina entre documentos con vocabulario muy</w:t>
      </w:r>
    </w:p>
    <w:p>
      <w:r>
        <w:t>similar-, que se mitiga con el filtro por metadata descrito arriba. La interfaz</w:t>
      </w:r>
    </w:p>
    <w:p>
      <w:r>
        <w:t xml:space="preserve">de </w:t>
      </w:r>
      <w:r>
        <w:rPr>
          <w:rFonts w:ascii="Consolas" w:hAnsi="Consolas"/>
        </w:rPr>
        <w:t>Embeddings</w:t>
      </w:r>
      <w:r>
        <w:t xml:space="preserve"> de LangChain se respeta integramente, por lo que en produccion</w:t>
      </w:r>
    </w:p>
    <w:p>
      <w:r>
        <w:t xml:space="preserve">basta con sustituir </w:t>
      </w:r>
      <w:r>
        <w:rPr>
          <w:rFonts w:ascii="Consolas" w:hAnsi="Consolas"/>
        </w:rPr>
        <w:t>DeterministicEmbeddings</w:t>
      </w:r>
      <w:r>
        <w:t xml:space="preserve"> por </w:t>
      </w:r>
      <w:r>
        <w:rPr>
          <w:rFonts w:ascii="Consolas" w:hAnsi="Consolas"/>
        </w:rPr>
        <w:t>OpenAIEmbeddings</w:t>
      </w:r>
      <w:r>
        <w:t xml:space="preserve"> o</w:t>
      </w:r>
    </w:p>
    <w:p>
      <w:r>
        <w:rPr>
          <w:rFonts w:ascii="Consolas" w:hAnsi="Consolas"/>
        </w:rPr>
        <w:t>HuggingFaceEmbeddings</w:t>
      </w:r>
      <w:r>
        <w:t xml:space="preserve"> sin modificar el resto del pipeline.</w:t>
      </w:r>
    </w:p>
    <w:p>
      <w:pPr>
        <w:pStyle w:val="Heading2"/>
      </w:pPr>
      <w:r>
        <w:t>4. Arquitectura de la solucion</w:t>
      </w:r>
    </w:p>
    <w:p>
      <w:r>
        <w:t>Ver diagrama completo en [</w:t>
      </w:r>
      <w:r>
        <w:rPr>
          <w:rFonts w:ascii="Consolas" w:hAnsi="Consolas"/>
        </w:rPr>
        <w:t>docs/architecture.md</w:t>
      </w:r>
      <w:r>
        <w:t>](architecture.md).</w:t>
      </w:r>
    </w:p>
    <w:p>
      <w:r>
        <w:rPr>
          <w:rFonts w:ascii="Consolas" w:hAnsi="Consolas"/>
          <w:sz w:val="17"/>
        </w:rPr>
        <w:t>Pregunta del cliente</w:t>
        <w:br/>
        <w:t xml:space="preserve">        |</w:t>
        <w:br/>
        <w:t xml:space="preserve">        v</w:t>
        <w:br/>
        <w:t>Agente Orquestador (TradingCopilotOrchestrator)</w:t>
        <w:br/>
        <w:t xml:space="preserve">        |</w:t>
        <w:br/>
        <w:t xml:space="preserve">        +--&gt; Agente de Recuperacion --&gt; RAG dual (FAISS interno / FAISS externo)</w:t>
        <w:br/>
        <w:t xml:space="preserve">        |                                       |</w:t>
        <w:br/>
        <w:t xml:space="preserve">        |                          Fuentes internas: portafolio, riesgo, transacciones</w:t>
        <w:br/>
        <w:t xml:space="preserve">        |                          Fuentes externas: mercado (Chainlink-like), noticias</w:t>
        <w:br/>
        <w:t xml:space="preserve">        |</w:t>
        <w:br/>
        <w:t xml:space="preserve">        +--&gt; Agente de Analisis --&gt; cruza perfil de riesgo x condiciones de mercado</w:t>
        <w:br/>
        <w:t xml:space="preserve">        |</w:t>
        <w:br/>
        <w:t xml:space="preserve">        +--&gt; Agente Generador --&gt; prompt con datos citados --&gt; LLM (Mock / Anthropic)</w:t>
        <w:br/>
        <w:t xml:space="preserve">        |</w:t>
        <w:br/>
        <w:t xml:space="preserve">        v</w:t>
        <w:br/>
        <w:t>Respuesta: recomendacion + justificacion + fuentes citadas</w:t>
      </w:r>
    </w:p>
    <w:p>
      <w:r>
        <w:t>Los cuatro componentes (orquestador, recuperacion, analisis, generacion) estan</w:t>
      </w:r>
    </w:p>
    <w:p>
      <w:r>
        <w:t>implementados como clases independientes con responsabilidad unica, comunicadas</w:t>
      </w:r>
    </w:p>
    <w:p>
      <w:r>
        <w:t>mediante estructuras de datos tipadas (</w:t>
      </w:r>
      <w:r>
        <w:rPr>
          <w:rFonts w:ascii="Consolas" w:hAnsi="Consolas"/>
        </w:rPr>
        <w:t>RetrievedChunk</w:t>
      </w:r>
      <w:r>
        <w:t xml:space="preserve">, </w:t>
      </w:r>
      <w:r>
        <w:rPr>
          <w:rFonts w:ascii="Consolas" w:hAnsi="Consolas"/>
        </w:rPr>
        <w:t>RiskMarketSignal</w:t>
      </w:r>
      <w:r>
        <w:t>,</w:t>
      </w:r>
    </w:p>
    <w:p>
      <w:r>
        <w:rPr>
          <w:rFonts w:ascii="Consolas" w:hAnsi="Consolas"/>
        </w:rPr>
        <w:t>CopilotResponse</w:t>
      </w:r>
      <w:r>
        <w:t>), lo que permite testear cada agente de forma aislada (ver</w:t>
      </w:r>
    </w:p>
    <w:p>
      <w:r>
        <w:t>seccion 5) y reemplazar cualquier componente (ej. el LLM o el vector store) sin</w:t>
      </w:r>
    </w:p>
    <w:p>
      <w:r>
        <w:t>modificar los demas.</w:t>
      </w:r>
    </w:p>
    <w:p>
      <w:pPr>
        <w:pStyle w:val="Heading2"/>
      </w:pPr>
      <w:r>
        <w:t>5. Documentacion tecnica: pruebas y conclusiones</w:t>
      </w:r>
    </w:p>
    <w:p>
      <w:r>
        <w:rPr>
          <w:b/>
        </w:rPr>
        <w:t>Pruebas automatizadas</w:t>
      </w:r>
      <w:r>
        <w:t xml:space="preserve"> (</w:t>
      </w:r>
      <w:r>
        <w:rPr>
          <w:rFonts w:ascii="Consolas" w:hAnsi="Consolas"/>
        </w:rPr>
        <w:t>tests/</w:t>
      </w:r>
      <w:r>
        <w:t xml:space="preserve">, ejecutadas con </w:t>
      </w:r>
      <w:r>
        <w:rPr>
          <w:rFonts w:ascii="Consolas" w:hAnsi="Consolas"/>
        </w:rPr>
        <w:t>pytest</w:t>
      </w:r>
      <w:r>
        <w:t>, 9/9 exitosas):</w:t>
      </w:r>
    </w:p>
    <w:p>
      <w:pPr>
        <w:pStyle w:val="ListBullet"/>
      </w:pPr>
      <w:r>
        <w:rPr>
          <w:rFonts w:ascii="Consolas" w:hAnsi="Consolas"/>
        </w:rPr>
        <w:t>test_retriever.py</w:t>
      </w:r>
      <w:r>
        <w:t>: valida que la recuperacion interna y externa devuelva</w:t>
      </w:r>
    </w:p>
    <w:p>
      <w:r>
        <w:t xml:space="preserve">  resultados relevantes al ticker consultado.</w:t>
      </w:r>
    </w:p>
    <w:p>
      <w:pPr>
        <w:pStyle w:val="ListBullet"/>
      </w:pPr>
      <w:r>
        <w:rPr>
          <w:rFonts w:ascii="Consolas" w:hAnsi="Consolas"/>
        </w:rPr>
        <w:t>test_analysis_agent.py</w:t>
      </w:r>
      <w:r>
        <w:t>: valida que el cruce riesgo-mercado marque</w:t>
      </w:r>
    </w:p>
    <w:p>
      <w:r>
        <w:t xml:space="preserve">  correctamente activos cuya volatilidad excede la tolerancia del cliente (ej.</w:t>
      </w:r>
    </w:p>
    <w:p>
      <w:r>
        <w:t xml:space="preserve">  ETH, volatilidad 24.6% &gt; tolerancia 12%) y no marque activos estables (ej.</w:t>
      </w:r>
    </w:p>
    <w:p>
      <w:r>
        <w:t xml:space="preserve">  BND, volatilidad 1.2%).</w:t>
      </w:r>
    </w:p>
    <w:p>
      <w:pPr>
        <w:pStyle w:val="ListBullet"/>
      </w:pPr>
      <w:r>
        <w:rPr>
          <w:rFonts w:ascii="Consolas" w:hAnsi="Consolas"/>
        </w:rPr>
        <w:t>test_orchestrator.py</w:t>
      </w:r>
      <w:r>
        <w:t>: valida el pipeline de extremo a extremo, incluyendo</w:t>
      </w:r>
    </w:p>
    <w:p>
      <w:r>
        <w:t xml:space="preserve">  que la recomendacion final cite el numero exacto de volatilidad usado en el</w:t>
      </w:r>
    </w:p>
    <w:p>
      <w:r>
        <w:t xml:space="preserve">  analisis (trazabilidad numerica) y que las fuentes internas/externas queden</w:t>
      </w:r>
    </w:p>
    <w:p>
      <w:r>
        <w:t xml:space="preserve">  correctamente etiquetadas en la respuesta.</w:t>
      </w:r>
    </w:p>
    <w:p>
      <w:r>
        <w:rPr>
          <w:b/>
        </w:rPr>
        <w:t>Hallazgo relevante durante las pruebas:</w:t>
      </w:r>
      <w:r>
        <w:t xml:space="preserve"> la primera version del retriever</w:t>
      </w:r>
    </w:p>
    <w:p>
      <w:r>
        <w:t>(busqueda semantica pura, sin filtro por ticker) recuperaba ocasionalmente</w:t>
      </w:r>
    </w:p>
    <w:p>
      <w:r>
        <w:t>datos de mercado de un activo distinto al consultado, debido a la baja</w:t>
      </w:r>
    </w:p>
    <w:p>
      <w:r>
        <w:t>capacidad discriminativa del embedding liviano ante documentos con vocabulario</w:t>
      </w:r>
    </w:p>
    <w:p>
      <w:r>
        <w:t>casi identico. Se corrigio implementando la recuperacion hibrida</w:t>
      </w:r>
    </w:p>
    <w:p>
      <w:r>
        <w:t>(filtro por metadata + ranking semantico) descrita en la seccion 3, quedando</w:t>
      </w:r>
    </w:p>
    <w:p>
      <w:r>
        <w:t xml:space="preserve">documentada como decision de diseno en </w:t>
      </w:r>
      <w:r>
        <w:rPr>
          <w:rFonts w:ascii="Consolas" w:hAnsi="Consolas"/>
        </w:rPr>
        <w:t>docs/prompts.md</w:t>
      </w:r>
      <w:r>
        <w:t>.</w:t>
      </w:r>
    </w:p>
    <w:p>
      <w:r>
        <w:rPr>
          <w:b/>
        </w:rPr>
        <w:t>Conclusiones:</w:t>
      </w:r>
    </w:p>
    <w:p>
      <w:pPr>
        <w:pStyle w:val="ListBullet"/>
      </w:pPr>
      <w:r>
        <w:t>La combinacion de agentes especializados + RAG de fuentes duales permite</w:t>
      </w:r>
    </w:p>
    <w:p>
      <w:r>
        <w:t xml:space="preserve">  cumplir el objetivo central del caso: recomendaciones auditables, con cifras</w:t>
      </w:r>
    </w:p>
    <w:p>
      <w:r>
        <w:t xml:space="preserve">  verificables y alineadas al perfil de riesgo del cliente.</w:t>
      </w:r>
    </w:p>
    <w:p>
      <w:pPr>
        <w:pStyle w:val="ListBullet"/>
      </w:pPr>
      <w:r>
        <w:t>La arquitectura modular (interfaces intercambiables para LLM y vector store)</w:t>
      </w:r>
    </w:p>
    <w:p>
      <w:r>
        <w:t xml:space="preserve">  permite migrar de una implementacion offline/sin costo (usada en esta</w:t>
      </w:r>
    </w:p>
    <w:p>
      <w:r>
        <w:t xml:space="preserve">  evaluacion) a un proveedor LLM real (Anthropic) y a embeddings neuronales en</w:t>
      </w:r>
    </w:p>
    <w:p>
      <w:r>
        <w:t xml:space="preserve">  produccion, sin rediseno del pipeline.</w:t>
      </w:r>
    </w:p>
    <w:p>
      <w:pPr>
        <w:pStyle w:val="ListBullet"/>
      </w:pPr>
      <w:r>
        <w:t>Trabajo futuro: incorporar memoria conversacional para preguntas de</w:t>
      </w:r>
    </w:p>
    <w:p>
      <w:r>
        <w:t xml:space="preserve">  seguimiento, y ampliar el Agente de Analisis con metricas de portafolio</w:t>
      </w:r>
    </w:p>
    <w:p>
      <w:r>
        <w:t xml:space="preserve">  agregado (ej. correlacion entre posiciones) mas alla del analisis</w:t>
      </w:r>
    </w:p>
    <w:p>
      <w:r>
        <w:t xml:space="preserve">  activo-por-activo actual.</w:t>
      </w:r>
    </w:p>
    <w:p>
      <w:pPr>
        <w:pStyle w:val="Heading2"/>
      </w:pPr>
      <w:r>
        <w:t>Referencias</w:t>
      </w:r>
    </w:p>
    <w:p>
      <w:pPr>
        <w:pStyle w:val="ListBullet"/>
      </w:pPr>
      <w:r>
        <w:t>Lewis, P., Perez, E., Piktus, A., et al. (2020). *Retrieval-Augmented</w:t>
      </w:r>
    </w:p>
    <w:p>
      <w:r>
        <w:t xml:space="preserve">  Generation for Knowledge-Intensive NLP Tasks*. Advances in Neural</w:t>
      </w:r>
    </w:p>
    <w:p>
      <w:r>
        <w:t xml:space="preserve">  Information Processing Systems, 33.</w:t>
      </w:r>
    </w:p>
    <w:p>
      <w:pPr>
        <w:pStyle w:val="ListBullet"/>
      </w:pPr>
      <w:r>
        <w:t>Johnson, J., Douze, M., &amp; Jegou, H. (2019). *Billion-scale similarity search</w:t>
      </w:r>
    </w:p>
    <w:p>
      <w:r>
        <w:t xml:space="preserve">  with GPUs*. IEEE Transactions on Big Data. (FAISS)</w:t>
      </w:r>
    </w:p>
    <w:p>
      <w:pPr>
        <w:pStyle w:val="ListBullet"/>
      </w:pPr>
      <w:r>
        <w:t xml:space="preserve">LangChain. (2024). </w:t>
      </w:r>
      <w:r>
        <w:rPr>
          <w:i/>
        </w:rPr>
        <w:t>LangChain Documentation</w:t>
      </w:r>
      <w:r>
        <w:t>. https://python.langchain.com/</w:t>
      </w:r>
    </w:p>
    <w:p>
      <w:pPr>
        <w:pStyle w:val="ListBullet"/>
      </w:pPr>
      <w:r>
        <w:t xml:space="preserve">Chainlink Labs. (2024). </w:t>
      </w:r>
      <w:r>
        <w:rPr>
          <w:i/>
        </w:rPr>
        <w:t>Chainlink Price Feeds Documentation</w:t>
      </w:r>
      <w:r>
        <w:t>.</w:t>
      </w:r>
    </w:p>
    <w:p>
      <w:r>
        <w:t xml:space="preserve">  https://docs.chain.link/data-feeds</w:t>
      </w:r>
    </w:p>
    <w:p>
      <w:pPr>
        <w:pStyle w:val="ListBullet"/>
      </w:pPr>
      <w:r>
        <w:t xml:space="preserve">Anthropic. (2024). </w:t>
      </w:r>
      <w:r>
        <w:rPr>
          <w:i/>
        </w:rPr>
        <w:t>Claude API Documentation</w:t>
      </w:r>
      <w:r>
        <w:t>. https://docs.anthropic.com/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