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68681F74" w14:textId="1F4551C4" w:rsidR="002B7683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675" w:history="1">
            <w:r w:rsidR="002B7683" w:rsidRPr="00A36EAC">
              <w:rPr>
                <w:rStyle w:val="Hyperlink"/>
                <w:b/>
                <w:bCs/>
                <w:noProof/>
              </w:rPr>
              <w:t>Introdução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7D8B9AED" w14:textId="1EAD7EC9" w:rsidR="002B7683" w:rsidRDefault="002B76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6" w:history="1">
            <w:r w:rsidRPr="00A36EAC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649D" w14:textId="256306C1" w:rsidR="002B7683" w:rsidRDefault="002B76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7" w:history="1">
            <w:r w:rsidRPr="00A36EAC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7D83E" w14:textId="6A8DF8EB" w:rsidR="002B7683" w:rsidRDefault="002B768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8" w:history="1">
            <w:r w:rsidRPr="00A36EAC">
              <w:rPr>
                <w:rStyle w:val="Hyperlink"/>
                <w:noProof/>
              </w:rPr>
              <w:t>API para obtenção de dados do produto RD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F8A16" w14:textId="5F5BF314" w:rsidR="002B7683" w:rsidRDefault="002B76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9" w:history="1">
            <w:r w:rsidRPr="00A36EAC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0D03" w14:textId="22BE20EE" w:rsidR="002B7683" w:rsidRDefault="002B76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0" w:history="1">
            <w:r w:rsidRPr="00A36EAC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0D94" w14:textId="5C77FC78" w:rsidR="002B7683" w:rsidRDefault="002B76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1" w:history="1">
            <w:r w:rsidRPr="00A36EAC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8E54" w14:textId="795AE8A7" w:rsidR="002B7683" w:rsidRDefault="002B76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2" w:history="1">
            <w:r w:rsidRPr="00A36EAC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02C3" w14:textId="57266842" w:rsidR="002B7683" w:rsidRDefault="002B76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3" w:history="1">
            <w:r w:rsidRPr="00A36EAC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1B471" w14:textId="1A25E448" w:rsidR="002B7683" w:rsidRDefault="002B76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4" w:history="1">
            <w:r w:rsidRPr="00A36EAC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1AB8" w14:textId="6002DD66" w:rsidR="002B7683" w:rsidRDefault="002B76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5" w:history="1">
            <w:r w:rsidRPr="00A36EAC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1E7DD" w14:textId="62A8687B" w:rsidR="002B7683" w:rsidRDefault="002B76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6" w:history="1">
            <w:r w:rsidRPr="00A36EAC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D15E" w14:textId="39750D56" w:rsidR="002B7683" w:rsidRDefault="002B768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7" w:history="1">
            <w:r w:rsidRPr="00A36EAC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5874D2F2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2675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2676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C9212F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0D2D">
        <w:t>RD Equipamentos.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2677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13BFA12C" w:rsidR="00AF1EE0" w:rsidRPr="00AF1EE0" w:rsidRDefault="00FE24C9" w:rsidP="00612D78">
      <w:pPr>
        <w:pStyle w:val="Heading2"/>
      </w:pPr>
      <w:bookmarkStart w:id="3" w:name="_Toc94082678"/>
      <w:r>
        <w:t xml:space="preserve">API </w:t>
      </w:r>
      <w:r w:rsidR="00347D24">
        <w:t xml:space="preserve">para obtenção de dados do produto </w:t>
      </w:r>
      <w:r w:rsidR="0009266A">
        <w:t>RD Equipamentos</w:t>
      </w:r>
      <w:bookmarkEnd w:id="3"/>
    </w:p>
    <w:p w14:paraId="4D781F51" w14:textId="77777777" w:rsidR="00B4772D" w:rsidRPr="00B4772D" w:rsidRDefault="00B4772D" w:rsidP="00B4772D"/>
    <w:p w14:paraId="587CCC37" w14:textId="532D7473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proofErr w:type="spellStart"/>
      <w:r w:rsidR="0009266A">
        <w:rPr>
          <w:highlight w:val="lightGray"/>
          <w:lang w:val="en-US"/>
        </w:rPr>
        <w:t>rd</w:t>
      </w:r>
      <w:proofErr w:type="spellEnd"/>
      <w:r w:rsidR="0009266A">
        <w:rPr>
          <w:highlight w:val="lightGray"/>
          <w:lang w:val="en-US"/>
        </w:rPr>
        <w:t>-equipment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5CD3027A" w14:textId="6AAA13E4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09266A">
        <w:t>RD Equipamentos</w:t>
      </w:r>
      <w:r w:rsidR="00E4364C">
        <w:t>.</w:t>
      </w:r>
      <w:r w:rsidR="000B0A5B">
        <w:t xml:space="preserve"> </w:t>
      </w:r>
    </w:p>
    <w:p w14:paraId="140236C7" w14:textId="5E77F9FB" w:rsidR="004512C7" w:rsidRDefault="004512C7" w:rsidP="004366E8"/>
    <w:p w14:paraId="3BBDEF52" w14:textId="0092EE2A" w:rsidR="0009266A" w:rsidRDefault="0009266A" w:rsidP="004366E8"/>
    <w:p w14:paraId="1FC77EC7" w14:textId="435750A4" w:rsidR="0009266A" w:rsidRDefault="0009266A" w:rsidP="004366E8"/>
    <w:p w14:paraId="07BD7956" w14:textId="77777777" w:rsidR="0009266A" w:rsidRDefault="0009266A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lastRenderedPageBreak/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096"/>
        <w:gridCol w:w="2104"/>
        <w:gridCol w:w="2103"/>
        <w:gridCol w:w="2191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2B7683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6FF9D547" w:rsidR="00535815" w:rsidRDefault="002B7683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r w:rsidR="0009266A">
                <w:rPr>
                  <w:rStyle w:val="Hyperlink"/>
                  <w:lang w:val="en-US"/>
                </w:rPr>
                <w:t>R</w:t>
              </w:r>
              <w:r w:rsidR="0009266A">
                <w:rPr>
                  <w:rStyle w:val="Hyperlink"/>
                </w:rPr>
                <w:t>esponserd-Equipment</w:t>
              </w:r>
              <w:proofErr w:type="spellEnd"/>
              <w:r w:rsidR="00535815" w:rsidRPr="005D5C7F">
                <w:rPr>
                  <w:rStyle w:val="Hyperlink"/>
                  <w:lang w:val="en-US"/>
                </w:rPr>
                <w:t>List</w:t>
              </w:r>
              <w:bookmarkEnd w:id="5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C7E6E70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09266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rd-equipment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37F6D44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proofErr w:type="spellStart"/>
                            <w:r w:rsidR="000926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rd</w:t>
                            </w:r>
                            <w:proofErr w:type="spellEnd"/>
                            <w:r w:rsidR="0009266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-equipment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C7E6E70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09266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rd-equipment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37F6D44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09266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rd-equipment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E038CC7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{</w:t>
      </w:r>
    </w:p>
    <w:p w14:paraId="293C7866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"data"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0FE3AD2F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brand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2C77AC88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name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"ACME </w:t>
      </w:r>
      <w:proofErr w:type="spellStart"/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Group</w:t>
      </w:r>
      <w:proofErr w:type="spellEnd"/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Seguros"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0622A9B0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companies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7AD474F7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{</w:t>
      </w:r>
    </w:p>
    <w:p w14:paraId="43981221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name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"ACME Seguros"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3BFC5321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cnpjNumber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"12345678901234"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5A0DFC58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products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65969043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{</w:t>
      </w:r>
    </w:p>
    <w:p w14:paraId="5C294171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name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"Produto de Seguro"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35C0637E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code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"01234589-0"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30B5B1A4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coverages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456CA463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{</w:t>
      </w:r>
    </w:p>
    <w:p w14:paraId="73EB5290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coverage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"ROUBO"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25CB4E08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coverageDescription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string</w:t>
      </w:r>
      <w:proofErr w:type="spellEnd"/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037D5C28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allowApartPurchase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proofErr w:type="spellStart"/>
      <w:r w:rsidRPr="00DA6A9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true</w:t>
      </w:r>
      <w:proofErr w:type="spellEnd"/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7B451670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coverageAttributes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247AB176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maxLMI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11F6CF91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amount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0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44859D08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unit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54E60DF4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code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"R$"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18B21F83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description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"REAL"</w:t>
      </w:r>
    </w:p>
    <w:p w14:paraId="046F9E37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      }</w:t>
      </w:r>
    </w:p>
    <w:p w14:paraId="49154B3E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    },</w:t>
      </w:r>
    </w:p>
    <w:p w14:paraId="50F46A41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insuredParticipation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="00DA6A93"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[</w:t>
      </w:r>
    </w:p>
    <w:p w14:paraId="4B9D2C8F" w14:textId="77777777" w:rsidR="00DA6A93" w:rsidRPr="00DA6A93" w:rsidRDefault="00DA6A93" w:rsidP="00DA6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 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"FRANQUIA"</w:t>
      </w:r>
    </w:p>
    <w:p w14:paraId="67C347D5" w14:textId="77777777" w:rsidR="00DA6A93" w:rsidRPr="00DA6A93" w:rsidRDefault="00DA6A93" w:rsidP="00DA6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    ]</w:t>
      </w:r>
    </w:p>
    <w:p w14:paraId="49A7A712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  }</w:t>
      </w:r>
    </w:p>
    <w:p w14:paraId="3FC13E92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lastRenderedPageBreak/>
        <w:t>                }</w:t>
      </w:r>
    </w:p>
    <w:p w14:paraId="738A497E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],</w:t>
      </w:r>
    </w:p>
    <w:p w14:paraId="1B325A8A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riskType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"PESSOAS"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75C82C08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assistanceServices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1B4E2F30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{</w:t>
      </w:r>
    </w:p>
    <w:p w14:paraId="2174F6B7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assistanceServicesPackage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="00DA6A93"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[</w:t>
      </w:r>
    </w:p>
    <w:p w14:paraId="1F299FC0" w14:textId="77777777" w:rsidR="00DA6A93" w:rsidRPr="00DA6A93" w:rsidRDefault="00DA6A93" w:rsidP="00DA6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 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"ATE_10_SERVICOS"</w:t>
      </w:r>
    </w:p>
    <w:p w14:paraId="1AE2575A" w14:textId="77777777" w:rsidR="00DA6A93" w:rsidRPr="00DA6A93" w:rsidRDefault="00DA6A93" w:rsidP="00DA6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  ],</w:t>
      </w:r>
    </w:p>
    <w:p w14:paraId="783DDFEC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complementaryAssistanceServicesDetail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"reboque pane seca"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78C464D4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chargeTypeSignaling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"GRATUITO"</w:t>
      </w:r>
    </w:p>
    <w:p w14:paraId="215D2236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}</w:t>
      </w:r>
    </w:p>
    <w:p w14:paraId="0CF63B93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],</w:t>
      </w:r>
    </w:p>
    <w:p w14:paraId="5D583497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customerServices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1BE67BEB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"LIVRE ESCOLHA"</w:t>
      </w:r>
    </w:p>
    <w:p w14:paraId="742CB1E5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],</w:t>
      </w:r>
    </w:p>
    <w:p w14:paraId="71B1A1FD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validity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46A0543B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term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"ANUAL"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0FCC35E0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termOthers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string</w:t>
      </w:r>
      <w:proofErr w:type="spellEnd"/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</w:p>
    <w:p w14:paraId="283B8F12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},</w:t>
      </w:r>
    </w:p>
    <w:p w14:paraId="0FEC5DF7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premiumRates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79DD7796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string</w:t>
      </w:r>
      <w:proofErr w:type="spellEnd"/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</w:p>
    <w:p w14:paraId="4041B1CC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],</w:t>
      </w:r>
    </w:p>
    <w:p w14:paraId="334EC623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termsAndConditions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7013FD2F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susepProcessNumber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"15414622222222222"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49E4F76C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"definition"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"https://www.seguradora.com.br/produto/tradicional/pdf/condicoes_gerais.pdf"</w:t>
      </w:r>
    </w:p>
    <w:p w14:paraId="6FF4D41B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      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},</w:t>
      </w:r>
    </w:p>
    <w:p w14:paraId="1E7A02E7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minimumRequirements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{</w:t>
      </w:r>
    </w:p>
    <w:p w14:paraId="49CE0B65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contractType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="00DA6A93"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[</w:t>
      </w:r>
    </w:p>
    <w:p w14:paraId="0097F35E" w14:textId="77777777" w:rsidR="00DA6A93" w:rsidRPr="00DA6A93" w:rsidRDefault="00DA6A93" w:rsidP="00DA6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"COLETIVO"</w:t>
      </w:r>
    </w:p>
    <w:p w14:paraId="6060102C" w14:textId="77777777" w:rsidR="00DA6A93" w:rsidRPr="00DA6A93" w:rsidRDefault="00DA6A93" w:rsidP="00DA6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          ],</w:t>
      </w:r>
    </w:p>
    <w:p w14:paraId="60595C93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targetAudiences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 [</w:t>
      </w:r>
    </w:p>
    <w:p w14:paraId="5F414A9E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 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"PESSOA_NATURAL"</w:t>
      </w:r>
    </w:p>
    <w:p w14:paraId="66D879B8" w14:textId="77777777" w:rsidR="0009266A" w:rsidRPr="00EA0D2D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        </w:t>
      </w: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]</w:t>
      </w:r>
    </w:p>
    <w:p w14:paraId="19C27E62" w14:textId="77777777" w:rsidR="0009266A" w:rsidRPr="00EA0D2D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         }</w:t>
      </w:r>
    </w:p>
    <w:p w14:paraId="557736B7" w14:textId="77777777" w:rsidR="0009266A" w:rsidRPr="00EA0D2D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       }</w:t>
      </w:r>
    </w:p>
    <w:p w14:paraId="597ADE66" w14:textId="77777777" w:rsidR="0009266A" w:rsidRPr="00EA0D2D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     ]</w:t>
      </w:r>
    </w:p>
    <w:p w14:paraId="59B2D9AD" w14:textId="77777777" w:rsidR="0009266A" w:rsidRPr="00EA0D2D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   }</w:t>
      </w:r>
    </w:p>
    <w:p w14:paraId="3D55ADE5" w14:textId="77777777" w:rsidR="0009266A" w:rsidRPr="00EA0D2D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 ]</w:t>
      </w:r>
    </w:p>
    <w:p w14:paraId="1AFD0130" w14:textId="77777777" w:rsidR="0009266A" w:rsidRPr="00EA0D2D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}</w:t>
      </w:r>
    </w:p>
    <w:p w14:paraId="77233D7D" w14:textId="77777777" w:rsidR="0009266A" w:rsidRPr="00EA0D2D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},</w:t>
      </w:r>
    </w:p>
    <w:p w14:paraId="1DFAE750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"links"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 {</w:t>
      </w:r>
    </w:p>
    <w:p w14:paraId="3D88A820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"self"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"https://api.organizacao.com.br/open-insurance/products-services/v1"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3EA6B914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"first"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"https://api.organizacao.com.br/open-insurance/products-services/v1"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1D170BDC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prev</w:t>
      </w:r>
      <w:proofErr w:type="spellEnd"/>
      <w:r w:rsidRPr="00DA6A93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"https://api.organizacao.com.br/open-insurance/products-services/v1"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182EB75D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"next"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"https://api.organizacao.com.br/open-insurance/products-services/v1"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533D265A" w14:textId="77777777" w:rsidR="0009266A" w:rsidRPr="00DA6A93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DA6A93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"last"</w:t>
      </w: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DA6A93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"https://api.organizacao.com.br/open-insurance/products-services/v1"</w:t>
      </w:r>
    </w:p>
    <w:p w14:paraId="6BF5340B" w14:textId="77777777" w:rsidR="0009266A" w:rsidRPr="00EA0D2D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DA6A9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},</w:t>
      </w:r>
    </w:p>
    <w:p w14:paraId="38DA72AC" w14:textId="77777777" w:rsidR="0009266A" w:rsidRPr="00EA0D2D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Pr="00EA0D2D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"meta"</w:t>
      </w: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: {</w:t>
      </w:r>
    </w:p>
    <w:p w14:paraId="2F6E00E2" w14:textId="77777777" w:rsidR="0009266A" w:rsidRPr="00EA0D2D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lastRenderedPageBreak/>
        <w:t xml:space="preserve">    </w:t>
      </w:r>
      <w:r w:rsidRPr="00EA0D2D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EA0D2D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totalRecords</w:t>
      </w:r>
      <w:proofErr w:type="spellEnd"/>
      <w:r w:rsidRPr="00EA0D2D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EA0D2D">
        <w:rPr>
          <w:rFonts w:ascii="Consolas" w:eastAsia="Times New Roman" w:hAnsi="Consolas" w:cs="Times New Roman"/>
          <w:color w:val="B5CEA8"/>
          <w:sz w:val="18"/>
          <w:szCs w:val="18"/>
          <w:lang w:val="en-US" w:eastAsia="pt-BR"/>
        </w:rPr>
        <w:t>10</w:t>
      </w: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2A24B41F" w14:textId="77777777" w:rsidR="0009266A" w:rsidRPr="00EA0D2D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EA0D2D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proofErr w:type="spellStart"/>
      <w:r w:rsidRPr="00EA0D2D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totalPages</w:t>
      </w:r>
      <w:proofErr w:type="spellEnd"/>
      <w:r w:rsidRPr="00EA0D2D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"</w:t>
      </w: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EA0D2D">
        <w:rPr>
          <w:rFonts w:ascii="Consolas" w:eastAsia="Times New Roman" w:hAnsi="Consolas" w:cs="Times New Roman"/>
          <w:color w:val="B5CEA8"/>
          <w:sz w:val="18"/>
          <w:szCs w:val="18"/>
          <w:lang w:val="en-US" w:eastAsia="pt-BR"/>
        </w:rPr>
        <w:t>1</w:t>
      </w:r>
    </w:p>
    <w:p w14:paraId="5D1ED0D1" w14:textId="77777777" w:rsidR="0009266A" w:rsidRPr="00EA0D2D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}</w:t>
      </w:r>
    </w:p>
    <w:p w14:paraId="023DCDAD" w14:textId="77777777" w:rsidR="0009266A" w:rsidRPr="00EA0D2D" w:rsidRDefault="0009266A" w:rsidP="0009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EA0D2D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}</w:t>
      </w:r>
    </w:p>
    <w:p w14:paraId="48E70690" w14:textId="04FB0D32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082679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978480A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09266A">
        <w:rPr>
          <w:rStyle w:val="Hyperlink"/>
          <w:b/>
          <w:bCs/>
          <w:sz w:val="28"/>
          <w:szCs w:val="28"/>
          <w:lang w:val="en-US"/>
        </w:rPr>
        <w:t>Rd-equipment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A2B03A1" w:rsidR="00A61AC0" w:rsidRDefault="002B7683" w:rsidP="00A61AC0">
            <w:pPr>
              <w:spacing w:after="0" w:line="240" w:lineRule="auto"/>
            </w:pPr>
            <w:hyperlink w:anchor="LifePensionIdentification" w:history="1">
              <w:r w:rsidR="0009266A">
                <w:rPr>
                  <w:rStyle w:val="Hyperlink"/>
                  <w:rFonts w:ascii="Calibri" w:eastAsia="Times New Roman" w:hAnsi="Calibri" w:cs="Calibri"/>
                  <w:lang w:eastAsia="pt-BR"/>
                </w:rPr>
                <w:t>Rd-</w:t>
              </w:r>
              <w:proofErr w:type="spellStart"/>
              <w:r w:rsidR="0009266A"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174F499" w:rsidR="00A61AC0" w:rsidRDefault="002B7683" w:rsidP="00A61AC0">
            <w:pPr>
              <w:spacing w:after="0" w:line="240" w:lineRule="auto"/>
            </w:pPr>
            <w:hyperlink w:anchor="LifePensionIdentification" w:history="1">
              <w:r w:rsidR="0009266A">
                <w:rPr>
                  <w:rStyle w:val="Hyperlink"/>
                  <w:rFonts w:ascii="Calibri" w:eastAsia="Times New Roman" w:hAnsi="Calibri" w:cs="Calibri"/>
                  <w:lang w:eastAsia="pt-BR"/>
                </w:rPr>
                <w:t>Rd-</w:t>
              </w:r>
              <w:proofErr w:type="spellStart"/>
              <w:r w:rsidR="0009266A"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093BBDEC" w:rsidR="00161872" w:rsidRDefault="002B7683" w:rsidP="00161872">
            <w:pPr>
              <w:spacing w:after="0" w:line="240" w:lineRule="auto"/>
            </w:pPr>
            <w:hyperlink w:anchor="LifePensionProduct" w:history="1">
              <w:r w:rsidR="0009266A">
                <w:rPr>
                  <w:rStyle w:val="Hyperlink"/>
                </w:rPr>
                <w:t>Rd-</w:t>
              </w:r>
              <w:proofErr w:type="spellStart"/>
              <w:r w:rsidR="0009266A">
                <w:rPr>
                  <w:rStyle w:val="Hyperlink"/>
                </w:rPr>
                <w:t>equipment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268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268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2682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2683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268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268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2686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2687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290F0" w14:textId="77777777" w:rsidR="00D1457C" w:rsidRDefault="00D1457C" w:rsidP="00344980">
      <w:pPr>
        <w:spacing w:after="0" w:line="240" w:lineRule="auto"/>
      </w:pPr>
      <w:r>
        <w:separator/>
      </w:r>
    </w:p>
  </w:endnote>
  <w:endnote w:type="continuationSeparator" w:id="0">
    <w:p w14:paraId="25E2CAAA" w14:textId="77777777" w:rsidR="00D1457C" w:rsidRDefault="00D1457C" w:rsidP="00344980">
      <w:pPr>
        <w:spacing w:after="0" w:line="240" w:lineRule="auto"/>
      </w:pPr>
      <w:r>
        <w:continuationSeparator/>
      </w:r>
    </w:p>
  </w:endnote>
  <w:endnote w:type="continuationNotice" w:id="1">
    <w:p w14:paraId="083372B2" w14:textId="77777777" w:rsidR="00D1457C" w:rsidRDefault="00D145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4C32A" w14:textId="77777777" w:rsidR="00D1457C" w:rsidRDefault="00D1457C" w:rsidP="00344980">
      <w:pPr>
        <w:spacing w:after="0" w:line="240" w:lineRule="auto"/>
      </w:pPr>
      <w:r>
        <w:separator/>
      </w:r>
    </w:p>
  </w:footnote>
  <w:footnote w:type="continuationSeparator" w:id="0">
    <w:p w14:paraId="5F91F459" w14:textId="77777777" w:rsidR="00D1457C" w:rsidRDefault="00D1457C" w:rsidP="00344980">
      <w:pPr>
        <w:spacing w:after="0" w:line="240" w:lineRule="auto"/>
      </w:pPr>
      <w:r>
        <w:continuationSeparator/>
      </w:r>
    </w:p>
  </w:footnote>
  <w:footnote w:type="continuationNotice" w:id="1">
    <w:p w14:paraId="2D7C0D45" w14:textId="77777777" w:rsidR="00D1457C" w:rsidRDefault="00D145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66A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B7683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38FC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443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77EA1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3E4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6A93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2D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BF8337-2926-4445-8137-F6E8E2BD6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3154</Words>
  <Characters>17037</Characters>
  <Application>Microsoft Office Word</Application>
  <DocSecurity>0</DocSecurity>
  <Lines>141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20151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7</cp:revision>
  <cp:lastPrinted>2021-11-17T18:37:00Z</cp:lastPrinted>
  <dcterms:created xsi:type="dcterms:W3CDTF">2022-01-17T20:01:00Z</dcterms:created>
  <dcterms:modified xsi:type="dcterms:W3CDTF">2022-01-26T12:44:00Z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