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Correcciones al documento de presentación</w:t>
      </w:r>
    </w:p>
    <w:p>
      <w:pPr>
        <w:spacing w:after="200" w:line="276"/>
      </w:pPr>
      <w:r>
        <w:rPr>
          <w:b w:val="false"/>
          <w:bCs w:val="false"/>
          <w:i w:val="false"/>
          <w:iCs w:val="false"/>
          <w:sz w:val="22"/>
          <w:szCs w:val="22"/>
        </w:rPr>
        <w:t xml:space="preserve">Cada punto indica dónde está el texto en el documento, qué dice hoy y con qué reemplazarlo. Los bloques grises son el texto actual; los que siguen, el texto para pegar.</w:t>
      </w:r>
    </w:p>
    <w:p>
      <w:pPr>
        <w:pStyle w:val="Heading2"/>
      </w:pPr>
      <w:r>
        <w:rPr>
          <w:b/>
          <w:bCs/>
        </w:rPr>
        <w:t xml:space="preserve">1. Factibilidad Operativa — motor de base de datos</w:t>
      </w:r>
    </w:p>
    <w:p>
      <w:pPr>
        <w:spacing w:after="120" w:line="276"/>
      </w:pPr>
      <w:r>
        <w:rPr>
          <w:b w:val="false"/>
          <w:bCs w:val="false"/>
          <w:i/>
          <w:iCs/>
          <w:sz w:val="20"/>
          <w:szCs w:val="20"/>
        </w:rPr>
        <w:t xml:space="preserve">Segundo párrafo de la sección, última parte. Es la corrección más importante: el proyecto no usa SQL Server.</w:t>
      </w:r>
    </w:p>
    <w:p>
      <w:pPr>
        <w:spacing w:after="60" w:before="100"/>
      </w:pPr>
      <w:r>
        <w:rPr>
          <w:b/>
          <w:bCs/>
          <w:sz w:val="20"/>
          <w:szCs w:val="20"/>
        </w:rPr>
        <w:t xml:space="preserve">Dice:</w:t>
      </w:r>
    </w:p>
    <w:p>
      <w:pPr>
        <w:pBdr>
          <w:left w:val="single" w:color="999999" w:sz="12" w:space="8"/>
        </w:pBdr>
        <w:spacing w:after="120" w:line="276"/>
        <w:ind w:left="360"/>
      </w:pPr>
      <w:r>
        <w:rPr>
          <w:i/>
          <w:iCs/>
          <w:color w:val="595959"/>
          <w:sz w:val="20"/>
          <w:szCs w:val="20"/>
        </w:rPr>
        <w:t xml:space="preserve">La integración con SQL Server como base de datos proporcionará un almacenamiento robusto y relacional para entidades como usuarios, rutinas y ejercicios, con mecanismos de seguridad para manejar datos sensibles. Esta combinación de tecnologías es altamente factible operativa, ya que son de código abierto (excepto SwiftUI, nativo de Apple), cuentan con comunidades activas y permiten un despliegue en servidores cloud como AWS o Azure para producción, garantizando rendimiento y actualizaciones continuas.</w:t>
      </w:r>
    </w:p>
    <w:p>
      <w:pPr>
        <w:spacing w:after="60" w:before="100"/>
      </w:pPr>
      <w:r>
        <w:rPr>
          <w:b/>
          <w:bCs/>
          <w:sz w:val="20"/>
          <w:szCs w:val="20"/>
        </w:rPr>
        <w:t xml:space="preserve">Reemplazar por:</w:t>
      </w:r>
    </w:p>
    <w:p>
      <w:pPr>
        <w:spacing w:after="120" w:line="276"/>
      </w:pPr>
      <w:r>
        <w:rPr>
          <w:b w:val="false"/>
          <w:bCs w:val="false"/>
          <w:i w:val="false"/>
          <w:iCs w:val="false"/>
          <w:sz w:val="22"/>
          <w:szCs w:val="22"/>
        </w:rPr>
        <w:t xml:space="preserve">La persistencia se resuelve con PostgreSQL, gestionado desde el backend mediante TypeORM, que proporciona un almacenamiento robusto y relacional para entidades como usuarios, rutinas y ejercicios, con mecanismos de seguridad para manejar datos sensibles. Tanto la base de datos como el servicio web se encuentran desplegados en Render, utilizado durante el desarrollo en su capa gratuita; para producción se prevé migrar a una instancia paga del mismo proveedor o a un servidor cloud equivalente. Esta combinación de tecnologías es altamente factible desde lo operativo, ya que son de código abierto, con excepción de SwiftUI, nativo de Apple, cuentan con comunidades activas y permiten actualizaciones continuas.</w:t>
      </w:r>
    </w:p>
    <w:p>
      <w:pPr>
        <w:spacing w:after="120" w:line="276"/>
      </w:pPr>
      <w:r>
        <w:rPr>
          <w:b w:val="false"/>
          <w:bCs w:val="false"/>
          <w:i/>
          <w:iCs/>
          <w:sz w:val="20"/>
          <w:szCs w:val="20"/>
        </w:rPr>
        <w:t xml:space="preserve">En el último párrafo de la misma sección, donde dice «extensiones para TypeScript, NestJS y SQL», conviene decir «extensiones para TypeScript, NestJS y PostgreSQL».</w:t>
      </w:r>
    </w:p>
    <w:p>
      <w:pPr>
        <w:pStyle w:val="Heading2"/>
      </w:pPr>
      <w:r>
        <w:rPr>
          <w:b/>
          <w:bCs/>
        </w:rPr>
        <w:t xml:space="preserve">2. Alcance del Proyecto — alinear con los 72 casos de uso</w:t>
      </w:r>
    </w:p>
    <w:p>
      <w:pPr>
        <w:spacing w:after="120" w:line="276"/>
      </w:pPr>
      <w:r>
        <w:rPr>
          <w:b w:val="false"/>
          <w:bCs w:val="false"/>
          <w:i/>
          <w:iCs/>
          <w:sz w:val="20"/>
          <w:szCs w:val="20"/>
        </w:rPr>
        <w:t xml:space="preserve">Primer párrafo de la sección. Hoy promete tracking nutricional, medidas corporales y funciones sociales que no están entre los casos de uso ni en ninguna semana del cronograma.</w:t>
      </w:r>
    </w:p>
    <w:p>
      <w:pPr>
        <w:spacing w:after="60" w:before="100"/>
      </w:pPr>
      <w:r>
        <w:rPr>
          <w:b/>
          <w:bCs/>
          <w:sz w:val="20"/>
          <w:szCs w:val="20"/>
        </w:rPr>
        <w:t xml:space="preserve">Reemplazar el primer párrafo por:</w:t>
      </w:r>
    </w:p>
    <w:p>
      <w:pPr>
        <w:spacing w:after="120" w:line="276"/>
      </w:pPr>
      <w:r>
        <w:rPr>
          <w:b w:val="false"/>
          <w:bCs w:val="false"/>
          <w:i w:val="false"/>
          <w:iCs w:val="false"/>
          <w:sz w:val="22"/>
          <w:szCs w:val="22"/>
        </w:rPr>
        <w:t xml:space="preserve">El alcance de PowerApp abarca el desarrollo de una aplicación móvil integral diseñada para apoyar a usuarios en sus rutinas de entrenamiento en gimnasios, integrando módulos dedicados para usuarios finales, entrenadores y un panel administrativo. Esto incluye la gestión de rutinas personalizadas con detalles como series, repeticiones y pesos, el seguimiento de progresos mediante el registro de marcas personales y el cálculo de RMs potenciales, guías educativas con videos y consejos para prevenir lesiones, un cronómetro integrado con opciones predeterminadas y personalizadas, y una wiki exhaustiva de ejercicios organizada por grupos musculares. Los diagramas de casos de uso para usuarios destacan flujos como administrar rutinas, consultar progresos y configurar temporizadores, asegurando una experiencia accesible y organizada desde dispositivos móviles.</w:t>
      </w:r>
    </w:p>
    <w:p>
      <w:pPr>
        <w:spacing w:after="60" w:before="100"/>
      </w:pPr>
      <w:r>
        <w:rPr>
          <w:b/>
          <w:bCs/>
          <w:sz w:val="20"/>
          <w:szCs w:val="20"/>
        </w:rPr>
        <w:t xml:space="preserve">Y agregar a continuación este párrafo:</w:t>
      </w:r>
    </w:p>
    <w:p>
      <w:pPr>
        <w:spacing w:after="120" w:line="276"/>
      </w:pPr>
      <w:r>
        <w:rPr>
          <w:b w:val="false"/>
          <w:bCs w:val="false"/>
          <w:i w:val="false"/>
          <w:iCs w:val="false"/>
          <w:sz w:val="22"/>
          <w:szCs w:val="22"/>
        </w:rPr>
        <w:t xml:space="preserve">Quedan fuera de esta etapa, y se ubican como funcionalidades post-MVP, el tracking de nutrición, la medición de medidas corporales y los elementos sociales —tablas de posiciones, medallas por logros y comunidad de amigos—, junto con la tienda in-app. El alcance comprometido para el presente cuatrimestre es el definido por los 72 casos de uso especificados, cuyo estado de avance se detalla en la sección Cronograma.</w:t>
      </w:r>
    </w:p>
    <w:p>
      <w:pPr>
        <w:pStyle w:val="Heading2"/>
      </w:pPr>
      <w:r>
        <w:rPr>
          <w:b/>
          <w:bCs/>
        </w:rPr>
        <w:t xml:space="preserve">3. Módulo para Entrenadores — chats</w:t>
      </w:r>
    </w:p>
    <w:p>
      <w:pPr>
        <w:spacing w:after="120" w:line="276"/>
      </w:pPr>
      <w:r>
        <w:rPr>
          <w:b w:val="false"/>
          <w:bCs w:val="false"/>
          <w:i/>
          <w:iCs/>
          <w:sz w:val="20"/>
          <w:szCs w:val="20"/>
        </w:rPr>
        <w:t xml:space="preserve">Dentro de «Herramientas Colaborativas». La viñeta actual contradice a Límites del Proyecto, que excluye explícitamente las comunicaciones avanzadas.</w:t>
      </w:r>
    </w:p>
    <w:p>
      <w:pPr>
        <w:spacing w:after="60" w:before="100"/>
      </w:pPr>
      <w:r>
        <w:rPr>
          <w:b/>
          <w:bCs/>
          <w:sz w:val="20"/>
          <w:szCs w:val="20"/>
        </w:rPr>
        <w:t xml:space="preserve">Dice:</w:t>
      </w:r>
    </w:p>
    <w:p>
      <w:pPr>
        <w:pBdr>
          <w:left w:val="single" w:color="999999" w:sz="12" w:space="8"/>
        </w:pBdr>
        <w:spacing w:after="120" w:line="276"/>
        <w:ind w:left="360"/>
      </w:pPr>
      <w:r>
        <w:rPr>
          <w:i/>
          <w:iCs/>
          <w:color w:val="595959"/>
          <w:sz w:val="20"/>
          <w:szCs w:val="20"/>
        </w:rPr>
        <w:t xml:space="preserve">Chats para intercambios sobre rutinas entre usuarios y entrenadores.</w:t>
      </w:r>
    </w:p>
    <w:p>
      <w:pPr>
        <w:spacing w:after="60" w:before="100"/>
      </w:pPr>
      <w:r>
        <w:rPr>
          <w:b/>
          <w:bCs/>
          <w:sz w:val="20"/>
          <w:szCs w:val="20"/>
        </w:rPr>
        <w:t xml:space="preserve">Reemplazar por:</w:t>
      </w:r>
    </w:p>
    <w:p>
      <w:pPr>
        <w:pStyle w:val="ListParagraph"/>
        <w:numPr>
          <w:ilvl w:val="0"/>
          <w:numId w:val="2"/>
        </w:numPr>
        <w:spacing w:after="50" w:line="276"/>
      </w:pPr>
      <w:r>
        <w:rPr>
          <w:sz w:val="22"/>
          <w:szCs w:val="22"/>
        </w:rPr>
        <w:t xml:space="preserve">Intercambio de notas escritas sobre las rutinas entre alumnos y entrenadores.</w:t>
      </w:r>
    </w:p>
    <w:p>
      <w:pPr>
        <w:pStyle w:val="Heading2"/>
      </w:pPr>
      <w:r>
        <w:rPr>
          <w:b/>
          <w:bCs/>
        </w:rPr>
        <w:t xml:space="preserve">4. Panel Administrativo — ajustar a lo implementado y aclarar dónde vive</w:t>
      </w:r>
    </w:p>
    <w:p>
      <w:pPr>
        <w:spacing w:after="120" w:line="276"/>
      </w:pPr>
      <w:r>
        <w:rPr>
          <w:b w:val="false"/>
          <w:bCs w:val="false"/>
          <w:i/>
          <w:iCs/>
          <w:sz w:val="20"/>
          <w:szCs w:val="20"/>
        </w:rPr>
        <w:t xml:space="preserve">La lista actual menciona operaciones que no existen como casos de uso, y el documento nunca dice con qué interfaz se opera el panel.</w:t>
      </w:r>
    </w:p>
    <w:p>
      <w:pPr>
        <w:spacing w:after="60" w:before="100"/>
      </w:pPr>
      <w:r>
        <w:rPr>
          <w:b/>
          <w:bCs/>
          <w:sz w:val="20"/>
          <w:szCs w:val="20"/>
        </w:rPr>
        <w:t xml:space="preserve">Reemplazar la lista completa por:</w:t>
      </w:r>
    </w:p>
    <w:p>
      <w:pPr>
        <w:pStyle w:val="ListParagraph"/>
        <w:numPr>
          <w:ilvl w:val="0"/>
          <w:numId w:val="2"/>
        </w:numPr>
        <w:spacing w:after="50" w:line="276"/>
      </w:pPr>
      <w:r>
        <w:rPr>
          <w:sz w:val="22"/>
          <w:szCs w:val="22"/>
        </w:rPr>
        <w:t xml:space="preserve">Gestión de contenidos:</w:t>
      </w:r>
    </w:p>
    <w:p>
      <w:pPr>
        <w:pStyle w:val="ListParagraph"/>
        <w:numPr>
          <w:ilvl w:val="1"/>
          <w:numId w:val="2"/>
        </w:numPr>
        <w:spacing w:after="50" w:line="276"/>
      </w:pPr>
      <w:r>
        <w:rPr>
          <w:sz w:val="22"/>
          <w:szCs w:val="22"/>
        </w:rPr>
        <w:t xml:space="preserve">CRUD de ejercicios</w:t>
      </w:r>
    </w:p>
    <w:p>
      <w:pPr>
        <w:pStyle w:val="ListParagraph"/>
        <w:numPr>
          <w:ilvl w:val="1"/>
          <w:numId w:val="2"/>
        </w:numPr>
        <w:spacing w:after="50" w:line="276"/>
      </w:pPr>
      <w:r>
        <w:rPr>
          <w:sz w:val="22"/>
          <w:szCs w:val="22"/>
        </w:rPr>
        <w:t xml:space="preserve">CRUD de músculos y grupos musculares</w:t>
      </w:r>
    </w:p>
    <w:p>
      <w:pPr>
        <w:pStyle w:val="ListParagraph"/>
        <w:numPr>
          <w:ilvl w:val="1"/>
          <w:numId w:val="2"/>
        </w:numPr>
        <w:spacing w:after="50" w:line="276"/>
      </w:pPr>
      <w:r>
        <w:rPr>
          <w:sz w:val="22"/>
          <w:szCs w:val="22"/>
        </w:rPr>
        <w:t xml:space="preserve">Gestión de usuarios y promoción de alumnos a entrenadores</w:t>
      </w:r>
    </w:p>
    <w:p>
      <w:pPr>
        <w:pStyle w:val="ListParagraph"/>
        <w:numPr>
          <w:ilvl w:val="1"/>
          <w:numId w:val="2"/>
        </w:numPr>
        <w:spacing w:after="50" w:line="276"/>
      </w:pPr>
      <w:r>
        <w:rPr>
          <w:sz w:val="22"/>
          <w:szCs w:val="22"/>
        </w:rPr>
        <w:t xml:space="preserve">Alta, edición y baja lógica de entrenadores</w:t>
      </w:r>
    </w:p>
    <w:p>
      <w:pPr>
        <w:pStyle w:val="ListParagraph"/>
        <w:numPr>
          <w:ilvl w:val="0"/>
          <w:numId w:val="2"/>
        </w:numPr>
        <w:spacing w:after="50" w:line="276"/>
      </w:pPr>
      <w:r>
        <w:rPr>
          <w:sz w:val="22"/>
          <w:szCs w:val="22"/>
        </w:rPr>
        <w:t xml:space="preserve">Operaciones financieras y operativas:</w:t>
      </w:r>
    </w:p>
    <w:p>
      <w:pPr>
        <w:pStyle w:val="ListParagraph"/>
        <w:numPr>
          <w:ilvl w:val="1"/>
          <w:numId w:val="2"/>
        </w:numPr>
        <w:spacing w:after="50" w:line="276"/>
      </w:pPr>
      <w:r>
        <w:rPr>
          <w:sz w:val="22"/>
          <w:szCs w:val="22"/>
        </w:rPr>
        <w:t xml:space="preserve">CRUD de tipos de membresía</w:t>
      </w:r>
    </w:p>
    <w:p>
      <w:pPr>
        <w:pStyle w:val="ListParagraph"/>
        <w:numPr>
          <w:ilvl w:val="1"/>
          <w:numId w:val="2"/>
        </w:numPr>
        <w:spacing w:after="50" w:line="276"/>
      </w:pPr>
      <w:r>
        <w:rPr>
          <w:sz w:val="22"/>
          <w:szCs w:val="22"/>
        </w:rPr>
        <w:t xml:space="preserve">Registro de pagos e historial de pagos por alumno</w:t>
      </w:r>
    </w:p>
    <w:p>
      <w:pPr>
        <w:pStyle w:val="ListParagraph"/>
        <w:numPr>
          <w:ilvl w:val="1"/>
          <w:numId w:val="2"/>
        </w:numPr>
        <w:spacing w:after="50" w:line="276"/>
      </w:pPr>
      <w:r>
        <w:rPr>
          <w:sz w:val="22"/>
          <w:szCs w:val="22"/>
        </w:rPr>
        <w:t xml:space="preserve">Consulta del estado de las membresías</w:t>
      </w:r>
    </w:p>
    <w:p>
      <w:pPr>
        <w:spacing w:after="60" w:before="100"/>
      </w:pPr>
      <w:r>
        <w:rPr>
          <w:b/>
          <w:bCs/>
          <w:sz w:val="20"/>
          <w:szCs w:val="20"/>
        </w:rPr>
        <w:t xml:space="preserve">Y agregar al final de la sección:</w:t>
      </w:r>
    </w:p>
    <w:p>
      <w:pPr>
        <w:spacing w:after="120" w:line="276"/>
      </w:pPr>
      <w:r>
        <w:rPr>
          <w:b w:val="false"/>
          <w:bCs w:val="false"/>
          <w:i w:val="false"/>
          <w:iCs w:val="false"/>
          <w:sz w:val="22"/>
          <w:szCs w:val="22"/>
        </w:rPr>
        <w:t xml:space="preserve">En esta etapa el panel administrativo se opera a través de la API REST documentada con Swagger. El desarrollo de una interfaz gráfica propia para el rol Administrador queda diferido a una fase posterior, ya que la aplicación móvil de este cuatrimestre cubre los roles Usuario y Entrenador.</w:t>
      </w:r>
    </w:p>
    <w:p>
      <w:pPr>
        <w:pStyle w:val="Heading2"/>
      </w:pPr>
      <w:r>
        <w:rPr>
          <w:b/>
          <w:bCs/>
        </w:rPr>
        <w:t xml:space="preserve">5. Gestión de Perfil — login social y validaciones</w:t>
      </w:r>
    </w:p>
    <w:p>
      <w:pPr>
        <w:spacing w:after="120" w:line="276"/>
      </w:pPr>
      <w:r>
        <w:rPr>
          <w:b w:val="false"/>
          <w:bCs w:val="false"/>
          <w:i/>
          <w:iCs/>
          <w:sz w:val="20"/>
          <w:szCs w:val="20"/>
        </w:rPr>
        <w:t xml:space="preserve">Dentro de «Funcionalidades Principales para Usuarios». El login con redes sociales y la validación de email y teléfono no están entre los casos de uso ni planificados.</w:t>
      </w:r>
    </w:p>
    <w:p>
      <w:pPr>
        <w:spacing w:after="60" w:before="100"/>
      </w:pPr>
      <w:r>
        <w:rPr>
          <w:b/>
          <w:bCs/>
          <w:sz w:val="20"/>
          <w:szCs w:val="20"/>
        </w:rPr>
        <w:t xml:space="preserve">Reemplazar las viñetas de «Gestión de Perfil» por:</w:t>
      </w:r>
    </w:p>
    <w:p>
      <w:pPr>
        <w:pStyle w:val="ListParagraph"/>
        <w:numPr>
          <w:ilvl w:val="0"/>
          <w:numId w:val="2"/>
        </w:numPr>
        <w:spacing w:after="50" w:line="276"/>
      </w:pPr>
      <w:r>
        <w:rPr>
          <w:sz w:val="22"/>
          <w:szCs w:val="22"/>
        </w:rPr>
        <w:t xml:space="preserve">Registro</w:t>
      </w:r>
    </w:p>
    <w:p>
      <w:pPr>
        <w:pStyle w:val="ListParagraph"/>
        <w:numPr>
          <w:ilvl w:val="0"/>
          <w:numId w:val="2"/>
        </w:numPr>
        <w:spacing w:after="50" w:line="276"/>
      </w:pPr>
      <w:r>
        <w:rPr>
          <w:sz w:val="22"/>
          <w:szCs w:val="22"/>
        </w:rPr>
        <w:t xml:space="preserve">Inicio y cierre de sesión</w:t>
      </w:r>
    </w:p>
    <w:p>
      <w:pPr>
        <w:pStyle w:val="ListParagraph"/>
        <w:numPr>
          <w:ilvl w:val="0"/>
          <w:numId w:val="2"/>
        </w:numPr>
        <w:spacing w:after="50" w:line="276"/>
      </w:pPr>
      <w:r>
        <w:rPr>
          <w:sz w:val="22"/>
          <w:szCs w:val="22"/>
        </w:rPr>
        <w:t xml:space="preserve">Recuperación de contraseña</w:t>
      </w:r>
    </w:p>
    <w:p>
      <w:pPr>
        <w:pStyle w:val="ListParagraph"/>
        <w:numPr>
          <w:ilvl w:val="0"/>
          <w:numId w:val="2"/>
        </w:numPr>
        <w:spacing w:after="50" w:line="276"/>
      </w:pPr>
      <w:r>
        <w:rPr>
          <w:sz w:val="22"/>
          <w:szCs w:val="22"/>
        </w:rPr>
        <w:t xml:space="preserve">Cambio de contraseña</w:t>
      </w:r>
    </w:p>
    <w:p>
      <w:pPr>
        <w:pStyle w:val="ListParagraph"/>
        <w:numPr>
          <w:ilvl w:val="0"/>
          <w:numId w:val="2"/>
        </w:numPr>
        <w:spacing w:after="50" w:line="276"/>
      </w:pPr>
      <w:r>
        <w:rPr>
          <w:sz w:val="22"/>
          <w:szCs w:val="22"/>
        </w:rPr>
        <w:t xml:space="preserve">Edición de datos personales</w:t>
      </w:r>
    </w:p>
    <w:p>
      <w:pPr>
        <w:spacing w:after="120" w:line="276"/>
      </w:pPr>
      <w:r>
        <w:rPr>
          <w:b w:val="false"/>
          <w:bCs w:val="false"/>
          <w:i/>
          <w:iCs/>
          <w:sz w:val="20"/>
          <w:szCs w:val="20"/>
        </w:rPr>
        <w:t xml:space="preserve">Si preferís conservarlas, alcanza con aclarar entre paréntesis que el login con redes sociales y la validación de email y teléfono son funcionalidades post-MVP.</w:t>
      </w:r>
    </w:p>
    <w:p>
      <w:pPr>
        <w:pStyle w:val="Heading2"/>
      </w:pPr>
      <w:r>
        <w:rPr>
          <w:b/>
          <w:bCs/>
        </w:rPr>
        <w:t xml:space="preserve">6. Cronograma — aclarar la nomenclatura de casos de uso</w:t>
      </w:r>
    </w:p>
    <w:p>
      <w:pPr>
        <w:spacing w:after="120" w:line="276"/>
      </w:pPr>
      <w:r>
        <w:rPr>
          <w:b w:val="false"/>
          <w:bCs w:val="false"/>
          <w:i/>
          <w:iCs/>
          <w:sz w:val="20"/>
          <w:szCs w:val="20"/>
        </w:rPr>
        <w:t xml:space="preserve">La sección usa códigos como CU-E-15 que no se definen en ninguna parte del documento.</w:t>
      </w:r>
    </w:p>
    <w:p>
      <w:pPr>
        <w:spacing w:after="60" w:before="100"/>
      </w:pPr>
      <w:r>
        <w:rPr>
          <w:b/>
          <w:bCs/>
          <w:sz w:val="20"/>
          <w:szCs w:val="20"/>
        </w:rPr>
        <w:t xml:space="preserve">Agregar como primer párrafo de «Estado del proyecto al inicio del segundo cuatrimestre»:</w:t>
      </w:r>
    </w:p>
    <w:p>
      <w:pPr>
        <w:spacing w:after="120" w:line="276"/>
      </w:pPr>
      <w:r>
        <w:rPr>
          <w:b w:val="false"/>
          <w:bCs w:val="false"/>
          <w:i w:val="false"/>
          <w:iCs w:val="false"/>
          <w:sz w:val="22"/>
          <w:szCs w:val="22"/>
        </w:rPr>
        <w:t xml:space="preserve">Los casos de uso se identifican con la nomenclatura CU-X-NN, donde X indica el rol —U para Usuario, E para Entrenador y A para Administrador— y NN el número del caso dentro de ese rol, según el documento de especificaciones de casos de uso del proyecto.</w:t>
      </w:r>
    </w:p>
    <w:p>
      <w:pPr>
        <w:pStyle w:val="Heading2"/>
      </w:pPr>
      <w:r>
        <w:rPr>
          <w:b/>
          <w:bCs/>
        </w:rPr>
        <w:t xml:space="preserve">7. Orden de las secciones</w:t>
      </w:r>
    </w:p>
    <w:p>
      <w:pPr>
        <w:spacing w:after="120" w:line="276"/>
      </w:pPr>
      <w:r>
        <w:rPr>
          <w:b w:val="false"/>
          <w:bCs w:val="false"/>
          <w:i w:val="false"/>
          <w:iCs w:val="false"/>
          <w:sz w:val="22"/>
          <w:szCs w:val="22"/>
        </w:rPr>
        <w:t xml:space="preserve">El cronograma abre el documento, antes de que se explique qué es PowerApp. Como ahora arranca con conteos de casos de uso y nombres de módulos, el lector los recibe sin contexto. Si la cátedra no exige que vaya primero, conviene moverlo después de «Límites del Proyecto», dejando el orden: problemática, objetivos, alcance, límites, cronograma y factibilidad. Si tiene que quedar al principio, la aclaración del punto 6 alcanza para hacerlo legible.</w:t>
      </w:r>
    </w:p>
    <w:p>
      <w:pPr>
        <w:pStyle w:val="Heading2"/>
      </w:pPr>
      <w:r>
        <w:rPr>
          <w:b/>
          <w:bCs/>
        </w:rPr>
        <w:t xml:space="preserve">8. Voz y anglicismos</w:t>
      </w:r>
    </w:p>
    <w:p>
      <w:pPr>
        <w:spacing w:after="60" w:before="100"/>
      </w:pPr>
      <w:r>
        <w:rPr>
          <w:b/>
          <w:bCs/>
          <w:sz w:val="20"/>
          <w:szCs w:val="20"/>
        </w:rPr>
        <w:t xml:space="preserve">Dice:</w:t>
      </w:r>
    </w:p>
    <w:p>
      <w:pPr>
        <w:pBdr>
          <w:left w:val="single" w:color="999999" w:sz="12" w:space="8"/>
        </w:pBdr>
        <w:spacing w:after="120" w:line="276"/>
        <w:ind w:left="360"/>
      </w:pPr>
      <w:r>
        <w:rPr>
          <w:i/>
          <w:iCs/>
          <w:color w:val="595959"/>
          <w:sz w:val="20"/>
          <w:szCs w:val="20"/>
        </w:rPr>
        <w:t xml:space="preserve">Detectamos que aunque hay opciones en el mercado, ninguna integra de manera fluida el seguimiento de rutinas…</w:t>
      </w:r>
    </w:p>
    <w:p>
      <w:pPr>
        <w:spacing w:after="60" w:before="100"/>
      </w:pPr>
      <w:r>
        <w:rPr>
          <w:b/>
          <w:bCs/>
          <w:sz w:val="20"/>
          <w:szCs w:val="20"/>
        </w:rPr>
        <w:t xml:space="preserve">Reemplazar por:</w:t>
      </w:r>
    </w:p>
    <w:p>
      <w:pPr>
        <w:spacing w:after="120" w:line="276"/>
      </w:pPr>
      <w:r>
        <w:rPr>
          <w:b w:val="false"/>
          <w:bCs w:val="false"/>
          <w:i w:val="false"/>
          <w:iCs w:val="false"/>
          <w:sz w:val="22"/>
          <w:szCs w:val="22"/>
        </w:rPr>
        <w:t xml:space="preserve">Detecté que, aunque hay opciones en el mercado, ninguna integra de manera fluida el seguimiento de rutinas…</w:t>
      </w:r>
    </w:p>
    <w:p>
      <w:pPr>
        <w:spacing w:after="160" w:line="276"/>
      </w:pPr>
      <w:r>
        <w:rPr>
          <w:b w:val="false"/>
          <w:bCs w:val="false"/>
          <w:i w:val="false"/>
          <w:iCs w:val="false"/>
          <w:sz w:val="22"/>
          <w:szCs w:val="22"/>
        </w:rPr>
        <w:t xml:space="preserve">En «Objetivos generales», reemplazar «que empodere a los usuarios en su journey de fitness» por «que acompañe a los usuarios a lo largo de su proceso de entrenamiento». El resto del documento ya está en primera persona del singular; conviene sostenerla en todas las secciones.</w:t>
      </w:r>
    </w:p>
    <w:p>
      <w:pPr>
        <w:pStyle w:val="Heading2"/>
      </w:pPr>
      <w:r>
        <w:rPr>
          <w:b/>
          <w:bCs/>
        </w:rPr>
        <w:t xml:space="preserve">9. Ortografía y tipeo</w:t>
      </w:r>
    </w:p>
    <w:p>
      <w:pPr>
        <w:spacing w:after="160" w:line="276"/>
      </w:pPr>
      <w:r>
        <w:rPr>
          <w:b w:val="false"/>
          <w:bCs w:val="false"/>
          <w:i/>
          <w:iCs/>
          <w:sz w:val="20"/>
          <w:szCs w:val="20"/>
        </w:rPr>
        <w:t xml:space="preserve">Correcciones a aplicar con buscar y reemplazar en todo el documento.</w:t>
      </w:r>
    </w:p>
    <w:tbl>
      <w:tblPr>
        <w:tblW w:type="dxa" w:w="9360"/>
        <w:tblBorders>
          <w:top w:val="single" w:color="000000" w:sz="6"/>
          <w:left w:val="single" w:color="000000" w:sz="6"/>
          <w:bottom w:val="single" w:color="000000" w:sz="6"/>
          <w:right w:val="single" w:color="000000" w:sz="6"/>
          <w:insideH w:val="single" w:color="000000" w:sz="6"/>
          <w:insideV w:val="single" w:color="000000" w:sz="6"/>
        </w:tblBorders>
      </w:tblPr>
      <w:tblGrid>
        <w:gridCol w:w="3200"/>
        <w:gridCol w:w="6160"/>
      </w:tblGrid>
      <w:tr>
        <w:trPr>
          <w:tblHeader/>
        </w:trPr>
        <w:tc>
          <w:tcPr>
            <w:tcW w:type="dxa" w:w="3200"/>
            <w:tcMar>
              <w:top w:type="dxa" w:w="60"/>
              <w:left w:type="dxa" w:w="120"/>
              <w:bottom w:type="dxa" w:w="60"/>
              <w:right w:type="dxa" w:w="120"/>
            </w:tcMar>
          </w:tcPr>
          <w:p>
            <w:pPr>
              <w:spacing w:after="0"/>
            </w:pPr>
            <w:r>
              <w:rPr>
                <w:b/>
                <w:bCs/>
                <w:sz w:val="20"/>
                <w:szCs w:val="20"/>
              </w:rPr>
              <w:t xml:space="preserve">Dice</w:t>
            </w:r>
          </w:p>
        </w:tc>
        <w:tc>
          <w:tcPr>
            <w:tcW w:type="dxa" w:w="6160"/>
            <w:tcMar>
              <w:top w:type="dxa" w:w="60"/>
              <w:left w:type="dxa" w:w="120"/>
              <w:bottom w:type="dxa" w:w="60"/>
              <w:right w:type="dxa" w:w="120"/>
            </w:tcMar>
          </w:tcPr>
          <w:p>
            <w:pPr>
              <w:spacing w:after="0"/>
            </w:pPr>
            <w:r>
              <w:rPr>
                <w:b/>
                <w:bCs/>
                <w:sz w:val="20"/>
                <w:szCs w:val="20"/>
              </w:rPr>
              <w:t xml:space="preserve">Debe decir</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Presentacion</w:t>
            </w:r>
          </w:p>
        </w:tc>
        <w:tc>
          <w:tcPr>
            <w:tcW w:type="dxa" w:w="6160"/>
            <w:tcMar>
              <w:top w:type="dxa" w:w="60"/>
              <w:left w:type="dxa" w:w="120"/>
              <w:bottom w:type="dxa" w:w="60"/>
              <w:right w:type="dxa" w:w="120"/>
            </w:tcMar>
          </w:tcPr>
          <w:p>
            <w:pPr>
              <w:spacing w:after="0"/>
            </w:pPr>
            <w:r>
              <w:rPr>
                <w:b w:val="false"/>
                <w:bCs w:val="false"/>
                <w:sz w:val="20"/>
                <w:szCs w:val="20"/>
              </w:rPr>
              <w:t xml:space="preserve">Presentación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documentacion</w:t>
            </w:r>
          </w:p>
        </w:tc>
        <w:tc>
          <w:tcPr>
            <w:tcW w:type="dxa" w:w="6160"/>
            <w:tcMar>
              <w:top w:type="dxa" w:w="60"/>
              <w:left w:type="dxa" w:w="120"/>
              <w:bottom w:type="dxa" w:w="60"/>
              <w:right w:type="dxa" w:w="120"/>
            </w:tcMar>
          </w:tcPr>
          <w:p>
            <w:pPr>
              <w:spacing w:after="0"/>
            </w:pPr>
            <w:r>
              <w:rPr>
                <w:b w:val="false"/>
                <w:bCs w:val="false"/>
                <w:sz w:val="20"/>
                <w:szCs w:val="20"/>
              </w:rPr>
              <w:t xml:space="preserve">documentación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aplicacion</w:t>
            </w:r>
          </w:p>
        </w:tc>
        <w:tc>
          <w:tcPr>
            <w:tcW w:type="dxa" w:w="6160"/>
            <w:tcMar>
              <w:top w:type="dxa" w:w="60"/>
              <w:left w:type="dxa" w:w="120"/>
              <w:bottom w:type="dxa" w:w="60"/>
              <w:right w:type="dxa" w:w="120"/>
            </w:tcMar>
          </w:tcPr>
          <w:p>
            <w:pPr>
              <w:spacing w:after="0"/>
            </w:pPr>
            <w:r>
              <w:rPr>
                <w:b w:val="false"/>
                <w:bCs w:val="false"/>
                <w:sz w:val="20"/>
                <w:szCs w:val="20"/>
              </w:rPr>
              <w:t xml:space="preserve">aplicación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seccion</w:t>
            </w:r>
          </w:p>
        </w:tc>
        <w:tc>
          <w:tcPr>
            <w:tcW w:type="dxa" w:w="6160"/>
            <w:tcMar>
              <w:top w:type="dxa" w:w="60"/>
              <w:left w:type="dxa" w:w="120"/>
              <w:bottom w:type="dxa" w:w="60"/>
              <w:right w:type="dxa" w:w="120"/>
            </w:tcMar>
          </w:tcPr>
          <w:p>
            <w:pPr>
              <w:spacing w:after="0"/>
            </w:pPr>
            <w:r>
              <w:rPr>
                <w:b w:val="false"/>
                <w:bCs w:val="false"/>
                <w:sz w:val="20"/>
                <w:szCs w:val="20"/>
              </w:rPr>
              <w:t xml:space="preserve">sección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Administracion</w:t>
            </w:r>
          </w:p>
        </w:tc>
        <w:tc>
          <w:tcPr>
            <w:tcW w:type="dxa" w:w="6160"/>
            <w:tcMar>
              <w:top w:type="dxa" w:w="60"/>
              <w:left w:type="dxa" w:w="120"/>
              <w:bottom w:type="dxa" w:w="60"/>
              <w:right w:type="dxa" w:w="120"/>
            </w:tcMar>
          </w:tcPr>
          <w:p>
            <w:pPr>
              <w:spacing w:after="0"/>
            </w:pPr>
            <w:r>
              <w:rPr>
                <w:b w:val="false"/>
                <w:bCs w:val="false"/>
                <w:sz w:val="20"/>
                <w:szCs w:val="20"/>
              </w:rPr>
              <w:t xml:space="preserve">Administración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Validacion</w:t>
            </w:r>
          </w:p>
        </w:tc>
        <w:tc>
          <w:tcPr>
            <w:tcW w:type="dxa" w:w="6160"/>
            <w:tcMar>
              <w:top w:type="dxa" w:w="60"/>
              <w:left w:type="dxa" w:w="120"/>
              <w:bottom w:type="dxa" w:w="60"/>
              <w:right w:type="dxa" w:w="120"/>
            </w:tcMar>
          </w:tcPr>
          <w:p>
            <w:pPr>
              <w:spacing w:after="0"/>
            </w:pPr>
            <w:r>
              <w:rPr>
                <w:b w:val="false"/>
                <w:bCs w:val="false"/>
                <w:sz w:val="20"/>
                <w:szCs w:val="20"/>
              </w:rPr>
              <w:t xml:space="preserve">Validación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Creacion / definicion</w:t>
            </w:r>
          </w:p>
        </w:tc>
        <w:tc>
          <w:tcPr>
            <w:tcW w:type="dxa" w:w="6160"/>
            <w:tcMar>
              <w:top w:type="dxa" w:w="60"/>
              <w:left w:type="dxa" w:w="120"/>
              <w:bottom w:type="dxa" w:w="60"/>
              <w:right w:type="dxa" w:w="120"/>
            </w:tcMar>
          </w:tcPr>
          <w:p>
            <w:pPr>
              <w:spacing w:after="0"/>
            </w:pPr>
            <w:r>
              <w:rPr>
                <w:b w:val="false"/>
                <w:bCs w:val="false"/>
                <w:sz w:val="20"/>
                <w:szCs w:val="20"/>
              </w:rPr>
              <w:t xml:space="preserve">Creación / definición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Modulos / Musculos</w:t>
            </w:r>
          </w:p>
        </w:tc>
        <w:tc>
          <w:tcPr>
            <w:tcW w:type="dxa" w:w="6160"/>
            <w:tcMar>
              <w:top w:type="dxa" w:w="60"/>
              <w:left w:type="dxa" w:w="120"/>
              <w:bottom w:type="dxa" w:w="60"/>
              <w:right w:type="dxa" w:w="120"/>
            </w:tcMar>
          </w:tcPr>
          <w:p>
            <w:pPr>
              <w:spacing w:after="0"/>
            </w:pPr>
            <w:r>
              <w:rPr>
                <w:b w:val="false"/>
                <w:bCs w:val="false"/>
                <w:sz w:val="20"/>
                <w:szCs w:val="20"/>
              </w:rPr>
              <w:t xml:space="preserve">Módulos / Músculos</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Membresias</w:t>
            </w:r>
          </w:p>
        </w:tc>
        <w:tc>
          <w:tcPr>
            <w:tcW w:type="dxa" w:w="6160"/>
            <w:tcMar>
              <w:top w:type="dxa" w:w="60"/>
              <w:left w:type="dxa" w:w="120"/>
              <w:bottom w:type="dxa" w:w="60"/>
              <w:right w:type="dxa" w:w="120"/>
            </w:tcMar>
          </w:tcPr>
          <w:p>
            <w:pPr>
              <w:spacing w:after="0"/>
            </w:pPr>
            <w:r>
              <w:rPr>
                <w:b w:val="false"/>
                <w:bCs w:val="false"/>
                <w:sz w:val="20"/>
                <w:szCs w:val="20"/>
              </w:rPr>
              <w:t xml:space="preserve">Membresías</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dias</w:t>
            </w:r>
          </w:p>
        </w:tc>
        <w:tc>
          <w:tcPr>
            <w:tcW w:type="dxa" w:w="6160"/>
            <w:tcMar>
              <w:top w:type="dxa" w:w="60"/>
              <w:left w:type="dxa" w:w="120"/>
              <w:bottom w:type="dxa" w:w="60"/>
              <w:right w:type="dxa" w:w="120"/>
            </w:tcMar>
          </w:tcPr>
          <w:p>
            <w:pPr>
              <w:spacing w:after="0"/>
            </w:pPr>
            <w:r>
              <w:rPr>
                <w:b w:val="false"/>
                <w:bCs w:val="false"/>
                <w:sz w:val="20"/>
                <w:szCs w:val="20"/>
              </w:rPr>
              <w:t xml:space="preserve">días</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tendra / podra</w:t>
            </w:r>
          </w:p>
        </w:tc>
        <w:tc>
          <w:tcPr>
            <w:tcW w:type="dxa" w:w="6160"/>
            <w:tcMar>
              <w:top w:type="dxa" w:w="60"/>
              <w:left w:type="dxa" w:w="120"/>
              <w:bottom w:type="dxa" w:w="60"/>
              <w:right w:type="dxa" w:w="120"/>
            </w:tcMar>
          </w:tcPr>
          <w:p>
            <w:pPr>
              <w:spacing w:after="0"/>
            </w:pPr>
            <w:r>
              <w:rPr>
                <w:b w:val="false"/>
                <w:bCs w:val="false"/>
                <w:sz w:val="20"/>
                <w:szCs w:val="20"/>
              </w:rPr>
              <w:t xml:space="preserve">tendrá / podrá</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cronometros</w:t>
            </w:r>
          </w:p>
        </w:tc>
        <w:tc>
          <w:tcPr>
            <w:tcW w:type="dxa" w:w="6160"/>
            <w:tcMar>
              <w:top w:type="dxa" w:w="60"/>
              <w:left w:type="dxa" w:w="120"/>
              <w:bottom w:type="dxa" w:w="60"/>
              <w:right w:type="dxa" w:w="120"/>
            </w:tcMar>
          </w:tcPr>
          <w:p>
            <w:pPr>
              <w:spacing w:after="0"/>
            </w:pPr>
            <w:r>
              <w:rPr>
                <w:b w:val="false"/>
                <w:bCs w:val="false"/>
                <w:sz w:val="20"/>
                <w:szCs w:val="20"/>
              </w:rPr>
              <w:t xml:space="preserve">cronómetros</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correccion</w:t>
            </w:r>
          </w:p>
        </w:tc>
        <w:tc>
          <w:tcPr>
            <w:tcW w:type="dxa" w:w="6160"/>
            <w:tcMar>
              <w:top w:type="dxa" w:w="60"/>
              <w:left w:type="dxa" w:w="120"/>
              <w:bottom w:type="dxa" w:w="60"/>
              <w:right w:type="dxa" w:w="120"/>
            </w:tcMar>
          </w:tcPr>
          <w:p>
            <w:pPr>
              <w:spacing w:after="0"/>
            </w:pPr>
            <w:r>
              <w:rPr>
                <w:b w:val="false"/>
                <w:bCs w:val="false"/>
                <w:sz w:val="20"/>
                <w:szCs w:val="20"/>
              </w:rPr>
              <w:t xml:space="preserve">corrección</w:t>
            </w:r>
          </w:p>
        </w:tc>
      </w:tr>
      <w:tr>
        <w:trPr>
          <w:cantSplit/>
        </w:trPr>
        <w:tc>
          <w:tcPr>
            <w:tcW w:type="dxa" w:w="3200"/>
            <w:tcMar>
              <w:top w:type="dxa" w:w="60"/>
              <w:left w:type="dxa" w:w="120"/>
              <w:bottom w:type="dxa" w:w="60"/>
              <w:right w:type="dxa" w:w="120"/>
            </w:tcMar>
          </w:tcPr>
          <w:p>
            <w:pPr>
              <w:spacing w:after="0"/>
            </w:pPr>
            <w:r>
              <w:rPr>
                <w:b w:val="false"/>
                <w:bCs w:val="false"/>
                <w:sz w:val="20"/>
                <w:szCs w:val="20"/>
              </w:rPr>
              <w:t xml:space="preserve">records (de usuarios)</w:t>
            </w:r>
          </w:p>
        </w:tc>
        <w:tc>
          <w:tcPr>
            <w:tcW w:type="dxa" w:w="6160"/>
            <w:tcMar>
              <w:top w:type="dxa" w:w="60"/>
              <w:left w:type="dxa" w:w="120"/>
              <w:bottom w:type="dxa" w:w="60"/>
              <w:right w:type="dxa" w:w="120"/>
            </w:tcMar>
          </w:tcPr>
          <w:p>
            <w:pPr>
              <w:spacing w:after="0"/>
            </w:pPr>
            <w:r>
              <w:rPr>
                <w:b w:val="false"/>
                <w:bCs w:val="false"/>
                <w:sz w:val="20"/>
                <w:szCs w:val="20"/>
              </w:rPr>
              <w:t xml:space="preserve">marcas personales</w:t>
            </w:r>
          </w:p>
        </w:tc>
      </w:tr>
    </w:tbl>
    <w:p>
      <w:pPr>
        <w:spacing w:after="120" w:line="276"/>
      </w:pPr>
      <w:r>
        <w:rPr>
          <w:b w:val="false"/>
          <w:bCs w:val="false"/>
          <w:i/>
          <w:iCs/>
          <w:sz w:val="20"/>
          <w:szCs w:val="20"/>
        </w:rPr>
        <w:t xml:space="preserve">Una vez aplicados los cambios, conviene actualizar el índice para que los números de página vuelvan a coincidir.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drawing>
        <wp:inline distT="0" distB="0" distL="0" distR="0">
          <wp:extent cx="1143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71500"/>
                  </a:xfrm>
                  <a:prstGeom prst="rect">
                    <a:avLst/>
                  </a:prstGeom>
                </pic:spPr>
              </pic:pic>
            </a:graphicData>
          </a:graphic>
        </wp:inline>
      </w:drawing>
    </w:r>
  </w:p>
  <w:p>
    <w:pPr>
      <w:pBdr>
        <w:bottom w:val="single" w:color="000000" w:sz="6" w:space="4"/>
      </w:pBdr>
      <w:tabs>
        <w:tab w:val="right" w:pos="9360"/>
      </w:tabs>
      <w:spacing w:after="0"/>
    </w:pPr>
    <w:r>
      <w:rPr>
        <w:sz w:val="18"/>
        <w:szCs w:val="18"/>
      </w:rPr>
      <w:t xml:space="preserve">Escuela Superior de Ingeniería, Informática y Ciencias Agroalimentarias</w:t>
    </w:r>
    <w:r>
      <w:rPr>
        <w:sz w:val="18"/>
        <w:szCs w:val="18"/>
      </w:rPr>
      <w:tab/>
      <w:t xml:space="preserve">Franco Carames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Arial" w:cs="Arial" w:eastAsia="Arial" w:hAnsi="Arial"/>
      <w:b/>
      <w:bCs/>
      <w:color w:val="000000"/>
      <w:sz w:val="40"/>
      <w:szCs w:val="40"/>
    </w:rPr>
  </w:style>
  <w:style w:type="paragraph" w:styleId="Heading2">
    <w:name w:val="Heading 2"/>
    <w:basedOn w:val="Normal"/>
    <w:next w:val="Normal"/>
    <w:qFormat/>
    <w:pPr>
      <w:spacing w:after="120" w:before="30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d6fde61aca3aa9ace77c6a931b8ab7b74db06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2026-08-08T20:42:57.332Z</dcterms:created>
  <dcterms:modified xsi:type="dcterms:W3CDTF">2026-08-08T20:42:57.332Z</dcterms:modified>
</cp:coreProperties>
</file>

<file path=docProps/custom.xml><?xml version="1.0" encoding="utf-8"?>
<Properties xmlns="http://schemas.openxmlformats.org/officeDocument/2006/custom-properties" xmlns:vt="http://schemas.openxmlformats.org/officeDocument/2006/docPropsVTypes"/>
</file>