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900"/>
      </w:pPr>
      <w:r>
        <w:t>Análisis y triage de recursos sospechosos</w:t>
      </w:r>
    </w:p>
    <w:p>
      <w:pPr>
        <w:pStyle w:val="Subtitle"/>
      </w:pPr>
      <w:r>
        <w:t>Trabajo práctico 2</w:t>
      </w:r>
    </w:p>
    <w:p>
      <w:r>
        <w:t>Universidad Tecnológica Nacional</w:t>
        <w:br/>
        <w:t>Facultad Regional Resistencia</w:t>
        <w:br/>
        <w:t>Ingeniería en Sistemas de Información</w:t>
      </w:r>
    </w:p>
    <w:p>
      <w:pPr>
        <w:pStyle w:val="Heading1"/>
      </w:pPr>
      <w:r>
        <w:t>Fundamentos de Ciberseguridad</w:t>
      </w:r>
    </w:p>
    <w:p>
      <w:r>
        <w:t>Grupo 05 · Ciclo 2026 · 23 de octubre de 2026 · Análisis dinámico: 29 de octubre de 2026</w:t>
      </w:r>
    </w:p>
    <w:p>
      <w:pPr>
        <w:pStyle w:val="Heading2"/>
      </w:pPr>
      <w:r>
        <w:t>Integrantes</w:t>
      </w:r>
    </w:p>
    <w:p>
      <w:r>
        <w:t>Benetucci Ignacio</w:t>
      </w:r>
    </w:p>
    <w:p>
      <w:r>
        <w:t>Maurel Garcete Philippe</w:t>
      </w:r>
    </w:p>
    <w:p>
      <w:r>
        <w:t>Rodas Sebastián</w:t>
      </w:r>
    </w:p>
    <w:p>
      <w:r>
        <w:t>Sánchez Franco</w:t>
      </w:r>
    </w:p>
    <w:p>
      <w:r>
        <w:t>Informe técnico con siete fichas de análisis, evidencia fechada y fuentes verificables.</w:t>
      </w:r>
    </w:p>
    <w:p>
      <w:r>
        <w:br w:type="page"/>
      </w:r>
    </w:p>
    <w:p>
      <w:pPr>
        <w:pStyle w:val="Heading1"/>
      </w:pPr>
      <w:r>
        <w:t>Resumen ejecutivo</w:t>
      </w:r>
    </w:p>
    <w:p>
      <w:r>
        <w:t>Analizamos siete recursos: dos archivos Windows, dos correos y tres URLs. Clasificamos cuatro como maliciosos y tres como sospechosos; ninguno se acreditó como limpio. F001 y F002 conservan el veredicto MALICIOSO: a las huellas coincidentes y 47 detecciones de VirusTotal por binario se agregan dos reportes de ejecución de ANY.RUN, que clasifican ambas muestras como «Malicious activity». El ELF asociado a U002 tiene 50 detecciones. R004 incorpora una URL remota exacta con 12 detecciones. Los restantes casos presentan señales mixtas. La ejecución en el sandbox de ANY.RUN no demuestra infección de un equipo fuera de ese entorno.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7654"/>
      </w:tblGrid>
      <w:tr>
        <w:trPr>
          <w:cantSplit/>
          <w:tblHeader/>
        </w:trPr>
        <w:tc>
          <w:tcPr>
            <w:tcW w:type="dxa" w:w="2324"/>
            <w:vAlign w:val="center"/>
            <w:shd w:fill="DCE6F1"/>
            <w:tcMar>
              <w:top w:w="65" w:type="dxa"/>
              <w:bottom w:w="65" w:type="dxa"/>
              <w:left w:w="95" w:type="dxa"/>
              <w:right w:w="95" w:type="dxa"/>
            </w:tcMar>
          </w:tcPr>
          <w:p>
            <w:pPr>
              <w:spacing w:after="20" w:line="240" w:lineRule="auto"/>
            </w:pPr>
            <w:r>
              <w:rPr>
                <w:b/>
                <w:sz w:val="20"/>
              </w:rPr>
              <w:t>Recurso</w:t>
            </w:r>
          </w:p>
        </w:tc>
        <w:tc>
          <w:tcPr>
            <w:tcW w:type="dxa" w:w="7654"/>
            <w:vAlign w:val="center"/>
            <w:shd w:fill="DCE6F1"/>
            <w:tcMar>
              <w:top w:w="65" w:type="dxa"/>
              <w:bottom w:w="65" w:type="dxa"/>
              <w:left w:w="95" w:type="dxa"/>
              <w:right w:w="95" w:type="dxa"/>
            </w:tcMar>
          </w:tcPr>
          <w:p>
            <w:pPr>
              <w:spacing w:after="20" w:line="240" w:lineRule="auto"/>
            </w:pPr>
            <w:r>
              <w:rPr>
                <w:b/>
                <w:sz w:val="20"/>
              </w:rPr>
              <w:t>Veredicto y confianza</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F001 · Archivo 1</w:t>
            </w:r>
          </w:p>
        </w:tc>
        <w:tc>
          <w:tcPr>
            <w:tcW w:type="dxa" w:w="7654"/>
            <w:vAlign w:val="center"/>
            <w:shd w:fill="FFFFFF"/>
            <w:tcMar>
              <w:top w:w="65" w:type="dxa"/>
              <w:bottom w:w="65" w:type="dxa"/>
              <w:left w:w="95" w:type="dxa"/>
              <w:right w:w="95" w:type="dxa"/>
            </w:tcMar>
          </w:tcPr>
          <w:p>
            <w:pPr>
              <w:spacing w:after="20" w:line="240" w:lineRule="auto"/>
            </w:pPr>
            <w:r>
              <w:rPr>
                <w:b w:val="0"/>
                <w:sz w:val="20"/>
              </w:rPr>
              <w:t>MALICIOSO · Alta</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F002 · Archivo 2</w:t>
            </w:r>
          </w:p>
        </w:tc>
        <w:tc>
          <w:tcPr>
            <w:tcW w:type="dxa" w:w="7654"/>
            <w:vAlign w:val="center"/>
            <w:shd w:fill="F5F5F5"/>
            <w:tcMar>
              <w:top w:w="65" w:type="dxa"/>
              <w:bottom w:w="65" w:type="dxa"/>
              <w:left w:w="95" w:type="dxa"/>
              <w:right w:w="95" w:type="dxa"/>
            </w:tcMar>
          </w:tcPr>
          <w:p>
            <w:pPr>
              <w:spacing w:after="20" w:line="240" w:lineRule="auto"/>
            </w:pPr>
            <w:r>
              <w:rPr>
                <w:b w:val="0"/>
                <w:sz w:val="20"/>
              </w:rPr>
              <w:t>MALICIOSO · Alta</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R004 · Correo 1</w:t>
            </w:r>
          </w:p>
        </w:tc>
        <w:tc>
          <w:tcPr>
            <w:tcW w:type="dxa" w:w="7654"/>
            <w:vAlign w:val="center"/>
            <w:shd w:fill="FFFFFF"/>
            <w:tcMar>
              <w:top w:w="65" w:type="dxa"/>
              <w:bottom w:w="65" w:type="dxa"/>
              <w:left w:w="95" w:type="dxa"/>
              <w:right w:w="95" w:type="dxa"/>
            </w:tcMar>
          </w:tcPr>
          <w:p>
            <w:pPr>
              <w:spacing w:after="20" w:line="240" w:lineRule="auto"/>
            </w:pPr>
            <w:r>
              <w:rPr>
                <w:b w:val="0"/>
                <w:sz w:val="20"/>
              </w:rPr>
              <w:t>MALICIOSO · Media</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R005 · Correo 2</w:t>
            </w:r>
          </w:p>
        </w:tc>
        <w:tc>
          <w:tcPr>
            <w:tcW w:type="dxa" w:w="7654"/>
            <w:vAlign w:val="center"/>
            <w:shd w:fill="F5F5F5"/>
            <w:tcMar>
              <w:top w:w="65" w:type="dxa"/>
              <w:bottom w:w="65" w:type="dxa"/>
              <w:left w:w="95" w:type="dxa"/>
              <w:right w:w="95" w:type="dxa"/>
            </w:tcMar>
          </w:tcPr>
          <w:p>
            <w:pPr>
              <w:spacing w:after="20" w:line="240" w:lineRule="auto"/>
            </w:pPr>
            <w:r>
              <w:rPr>
                <w:b w:val="0"/>
                <w:sz w:val="20"/>
              </w:rPr>
              <w:t>SOSPECHOSO · Media</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U001 · Enlace 1</w:t>
            </w:r>
          </w:p>
        </w:tc>
        <w:tc>
          <w:tcPr>
            <w:tcW w:type="dxa" w:w="7654"/>
            <w:vAlign w:val="center"/>
            <w:shd w:fill="FFFFFF"/>
            <w:tcMar>
              <w:top w:w="65" w:type="dxa"/>
              <w:bottom w:w="65" w:type="dxa"/>
              <w:left w:w="95" w:type="dxa"/>
              <w:right w:w="95" w:type="dxa"/>
            </w:tcMar>
          </w:tcPr>
          <w:p>
            <w:pPr>
              <w:spacing w:after="20" w:line="240" w:lineRule="auto"/>
            </w:pPr>
            <w:r>
              <w:rPr>
                <w:b w:val="0"/>
                <w:sz w:val="20"/>
              </w:rPr>
              <w:t>SOSPECHOSO · Media</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U002 · Enlace 2</w:t>
            </w:r>
          </w:p>
        </w:tc>
        <w:tc>
          <w:tcPr>
            <w:tcW w:type="dxa" w:w="7654"/>
            <w:vAlign w:val="center"/>
            <w:shd w:fill="F5F5F5"/>
            <w:tcMar>
              <w:top w:w="65" w:type="dxa"/>
              <w:bottom w:w="65" w:type="dxa"/>
              <w:left w:w="95" w:type="dxa"/>
              <w:right w:w="95" w:type="dxa"/>
            </w:tcMar>
          </w:tcPr>
          <w:p>
            <w:pPr>
              <w:spacing w:after="20" w:line="240" w:lineRule="auto"/>
            </w:pPr>
            <w:r>
              <w:rPr>
                <w:b w:val="0"/>
                <w:sz w:val="20"/>
              </w:rPr>
              <w:t>MALICIOSO · Alta</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U003 · Enlace 3</w:t>
            </w:r>
          </w:p>
        </w:tc>
        <w:tc>
          <w:tcPr>
            <w:tcW w:type="dxa" w:w="7654"/>
            <w:vAlign w:val="center"/>
            <w:shd w:fill="FFFFFF"/>
            <w:tcMar>
              <w:top w:w="65" w:type="dxa"/>
              <w:bottom w:w="65" w:type="dxa"/>
              <w:left w:w="95" w:type="dxa"/>
              <w:right w:w="95" w:type="dxa"/>
            </w:tcMar>
          </w:tcPr>
          <w:p>
            <w:pPr>
              <w:spacing w:after="20" w:line="240" w:lineRule="auto"/>
            </w:pPr>
            <w:r>
              <w:rPr>
                <w:b w:val="0"/>
                <w:sz w:val="20"/>
              </w:rPr>
              <w:t>SOSPECHOSO · Media</w:t>
            </w:r>
          </w:p>
        </w:tc>
      </w:tr>
    </w:tbl>
    <w:p>
      <w:pPr>
        <w:pStyle w:val="Heading1"/>
      </w:pPr>
      <w:r>
        <w:t>Metodología y entorno</w:t>
      </w:r>
    </w:p>
    <w:p>
      <w:r>
        <w:t>La fase inicial priorizó análisis estático y reputación. El ZIP se preservó con su SHA-256; los archivos y correos se extrajeron como datos en una VM mínima derivada de Kali, sin red, sin integración con el host y con montajes noexec. La recuperación usa una base limpia y disco diferencial; no acredita un snapshot formal del hipervisor. En esa fase no se ejecutaron muestras, cargaron HTML ni visitaron destinos sospechosos. Para archivos conocidos consultamos hashes en VirusTotal; para URLs revisamos informes históricos de urlscan. Completamos cabeceras, MXToolbox, RDAP, DNS y crt.sh. Los registros conservan consultas y estados de cada adquisición.</w:t>
      </w:r>
    </w:p>
    <w:p>
      <w:r>
        <w:t>El 29/10/2026 se añadieron reportes PDF de ejecuciones de F001 y F002 en ANY.RUN, en Windows 10 Professional de 64 bits con red. La identidad de cada objeto se vincula por su SHA-256 con el archivo inventariado y consultado en VirusTotal. Los PDF conservan el veredicto del proveedor, un resumen automático, indicadores y detecciones de comportamiento; no incluyen un volcado de eventos o tráfico suficiente para validar de forma independiente todas las relaciones entre procesos, persistencia y comunicaciones que afirma el resumen automático. Las recomendaciones del reporte son contenido generado por el proveedor, no acciones realizadas por el grupo. Las cabeceras de correo declaran resultados de autenticación; no revalidamos DKIM criptográficamente ni reconstruimos SPF histórico. Las consultas y capturas iniciales se adquirieron el 23/10/2026; los históricos web principales corresponden al 16/10 y los reportes ANY.RUN al 29/10. Las etiquetas de familia (ValleyRAT, SilverFox, Winos) son atribuciones automáticas del proveedor, no una identificación independiente. Las IP listadas por ANY.RUN no se tratan como C2 confirmados ni como indicadores para bloqueo sin revisar el tráfico y su relación con el proceso. Una URL sin informe, un dominio aparcado o una IP no listada no acreditan legitimidad.</w:t>
      </w:r>
    </w:p>
    <w:p>
      <w:r>
        <w:br w:type="page"/>
      </w:r>
    </w:p>
    <w:p>
      <w:pPr>
        <w:pStyle w:val="Heading1"/>
      </w:pPr>
      <w:r>
        <w:t>F001 Archivo 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7654"/>
      </w:tblGrid>
      <w:tr>
        <w:trPr>
          <w:cantSplit/>
          <w:tblHeader/>
        </w:trPr>
        <w:tc>
          <w:tcPr>
            <w:tcW w:type="dxa" w:w="2324"/>
            <w:vAlign w:val="center"/>
            <w:shd w:fill="DCE6F1"/>
            <w:tcMar>
              <w:top w:w="65" w:type="dxa"/>
              <w:bottom w:w="65" w:type="dxa"/>
              <w:left w:w="95" w:type="dxa"/>
              <w:right w:w="95" w:type="dxa"/>
            </w:tcMar>
          </w:tcPr>
          <w:p>
            <w:pPr>
              <w:spacing w:after="20" w:line="240" w:lineRule="auto"/>
            </w:pPr>
            <w:r>
              <w:rPr>
                <w:b/>
                <w:sz w:val="20"/>
              </w:rPr>
              <w:t>Campo</w:t>
            </w:r>
          </w:p>
        </w:tc>
        <w:tc>
          <w:tcPr>
            <w:tcW w:type="dxa" w:w="7654"/>
            <w:vAlign w:val="center"/>
            <w:shd w:fill="DCE6F1"/>
            <w:tcMar>
              <w:top w:w="65" w:type="dxa"/>
              <w:bottom w:w="65" w:type="dxa"/>
              <w:left w:w="95" w:type="dxa"/>
              <w:right w:w="95" w:type="dxa"/>
            </w:tcMar>
          </w:tcPr>
          <w:p>
            <w:pPr>
              <w:spacing w:after="20" w:line="240" w:lineRule="auto"/>
            </w:pPr>
            <w:r>
              <w:rPr>
                <w:b/>
                <w:sz w:val="20"/>
              </w:rPr>
              <w:t>Resultado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Identificador del recurso</w:t>
            </w:r>
          </w:p>
        </w:tc>
        <w:tc>
          <w:tcPr>
            <w:tcW w:type="dxa" w:w="7654"/>
            <w:vAlign w:val="center"/>
            <w:shd w:fill="FFFFFF"/>
            <w:tcMar>
              <w:top w:w="65" w:type="dxa"/>
              <w:bottom w:w="65" w:type="dxa"/>
              <w:left w:w="95" w:type="dxa"/>
              <w:right w:w="95" w:type="dxa"/>
            </w:tcMar>
          </w:tcPr>
          <w:p>
            <w:pPr>
              <w:spacing w:after="20" w:line="240" w:lineRule="auto"/>
            </w:pPr>
            <w:r>
              <w:rPr>
                <w:b w:val="0"/>
                <w:sz w:val="20"/>
              </w:rPr>
              <w:t>F001 · Archivo 1 · file_1.zip</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Tipo</w:t>
            </w:r>
          </w:p>
        </w:tc>
        <w:tc>
          <w:tcPr>
            <w:tcW w:type="dxa" w:w="7654"/>
            <w:vAlign w:val="center"/>
            <w:shd w:fill="F5F5F5"/>
            <w:tcMar>
              <w:top w:w="65" w:type="dxa"/>
              <w:bottom w:w="65" w:type="dxa"/>
              <w:left w:w="95" w:type="dxa"/>
              <w:right w:w="95" w:type="dxa"/>
            </w:tcMar>
          </w:tcPr>
          <w:p>
            <w:pPr>
              <w:spacing w:after="20" w:line="240" w:lineRule="auto"/>
            </w:pPr>
            <w:r>
              <w:rPr>
                <w:b w:val="0"/>
                <w:sz w:val="20"/>
              </w:rPr>
              <w:t>DLL Windows PE32+ x64, 2.264.968 bytes. Recurso independiente del ZIP.</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Herramientas usadas</w:t>
            </w:r>
          </w:p>
        </w:tc>
        <w:tc>
          <w:tcPr>
            <w:tcW w:type="dxa" w:w="7654"/>
            <w:vAlign w:val="center"/>
            <w:shd w:fill="FFFFFF"/>
            <w:tcMar>
              <w:top w:w="65" w:type="dxa"/>
              <w:bottom w:w="65" w:type="dxa"/>
              <w:left w:w="95" w:type="dxa"/>
              <w:right w:w="95" w:type="dxa"/>
            </w:tcMar>
          </w:tcPr>
          <w:p>
            <w:pPr>
              <w:spacing w:after="20" w:line="240" w:lineRule="auto"/>
            </w:pPr>
            <w:r>
              <w:rPr>
                <w:b w:val="0"/>
                <w:sz w:val="20"/>
              </w:rPr>
              <w:t>file, 7-Zip y hashes en VM; VirusTotal por hash; reporte de ejecución ANY.RUN.</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Evidencia clave</w:t>
            </w:r>
          </w:p>
        </w:tc>
        <w:tc>
          <w:tcPr>
            <w:tcW w:type="dxa" w:w="7654"/>
            <w:vAlign w:val="center"/>
            <w:shd w:fill="F5F5F5"/>
            <w:tcMar>
              <w:top w:w="65" w:type="dxa"/>
              <w:bottom w:w="65" w:type="dxa"/>
              <w:left w:w="95" w:type="dxa"/>
              <w:right w:w="95" w:type="dxa"/>
            </w:tcMar>
          </w:tcPr>
          <w:p>
            <w:pPr>
              <w:spacing w:after="20" w:line="240" w:lineRule="auto"/>
            </w:pPr>
            <w:r>
              <w:rPr>
                <w:b w:val="0"/>
                <w:sz w:val="20"/>
              </w:rPr>
              <w:t>Los SHA-256, SHA-1 y MD5 y el tamaño coinciden con VT. 47 motores maliciosos. Primera observación en VT: 14/10/2026. Nombres históricos: Setup64.exe y libPdfCore.dll; el tipo real es DLL. ANY.RUN analizó el mismo SHA-256 y calificó la actividad como maliciosa; su tabla de detecciones incluye ejecución mediante rundll32/cmd, búsqueda de software y cambio de autorun (T1547.001). El resumen automático atribuye comunicación a 204[.]194[.]49[.]108, sin prueba de C2 o exfiltración verificable en este PDF.</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Tipo de amenaza si aplica</w:t>
            </w:r>
          </w:p>
        </w:tc>
        <w:tc>
          <w:tcPr>
            <w:tcW w:type="dxa" w:w="7654"/>
            <w:vAlign w:val="center"/>
            <w:shd w:fill="FFFFFF"/>
            <w:tcMar>
              <w:top w:w="65" w:type="dxa"/>
              <w:bottom w:w="65" w:type="dxa"/>
              <w:left w:w="95" w:type="dxa"/>
              <w:right w:w="95" w:type="dxa"/>
            </w:tcMar>
          </w:tcPr>
          <w:p>
            <w:pPr>
              <w:spacing w:after="20" w:line="240" w:lineRule="auto"/>
            </w:pPr>
            <w:r>
              <w:rPr>
                <w:b w:val="0"/>
                <w:sz w:val="20"/>
              </w:rPr>
              <w:t>Troyano o herramienta de acceso remoto según reputación y análisis de ANY.RUN. ValleyRAT/SilverFox/Winos son etiquetas del proveedor; no se confirmó una familia por análisis independiente.</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Impacto C-I-A</w:t>
            </w:r>
          </w:p>
        </w:tc>
        <w:tc>
          <w:tcPr>
            <w:tcW w:type="dxa" w:w="7654"/>
            <w:vAlign w:val="center"/>
            <w:shd w:fill="F5F5F5"/>
            <w:tcMar>
              <w:top w:w="65" w:type="dxa"/>
              <w:bottom w:w="65" w:type="dxa"/>
              <w:left w:w="95" w:type="dxa"/>
              <w:right w:w="95" w:type="dxa"/>
            </w:tcMar>
          </w:tcPr>
          <w:p>
            <w:pPr>
              <w:spacing w:after="20" w:line="240" w:lineRule="auto"/>
            </w:pPr>
            <w:r>
              <w:rPr>
                <w:b w:val="0"/>
                <w:sz w:val="20"/>
              </w:rPr>
              <w:t>C: posible acceso a información. I: posibles cambios no autorizados; ANY.RUN señala un cambio de autorun dentro del sandbox. A: efecto concreto sin determinar. No se demuestra impacto en un equipo externo.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VEREDICTO</w:t>
            </w:r>
          </w:p>
        </w:tc>
        <w:tc>
          <w:tcPr>
            <w:tcW w:type="dxa" w:w="7654"/>
            <w:vAlign w:val="center"/>
            <w:shd w:fill="FFFFFF"/>
            <w:tcMar>
              <w:top w:w="65" w:type="dxa"/>
              <w:bottom w:w="65" w:type="dxa"/>
              <w:left w:w="95" w:type="dxa"/>
              <w:right w:w="95" w:type="dxa"/>
            </w:tcMar>
          </w:tcPr>
          <w:p>
            <w:pPr>
              <w:spacing w:after="20" w:line="240" w:lineRule="auto"/>
            </w:pPr>
            <w:r>
              <w:rPr>
                <w:b w:val="0"/>
                <w:sz w:val="20"/>
              </w:rPr>
              <w:t>MALICIOSO</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Confianza</w:t>
            </w:r>
          </w:p>
        </w:tc>
        <w:tc>
          <w:tcPr>
            <w:tcW w:type="dxa" w:w="7654"/>
            <w:vAlign w:val="center"/>
            <w:shd w:fill="F5F5F5"/>
            <w:tcMar>
              <w:top w:w="65" w:type="dxa"/>
              <w:bottom w:w="65" w:type="dxa"/>
              <w:left w:w="95" w:type="dxa"/>
              <w:right w:w="95" w:type="dxa"/>
            </w:tcMar>
          </w:tcPr>
          <w:p>
            <w:pPr>
              <w:spacing w:after="20" w:line="240" w:lineRule="auto"/>
            </w:pPr>
            <w:r>
              <w:rPr>
                <w:b w:val="0"/>
                <w:sz w:val="20"/>
              </w:rPr>
              <w:t>Alta en identidad y clasificación maliciosa; comportamiento específico sujeto a los límites del reporte PDF.</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Medida usuario / organización</w:t>
            </w:r>
          </w:p>
        </w:tc>
        <w:tc>
          <w:tcPr>
            <w:tcW w:type="dxa" w:w="7654"/>
            <w:vAlign w:val="center"/>
            <w:shd w:fill="FFFFFF"/>
            <w:tcMar>
              <w:top w:w="65" w:type="dxa"/>
              <w:bottom w:w="65" w:type="dxa"/>
              <w:left w:w="95" w:type="dxa"/>
              <w:right w:w="95" w:type="dxa"/>
            </w:tcMar>
          </w:tcPr>
          <w:p>
            <w:pPr>
              <w:spacing w:after="20" w:line="240" w:lineRule="auto"/>
            </w:pPr>
            <w:r>
              <w:rPr>
                <w:b w:val="0"/>
                <w:sz w:val="20"/>
              </w:rPr>
              <w:t>Usuario: mantener aislado y no ejecutar. Organización: bloquear el hash y buscar coincidencias en EDR; investigar si hay indicios de ejecución.</w:t>
            </w:r>
          </w:p>
        </w:tc>
      </w:tr>
    </w:tbl>
    <w:p>
      <w:pPr>
        <w:spacing w:after="0"/>
      </w:pPr>
      <w:r>
        <w:rPr>
          <w:sz w:val="16"/>
        </w:rPr>
        <w:t>SHA-256: 6f9f663f832a06474913ec6bb0f94e3cca6e0658396a68053ff36abedbb050ba</w:t>
      </w:r>
    </w:p>
    <w:p>
      <w:pPr>
        <w:spacing w:before="120" w:after="60"/>
      </w:pPr>
      <w:r>
        <w:drawing>
          <wp:inline xmlns:a="http://schemas.openxmlformats.org/drawingml/2006/main" xmlns:pic="http://schemas.openxmlformats.org/drawingml/2006/picture">
            <wp:extent cx="6336000" cy="2549508"/>
            <wp:docPr id="1" name="Picture 1" descr="Fragmento de captura original F001-virustotal-detecciones.jpg; imagen completa enlazada en el pie."/>
            <wp:cNvGraphicFramePr>
              <a:graphicFrameLocks noChangeAspect="1"/>
            </wp:cNvGraphicFramePr>
            <a:graphic>
              <a:graphicData uri="http://schemas.openxmlformats.org/drawingml/2006/picture">
                <pic:pic>
                  <pic:nvPicPr>
                    <pic:cNvPr id="0" name="F001-virustotal-detecciones.jpg"/>
                    <pic:cNvPicPr/>
                  </pic:nvPicPr>
                  <pic:blipFill>
                    <a:blip r:embed="rId11"/>
                    <a:srcRect l="0" t="12939" r="0" b="37153"/>
                    <a:stretch>
                      <a:fillRect/>
                    </a:stretch>
                  </pic:blipFill>
                  <pic:spPr>
                    <a:xfrm>
                      <a:off x="0" y="0"/>
                      <a:ext cx="6336000" cy="2549508"/>
                    </a:xfrm>
                    <a:prstGeom prst="rect"/>
                  </pic:spPr>
                </pic:pic>
              </a:graphicData>
            </a:graphic>
          </wp:inline>
        </w:drawing>
      </w:r>
    </w:p>
    <w:p>
      <w:pPr>
        <w:pStyle w:val="Caption"/>
      </w:pPr>
      <w:r>
        <w:t xml:space="preserve">Figura F001 · Fragmento de captura del 2026-10-23 17:43:03 UTC. </w:t>
      </w:r>
      <w:hyperlink r:id="rId12">
        <w:r>
          <w:rPr>
            <w:color w:val="0563C1"/>
            <w:u w:val="single"/>
          </w:rPr>
          <w:t>Captura completa</w:t>
        </w:r>
      </w:hyperlink>
    </w:p>
    <w:p>
      <w:pPr>
        <w:pStyle w:val="Caption"/>
      </w:pPr>
      <w:r>
        <w:t xml:space="preserve">Fuentes: </w:t>
      </w:r>
      <w:hyperlink r:id="rId13">
        <w:r>
          <w:rPr>
            <w:color w:val="0563C1"/>
            <w:u w:val="single"/>
          </w:rPr>
          <w:t>VirusTotal</w:t>
        </w:r>
      </w:hyperlink>
      <w:r>
        <w:t xml:space="preserve"> · </w:t>
      </w:r>
      <w:hyperlink r:id="rId14">
        <w:r>
          <w:rPr>
            <w:color w:val="0563C1"/>
            <w:u w:val="single"/>
          </w:rPr>
          <w:t>Huellas y tipo</w:t>
        </w:r>
      </w:hyperlink>
      <w:r>
        <w:t xml:space="preserve"> · </w:t>
      </w:r>
      <w:hyperlink r:id="rId15">
        <w:r>
          <w:rPr>
            <w:color w:val="0563C1"/>
            <w:u w:val="single"/>
          </w:rPr>
          <w:t>Respuesta de VT</w:t>
        </w:r>
      </w:hyperlink>
    </w:p>
    <w:p>
      <w:r>
        <w:br w:type="page"/>
      </w:r>
    </w:p>
    <w:p>
      <w:pPr>
        <w:pStyle w:val="Heading1"/>
      </w:pPr>
      <w:r>
        <w:t>F002 Archivo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7654"/>
      </w:tblGrid>
      <w:tr>
        <w:trPr>
          <w:cantSplit/>
          <w:tblHeader/>
        </w:trPr>
        <w:tc>
          <w:tcPr>
            <w:tcW w:type="dxa" w:w="2324"/>
            <w:vAlign w:val="center"/>
            <w:shd w:fill="DCE6F1"/>
            <w:tcMar>
              <w:top w:w="65" w:type="dxa"/>
              <w:bottom w:w="65" w:type="dxa"/>
              <w:left w:w="95" w:type="dxa"/>
              <w:right w:w="95" w:type="dxa"/>
            </w:tcMar>
          </w:tcPr>
          <w:p>
            <w:pPr>
              <w:spacing w:after="20" w:line="240" w:lineRule="auto"/>
            </w:pPr>
            <w:r>
              <w:rPr>
                <w:b/>
                <w:sz w:val="20"/>
              </w:rPr>
              <w:t>Campo</w:t>
            </w:r>
          </w:p>
        </w:tc>
        <w:tc>
          <w:tcPr>
            <w:tcW w:type="dxa" w:w="7654"/>
            <w:vAlign w:val="center"/>
            <w:shd w:fill="DCE6F1"/>
            <w:tcMar>
              <w:top w:w="65" w:type="dxa"/>
              <w:bottom w:w="65" w:type="dxa"/>
              <w:left w:w="95" w:type="dxa"/>
              <w:right w:w="95" w:type="dxa"/>
            </w:tcMar>
          </w:tcPr>
          <w:p>
            <w:pPr>
              <w:spacing w:after="20" w:line="240" w:lineRule="auto"/>
            </w:pPr>
            <w:r>
              <w:rPr>
                <w:b/>
                <w:sz w:val="20"/>
              </w:rPr>
              <w:t>Resultado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Identificador del recurso</w:t>
            </w:r>
          </w:p>
        </w:tc>
        <w:tc>
          <w:tcPr>
            <w:tcW w:type="dxa" w:w="7654"/>
            <w:vAlign w:val="center"/>
            <w:shd w:fill="FFFFFF"/>
            <w:tcMar>
              <w:top w:w="65" w:type="dxa"/>
              <w:bottom w:w="65" w:type="dxa"/>
              <w:left w:w="95" w:type="dxa"/>
              <w:right w:w="95" w:type="dxa"/>
            </w:tcMar>
          </w:tcPr>
          <w:p>
            <w:pPr>
              <w:spacing w:after="20" w:line="240" w:lineRule="auto"/>
            </w:pPr>
            <w:r>
              <w:rPr>
                <w:b w:val="0"/>
                <w:sz w:val="20"/>
              </w:rPr>
              <w:t>F002 · Archivo 2 · file_2.zip</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Tipo</w:t>
            </w:r>
          </w:p>
        </w:tc>
        <w:tc>
          <w:tcPr>
            <w:tcW w:type="dxa" w:w="7654"/>
            <w:vAlign w:val="center"/>
            <w:shd w:fill="F5F5F5"/>
            <w:tcMar>
              <w:top w:w="65" w:type="dxa"/>
              <w:bottom w:w="65" w:type="dxa"/>
              <w:left w:w="95" w:type="dxa"/>
              <w:right w:w="95" w:type="dxa"/>
            </w:tcMar>
          </w:tcPr>
          <w:p>
            <w:pPr>
              <w:spacing w:after="20" w:line="240" w:lineRule="auto"/>
            </w:pPr>
            <w:r>
              <w:rPr>
                <w:b w:val="0"/>
                <w:sz w:val="20"/>
              </w:rPr>
              <w:t>Ejecutable Windows PE32+ GUI x64, 1.559.216 bytes. Recurso independiente del ZIP.</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Herramientas usadas</w:t>
            </w:r>
          </w:p>
        </w:tc>
        <w:tc>
          <w:tcPr>
            <w:tcW w:type="dxa" w:w="7654"/>
            <w:vAlign w:val="center"/>
            <w:shd w:fill="FFFFFF"/>
            <w:tcMar>
              <w:top w:w="65" w:type="dxa"/>
              <w:bottom w:w="65" w:type="dxa"/>
              <w:left w:w="95" w:type="dxa"/>
              <w:right w:w="95" w:type="dxa"/>
            </w:tcMar>
          </w:tcPr>
          <w:p>
            <w:pPr>
              <w:spacing w:after="20" w:line="240" w:lineRule="auto"/>
            </w:pPr>
            <w:r>
              <w:rPr>
                <w:b w:val="0"/>
                <w:sz w:val="20"/>
              </w:rPr>
              <w:t>file, 7-Zip y hashes en VM; VirusTotal por hash; reporte de ejecución ANY.RUN.</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Evidencia clave</w:t>
            </w:r>
          </w:p>
        </w:tc>
        <w:tc>
          <w:tcPr>
            <w:tcW w:type="dxa" w:w="7654"/>
            <w:vAlign w:val="center"/>
            <w:shd w:fill="F5F5F5"/>
            <w:tcMar>
              <w:top w:w="65" w:type="dxa"/>
              <w:bottom w:w="65" w:type="dxa"/>
              <w:left w:w="95" w:type="dxa"/>
              <w:right w:w="95" w:type="dxa"/>
            </w:tcMar>
          </w:tcPr>
          <w:p>
            <w:pPr>
              <w:spacing w:after="20" w:line="240" w:lineRule="auto"/>
            </w:pPr>
            <w:r>
              <w:rPr>
                <w:b w:val="0"/>
                <w:sz w:val="20"/>
              </w:rPr>
              <w:t>Los SHA-256, SHA-1 y MD5 y el tamaño coinciden con VT. 47 motores maliciosos. Primera observación en VT: 12/10/2026. Nombres históricos: Setup64.exe y WinCombo.exe. ANY.RUN analizó el mismo SHA-256 y calificó la actividad como maliciosa; su tabla de detecciones incluye ejecución de cmd.exe y búsqueda de software. El resumen automático atribuye una configuración hacia 202[.]61[.]157[.]33, pero el PDF no confirma una conexión C2 ni exfiltración; tampoco registra persistencia.</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Tipo de amenaza si aplica</w:t>
            </w:r>
          </w:p>
        </w:tc>
        <w:tc>
          <w:tcPr>
            <w:tcW w:type="dxa" w:w="7654"/>
            <w:vAlign w:val="center"/>
            <w:shd w:fill="FFFFFF"/>
            <w:tcMar>
              <w:top w:w="65" w:type="dxa"/>
              <w:bottom w:w="65" w:type="dxa"/>
              <w:left w:w="95" w:type="dxa"/>
              <w:right w:w="95" w:type="dxa"/>
            </w:tcMar>
          </w:tcPr>
          <w:p>
            <w:pPr>
              <w:spacing w:after="20" w:line="240" w:lineRule="auto"/>
            </w:pPr>
            <w:r>
              <w:rPr>
                <w:b w:val="0"/>
                <w:sz w:val="20"/>
              </w:rPr>
              <w:t>Troyano o herramienta de acceso remoto según reputación y análisis de ANY.RUN. ValleyRAT/SilverFox/Winos, backdoor y stealer son etiquetas de terceros; no se confirmó una familia por análisis independiente.</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Impacto C-I-A</w:t>
            </w:r>
          </w:p>
        </w:tc>
        <w:tc>
          <w:tcPr>
            <w:tcW w:type="dxa" w:w="7654"/>
            <w:vAlign w:val="center"/>
            <w:shd w:fill="F5F5F5"/>
            <w:tcMar>
              <w:top w:w="65" w:type="dxa"/>
              <w:bottom w:w="65" w:type="dxa"/>
              <w:left w:w="95" w:type="dxa"/>
              <w:right w:w="95" w:type="dxa"/>
            </w:tcMar>
          </w:tcPr>
          <w:p>
            <w:pPr>
              <w:spacing w:after="20" w:line="240" w:lineRule="auto"/>
            </w:pPr>
            <w:r>
              <w:rPr>
                <w:b w:val="0"/>
                <w:sz w:val="20"/>
              </w:rPr>
              <w:t>C: posible acceso a datos. I: posibles alteraciones del equipo. A: sin efecto determinado. No se observó infección de un equipo externo ni persistencia confirmada en este reporte.</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VEREDICTO</w:t>
            </w:r>
          </w:p>
        </w:tc>
        <w:tc>
          <w:tcPr>
            <w:tcW w:type="dxa" w:w="7654"/>
            <w:vAlign w:val="center"/>
            <w:shd w:fill="FFFFFF"/>
            <w:tcMar>
              <w:top w:w="65" w:type="dxa"/>
              <w:bottom w:w="65" w:type="dxa"/>
              <w:left w:w="95" w:type="dxa"/>
              <w:right w:w="95" w:type="dxa"/>
            </w:tcMar>
          </w:tcPr>
          <w:p>
            <w:pPr>
              <w:spacing w:after="20" w:line="240" w:lineRule="auto"/>
            </w:pPr>
            <w:r>
              <w:rPr>
                <w:b w:val="0"/>
                <w:sz w:val="20"/>
              </w:rPr>
              <w:t>MALICIOSO</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Confianza</w:t>
            </w:r>
          </w:p>
        </w:tc>
        <w:tc>
          <w:tcPr>
            <w:tcW w:type="dxa" w:w="7654"/>
            <w:vAlign w:val="center"/>
            <w:shd w:fill="F5F5F5"/>
            <w:tcMar>
              <w:top w:w="65" w:type="dxa"/>
              <w:bottom w:w="65" w:type="dxa"/>
              <w:left w:w="95" w:type="dxa"/>
              <w:right w:w="95" w:type="dxa"/>
            </w:tcMar>
          </w:tcPr>
          <w:p>
            <w:pPr>
              <w:spacing w:after="20" w:line="240" w:lineRule="auto"/>
            </w:pPr>
            <w:r>
              <w:rPr>
                <w:b w:val="0"/>
                <w:sz w:val="20"/>
              </w:rPr>
              <w:t>Alta en identidad y clasificación maliciosa; comportamiento específico sujeto a los límites del reporte PDF.</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Medida usuario / organización</w:t>
            </w:r>
          </w:p>
        </w:tc>
        <w:tc>
          <w:tcPr>
            <w:tcW w:type="dxa" w:w="7654"/>
            <w:vAlign w:val="center"/>
            <w:shd w:fill="FFFFFF"/>
            <w:tcMar>
              <w:top w:w="65" w:type="dxa"/>
              <w:bottom w:w="65" w:type="dxa"/>
              <w:left w:w="95" w:type="dxa"/>
              <w:right w:w="95" w:type="dxa"/>
            </w:tcMar>
          </w:tcPr>
          <w:p>
            <w:pPr>
              <w:spacing w:after="20" w:line="240" w:lineRule="auto"/>
            </w:pPr>
            <w:r>
              <w:rPr>
                <w:b w:val="0"/>
                <w:sz w:val="20"/>
              </w:rPr>
              <w:t>Usuario: no ejecutar y reportar su procedencia. Organización: bloquear el hash y revisar telemetría de endpoints antes de declarar un incidente.</w:t>
            </w:r>
          </w:p>
        </w:tc>
      </w:tr>
    </w:tbl>
    <w:p>
      <w:pPr>
        <w:spacing w:after="0"/>
      </w:pPr>
      <w:r>
        <w:rPr>
          <w:sz w:val="16"/>
        </w:rPr>
        <w:t>SHA-256: 06af7db1507c685154f7a291c862b0bfe5649c989de4e7acbeff23fd3252e4ec</w:t>
      </w:r>
    </w:p>
    <w:p>
      <w:pPr>
        <w:spacing w:before="120" w:after="60"/>
      </w:pPr>
      <w:r>
        <w:drawing>
          <wp:inline xmlns:a="http://schemas.openxmlformats.org/drawingml/2006/main" xmlns:pic="http://schemas.openxmlformats.org/drawingml/2006/picture">
            <wp:extent cx="6336000" cy="1627826"/>
            <wp:docPr id="2" name="Picture 2" descr="Fragmento de captura original F002-virustotal-detecciones.jpg; imagen completa enlazada en el pie."/>
            <wp:cNvGraphicFramePr>
              <a:graphicFrameLocks noChangeAspect="1"/>
            </wp:cNvGraphicFramePr>
            <a:graphic>
              <a:graphicData uri="http://schemas.openxmlformats.org/drawingml/2006/picture">
                <pic:pic>
                  <pic:nvPicPr>
                    <pic:cNvPr id="0" name="F002-virustotal-detecciones.jpg"/>
                    <pic:cNvPicPr/>
                  </pic:nvPicPr>
                  <pic:blipFill>
                    <a:blip r:embed="rId16"/>
                    <a:srcRect l="0" t="9129" r="0" b="45225"/>
                    <a:stretch>
                      <a:fillRect/>
                    </a:stretch>
                  </pic:blipFill>
                  <pic:spPr>
                    <a:xfrm>
                      <a:off x="0" y="0"/>
                      <a:ext cx="6336000" cy="1627826"/>
                    </a:xfrm>
                    <a:prstGeom prst="rect"/>
                  </pic:spPr>
                </pic:pic>
              </a:graphicData>
            </a:graphic>
          </wp:inline>
        </w:drawing>
      </w:r>
    </w:p>
    <w:p>
      <w:pPr>
        <w:pStyle w:val="Caption"/>
      </w:pPr>
      <w:r>
        <w:t xml:space="preserve">Figura F002 · Fragmento de captura del 2026-10-23 17:43:52 UTC. </w:t>
      </w:r>
      <w:hyperlink r:id="rId17">
        <w:r>
          <w:rPr>
            <w:color w:val="0563C1"/>
            <w:u w:val="single"/>
          </w:rPr>
          <w:t>Captura completa</w:t>
        </w:r>
      </w:hyperlink>
    </w:p>
    <w:p>
      <w:pPr>
        <w:pStyle w:val="Caption"/>
      </w:pPr>
      <w:r>
        <w:t xml:space="preserve">Fuentes: </w:t>
      </w:r>
      <w:hyperlink r:id="rId18">
        <w:r>
          <w:rPr>
            <w:color w:val="0563C1"/>
            <w:u w:val="single"/>
          </w:rPr>
          <w:t>VirusTotal</w:t>
        </w:r>
      </w:hyperlink>
      <w:r>
        <w:t xml:space="preserve"> · </w:t>
      </w:r>
      <w:hyperlink r:id="rId14">
        <w:r>
          <w:rPr>
            <w:color w:val="0563C1"/>
            <w:u w:val="single"/>
          </w:rPr>
          <w:t>Huellas y tipo</w:t>
        </w:r>
      </w:hyperlink>
      <w:r>
        <w:t xml:space="preserve"> · </w:t>
      </w:r>
      <w:hyperlink r:id="rId15">
        <w:r>
          <w:rPr>
            <w:color w:val="0563C1"/>
            <w:u w:val="single"/>
          </w:rPr>
          <w:t>Respuesta de VT</w:t>
        </w:r>
      </w:hyperlink>
    </w:p>
    <w:p>
      <w:r>
        <w:br w:type="page"/>
      </w:r>
    </w:p>
    <w:p>
      <w:pPr>
        <w:pStyle w:val="Heading1"/>
      </w:pPr>
      <w:r>
        <w:t>R004 Correo 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7654"/>
      </w:tblGrid>
      <w:tr>
        <w:trPr>
          <w:cantSplit/>
          <w:tblHeader/>
        </w:trPr>
        <w:tc>
          <w:tcPr>
            <w:tcW w:type="dxa" w:w="2324"/>
            <w:vAlign w:val="center"/>
            <w:shd w:fill="DCE6F1"/>
            <w:tcMar>
              <w:top w:w="65" w:type="dxa"/>
              <w:bottom w:w="65" w:type="dxa"/>
              <w:left w:w="95" w:type="dxa"/>
              <w:right w:w="95" w:type="dxa"/>
            </w:tcMar>
          </w:tcPr>
          <w:p>
            <w:pPr>
              <w:spacing w:after="20" w:line="240" w:lineRule="auto"/>
            </w:pPr>
            <w:r>
              <w:rPr>
                <w:b/>
                <w:sz w:val="20"/>
              </w:rPr>
              <w:t>Campo</w:t>
            </w:r>
          </w:p>
        </w:tc>
        <w:tc>
          <w:tcPr>
            <w:tcW w:type="dxa" w:w="7654"/>
            <w:vAlign w:val="center"/>
            <w:shd w:fill="DCE6F1"/>
            <w:tcMar>
              <w:top w:w="65" w:type="dxa"/>
              <w:bottom w:w="65" w:type="dxa"/>
              <w:left w:w="95" w:type="dxa"/>
              <w:right w:w="95" w:type="dxa"/>
            </w:tcMar>
          </w:tcPr>
          <w:p>
            <w:pPr>
              <w:spacing w:after="20" w:line="240" w:lineRule="auto"/>
            </w:pPr>
            <w:r>
              <w:rPr>
                <w:b/>
                <w:sz w:val="20"/>
              </w:rPr>
              <w:t>Resultado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Identificador del recurso</w:t>
            </w:r>
          </w:p>
        </w:tc>
        <w:tc>
          <w:tcPr>
            <w:tcW w:type="dxa" w:w="7654"/>
            <w:vAlign w:val="center"/>
            <w:shd w:fill="FFFFFF"/>
            <w:tcMar>
              <w:top w:w="65" w:type="dxa"/>
              <w:bottom w:w="65" w:type="dxa"/>
              <w:left w:w="95" w:type="dxa"/>
              <w:right w:w="95" w:type="dxa"/>
            </w:tcMar>
          </w:tcPr>
          <w:p>
            <w:pPr>
              <w:spacing w:after="20" w:line="240" w:lineRule="auto"/>
            </w:pPr>
            <w:r>
              <w:rPr>
                <w:b w:val="0"/>
                <w:sz w:val="20"/>
              </w:rPr>
              <w:t>R004 · Correo 1</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Tipo</w:t>
            </w:r>
          </w:p>
        </w:tc>
        <w:tc>
          <w:tcPr>
            <w:tcW w:type="dxa" w:w="7654"/>
            <w:vAlign w:val="center"/>
            <w:shd w:fill="F5F5F5"/>
            <w:tcMar>
              <w:top w:w="65" w:type="dxa"/>
              <w:bottom w:w="65" w:type="dxa"/>
              <w:left w:w="95" w:type="dxa"/>
              <w:right w:w="95" w:type="dxa"/>
            </w:tcMar>
          </w:tcPr>
          <w:p>
            <w:pPr>
              <w:spacing w:after="20" w:line="240" w:lineRule="auto"/>
            </w:pPr>
            <w:r>
              <w:rPr>
                <w:b w:val="0"/>
                <w:sz w:val="20"/>
              </w:rPr>
              <w:t>sample-10070.eml, 12.294 bytes; HTML y cero adjuntos.</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Herramientas usadas</w:t>
            </w:r>
          </w:p>
        </w:tc>
        <w:tc>
          <w:tcPr>
            <w:tcW w:type="dxa" w:w="7654"/>
            <w:vAlign w:val="center"/>
            <w:shd w:fill="FFFFFF"/>
            <w:tcMar>
              <w:top w:w="65" w:type="dxa"/>
              <w:bottom w:w="65" w:type="dxa"/>
              <w:left w:w="95" w:type="dxa"/>
              <w:right w:w="95" w:type="dxa"/>
            </w:tcMar>
          </w:tcPr>
          <w:p>
            <w:pPr>
              <w:spacing w:after="20" w:line="240" w:lineRule="auto"/>
            </w:pPr>
            <w:r>
              <w:rPr>
                <w:b w:val="0"/>
                <w:sz w:val="20"/>
              </w:rPr>
              <w:t>Parser MIME y cabeceras; VirusTotal; MXToolbox; consulta de históricos de urlscan.</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Evidencia clave</w:t>
            </w:r>
          </w:p>
        </w:tc>
        <w:tc>
          <w:tcPr>
            <w:tcW w:type="dxa" w:w="7654"/>
            <w:vAlign w:val="center"/>
            <w:shd w:fill="F5F5F5"/>
            <w:tcMar>
              <w:top w:w="65" w:type="dxa"/>
              <w:bottom w:w="65" w:type="dxa"/>
              <w:left w:w="95" w:type="dxa"/>
              <w:right w:w="95" w:type="dxa"/>
            </w:tcMar>
          </w:tcPr>
          <w:p>
            <w:pPr>
              <w:spacing w:after="20" w:line="240" w:lineRule="auto"/>
            </w:pPr>
            <w:r>
              <w:rPr>
                <w:b w:val="0"/>
                <w:sz w:val="20"/>
              </w:rPr>
              <w:t>From y Return-Path: ginnybedellphotography[.]com; Reply-To: brendamurphyrealestate[.]com. Cabeceras: SPF pass, DKIM pass no alineado y DMARC pass compatible con SPF. URL exacta del píxel pnreap[.]com: 12 motores maliciosos y 1 sospechoso; dos acortadores: 2 alertas cada uno. IP de entrega 20[.]169[.]217[.]199: 0/60 listas y 1 timeout en MXToolbox.</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Tipo de amenaza si aplica</w:t>
            </w:r>
          </w:p>
        </w:tc>
        <w:tc>
          <w:tcPr>
            <w:tcW w:type="dxa" w:w="7654"/>
            <w:vAlign w:val="center"/>
            <w:shd w:fill="FFFFFF"/>
            <w:tcMar>
              <w:top w:w="65" w:type="dxa"/>
              <w:bottom w:w="65" w:type="dxa"/>
              <w:left w:w="95" w:type="dxa"/>
              <w:right w:w="95" w:type="dxa"/>
            </w:tcMar>
          </w:tcPr>
          <w:p>
            <w:pPr>
              <w:spacing w:after="20" w:line="240" w:lineRule="auto"/>
            </w:pPr>
            <w:r>
              <w:rPr>
                <w:b w:val="0"/>
                <w:sz w:val="20"/>
              </w:rPr>
              <w:t>Spam con recurso remoto de reputación maliciosa y seguimiento. No se confirmó captación de credenciales.</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Impacto C-I-A</w:t>
            </w:r>
          </w:p>
        </w:tc>
        <w:tc>
          <w:tcPr>
            <w:tcW w:type="dxa" w:w="7654"/>
            <w:vAlign w:val="center"/>
            <w:shd w:fill="F5F5F5"/>
            <w:tcMar>
              <w:top w:w="65" w:type="dxa"/>
              <w:bottom w:w="65" w:type="dxa"/>
              <w:left w:w="95" w:type="dxa"/>
              <w:right w:w="95" w:type="dxa"/>
            </w:tcMar>
          </w:tcPr>
          <w:p>
            <w:pPr>
              <w:spacing w:after="20" w:line="240" w:lineRule="auto"/>
            </w:pPr>
            <w:r>
              <w:rPr>
                <w:b w:val="0"/>
                <w:sz w:val="20"/>
              </w:rPr>
              <w:t>C: posible seguimiento o revelación de datos al interactuar. I y A: sin impacto demostrado. Los pass declarados no prueban contenido legítimo.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VEREDICTO</w:t>
            </w:r>
          </w:p>
        </w:tc>
        <w:tc>
          <w:tcPr>
            <w:tcW w:type="dxa" w:w="7654"/>
            <w:vAlign w:val="center"/>
            <w:shd w:fill="FFFFFF"/>
            <w:tcMar>
              <w:top w:w="65" w:type="dxa"/>
              <w:bottom w:w="65" w:type="dxa"/>
              <w:left w:w="95" w:type="dxa"/>
              <w:right w:w="95" w:type="dxa"/>
            </w:tcMar>
          </w:tcPr>
          <w:p>
            <w:pPr>
              <w:spacing w:after="20" w:line="240" w:lineRule="auto"/>
            </w:pPr>
            <w:r>
              <w:rPr>
                <w:b w:val="0"/>
                <w:sz w:val="20"/>
              </w:rPr>
              <w:t>MALICIOSO</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Confianza</w:t>
            </w:r>
          </w:p>
        </w:tc>
        <w:tc>
          <w:tcPr>
            <w:tcW w:type="dxa" w:w="7654"/>
            <w:vAlign w:val="center"/>
            <w:shd w:fill="F5F5F5"/>
            <w:tcMar>
              <w:top w:w="65" w:type="dxa"/>
              <w:bottom w:w="65" w:type="dxa"/>
              <w:left w:w="95" w:type="dxa"/>
              <w:right w:w="95" w:type="dxa"/>
            </w:tcMar>
          </w:tcPr>
          <w:p>
            <w:pPr>
              <w:spacing w:after="20" w:line="240" w:lineRule="auto"/>
            </w:pPr>
            <w:r>
              <w:rPr>
                <w:b w:val="0"/>
                <w:sz w:val="20"/>
              </w:rPr>
              <w:t>Media; sustentado en la URL remota exacta. No se revalidó DKIM ni SPF histórico.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Medida usuario / organización</w:t>
            </w:r>
          </w:p>
        </w:tc>
        <w:tc>
          <w:tcPr>
            <w:tcW w:type="dxa" w:w="7654"/>
            <w:vAlign w:val="center"/>
            <w:shd w:fill="FFFFFF"/>
            <w:tcMar>
              <w:top w:w="65" w:type="dxa"/>
              <w:bottom w:w="65" w:type="dxa"/>
              <w:left w:w="95" w:type="dxa"/>
              <w:right w:w="95" w:type="dxa"/>
            </w:tcMar>
          </w:tcPr>
          <w:p>
            <w:pPr>
              <w:spacing w:after="20" w:line="240" w:lineRule="auto"/>
            </w:pPr>
            <w:r>
              <w:rPr>
                <w:b w:val="0"/>
                <w:sz w:val="20"/>
              </w:rPr>
              <w:t>Usuario: no responder, seguir enlaces ni cargar imágenes. Organización: filtrar enlaces y correo similar; revisar autenticación y desactivar carga remota automática.</w:t>
            </w:r>
          </w:p>
        </w:tc>
      </w:tr>
    </w:tbl>
    <w:p>
      <w:pPr>
        <w:spacing w:before="120" w:after="60"/>
      </w:pPr>
      <w:r>
        <w:drawing>
          <wp:inline xmlns:a="http://schemas.openxmlformats.org/drawingml/2006/main" xmlns:pic="http://schemas.openxmlformats.org/drawingml/2006/picture">
            <wp:extent cx="6336000" cy="1577739"/>
            <wp:docPr id="3" name="Picture 3" descr="Fragmento de captura original R004-pnreap-verificado.jpg; imagen completa enlazada en el pie."/>
            <wp:cNvGraphicFramePr>
              <a:graphicFrameLocks noChangeAspect="1"/>
            </wp:cNvGraphicFramePr>
            <a:graphic>
              <a:graphicData uri="http://schemas.openxmlformats.org/drawingml/2006/picture">
                <pic:pic>
                  <pic:nvPicPr>
                    <pic:cNvPr id="0" name="R004-pnreap-verificado.jpg"/>
                    <pic:cNvPicPr/>
                  </pic:nvPicPr>
                  <pic:blipFill>
                    <a:blip r:embed="rId19"/>
                    <a:srcRect l="0" t="7725" r="0" b="48034"/>
                    <a:stretch>
                      <a:fillRect/>
                    </a:stretch>
                  </pic:blipFill>
                  <pic:spPr>
                    <a:xfrm>
                      <a:off x="0" y="0"/>
                      <a:ext cx="6336000" cy="1577739"/>
                    </a:xfrm>
                    <a:prstGeom prst="rect"/>
                  </pic:spPr>
                </pic:pic>
              </a:graphicData>
            </a:graphic>
          </wp:inline>
        </w:drawing>
      </w:r>
    </w:p>
    <w:p>
      <w:pPr>
        <w:pStyle w:val="Caption"/>
      </w:pPr>
      <w:r>
        <w:t xml:space="preserve">Figura R004 · Fragmento de captura del 2026-10-23 19:12:50 UTC. </w:t>
      </w:r>
      <w:hyperlink r:id="rId20">
        <w:r>
          <w:rPr>
            <w:color w:val="0563C1"/>
            <w:u w:val="single"/>
          </w:rPr>
          <w:t>Captura completa</w:t>
        </w:r>
      </w:hyperlink>
    </w:p>
    <w:p>
      <w:pPr>
        <w:pStyle w:val="Caption"/>
      </w:pPr>
      <w:r>
        <w:t xml:space="preserve">Fuentes: </w:t>
      </w:r>
      <w:hyperlink r:id="rId21">
        <w:r>
          <w:rPr>
            <w:color w:val="0563C1"/>
            <w:u w:val="single"/>
          </w:rPr>
          <w:t>VirusTotal de la URL</w:t>
        </w:r>
      </w:hyperlink>
      <w:r>
        <w:t xml:space="preserve"> · </w:t>
      </w:r>
      <w:hyperlink r:id="rId22">
        <w:r>
          <w:rPr>
            <w:color w:val="0563C1"/>
            <w:u w:val="single"/>
          </w:rPr>
          <w:t>Cabeceras y enlaces</w:t>
        </w:r>
      </w:hyperlink>
      <w:r>
        <w:t xml:space="preserve"> · </w:t>
      </w:r>
      <w:hyperlink r:id="rId23">
        <w:r>
          <w:rPr>
            <w:color w:val="0563C1"/>
            <w:u w:val="single"/>
          </w:rPr>
          <w:t>Consulta del píxel</w:t>
        </w:r>
      </w:hyperlink>
      <w:r>
        <w:t xml:space="preserve"> · </w:t>
      </w:r>
      <w:hyperlink r:id="rId24">
        <w:r>
          <w:rPr>
            <w:color w:val="0563C1"/>
            <w:u w:val="single"/>
          </w:rPr>
          <w:t>Listas antispam</w:t>
        </w:r>
      </w:hyperlink>
    </w:p>
    <w:p>
      <w:r>
        <w:br w:type="page"/>
      </w:r>
    </w:p>
    <w:p>
      <w:pPr>
        <w:pStyle w:val="Heading1"/>
      </w:pPr>
      <w:r>
        <w:t>R005 Correo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7654"/>
      </w:tblGrid>
      <w:tr>
        <w:trPr>
          <w:cantSplit/>
          <w:tblHeader/>
        </w:trPr>
        <w:tc>
          <w:tcPr>
            <w:tcW w:type="dxa" w:w="2324"/>
            <w:vAlign w:val="center"/>
            <w:shd w:fill="DCE6F1"/>
            <w:tcMar>
              <w:top w:w="65" w:type="dxa"/>
              <w:bottom w:w="65" w:type="dxa"/>
              <w:left w:w="95" w:type="dxa"/>
              <w:right w:w="95" w:type="dxa"/>
            </w:tcMar>
          </w:tcPr>
          <w:p>
            <w:pPr>
              <w:spacing w:after="20" w:line="240" w:lineRule="auto"/>
            </w:pPr>
            <w:r>
              <w:rPr>
                <w:b/>
                <w:sz w:val="20"/>
              </w:rPr>
              <w:t>Campo</w:t>
            </w:r>
          </w:p>
        </w:tc>
        <w:tc>
          <w:tcPr>
            <w:tcW w:type="dxa" w:w="7654"/>
            <w:vAlign w:val="center"/>
            <w:shd w:fill="DCE6F1"/>
            <w:tcMar>
              <w:top w:w="65" w:type="dxa"/>
              <w:bottom w:w="65" w:type="dxa"/>
              <w:left w:w="95" w:type="dxa"/>
              <w:right w:w="95" w:type="dxa"/>
            </w:tcMar>
          </w:tcPr>
          <w:p>
            <w:pPr>
              <w:spacing w:after="20" w:line="240" w:lineRule="auto"/>
            </w:pPr>
            <w:r>
              <w:rPr>
                <w:b/>
                <w:sz w:val="20"/>
              </w:rPr>
              <w:t>Resultado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Identificador del recurso</w:t>
            </w:r>
          </w:p>
        </w:tc>
        <w:tc>
          <w:tcPr>
            <w:tcW w:type="dxa" w:w="7654"/>
            <w:vAlign w:val="center"/>
            <w:shd w:fill="FFFFFF"/>
            <w:tcMar>
              <w:top w:w="65" w:type="dxa"/>
              <w:bottom w:w="65" w:type="dxa"/>
              <w:left w:w="95" w:type="dxa"/>
              <w:right w:w="95" w:type="dxa"/>
            </w:tcMar>
          </w:tcPr>
          <w:p>
            <w:pPr>
              <w:spacing w:after="20" w:line="240" w:lineRule="auto"/>
            </w:pPr>
            <w:r>
              <w:rPr>
                <w:b w:val="0"/>
                <w:sz w:val="20"/>
              </w:rPr>
              <w:t>R005 · Correo 2</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Tipo</w:t>
            </w:r>
          </w:p>
        </w:tc>
        <w:tc>
          <w:tcPr>
            <w:tcW w:type="dxa" w:w="7654"/>
            <w:vAlign w:val="center"/>
            <w:shd w:fill="F5F5F5"/>
            <w:tcMar>
              <w:top w:w="65" w:type="dxa"/>
              <w:bottom w:w="65" w:type="dxa"/>
              <w:left w:w="95" w:type="dxa"/>
              <w:right w:w="95" w:type="dxa"/>
            </w:tcMar>
          </w:tcPr>
          <w:p>
            <w:pPr>
              <w:spacing w:after="20" w:line="240" w:lineRule="auto"/>
            </w:pPr>
            <w:r>
              <w:rPr>
                <w:b w:val="0"/>
                <w:sz w:val="20"/>
              </w:rPr>
              <w:t>sample-10071.eml, 465.737 bytes; texto y HTML quoted-printable, cero adjuntos.</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Herramientas usadas</w:t>
            </w:r>
          </w:p>
        </w:tc>
        <w:tc>
          <w:tcPr>
            <w:tcW w:type="dxa" w:w="7654"/>
            <w:vAlign w:val="center"/>
            <w:shd w:fill="FFFFFF"/>
            <w:tcMar>
              <w:top w:w="65" w:type="dxa"/>
              <w:bottom w:w="65" w:type="dxa"/>
              <w:left w:w="95" w:type="dxa"/>
              <w:right w:w="95" w:type="dxa"/>
            </w:tcMar>
          </w:tcPr>
          <w:p>
            <w:pPr>
              <w:spacing w:after="20" w:line="240" w:lineRule="auto"/>
            </w:pPr>
            <w:r>
              <w:rPr>
                <w:b w:val="0"/>
                <w:sz w:val="20"/>
              </w:rPr>
              <w:t>Parser MIME y cabeceras; VirusTotal; MXToolbox; consulta de históricos de urlscan.</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Evidencia clave</w:t>
            </w:r>
          </w:p>
        </w:tc>
        <w:tc>
          <w:tcPr>
            <w:tcW w:type="dxa" w:w="7654"/>
            <w:vAlign w:val="center"/>
            <w:shd w:fill="F5F5F5"/>
            <w:tcMar>
              <w:top w:w="65" w:type="dxa"/>
              <w:bottom w:w="65" w:type="dxa"/>
              <w:left w:w="95" w:type="dxa"/>
              <w:right w:w="95" w:type="dxa"/>
            </w:tcMar>
          </w:tcPr>
          <w:p>
            <w:pPr>
              <w:spacing w:after="20" w:line="240" w:lineRule="auto"/>
            </w:pPr>
            <w:r>
              <w:rPr>
                <w:b w:val="0"/>
                <w:sz w:val="20"/>
              </w:rPr>
              <w:t>From y Return-Path: taylor.flores@ezagameroasin02[.]onmicrosoft[.]com. SPF none y DMARC none; DKIM pass con dominio no alineado. Promoción Plinko: 3 enlaces de acción y 1 píxel en woondsplay[.]com. Dominio: 7 motores maliciosos y 2 sospechosos; reputación de URLs exactas insuficiente. IP de entrega 209[.]85[.]167[.]46: 0/60 listas, sin timeout.</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Tipo de amenaza si aplica</w:t>
            </w:r>
          </w:p>
        </w:tc>
        <w:tc>
          <w:tcPr>
            <w:tcW w:type="dxa" w:w="7654"/>
            <w:vAlign w:val="center"/>
            <w:shd w:fill="FFFFFF"/>
            <w:tcMar>
              <w:top w:w="65" w:type="dxa"/>
              <w:bottom w:w="65" w:type="dxa"/>
              <w:left w:w="95" w:type="dxa"/>
              <w:right w:w="95" w:type="dxa"/>
            </w:tcMar>
          </w:tcPr>
          <w:p>
            <w:pPr>
              <w:spacing w:after="20" w:line="240" w:lineRule="auto"/>
            </w:pPr>
            <w:r>
              <w:rPr>
                <w:b w:val="0"/>
                <w:sz w:val="20"/>
              </w:rPr>
              <w:t>Posible spam o ingeniería social mediante apuestas y premios. No se identificó una carga maliciosa ni fraude confirmado.</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Impacto C-I-A</w:t>
            </w:r>
          </w:p>
        </w:tc>
        <w:tc>
          <w:tcPr>
            <w:tcW w:type="dxa" w:w="7654"/>
            <w:vAlign w:val="center"/>
            <w:shd w:fill="F5F5F5"/>
            <w:tcMar>
              <w:top w:w="65" w:type="dxa"/>
              <w:bottom w:w="65" w:type="dxa"/>
              <w:left w:w="95" w:type="dxa"/>
              <w:right w:w="95" w:type="dxa"/>
            </w:tcMar>
          </w:tcPr>
          <w:p>
            <w:pPr>
              <w:spacing w:after="20" w:line="240" w:lineRule="auto"/>
            </w:pPr>
            <w:r>
              <w:rPr>
                <w:b w:val="0"/>
                <w:sz w:val="20"/>
              </w:rPr>
              <w:t>C: riesgo potencial de seguimiento y entrega de datos. I y A: sin efecto demostrado. SPF/DMARC none no equivale a fail.</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VEREDICTO</w:t>
            </w:r>
          </w:p>
        </w:tc>
        <w:tc>
          <w:tcPr>
            <w:tcW w:type="dxa" w:w="7654"/>
            <w:vAlign w:val="center"/>
            <w:shd w:fill="FFFFFF"/>
            <w:tcMar>
              <w:top w:w="65" w:type="dxa"/>
              <w:bottom w:w="65" w:type="dxa"/>
              <w:left w:w="95" w:type="dxa"/>
              <w:right w:w="95" w:type="dxa"/>
            </w:tcMar>
          </w:tcPr>
          <w:p>
            <w:pPr>
              <w:spacing w:after="20" w:line="240" w:lineRule="auto"/>
            </w:pPr>
            <w:r>
              <w:rPr>
                <w:b w:val="0"/>
                <w:sz w:val="20"/>
              </w:rPr>
              <w:t>SOSPECHOSO</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Confianza</w:t>
            </w:r>
          </w:p>
        </w:tc>
        <w:tc>
          <w:tcPr>
            <w:tcW w:type="dxa" w:w="7654"/>
            <w:vAlign w:val="center"/>
            <w:shd w:fill="F5F5F5"/>
            <w:tcMar>
              <w:top w:w="65" w:type="dxa"/>
              <w:bottom w:w="65" w:type="dxa"/>
              <w:left w:w="95" w:type="dxa"/>
              <w:right w:w="95" w:type="dxa"/>
            </w:tcMar>
          </w:tcPr>
          <w:p>
            <w:pPr>
              <w:spacing w:after="20" w:line="240" w:lineRule="auto"/>
            </w:pPr>
            <w:r>
              <w:rPr>
                <w:b w:val="0"/>
                <w:sz w:val="20"/>
              </w:rPr>
              <w:t>Media; señales de dominio y contenido sin confirmación del comportamiento de cada URL.</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Medida usuario / organización</w:t>
            </w:r>
          </w:p>
        </w:tc>
        <w:tc>
          <w:tcPr>
            <w:tcW w:type="dxa" w:w="7654"/>
            <w:vAlign w:val="center"/>
            <w:shd w:fill="FFFFFF"/>
            <w:tcMar>
              <w:top w:w="65" w:type="dxa"/>
              <w:bottom w:w="65" w:type="dxa"/>
              <w:left w:w="95" w:type="dxa"/>
              <w:right w:w="95" w:type="dxa"/>
            </w:tcMar>
          </w:tcPr>
          <w:p>
            <w:pPr>
              <w:spacing w:after="20" w:line="240" w:lineRule="auto"/>
            </w:pPr>
            <w:r>
              <w:rPr>
                <w:b w:val="0"/>
                <w:sz w:val="20"/>
              </w:rPr>
              <w:t>Usuario: no interactuar y reportar. Organización: filtrar enlaces y revisar mensajes similares; no bloquear rangos completos de Google por esta IP compartida.</w:t>
            </w:r>
          </w:p>
        </w:tc>
      </w:tr>
    </w:tbl>
    <w:p>
      <w:pPr>
        <w:spacing w:before="120" w:after="60"/>
      </w:pPr>
      <w:r>
        <w:drawing>
          <wp:inline xmlns:a="http://schemas.openxmlformats.org/drawingml/2006/main" xmlns:pic="http://schemas.openxmlformats.org/drawingml/2006/picture">
            <wp:extent cx="6336000" cy="1552695"/>
            <wp:docPr id="4" name="Picture 4" descr="Fragmento de captura original R005-dominio-enlaces-virustotal.jpg; imagen completa enlazada en el pie."/>
            <wp:cNvGraphicFramePr>
              <a:graphicFrameLocks noChangeAspect="1"/>
            </wp:cNvGraphicFramePr>
            <a:graphic>
              <a:graphicData uri="http://schemas.openxmlformats.org/drawingml/2006/picture">
                <pic:pic>
                  <pic:nvPicPr>
                    <pic:cNvPr id="0" name="R005-dominio-enlaces-virustotal.jpg"/>
                    <pic:cNvPicPr/>
                  </pic:nvPicPr>
                  <pic:blipFill>
                    <a:blip r:embed="rId25"/>
                    <a:srcRect l="0" t="7725" r="0" b="48736"/>
                    <a:stretch>
                      <a:fillRect/>
                    </a:stretch>
                  </pic:blipFill>
                  <pic:spPr>
                    <a:xfrm>
                      <a:off x="0" y="0"/>
                      <a:ext cx="6336000" cy="1552695"/>
                    </a:xfrm>
                    <a:prstGeom prst="rect"/>
                  </pic:spPr>
                </pic:pic>
              </a:graphicData>
            </a:graphic>
          </wp:inline>
        </w:drawing>
      </w:r>
    </w:p>
    <w:p>
      <w:pPr>
        <w:pStyle w:val="Caption"/>
      </w:pPr>
      <w:r>
        <w:t xml:space="preserve">Figura R005 · Fragmento de captura del 2026-10-23 17:52:33 UTC. </w:t>
      </w:r>
      <w:hyperlink r:id="rId26">
        <w:r>
          <w:rPr>
            <w:color w:val="0563C1"/>
            <w:u w:val="single"/>
          </w:rPr>
          <w:t>Captura completa</w:t>
        </w:r>
      </w:hyperlink>
    </w:p>
    <w:p>
      <w:pPr>
        <w:pStyle w:val="Caption"/>
      </w:pPr>
      <w:r>
        <w:t xml:space="preserve">Fuentes: </w:t>
      </w:r>
      <w:hyperlink r:id="rId27">
        <w:r>
          <w:rPr>
            <w:color w:val="0563C1"/>
            <w:u w:val="single"/>
          </w:rPr>
          <w:t>VirusTotal del dominio</w:t>
        </w:r>
      </w:hyperlink>
      <w:r>
        <w:t xml:space="preserve"> · </w:t>
      </w:r>
      <w:hyperlink r:id="rId22">
        <w:r>
          <w:rPr>
            <w:color w:val="0563C1"/>
            <w:u w:val="single"/>
          </w:rPr>
          <w:t>Cabeceras y enlaces</w:t>
        </w:r>
      </w:hyperlink>
      <w:r>
        <w:t xml:space="preserve"> · </w:t>
      </w:r>
      <w:hyperlink r:id="rId28">
        <w:r>
          <w:rPr>
            <w:color w:val="0563C1"/>
            <w:u w:val="single"/>
          </w:rPr>
          <w:t>Contenido MIME</w:t>
        </w:r>
      </w:hyperlink>
      <w:r>
        <w:t xml:space="preserve"> · </w:t>
      </w:r>
      <w:hyperlink r:id="rId24">
        <w:r>
          <w:rPr>
            <w:color w:val="0563C1"/>
            <w:u w:val="single"/>
          </w:rPr>
          <w:t>Listas antispam</w:t>
        </w:r>
      </w:hyperlink>
    </w:p>
    <w:p>
      <w:r>
        <w:br w:type="page"/>
      </w:r>
    </w:p>
    <w:p>
      <w:pPr>
        <w:pStyle w:val="Heading1"/>
      </w:pPr>
      <w:r>
        <w:t>U001 Enlace 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7654"/>
      </w:tblGrid>
      <w:tr>
        <w:trPr>
          <w:cantSplit/>
          <w:tblHeader/>
        </w:trPr>
        <w:tc>
          <w:tcPr>
            <w:tcW w:type="dxa" w:w="2324"/>
            <w:vAlign w:val="center"/>
            <w:shd w:fill="DCE6F1"/>
            <w:tcMar>
              <w:top w:w="65" w:type="dxa"/>
              <w:bottom w:w="65" w:type="dxa"/>
              <w:left w:w="95" w:type="dxa"/>
              <w:right w:w="95" w:type="dxa"/>
            </w:tcMar>
          </w:tcPr>
          <w:p>
            <w:pPr>
              <w:spacing w:after="20" w:line="240" w:lineRule="auto"/>
            </w:pPr>
            <w:r>
              <w:rPr>
                <w:b/>
                <w:sz w:val="20"/>
              </w:rPr>
              <w:t>Campo</w:t>
            </w:r>
          </w:p>
        </w:tc>
        <w:tc>
          <w:tcPr>
            <w:tcW w:type="dxa" w:w="7654"/>
            <w:vAlign w:val="center"/>
            <w:shd w:fill="DCE6F1"/>
            <w:tcMar>
              <w:top w:w="65" w:type="dxa"/>
              <w:bottom w:w="65" w:type="dxa"/>
              <w:left w:w="95" w:type="dxa"/>
              <w:right w:w="95" w:type="dxa"/>
            </w:tcMar>
          </w:tcPr>
          <w:p>
            <w:pPr>
              <w:spacing w:after="20" w:line="240" w:lineRule="auto"/>
            </w:pPr>
            <w:r>
              <w:rPr>
                <w:b/>
                <w:sz w:val="20"/>
              </w:rPr>
              <w:t>Resultado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Identificador del recurso</w:t>
            </w:r>
          </w:p>
        </w:tc>
        <w:tc>
          <w:tcPr>
            <w:tcW w:type="dxa" w:w="7654"/>
            <w:vAlign w:val="center"/>
            <w:shd w:fill="FFFFFF"/>
            <w:tcMar>
              <w:top w:w="65" w:type="dxa"/>
              <w:bottom w:w="65" w:type="dxa"/>
              <w:left w:w="95" w:type="dxa"/>
              <w:right w:w="95" w:type="dxa"/>
            </w:tcMar>
          </w:tcPr>
          <w:p>
            <w:pPr>
              <w:spacing w:after="20" w:line="240" w:lineRule="auto"/>
            </w:pPr>
            <w:r>
              <w:rPr>
                <w:b w:val="0"/>
                <w:sz w:val="20"/>
              </w:rPr>
              <w:t>U001 · Enlace 1</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Tipo</w:t>
            </w:r>
          </w:p>
        </w:tc>
        <w:tc>
          <w:tcPr>
            <w:tcW w:type="dxa" w:w="7654"/>
            <w:vAlign w:val="center"/>
            <w:shd w:fill="F5F5F5"/>
            <w:tcMar>
              <w:top w:w="65" w:type="dxa"/>
              <w:bottom w:w="65" w:type="dxa"/>
              <w:left w:w="95" w:type="dxa"/>
              <w:right w:w="95" w:type="dxa"/>
            </w:tcMar>
          </w:tcPr>
          <w:p>
            <w:pPr>
              <w:spacing w:after="20" w:line="240" w:lineRule="auto"/>
            </w:pPr>
            <w:r>
              <w:rPr>
                <w:b w:val="0"/>
                <w:sz w:val="20"/>
              </w:rPr>
              <w:t>URL HTTPS: hxxps://g-comeceseuatendimenton[.]shop/</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Herramientas usadas</w:t>
            </w:r>
          </w:p>
        </w:tc>
        <w:tc>
          <w:tcPr>
            <w:tcW w:type="dxa" w:w="7654"/>
            <w:vAlign w:val="center"/>
            <w:shd w:fill="FFFFFF"/>
            <w:tcMar>
              <w:top w:w="65" w:type="dxa"/>
              <w:bottom w:w="65" w:type="dxa"/>
              <w:left w:w="95" w:type="dxa"/>
              <w:right w:w="95" w:type="dxa"/>
            </w:tcMar>
          </w:tcPr>
          <w:p>
            <w:pPr>
              <w:spacing w:after="20" w:line="240" w:lineRule="auto"/>
            </w:pPr>
            <w:r>
              <w:rPr>
                <w:b w:val="0"/>
                <w:sz w:val="20"/>
              </w:rPr>
              <w:t>VirusTotal, urlscan histórico exacto, RDAP/WHOIS, DNS y crt.sh.</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Evidencia clave</w:t>
            </w:r>
          </w:p>
        </w:tc>
        <w:tc>
          <w:tcPr>
            <w:tcW w:type="dxa" w:w="7654"/>
            <w:vAlign w:val="center"/>
            <w:shd w:fill="F5F5F5"/>
            <w:tcMar>
              <w:top w:w="65" w:type="dxa"/>
              <w:bottom w:w="65" w:type="dxa"/>
              <w:left w:w="95" w:type="dxa"/>
              <w:right w:w="95" w:type="dxa"/>
            </w:tcMar>
          </w:tcPr>
          <w:p>
            <w:pPr>
              <w:spacing w:after="20" w:line="240" w:lineRule="auto"/>
            </w:pPr>
            <w:r>
              <w:rPr>
                <w:b w:val="0"/>
                <w:sz w:val="20"/>
              </w:rPr>
              <w:t>VT URL: 2 alertas de phishing. urlscan del 16/10: HTTP 200, IP 88[.]80[.]17[.]232, Suecia; orientación financiera sobre CPF y enlace externo a un login, sin formulario observado. Sin redirecciones registradas; contactos Google Fonts e ipapi[.]co. Creado 29/07/2026 (86 días al consultar), Dynadot; NS dyna-ns[.]net. CT: dominio, certificado 29/07–27/10. DNS actual: NXDOMAIN.</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Tipo de amenaza si aplica</w:t>
            </w:r>
          </w:p>
        </w:tc>
        <w:tc>
          <w:tcPr>
            <w:tcW w:type="dxa" w:w="7654"/>
            <w:vAlign w:val="center"/>
            <w:shd w:fill="FFFFFF"/>
            <w:tcMar>
              <w:top w:w="65" w:type="dxa"/>
              <w:bottom w:w="65" w:type="dxa"/>
              <w:left w:w="95" w:type="dxa"/>
              <w:right w:w="95" w:type="dxa"/>
            </w:tcMar>
          </w:tcPr>
          <w:p>
            <w:pPr>
              <w:spacing w:after="20" w:line="240" w:lineRule="auto"/>
            </w:pPr>
            <w:r>
              <w:rPr>
                <w:b w:val="0"/>
                <w:sz w:val="20"/>
              </w:rPr>
              <w:t>Posible ingeniería social. El enlace externo y el motor ML no prueban robo de credenciales; el veredicto global de urlscan no confirma malicia.</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Impacto C-I-A</w:t>
            </w:r>
          </w:p>
        </w:tc>
        <w:tc>
          <w:tcPr>
            <w:tcW w:type="dxa" w:w="7654"/>
            <w:vAlign w:val="center"/>
            <w:shd w:fill="F5F5F5"/>
            <w:tcMar>
              <w:top w:w="65" w:type="dxa"/>
              <w:bottom w:w="65" w:type="dxa"/>
              <w:left w:w="95" w:type="dxa"/>
              <w:right w:w="95" w:type="dxa"/>
            </w:tcMar>
          </w:tcPr>
          <w:p>
            <w:pPr>
              <w:spacing w:after="20" w:line="240" w:lineRule="auto"/>
            </w:pPr>
            <w:r>
              <w:rPr>
                <w:b w:val="0"/>
                <w:sz w:val="20"/>
              </w:rPr>
              <w:t>C: posible revelación de datos si el usuario interactúa. I y A: sin efectos demostrados.</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VEREDICTO</w:t>
            </w:r>
          </w:p>
        </w:tc>
        <w:tc>
          <w:tcPr>
            <w:tcW w:type="dxa" w:w="7654"/>
            <w:vAlign w:val="center"/>
            <w:shd w:fill="FFFFFF"/>
            <w:tcMar>
              <w:top w:w="65" w:type="dxa"/>
              <w:bottom w:w="65" w:type="dxa"/>
              <w:left w:w="95" w:type="dxa"/>
              <w:right w:w="95" w:type="dxa"/>
            </w:tcMar>
          </w:tcPr>
          <w:p>
            <w:pPr>
              <w:spacing w:after="20" w:line="240" w:lineRule="auto"/>
            </w:pPr>
            <w:r>
              <w:rPr>
                <w:b w:val="0"/>
                <w:sz w:val="20"/>
              </w:rPr>
              <w:t>SOSPECHOSO</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Confianza</w:t>
            </w:r>
          </w:p>
        </w:tc>
        <w:tc>
          <w:tcPr>
            <w:tcW w:type="dxa" w:w="7654"/>
            <w:vAlign w:val="center"/>
            <w:shd w:fill="F5F5F5"/>
            <w:tcMar>
              <w:top w:w="65" w:type="dxa"/>
              <w:bottom w:w="65" w:type="dxa"/>
              <w:left w:w="95" w:type="dxa"/>
              <w:right w:w="95" w:type="dxa"/>
            </w:tcMar>
          </w:tcPr>
          <w:p>
            <w:pPr>
              <w:spacing w:after="20" w:line="240" w:lineRule="auto"/>
            </w:pPr>
            <w:r>
              <w:rPr>
                <w:b w:val="0"/>
                <w:sz w:val="20"/>
              </w:rPr>
              <w:t>Media; alertas escasas y señales contradictorias entre motores.</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Medida usuario / organización</w:t>
            </w:r>
          </w:p>
        </w:tc>
        <w:tc>
          <w:tcPr>
            <w:tcW w:type="dxa" w:w="7654"/>
            <w:vAlign w:val="center"/>
            <w:shd w:fill="FFFFFF"/>
            <w:tcMar>
              <w:top w:w="65" w:type="dxa"/>
              <w:bottom w:w="65" w:type="dxa"/>
              <w:left w:w="95" w:type="dxa"/>
              <w:right w:w="95" w:type="dxa"/>
            </w:tcMar>
          </w:tcPr>
          <w:p>
            <w:pPr>
              <w:spacing w:after="20" w:line="240" w:lineRule="auto"/>
            </w:pPr>
            <w:r>
              <w:rPr>
                <w:b w:val="0"/>
                <w:sz w:val="20"/>
              </w:rPr>
              <w:t>Usuario: no interactuar y verificar por canal oficial. Organización: filtrar y revisar el indicador en contexto, sin atribuir malicia a sus proveedores externos.</w:t>
            </w:r>
          </w:p>
        </w:tc>
      </w:tr>
    </w:tbl>
    <w:p>
      <w:pPr>
        <w:spacing w:before="120" w:after="60"/>
      </w:pPr>
      <w:r>
        <w:drawing>
          <wp:inline xmlns:a="http://schemas.openxmlformats.org/drawingml/2006/main" xmlns:pic="http://schemas.openxmlformats.org/drawingml/2006/picture">
            <wp:extent cx="6336000" cy="2821915"/>
            <wp:docPr id="5" name="Picture 5" descr="Fragmento de captura original U001-urlscan-resumen.jpg; imagen completa enlazada en el pie."/>
            <wp:cNvGraphicFramePr>
              <a:graphicFrameLocks noChangeAspect="1"/>
            </wp:cNvGraphicFramePr>
            <a:graphic>
              <a:graphicData uri="http://schemas.openxmlformats.org/drawingml/2006/picture">
                <pic:pic>
                  <pic:nvPicPr>
                    <pic:cNvPr id="0" name="U001-urlscan-resumen.jpg"/>
                    <pic:cNvPicPr/>
                  </pic:nvPicPr>
                  <pic:blipFill>
                    <a:blip r:embed="rId29"/>
                    <a:srcRect l="2394" t="9929" r="2634" b="14894"/>
                    <a:stretch>
                      <a:fillRect/>
                    </a:stretch>
                  </pic:blipFill>
                  <pic:spPr>
                    <a:xfrm>
                      <a:off x="0" y="0"/>
                      <a:ext cx="6336000" cy="2821915"/>
                    </a:xfrm>
                    <a:prstGeom prst="rect"/>
                  </pic:spPr>
                </pic:pic>
              </a:graphicData>
            </a:graphic>
          </wp:inline>
        </w:drawing>
      </w:r>
    </w:p>
    <w:p>
      <w:pPr>
        <w:pStyle w:val="Caption"/>
      </w:pPr>
      <w:r>
        <w:t xml:space="preserve">Figura U001 · Fragmento de captura del 2026-10-23 18:09:43 UTC. </w:t>
      </w:r>
      <w:hyperlink r:id="rId30">
        <w:r>
          <w:rPr>
            <w:color w:val="0563C1"/>
            <w:u w:val="single"/>
          </w:rPr>
          <w:t>Captura completa</w:t>
        </w:r>
      </w:hyperlink>
    </w:p>
    <w:p>
      <w:pPr>
        <w:pStyle w:val="Caption"/>
      </w:pPr>
      <w:r>
        <w:t xml:space="preserve">Fuentes: </w:t>
      </w:r>
      <w:hyperlink r:id="rId31">
        <w:r>
          <w:rPr>
            <w:color w:val="0563C1"/>
            <w:u w:val="single"/>
          </w:rPr>
          <w:t>urlscan histórico</w:t>
        </w:r>
      </w:hyperlink>
      <w:r>
        <w:t xml:space="preserve"> · </w:t>
      </w:r>
      <w:hyperlink r:id="rId32">
        <w:r>
          <w:rPr>
            <w:color w:val="0563C1"/>
            <w:u w:val="single"/>
          </w:rPr>
          <w:t>VT, RDAP, DNS y CT</w:t>
        </w:r>
      </w:hyperlink>
      <w:r>
        <w:t xml:space="preserve"> · </w:t>
      </w:r>
      <w:hyperlink r:id="rId33">
        <w:r>
          <w:rPr>
            <w:color w:val="0563C1"/>
            <w:u w:val="single"/>
          </w:rPr>
          <w:t>Certificados CT</w:t>
        </w:r>
      </w:hyperlink>
    </w:p>
    <w:p>
      <w:r>
        <w:br w:type="page"/>
      </w:r>
    </w:p>
    <w:p>
      <w:pPr>
        <w:pStyle w:val="Heading1"/>
      </w:pPr>
      <w:r>
        <w:t>U002 Enlace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7654"/>
      </w:tblGrid>
      <w:tr>
        <w:trPr>
          <w:cantSplit/>
          <w:tblHeader/>
        </w:trPr>
        <w:tc>
          <w:tcPr>
            <w:tcW w:type="dxa" w:w="2324"/>
            <w:vAlign w:val="center"/>
            <w:shd w:fill="DCE6F1"/>
            <w:tcMar>
              <w:top w:w="65" w:type="dxa"/>
              <w:bottom w:w="65" w:type="dxa"/>
              <w:left w:w="95" w:type="dxa"/>
              <w:right w:w="95" w:type="dxa"/>
            </w:tcMar>
          </w:tcPr>
          <w:p>
            <w:pPr>
              <w:spacing w:after="20" w:line="240" w:lineRule="auto"/>
            </w:pPr>
            <w:r>
              <w:rPr>
                <w:b/>
                <w:sz w:val="20"/>
              </w:rPr>
              <w:t>Campo</w:t>
            </w:r>
          </w:p>
        </w:tc>
        <w:tc>
          <w:tcPr>
            <w:tcW w:type="dxa" w:w="7654"/>
            <w:vAlign w:val="center"/>
            <w:shd w:fill="DCE6F1"/>
            <w:tcMar>
              <w:top w:w="65" w:type="dxa"/>
              <w:bottom w:w="65" w:type="dxa"/>
              <w:left w:w="95" w:type="dxa"/>
              <w:right w:w="95" w:type="dxa"/>
            </w:tcMar>
          </w:tcPr>
          <w:p>
            <w:pPr>
              <w:spacing w:after="20" w:line="240" w:lineRule="auto"/>
            </w:pPr>
            <w:r>
              <w:rPr>
                <w:b/>
                <w:sz w:val="20"/>
              </w:rPr>
              <w:t>Resultado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Identificador del recurso</w:t>
            </w:r>
          </w:p>
        </w:tc>
        <w:tc>
          <w:tcPr>
            <w:tcW w:type="dxa" w:w="7654"/>
            <w:vAlign w:val="center"/>
            <w:shd w:fill="FFFFFF"/>
            <w:tcMar>
              <w:top w:w="65" w:type="dxa"/>
              <w:bottom w:w="65" w:type="dxa"/>
              <w:left w:w="95" w:type="dxa"/>
              <w:right w:w="95" w:type="dxa"/>
            </w:tcMar>
          </w:tcPr>
          <w:p>
            <w:pPr>
              <w:spacing w:after="20" w:line="240" w:lineRule="auto"/>
            </w:pPr>
            <w:r>
              <w:rPr>
                <w:b w:val="0"/>
                <w:sz w:val="20"/>
              </w:rPr>
              <w:t>U002 · Enlace 2</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Tipo</w:t>
            </w:r>
          </w:p>
        </w:tc>
        <w:tc>
          <w:tcPr>
            <w:tcW w:type="dxa" w:w="7654"/>
            <w:vAlign w:val="center"/>
            <w:shd w:fill="F5F5F5"/>
            <w:tcMar>
              <w:top w:w="65" w:type="dxa"/>
              <w:bottom w:w="65" w:type="dxa"/>
              <w:left w:w="95" w:type="dxa"/>
              <w:right w:w="95" w:type="dxa"/>
            </w:tcMar>
          </w:tcPr>
          <w:p>
            <w:pPr>
              <w:spacing w:after="20" w:line="240" w:lineRule="auto"/>
            </w:pPr>
            <w:r>
              <w:rPr>
                <w:b w:val="0"/>
                <w:sz w:val="20"/>
              </w:rPr>
              <w:t>URL HTTP por IP: hxxp://221[.]15[.]173[.]51:41661/bin[.]sh</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Herramientas usadas</w:t>
            </w:r>
          </w:p>
        </w:tc>
        <w:tc>
          <w:tcPr>
            <w:tcW w:type="dxa" w:w="7654"/>
            <w:vAlign w:val="center"/>
            <w:shd w:fill="FFFFFF"/>
            <w:tcMar>
              <w:top w:w="65" w:type="dxa"/>
              <w:bottom w:w="65" w:type="dxa"/>
              <w:left w:w="95" w:type="dxa"/>
              <w:right w:w="95" w:type="dxa"/>
            </w:tcMar>
          </w:tcPr>
          <w:p>
            <w:pPr>
              <w:spacing w:after="20" w:line="240" w:lineRule="auto"/>
            </w:pPr>
            <w:r>
              <w:rPr>
                <w:b w:val="0"/>
                <w:sz w:val="20"/>
              </w:rPr>
              <w:t>VirusTotal URL, IP y hash de archivo; urlscan histórico exacto y RDAP de red.</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Evidencia clave</w:t>
            </w:r>
          </w:p>
        </w:tc>
        <w:tc>
          <w:tcPr>
            <w:tcW w:type="dxa" w:w="7654"/>
            <w:vAlign w:val="center"/>
            <w:shd w:fill="F5F5F5"/>
            <w:tcMar>
              <w:top w:w="65" w:type="dxa"/>
              <w:bottom w:w="65" w:type="dxa"/>
              <w:left w:w="95" w:type="dxa"/>
              <w:right w:w="95" w:type="dxa"/>
            </w:tcMar>
          </w:tcPr>
          <w:p>
            <w:pPr>
              <w:spacing w:after="20" w:line="240" w:lineRule="auto"/>
            </w:pPr>
            <w:r>
              <w:rPr>
                <w:b w:val="0"/>
                <w:sz w:val="20"/>
              </w:rPr>
              <w:t>VT URL: 4 maliciosos y 3 sospechosos. urlscan del 16/10: HTTP 200, IP 221[.]15[.]173[.]51, China; descarga ELF de 32 bits MIPS, 137.480 bytes. Hash y tamaño coinciden con VT archivo: 50 motores maliciosos. Sin redirecciones ni dominios contactados. RDAP: UNICOM-HA (CN). Registro, NS y certificados de dominio no aplican a una IP literal por HTTP.</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Tipo de amenaza si aplica</w:t>
            </w:r>
          </w:p>
        </w:tc>
        <w:tc>
          <w:tcPr>
            <w:tcW w:type="dxa" w:w="7654"/>
            <w:vAlign w:val="center"/>
            <w:shd w:fill="FFFFFF"/>
            <w:tcMar>
              <w:top w:w="65" w:type="dxa"/>
              <w:bottom w:w="65" w:type="dxa"/>
              <w:left w:w="95" w:type="dxa"/>
              <w:right w:w="95" w:type="dxa"/>
            </w:tcMar>
          </w:tcPr>
          <w:p>
            <w:pPr>
              <w:spacing w:after="20" w:line="240" w:lineRule="auto"/>
            </w:pPr>
            <w:r>
              <w:rPr>
                <w:b w:val="0"/>
                <w:sz w:val="20"/>
              </w:rPr>
              <w:t>Distribución de ejecutable malicioso. Etiquetas Mirai/Mozi de terceros, asociadas a botnets. La extensión .sh no define el tipo real.</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Impacto C-I-A</w:t>
            </w:r>
          </w:p>
        </w:tc>
        <w:tc>
          <w:tcPr>
            <w:tcW w:type="dxa" w:w="7654"/>
            <w:vAlign w:val="center"/>
            <w:shd w:fill="F5F5F5"/>
            <w:tcMar>
              <w:top w:w="65" w:type="dxa"/>
              <w:bottom w:w="65" w:type="dxa"/>
              <w:left w:w="95" w:type="dxa"/>
              <w:right w:w="95" w:type="dxa"/>
            </w:tcMar>
          </w:tcPr>
          <w:p>
            <w:pPr>
              <w:spacing w:after="20" w:line="240" w:lineRule="auto"/>
            </w:pPr>
            <w:r>
              <w:rPr>
                <w:b w:val="0"/>
                <w:sz w:val="20"/>
              </w:rPr>
              <w:t>C e I: posible acceso o alteración si se ejecuta en un sistema compatible. A: riesgo potencial de botnet/DDoS; no se observaron ataques.</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VEREDICTO</w:t>
            </w:r>
          </w:p>
        </w:tc>
        <w:tc>
          <w:tcPr>
            <w:tcW w:type="dxa" w:w="7654"/>
            <w:vAlign w:val="center"/>
            <w:shd w:fill="FFFFFF"/>
            <w:tcMar>
              <w:top w:w="65" w:type="dxa"/>
              <w:bottom w:w="65" w:type="dxa"/>
              <w:left w:w="95" w:type="dxa"/>
              <w:right w:w="95" w:type="dxa"/>
            </w:tcMar>
          </w:tcPr>
          <w:p>
            <w:pPr>
              <w:spacing w:after="20" w:line="240" w:lineRule="auto"/>
            </w:pPr>
            <w:r>
              <w:rPr>
                <w:b w:val="0"/>
                <w:sz w:val="20"/>
              </w:rPr>
              <w:t>MALICIOSO</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Confianza</w:t>
            </w:r>
          </w:p>
        </w:tc>
        <w:tc>
          <w:tcPr>
            <w:tcW w:type="dxa" w:w="7654"/>
            <w:vAlign w:val="center"/>
            <w:shd w:fill="F5F5F5"/>
            <w:tcMar>
              <w:top w:w="65" w:type="dxa"/>
              <w:bottom w:w="65" w:type="dxa"/>
              <w:left w:w="95" w:type="dxa"/>
              <w:right w:w="95" w:type="dxa"/>
            </w:tcMar>
          </w:tcPr>
          <w:p>
            <w:pPr>
              <w:spacing w:after="20" w:line="240" w:lineRule="auto"/>
            </w:pPr>
            <w:r>
              <w:rPr>
                <w:b w:val="0"/>
                <w:sz w:val="20"/>
              </w:rPr>
              <w:t>Alta en asociación histórica por hash y reputación; sin ejecución propia.</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Medida usuario / organización</w:t>
            </w:r>
          </w:p>
        </w:tc>
        <w:tc>
          <w:tcPr>
            <w:tcW w:type="dxa" w:w="7654"/>
            <w:vAlign w:val="center"/>
            <w:shd w:fill="FFFFFF"/>
            <w:tcMar>
              <w:top w:w="65" w:type="dxa"/>
              <w:bottom w:w="65" w:type="dxa"/>
              <w:left w:w="95" w:type="dxa"/>
              <w:right w:w="95" w:type="dxa"/>
            </w:tcMar>
          </w:tcPr>
          <w:p>
            <w:pPr>
              <w:spacing w:after="20" w:line="240" w:lineRule="auto"/>
            </w:pPr>
            <w:r>
              <w:rPr>
                <w:b w:val="0"/>
                <w:sz w:val="20"/>
              </w:rPr>
              <w:t>Usuario: no descargar ni ejecutar. Organización: bloquear URL/hash y revisar accesos o descargas; investigar afectación si existe telemetría.</w:t>
            </w:r>
          </w:p>
        </w:tc>
      </w:tr>
    </w:tbl>
    <w:p>
      <w:pPr>
        <w:spacing w:after="0"/>
      </w:pPr>
      <w:r>
        <w:rPr>
          <w:sz w:val="16"/>
        </w:rPr>
        <w:t>SHA-256: f6c97b1e2ed02578ca1066c8235ba4f991e645f89012406c639dbccc6582eec8</w:t>
      </w:r>
    </w:p>
    <w:p>
      <w:pPr>
        <w:spacing w:before="120" w:after="60"/>
      </w:pPr>
      <w:r>
        <w:drawing>
          <wp:inline xmlns:a="http://schemas.openxmlformats.org/drawingml/2006/main" xmlns:pic="http://schemas.openxmlformats.org/drawingml/2006/picture">
            <wp:extent cx="6336000" cy="1674514"/>
            <wp:docPr id="6" name="Picture 6" descr="Fragmento de captura original U002-urlscan-descarga-detalle.jpg; imagen completa enlazada en el pie."/>
            <wp:cNvGraphicFramePr>
              <a:graphicFrameLocks noChangeAspect="1"/>
            </wp:cNvGraphicFramePr>
            <a:graphic>
              <a:graphicData uri="http://schemas.openxmlformats.org/drawingml/2006/picture">
                <pic:pic>
                  <pic:nvPicPr>
                    <pic:cNvPr id="0" name="U002-urlscan-descarga-detalle.jpg"/>
                    <pic:cNvPicPr/>
                  </pic:nvPicPr>
                  <pic:blipFill>
                    <a:blip r:embed="rId34"/>
                    <a:srcRect l="2394" t="23404" r="41740" b="50355"/>
                    <a:stretch>
                      <a:fillRect/>
                    </a:stretch>
                  </pic:blipFill>
                  <pic:spPr>
                    <a:xfrm>
                      <a:off x="0" y="0"/>
                      <a:ext cx="6336000" cy="1674514"/>
                    </a:xfrm>
                    <a:prstGeom prst="rect"/>
                  </pic:spPr>
                </pic:pic>
              </a:graphicData>
            </a:graphic>
          </wp:inline>
        </w:drawing>
      </w:r>
    </w:p>
    <w:p>
      <w:pPr>
        <w:pStyle w:val="Caption"/>
      </w:pPr>
      <w:r>
        <w:t xml:space="preserve">Figura U002 · Fragmento de captura del 2026-10-23 18:12:57 UTC. </w:t>
      </w:r>
      <w:hyperlink r:id="rId35">
        <w:r>
          <w:rPr>
            <w:color w:val="0563C1"/>
            <w:u w:val="single"/>
          </w:rPr>
          <w:t>Captura completa</w:t>
        </w:r>
      </w:hyperlink>
    </w:p>
    <w:p>
      <w:pPr>
        <w:pStyle w:val="Caption"/>
      </w:pPr>
      <w:r>
        <w:t xml:space="preserve">Fuentes: </w:t>
      </w:r>
      <w:hyperlink r:id="rId36">
        <w:r>
          <w:rPr>
            <w:color w:val="0563C1"/>
            <w:u w:val="single"/>
          </w:rPr>
          <w:t>urlscan histórico</w:t>
        </w:r>
      </w:hyperlink>
      <w:r>
        <w:t xml:space="preserve"> · </w:t>
      </w:r>
      <w:hyperlink r:id="rId37">
        <w:r>
          <w:rPr>
            <w:color w:val="0563C1"/>
            <w:u w:val="single"/>
          </w:rPr>
          <w:t>VirusTotal del ELF</w:t>
        </w:r>
      </w:hyperlink>
      <w:r>
        <w:t xml:space="preserve"> · </w:t>
      </w:r>
      <w:hyperlink r:id="rId38">
        <w:r>
          <w:rPr>
            <w:color w:val="0563C1"/>
            <w:u w:val="single"/>
          </w:rPr>
          <w:t>Respuesta de VT archivo</w:t>
        </w:r>
      </w:hyperlink>
      <w:r>
        <w:t xml:space="preserve"> · </w:t>
      </w:r>
      <w:hyperlink r:id="rId39">
        <w:r>
          <w:rPr>
            <w:color w:val="0563C1"/>
            <w:u w:val="single"/>
          </w:rPr>
          <w:t>VT y RDAP</w:t>
        </w:r>
      </w:hyperlink>
    </w:p>
    <w:p>
      <w:r>
        <w:br w:type="page"/>
      </w:r>
    </w:p>
    <w:p>
      <w:pPr>
        <w:pStyle w:val="Heading1"/>
      </w:pPr>
      <w:r>
        <w:t>U003 Enlace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7654"/>
      </w:tblGrid>
      <w:tr>
        <w:trPr>
          <w:cantSplit/>
          <w:tblHeader/>
        </w:trPr>
        <w:tc>
          <w:tcPr>
            <w:tcW w:type="dxa" w:w="2324"/>
            <w:vAlign w:val="center"/>
            <w:shd w:fill="DCE6F1"/>
            <w:tcMar>
              <w:top w:w="65" w:type="dxa"/>
              <w:bottom w:w="65" w:type="dxa"/>
              <w:left w:w="95" w:type="dxa"/>
              <w:right w:w="95" w:type="dxa"/>
            </w:tcMar>
          </w:tcPr>
          <w:p>
            <w:pPr>
              <w:spacing w:after="20" w:line="240" w:lineRule="auto"/>
            </w:pPr>
            <w:r>
              <w:rPr>
                <w:b/>
                <w:sz w:val="20"/>
              </w:rPr>
              <w:t>Campo</w:t>
            </w:r>
          </w:p>
        </w:tc>
        <w:tc>
          <w:tcPr>
            <w:tcW w:type="dxa" w:w="7654"/>
            <w:vAlign w:val="center"/>
            <w:shd w:fill="DCE6F1"/>
            <w:tcMar>
              <w:top w:w="65" w:type="dxa"/>
              <w:bottom w:w="65" w:type="dxa"/>
              <w:left w:w="95" w:type="dxa"/>
              <w:right w:w="95" w:type="dxa"/>
            </w:tcMar>
          </w:tcPr>
          <w:p>
            <w:pPr>
              <w:spacing w:after="20" w:line="240" w:lineRule="auto"/>
            </w:pPr>
            <w:r>
              <w:rPr>
                <w:b/>
                <w:sz w:val="20"/>
              </w:rPr>
              <w:t>Resultado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Identificador del recurso</w:t>
            </w:r>
          </w:p>
        </w:tc>
        <w:tc>
          <w:tcPr>
            <w:tcW w:type="dxa" w:w="7654"/>
            <w:vAlign w:val="center"/>
            <w:shd w:fill="FFFFFF"/>
            <w:tcMar>
              <w:top w:w="65" w:type="dxa"/>
              <w:bottom w:w="65" w:type="dxa"/>
              <w:left w:w="95" w:type="dxa"/>
              <w:right w:w="95" w:type="dxa"/>
            </w:tcMar>
          </w:tcPr>
          <w:p>
            <w:pPr>
              <w:spacing w:after="20" w:line="240" w:lineRule="auto"/>
            </w:pPr>
            <w:r>
              <w:rPr>
                <w:b w:val="0"/>
                <w:sz w:val="20"/>
              </w:rPr>
              <w:t>U003 · Enlace 3</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Tipo</w:t>
            </w:r>
          </w:p>
        </w:tc>
        <w:tc>
          <w:tcPr>
            <w:tcW w:type="dxa" w:w="7654"/>
            <w:vAlign w:val="center"/>
            <w:shd w:fill="F5F5F5"/>
            <w:tcMar>
              <w:top w:w="65" w:type="dxa"/>
              <w:bottom w:w="65" w:type="dxa"/>
              <w:left w:w="95" w:type="dxa"/>
              <w:right w:w="95" w:type="dxa"/>
            </w:tcMar>
          </w:tcPr>
          <w:p>
            <w:pPr>
              <w:spacing w:after="20" w:line="240" w:lineRule="auto"/>
            </w:pPr>
            <w:r>
              <w:rPr>
                <w:b w:val="0"/>
                <w:sz w:val="20"/>
              </w:rPr>
              <w:t>URL HTTPS: hxxps://www[.]pneustorebr[.]cfd/</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Herramientas usadas</w:t>
            </w:r>
          </w:p>
        </w:tc>
        <w:tc>
          <w:tcPr>
            <w:tcW w:type="dxa" w:w="7654"/>
            <w:vAlign w:val="center"/>
            <w:shd w:fill="FFFFFF"/>
            <w:tcMar>
              <w:top w:w="65" w:type="dxa"/>
              <w:bottom w:w="65" w:type="dxa"/>
              <w:left w:w="95" w:type="dxa"/>
              <w:right w:w="95" w:type="dxa"/>
            </w:tcMar>
          </w:tcPr>
          <w:p>
            <w:pPr>
              <w:spacing w:after="20" w:line="240" w:lineRule="auto"/>
            </w:pPr>
            <w:r>
              <w:rPr>
                <w:b w:val="0"/>
                <w:sz w:val="20"/>
              </w:rPr>
              <w:t>VirusTotal, urlscan histórico exacto, RDAP/WHOIS, DNS y crt.sh.</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Evidencia clave</w:t>
            </w:r>
          </w:p>
        </w:tc>
        <w:tc>
          <w:tcPr>
            <w:tcW w:type="dxa" w:w="7654"/>
            <w:vAlign w:val="center"/>
            <w:shd w:fill="F5F5F5"/>
            <w:tcMar>
              <w:top w:w="65" w:type="dxa"/>
              <w:bottom w:w="65" w:type="dxa"/>
              <w:left w:w="95" w:type="dxa"/>
              <w:right w:w="95" w:type="dxa"/>
            </w:tcMar>
          </w:tcPr>
          <w:p>
            <w:pPr>
              <w:spacing w:after="20" w:line="240" w:lineRule="auto"/>
            </w:pPr>
            <w:r>
              <w:rPr>
                <w:b w:val="0"/>
                <w:sz w:val="20"/>
              </w:rPr>
              <w:t>VT URL: 1 motor malicioso; dominio raíz: 6 maliciosos y 2 sospechosos. urlscan del 16/10: dominio aparcado Dynadot, HTTP 404, IP 54[.]215[.]31[.]113, EE. UU.; sin redirecciones ni formulario. Contactos: Trustpilot, cdnfonts y Dynadot. Creado 04/09/2026 (49 días), Dynadot; NS no informados. CT: raíz y www, vigencia 04/09–03/12. DNS actual: NXDOMAIN.</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Tipo de amenaza si aplica</w:t>
            </w:r>
          </w:p>
        </w:tc>
        <w:tc>
          <w:tcPr>
            <w:tcW w:type="dxa" w:w="7654"/>
            <w:vAlign w:val="center"/>
            <w:shd w:fill="FFFFFF"/>
            <w:tcMar>
              <w:top w:w="65" w:type="dxa"/>
              <w:bottom w:w="65" w:type="dxa"/>
              <w:left w:w="95" w:type="dxa"/>
              <w:right w:w="95" w:type="dxa"/>
            </w:tcMar>
          </w:tcPr>
          <w:p>
            <w:pPr>
              <w:spacing w:after="20" w:line="240" w:lineRule="auto"/>
            </w:pPr>
            <w:r>
              <w:rPr>
                <w:b w:val="0"/>
                <w:sz w:val="20"/>
              </w:rPr>
              <w:t>Posible engaño por dominio o uso previo. No se observó tienda fraudulenta ni se confirmó suplantación por semejanza del nombre.</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Impacto C-I-A</w:t>
            </w:r>
          </w:p>
        </w:tc>
        <w:tc>
          <w:tcPr>
            <w:tcW w:type="dxa" w:w="7654"/>
            <w:vAlign w:val="center"/>
            <w:shd w:fill="F5F5F5"/>
            <w:tcMar>
              <w:top w:w="65" w:type="dxa"/>
              <w:bottom w:w="65" w:type="dxa"/>
              <w:left w:w="95" w:type="dxa"/>
              <w:right w:w="95" w:type="dxa"/>
            </w:tcMar>
          </w:tcPr>
          <w:p>
            <w:pPr>
              <w:spacing w:after="20" w:line="240" w:lineRule="auto"/>
            </w:pPr>
            <w:r>
              <w:rPr>
                <w:b w:val="0"/>
                <w:sz w:val="20"/>
              </w:rPr>
              <w:t>C: posible engaño si el dominio se utiliza para captar datos. I y A: sin impacto demostrado.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VEREDICTO</w:t>
            </w:r>
          </w:p>
        </w:tc>
        <w:tc>
          <w:tcPr>
            <w:tcW w:type="dxa" w:w="7654"/>
            <w:vAlign w:val="center"/>
            <w:shd w:fill="FFFFFF"/>
            <w:tcMar>
              <w:top w:w="65" w:type="dxa"/>
              <w:bottom w:w="65" w:type="dxa"/>
              <w:left w:w="95" w:type="dxa"/>
              <w:right w:w="95" w:type="dxa"/>
            </w:tcMar>
          </w:tcPr>
          <w:p>
            <w:pPr>
              <w:spacing w:after="20" w:line="240" w:lineRule="auto"/>
            </w:pPr>
            <w:r>
              <w:rPr>
                <w:b w:val="0"/>
                <w:sz w:val="20"/>
              </w:rPr>
              <w:t>SOSPECHOSO</w:t>
            </w:r>
          </w:p>
        </w:tc>
      </w:tr>
      <w:tr>
        <w:trPr>
          <w:cantSplit/>
        </w:trPr>
        <w:tc>
          <w:tcPr>
            <w:tcW w:type="dxa" w:w="2324"/>
            <w:vAlign w:val="center"/>
            <w:shd w:fill="F5F5F5"/>
            <w:tcMar>
              <w:top w:w="65" w:type="dxa"/>
              <w:bottom w:w="65" w:type="dxa"/>
              <w:left w:w="95" w:type="dxa"/>
              <w:right w:w="95" w:type="dxa"/>
            </w:tcMar>
          </w:tcPr>
          <w:p>
            <w:pPr>
              <w:spacing w:after="20" w:line="240" w:lineRule="auto"/>
            </w:pPr>
            <w:r>
              <w:rPr>
                <w:b/>
                <w:sz w:val="20"/>
              </w:rPr>
              <w:t>Confianza</w:t>
            </w:r>
          </w:p>
        </w:tc>
        <w:tc>
          <w:tcPr>
            <w:tcW w:type="dxa" w:w="7654"/>
            <w:vAlign w:val="center"/>
            <w:shd w:fill="F5F5F5"/>
            <w:tcMar>
              <w:top w:w="65" w:type="dxa"/>
              <w:bottom w:w="65" w:type="dxa"/>
              <w:left w:w="95" w:type="dxa"/>
              <w:right w:w="95" w:type="dxa"/>
            </w:tcMar>
          </w:tcPr>
          <w:p>
            <w:pPr>
              <w:spacing w:after="20" w:line="240" w:lineRule="auto"/>
            </w:pPr>
            <w:r>
              <w:rPr>
                <w:b w:val="0"/>
                <w:sz w:val="20"/>
              </w:rPr>
              <w:t>Media; alertas de reputación y página histórica aparcada, sin fraude demostrado.</w:t>
            </w:r>
          </w:p>
        </w:tc>
      </w:tr>
      <w:tr>
        <w:trPr>
          <w:cantSplit/>
        </w:trPr>
        <w:tc>
          <w:tcPr>
            <w:tcW w:type="dxa" w:w="2324"/>
            <w:vAlign w:val="center"/>
            <w:shd w:fill="FFFFFF"/>
            <w:tcMar>
              <w:top w:w="65" w:type="dxa"/>
              <w:bottom w:w="65" w:type="dxa"/>
              <w:left w:w="95" w:type="dxa"/>
              <w:right w:w="95" w:type="dxa"/>
            </w:tcMar>
          </w:tcPr>
          <w:p>
            <w:pPr>
              <w:spacing w:after="20" w:line="240" w:lineRule="auto"/>
            </w:pPr>
            <w:r>
              <w:rPr>
                <w:b/>
                <w:sz w:val="20"/>
              </w:rPr>
              <w:t>Medida usuario / organización</w:t>
            </w:r>
          </w:p>
        </w:tc>
        <w:tc>
          <w:tcPr>
            <w:tcW w:type="dxa" w:w="7654"/>
            <w:vAlign w:val="center"/>
            <w:shd w:fill="FFFFFF"/>
            <w:tcMar>
              <w:top w:w="65" w:type="dxa"/>
              <w:bottom w:w="65" w:type="dxa"/>
              <w:left w:w="95" w:type="dxa"/>
              <w:right w:w="95" w:type="dxa"/>
            </w:tcMar>
          </w:tcPr>
          <w:p>
            <w:pPr>
              <w:spacing w:after="20" w:line="240" w:lineRule="auto"/>
            </w:pPr>
            <w:r>
              <w:rPr>
                <w:b w:val="0"/>
                <w:sz w:val="20"/>
              </w:rPr>
              <w:t>Usuario: evitar interacción y verificar el comercio por canal independiente. Organización: revisar y filtrar el indicador según contexto; no bloquear proveedores compartidos.</w:t>
            </w:r>
          </w:p>
        </w:tc>
      </w:tr>
    </w:tbl>
    <w:p>
      <w:pPr>
        <w:spacing w:before="120" w:after="60"/>
      </w:pPr>
      <w:r>
        <w:drawing>
          <wp:inline xmlns:a="http://schemas.openxmlformats.org/drawingml/2006/main" xmlns:pic="http://schemas.openxmlformats.org/drawingml/2006/picture">
            <wp:extent cx="6336000" cy="2821915"/>
            <wp:docPr id="7" name="Picture 7" descr="Fragmento de captura original U003-urlscan-resumen.jpg; imagen completa enlazada en el pie."/>
            <wp:cNvGraphicFramePr>
              <a:graphicFrameLocks noChangeAspect="1"/>
            </wp:cNvGraphicFramePr>
            <a:graphic>
              <a:graphicData uri="http://schemas.openxmlformats.org/drawingml/2006/picture">
                <pic:pic>
                  <pic:nvPicPr>
                    <pic:cNvPr id="0" name="U003-urlscan-resumen.jpg"/>
                    <pic:cNvPicPr/>
                  </pic:nvPicPr>
                  <pic:blipFill>
                    <a:blip r:embed="rId40"/>
                    <a:srcRect l="2394" t="9929" r="2634" b="14894"/>
                    <a:stretch>
                      <a:fillRect/>
                    </a:stretch>
                  </pic:blipFill>
                  <pic:spPr>
                    <a:xfrm>
                      <a:off x="0" y="0"/>
                      <a:ext cx="6336000" cy="2821915"/>
                    </a:xfrm>
                    <a:prstGeom prst="rect"/>
                  </pic:spPr>
                </pic:pic>
              </a:graphicData>
            </a:graphic>
          </wp:inline>
        </w:drawing>
      </w:r>
    </w:p>
    <w:p>
      <w:pPr>
        <w:pStyle w:val="Caption"/>
      </w:pPr>
      <w:r>
        <w:t xml:space="preserve">Figura U003 · Fragmento de captura del 2026-10-23 18:12:18 UTC. </w:t>
      </w:r>
      <w:hyperlink r:id="rId41">
        <w:r>
          <w:rPr>
            <w:color w:val="0563C1"/>
            <w:u w:val="single"/>
          </w:rPr>
          <w:t>Captura completa</w:t>
        </w:r>
      </w:hyperlink>
    </w:p>
    <w:p>
      <w:pPr>
        <w:pStyle w:val="Caption"/>
      </w:pPr>
      <w:r>
        <w:t xml:space="preserve">Fuentes: </w:t>
      </w:r>
      <w:hyperlink r:id="rId42">
        <w:r>
          <w:rPr>
            <w:color w:val="0563C1"/>
            <w:u w:val="single"/>
          </w:rPr>
          <w:t>urlscan histórico</w:t>
        </w:r>
      </w:hyperlink>
      <w:r>
        <w:t xml:space="preserve"> · </w:t>
      </w:r>
      <w:hyperlink r:id="rId43">
        <w:r>
          <w:rPr>
            <w:color w:val="0563C1"/>
            <w:u w:val="single"/>
          </w:rPr>
          <w:t>VirusTotal del dominio</w:t>
        </w:r>
      </w:hyperlink>
      <w:r>
        <w:t xml:space="preserve"> · </w:t>
      </w:r>
      <w:hyperlink r:id="rId44">
        <w:r>
          <w:rPr>
            <w:color w:val="0563C1"/>
            <w:u w:val="single"/>
          </w:rPr>
          <w:t>VT, RDAP, DNS y CT</w:t>
        </w:r>
      </w:hyperlink>
      <w:r>
        <w:t xml:space="preserve"> · </w:t>
      </w:r>
      <w:hyperlink r:id="rId45">
        <w:r>
          <w:rPr>
            <w:color w:val="0563C1"/>
            <w:u w:val="single"/>
          </w:rPr>
          <w:t>Certificados CT</w:t>
        </w:r>
      </w:hyperlink>
    </w:p>
    <w:p>
      <w:r>
        <w:br w:type="page"/>
      </w:r>
    </w:p>
    <w:p>
      <w:pPr>
        <w:pStyle w:val="Heading1"/>
      </w:pPr>
      <w:r>
        <w:t>Análisis dinámico de F001 y F002</w:t>
      </w:r>
    </w:p>
    <w:p>
      <w:pPr/>
      <w:r>
        <w:rPr>
          <w:b/>
        </w:rPr>
        <w:t xml:space="preserve">Entorno. </w:t>
      </w:r>
      <w:r>
        <w:t>ANY.RUN, plan gratuito, Windows 10 Professional 64 bits con red, 29/10/2026, unos 60 segundos por ejecución. Las tareas son públicas. MD5, SHA-1 y SHA-256 de cada ejecución coinciden con los calculados en la fase estática, por lo que se trata de los mismos archivos. Los resultados se ordenan por las cuatro preguntas del análisis dinámico.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96"/>
        <w:gridCol w:w="4191"/>
        <w:gridCol w:w="4191"/>
      </w:tblGrid>
      <w:tr>
        <w:trPr>
          <w:cantSplit/>
          <w:tblHeader/>
        </w:trPr>
        <w:tc>
          <w:tcPr>
            <w:tcW w:type="dxa" w:w="1596"/>
            <w:vAlign w:val="center"/>
            <w:shd w:fill="DCE6F1"/>
            <w:tcMar>
              <w:top w:w="65" w:type="dxa"/>
              <w:bottom w:w="65" w:type="dxa"/>
              <w:left w:w="95" w:type="dxa"/>
              <w:right w:w="95" w:type="dxa"/>
            </w:tcMar>
          </w:tcPr>
          <w:p>
            <w:pPr>
              <w:spacing w:after="20" w:line="240" w:lineRule="auto"/>
            </w:pPr>
            <w:r>
              <w:rPr>
                <w:b/>
                <w:sz w:val="20"/>
              </w:rPr>
              <w:t>Pregunta</w:t>
            </w:r>
          </w:p>
        </w:tc>
        <w:tc>
          <w:tcPr>
            <w:tcW w:type="dxa" w:w="4191"/>
            <w:vAlign w:val="center"/>
            <w:shd w:fill="DCE6F1"/>
            <w:tcMar>
              <w:top w:w="65" w:type="dxa"/>
              <w:bottom w:w="65" w:type="dxa"/>
              <w:left w:w="95" w:type="dxa"/>
              <w:right w:w="95" w:type="dxa"/>
            </w:tcMar>
          </w:tcPr>
          <w:p>
            <w:pPr>
              <w:spacing w:after="20" w:line="240" w:lineRule="auto"/>
            </w:pPr>
            <w:r>
              <w:rPr>
                <w:b/>
                <w:sz w:val="20"/>
              </w:rPr>
              <w:t>F001 · DLL</w:t>
            </w:r>
          </w:p>
        </w:tc>
        <w:tc>
          <w:tcPr>
            <w:tcW w:type="dxa" w:w="4191"/>
            <w:vAlign w:val="center"/>
            <w:shd w:fill="DCE6F1"/>
            <w:tcMar>
              <w:top w:w="65" w:type="dxa"/>
              <w:bottom w:w="65" w:type="dxa"/>
              <w:left w:w="95" w:type="dxa"/>
              <w:right w:w="95" w:type="dxa"/>
            </w:tcMar>
          </w:tcPr>
          <w:p>
            <w:pPr>
              <w:spacing w:after="20" w:line="240" w:lineRule="auto"/>
            </w:pPr>
            <w:r>
              <w:rPr>
                <w:b/>
                <w:sz w:val="20"/>
              </w:rPr>
              <w:t>F002 · EXE</w:t>
            </w:r>
          </w:p>
        </w:tc>
      </w:tr>
      <w:tr>
        <w:trPr>
          <w:cantSplit/>
        </w:trPr>
        <w:tc>
          <w:tcPr>
            <w:tcW w:type="dxa" w:w="1596"/>
            <w:vAlign w:val="center"/>
            <w:shd w:fill="FFFFFF"/>
            <w:tcMar>
              <w:top w:w="65" w:type="dxa"/>
              <w:bottom w:w="65" w:type="dxa"/>
              <w:left w:w="95" w:type="dxa"/>
              <w:right w:w="95" w:type="dxa"/>
            </w:tcMar>
          </w:tcPr>
          <w:p>
            <w:pPr>
              <w:spacing w:after="20" w:line="240" w:lineRule="auto"/>
            </w:pPr>
            <w:r>
              <w:rPr>
                <w:b/>
                <w:sz w:val="20"/>
              </w:rPr>
              <w:t>Procesos</w:t>
            </w:r>
          </w:p>
        </w:tc>
        <w:tc>
          <w:tcPr>
            <w:tcW w:type="dxa" w:w="4191"/>
            <w:vAlign w:val="center"/>
            <w:shd w:fill="FFFFFF"/>
            <w:tcMar>
              <w:top w:w="65" w:type="dxa"/>
              <w:bottom w:w="65" w:type="dxa"/>
              <w:left w:w="95" w:type="dxa"/>
              <w:right w:w="95" w:type="dxa"/>
            </w:tcMar>
          </w:tcPr>
          <w:p>
            <w:pPr>
              <w:spacing w:after="20" w:line="240" w:lineRule="auto"/>
            </w:pPr>
            <w:r>
              <w:rPr>
                <w:b w:val="0"/>
                <w:sz w:val="20"/>
              </w:rPr>
              <w:t>explorer.exe → rundll32.exe carga la DLL desde %TEMP% (T1218.011) → cmd.exe → Setup64.exe. WinCombo.exe se inicia desde dllhost.exe, es decir, vía COM.</w:t>
            </w:r>
          </w:p>
        </w:tc>
        <w:tc>
          <w:tcPr>
            <w:tcW w:type="dxa" w:w="4191"/>
            <w:vAlign w:val="center"/>
            <w:shd w:fill="FFFFFF"/>
            <w:tcMar>
              <w:top w:w="65" w:type="dxa"/>
              <w:bottom w:w="65" w:type="dxa"/>
              <w:left w:w="95" w:type="dxa"/>
              <w:right w:w="95" w:type="dxa"/>
            </w:tcMar>
          </w:tcPr>
          <w:p>
            <w:pPr>
              <w:spacing w:after="20" w:line="240" w:lineRule="auto"/>
            </w:pPr>
            <w:r>
              <w:rPr>
                <w:b w:val="0"/>
                <w:sz w:val="20"/>
              </w:rPr>
              <w:t>dllhost.exe (COM) → la muestra desde %TEMP% → cmd.exe (6 veces) → gpupdate /force y WinCombo.exe. Aparece consent.exe: pedido de elevación UAC.</w:t>
            </w:r>
          </w:p>
        </w:tc>
      </w:tr>
      <w:tr>
        <w:trPr>
          <w:cantSplit/>
        </w:trPr>
        <w:tc>
          <w:tcPr>
            <w:tcW w:type="dxa" w:w="1596"/>
            <w:vAlign w:val="center"/>
            <w:shd w:fill="F5F5F5"/>
            <w:tcMar>
              <w:top w:w="65" w:type="dxa"/>
              <w:bottom w:w="65" w:type="dxa"/>
              <w:left w:w="95" w:type="dxa"/>
              <w:right w:w="95" w:type="dxa"/>
            </w:tcMar>
          </w:tcPr>
          <w:p>
            <w:pPr>
              <w:spacing w:after="20" w:line="240" w:lineRule="auto"/>
            </w:pPr>
            <w:r>
              <w:rPr>
                <w:b/>
                <w:sz w:val="20"/>
              </w:rPr>
              <w:t>Archivos</w:t>
            </w:r>
          </w:p>
        </w:tc>
        <w:tc>
          <w:tcPr>
            <w:tcW w:type="dxa" w:w="4191"/>
            <w:vAlign w:val="center"/>
            <w:shd w:fill="F5F5F5"/>
            <w:tcMar>
              <w:top w:w="65" w:type="dxa"/>
              <w:bottom w:w="65" w:type="dxa"/>
              <w:left w:w="95" w:type="dxa"/>
              <w:right w:w="95" w:type="dxa"/>
            </w:tcMar>
          </w:tcPr>
          <w:p>
            <w:pPr>
              <w:spacing w:after="20" w:line="240" w:lineRule="auto"/>
            </w:pPr>
            <w:r>
              <w:rPr>
                <w:b w:val="0"/>
                <w:sz w:val="20"/>
              </w:rPr>
              <w:t>Crea %TEMP%\Setup64.exe y, en C:\ProgramData\MicroPoint\, WinCombo.exe, una copia de la DLL y erasecode.dat.</w:t>
            </w:r>
          </w:p>
        </w:tc>
        <w:tc>
          <w:tcPr>
            <w:tcW w:type="dxa" w:w="4191"/>
            <w:vAlign w:val="center"/>
            <w:shd w:fill="F5F5F5"/>
            <w:tcMar>
              <w:top w:w="65" w:type="dxa"/>
              <w:bottom w:w="65" w:type="dxa"/>
              <w:left w:w="95" w:type="dxa"/>
              <w:right w:w="95" w:type="dxa"/>
            </w:tcMar>
          </w:tcPr>
          <w:p>
            <w:pPr>
              <w:spacing w:after="20" w:line="240" w:lineRule="auto"/>
            </w:pPr>
            <w:r>
              <w:rPr>
                <w:b w:val="0"/>
                <w:sz w:val="20"/>
              </w:rPr>
              <w:t>Crea en C:\ProgramData\MicroPoint\ WinCombo.exe y erasecode.dat.</w:t>
            </w:r>
          </w:p>
        </w:tc>
      </w:tr>
      <w:tr>
        <w:trPr>
          <w:cantSplit/>
        </w:trPr>
        <w:tc>
          <w:tcPr>
            <w:tcW w:type="dxa" w:w="1596"/>
            <w:vAlign w:val="center"/>
            <w:shd w:fill="FFFFFF"/>
            <w:tcMar>
              <w:top w:w="65" w:type="dxa"/>
              <w:bottom w:w="65" w:type="dxa"/>
              <w:left w:w="95" w:type="dxa"/>
              <w:right w:w="95" w:type="dxa"/>
            </w:tcMar>
          </w:tcPr>
          <w:p>
            <w:pPr>
              <w:spacing w:after="20" w:line="240" w:lineRule="auto"/>
            </w:pPr>
            <w:r>
              <w:rPr>
                <w:b/>
                <w:sz w:val="20"/>
              </w:rPr>
              <w:t>Registro</w:t>
            </w:r>
          </w:p>
        </w:tc>
        <w:tc>
          <w:tcPr>
            <w:tcW w:type="dxa" w:w="4191"/>
            <w:vAlign w:val="center"/>
            <w:shd w:fill="FFFFFF"/>
            <w:tcMar>
              <w:top w:w="65" w:type="dxa"/>
              <w:bottom w:w="65" w:type="dxa"/>
              <w:left w:w="95" w:type="dxa"/>
              <w:right w:w="95" w:type="dxa"/>
            </w:tcMar>
          </w:tcPr>
          <w:p>
            <w:pPr>
              <w:spacing w:after="20" w:line="240" w:lineRule="auto"/>
            </w:pPr>
            <w:r>
              <w:rPr>
                <w:b w:val="0"/>
                <w:sz w:val="20"/>
              </w:rPr>
              <w:t>Cambia un valor de autorun: persistencia (T1547.001). Lee nombre del equipo, GUID, idiomas y software instalado (T1082, T1012, T1518).</w:t>
            </w:r>
          </w:p>
        </w:tc>
        <w:tc>
          <w:tcPr>
            <w:tcW w:type="dxa" w:w="4191"/>
            <w:vAlign w:val="center"/>
            <w:shd w:fill="FFFFFF"/>
            <w:tcMar>
              <w:top w:w="65" w:type="dxa"/>
              <w:bottom w:w="65" w:type="dxa"/>
              <w:left w:w="95" w:type="dxa"/>
              <w:right w:w="95" w:type="dxa"/>
            </w:tcMar>
          </w:tcPr>
          <w:p>
            <w:pPr>
              <w:spacing w:after="20" w:line="240" w:lineRule="auto"/>
            </w:pPr>
            <w:r>
              <w:rPr>
                <w:b w:val="0"/>
                <w:sz w:val="20"/>
              </w:rPr>
              <w:t>Mismas lecturas de reconocimiento. No se observó persistencia en 60 s.</w:t>
            </w:r>
          </w:p>
        </w:tc>
      </w:tr>
      <w:tr>
        <w:trPr>
          <w:cantSplit/>
        </w:trPr>
        <w:tc>
          <w:tcPr>
            <w:tcW w:type="dxa" w:w="1596"/>
            <w:vAlign w:val="center"/>
            <w:shd w:fill="F5F5F5"/>
            <w:tcMar>
              <w:top w:w="65" w:type="dxa"/>
              <w:bottom w:w="65" w:type="dxa"/>
              <w:left w:w="95" w:type="dxa"/>
              <w:right w:w="95" w:type="dxa"/>
            </w:tcMar>
          </w:tcPr>
          <w:p>
            <w:pPr>
              <w:spacing w:after="20" w:line="240" w:lineRule="auto"/>
            </w:pPr>
            <w:r>
              <w:rPr>
                <w:b/>
                <w:sz w:val="20"/>
              </w:rPr>
              <w:t>Red</w:t>
            </w:r>
          </w:p>
        </w:tc>
        <w:tc>
          <w:tcPr>
            <w:tcW w:type="dxa" w:w="4191"/>
            <w:vAlign w:val="center"/>
            <w:shd w:fill="F5F5F5"/>
            <w:tcMar>
              <w:top w:w="65" w:type="dxa"/>
              <w:bottom w:w="65" w:type="dxa"/>
              <w:left w:w="95" w:type="dxa"/>
              <w:right w:w="95" w:type="dxa"/>
            </w:tcMar>
          </w:tcPr>
          <w:p>
            <w:pPr>
              <w:spacing w:after="20" w:line="240" w:lineRule="auto"/>
            </w:pPr>
            <w:r>
              <w:rPr>
                <w:b w:val="0"/>
                <w:sz w:val="20"/>
              </w:rPr>
              <w:t>IP 204[.]194[.]49[.]108 y consulta a hackmyip[.]com/api/v1/ip, que devuelve la IP pública del equipo.</w:t>
            </w:r>
          </w:p>
        </w:tc>
        <w:tc>
          <w:tcPr>
            <w:tcW w:type="dxa" w:w="4191"/>
            <w:vAlign w:val="center"/>
            <w:shd w:fill="F5F5F5"/>
            <w:tcMar>
              <w:top w:w="65" w:type="dxa"/>
              <w:bottom w:w="65" w:type="dxa"/>
              <w:left w:w="95" w:type="dxa"/>
              <w:right w:w="95" w:type="dxa"/>
            </w:tcMar>
          </w:tcPr>
          <w:p>
            <w:pPr>
              <w:spacing w:after="20" w:line="240" w:lineRule="auto"/>
            </w:pPr>
            <w:r>
              <w:rPr>
                <w:b w:val="0"/>
                <w:sz w:val="20"/>
              </w:rPr>
              <w:t>IP 202[.]61[.]157[.]33. Sin dominios propios.</w:t>
            </w:r>
          </w:p>
        </w:tc>
      </w:tr>
    </w:tbl>
    <w:p>
      <w:pPr/>
      <w:r/>
    </w:p>
    <w:p>
      <w:pPr/>
      <w:r>
        <w:rPr>
          <w:b/>
        </w:rPr>
        <w:t xml:space="preserve">Ruido descartado. </w:t>
      </w:r>
      <w:r>
        <w:t>La cadena wininit → services → svchost es el arranque normal de Windows. WaaSMedicAgent.exe pertenece a Windows Update. El tráfico OCSP/CRL de DigiCert y Microsoft, settings-win, activation, login.live y Bing es propio del sistema. ANY.RUN clasifica todos sus indicadores de red como «Unknown», no como maliciosos. La técnica T1562.001 (desactivar Defender) es heurística: no se observó PowerShell ni cambios en Defender, por lo que esas recomendaciones no se adoptan.</w:t>
      </w:r>
    </w:p>
    <w:p>
      <w:pPr/>
      <w:r>
        <w:rPr>
          <w:b/>
        </w:rPr>
        <w:t xml:space="preserve">Relación entre muestras. </w:t>
      </w:r>
      <w:r>
        <w:t>Las dos dejan los mismos artefactos en la misma carpeta: C:\ProgramData\MicroPoint\WinCombo.exe y erasecode.dat. F001 se comporta como cargador: se ejecuta con rundll32, deja Setup64.exe y termina lanzando WinCombo.exe. Setup64.exe y WinCombo.exe son justamente los nombres históricos de F002 en VirusTotal. Es un indicio fuerte de que pertenecen a la misma cadena de infección, pero no lo confirmamos: no comparamos el hash del archivo creado con el de F002. Los nombres que imitan software legítimo corresponden a T1036.005.</w:t>
      </w:r>
    </w:p>
    <w:p>
      <w:pPr/>
      <w:r>
        <w:rPr>
          <w:b/>
        </w:rPr>
        <w:t xml:space="preserve">Límites. </w:t>
      </w:r>
      <w:r>
        <w:t>Con 60 s de ejecución se puede perder comportamiento tardío; la ausencia de persistencia en F002 puede deberse a eso. Las IP figuran en el resumen automático y en la configuración extraída, pero sin el tráfico capturado no se confirma que sean C2 ni que hubiera exfiltración. El texto «AI Summary» del reporte se usó solo como guía y cada afirmación de esta sección se contrastó con las tablas de detecciones, archivos e indicadores del mismo reporte. Un análisis en Triage (5 min, Windows 10 y 11, con PCAP) permitiría confirmar la red y la persistencia.</w:t>
      </w:r>
    </w:p>
    <w:p>
      <w:pPr/>
      <w:r>
        <w:rPr>
          <w:b/>
        </w:rPr>
        <w:t xml:space="preserve">Resultado. </w:t>
      </w:r>
      <w:r>
        <w:t>El análisis dinámico confirma el veredicto estático: F001 y F002 son MALICIOSOS, con confianza alta. Muestran comportamiento de cargador y RAT: ejecución encubierta mediante binarios del sistema, archivos en ProgramData, reconocimiento del equipo, persistencia en F001 y destinos de red externos. Ningún comportamiento se observó fuera del sandbox.</w:t>
      </w:r>
    </w:p>
    <w:p>
      <w:pPr/>
      <w:r>
        <w:rPr>
          <w:b/>
        </w:rPr>
        <w:t xml:space="preserve">Medidas. </w:t>
      </w:r>
      <w:r>
        <w:t>Bloquear los hashes de F001 y F002. Buscar en los equipos la carpeta C:\ProgramData\MicroPoint\, WinCombo.exe y valores de autorun que apunten a ella. Alertar cuando rundll32 cargue DLL desde %TEMP%. Revisar en la telemetría propia las conexiones a las dos IP antes de bloquearlas.</w:t>
      </w:r>
    </w:p>
    <w:p>
      <w:pPr>
        <w:pStyle w:val="Caption"/>
      </w:pPr>
      <w:r>
        <w:t>Fuentes: PDF ANY.RUN F001 · Tarea F001 · PDF ANY.RUN F002 · Tarea F002 · Hashes estáticos.</w:t>
      </w:r>
    </w:p>
    <w:p>
      <w:pPr>
        <w:pStyle w:val="Heading1"/>
      </w:pPr>
      <w:r>
        <w:t>Conclusiones</w:t>
      </w:r>
    </w:p>
    <w:p>
      <w:r>
        <w:t>F001, F002, R004 y U002 se clasifican como maliciosos. R005, U001 y U003 permanecen sospechosos por evidencia insuficiente o señales mixtas. El análisis dinámico en ANY.RUN confirmó para F001 y F002 comportamiento de cargador y RAT, e indica que forman parte de la misma cadena. Los dos archivos Windows no son adjuntos de los correos; el ELF histórico de U002 es otro recurso. No se acreditó un control legítimo ni infección fuera del sandbox.</w:t>
      </w:r>
    </w:p>
    <w:p>
      <w:r>
        <w:t>La medida inmediata es conservar los recursos aislados y evitar interacción. La organización debe bloquear indicadores confirmados según contexto y revisar telemetría antes de declarar infección o aplicar respuesta a incidentes. No se justifican bloqueos de proveedores completos por aparecer en un mensaje.</w:t>
      </w:r>
    </w:p>
    <w:p>
      <w:pPr>
        <w:pStyle w:val="Heading1"/>
      </w:pPr>
      <w:r>
        <w:t>Anexo de evidencia verificable</w:t>
      </w:r>
    </w:p>
    <w:p>
      <w:r>
        <w:t>Los enlaces azules abren informes de herramientas, imágenes originales y salidas técnicas. Las figuras de cada ficha muestran fragmentos relevantes; las capturas completas conservan su fecha y hash en el registro. Los indicadores de riesgo escritos en el cuerpo están neutralizados.</w:t>
      </w:r>
    </w:p>
    <w:p>
      <w:hyperlink r:id="rId46">
        <w:r>
          <w:rPr>
            <w:color w:val="0563C1"/>
            <w:u w:val="single"/>
          </w:rPr>
          <w:t>Capturas completas</w:t>
        </w:r>
      </w:hyperlink>
    </w:p>
    <w:p>
      <w:hyperlink r:id="rId47">
        <w:r>
          <w:rPr>
            <w:color w:val="0563C1"/>
            <w:u w:val="single"/>
          </w:rPr>
          <w:t>Registro de capturas y huellas</w:t>
        </w:r>
      </w:hyperlink>
    </w:p>
    <w:p>
      <w:hyperlink r:id="rId14">
        <w:r>
          <w:rPr>
            <w:color w:val="0563C1"/>
            <w:u w:val="single"/>
          </w:rPr>
          <w:t>Salidas de archivos y hashes</w:t>
        </w:r>
      </w:hyperlink>
    </w:p>
    <w:p>
      <w:hyperlink r:id="rId15">
        <w:r>
          <w:rPr>
            <w:color w:val="0563C1"/>
            <w:u w:val="single"/>
          </w:rPr>
          <w:t>VirusTotal de archivos</w:t>
        </w:r>
      </w:hyperlink>
    </w:p>
    <w:p>
      <w:hyperlink r:id="rId22">
        <w:r>
          <w:rPr>
            <w:color w:val="0563C1"/>
            <w:u w:val="single"/>
          </w:rPr>
          <w:t>Cabeceras y enlaces de correos</w:t>
        </w:r>
      </w:hyperlink>
    </w:p>
    <w:p>
      <w:hyperlink r:id="rId28">
        <w:r>
          <w:rPr>
            <w:color w:val="0563C1"/>
            <w:u w:val="single"/>
          </w:rPr>
          <w:t>Resumen MIME de los correos</w:t>
        </w:r>
      </w:hyperlink>
    </w:p>
    <w:p>
      <w:hyperlink r:id="rId48">
        <w:r>
          <w:rPr>
            <w:color w:val="0563C1"/>
            <w:u w:val="single"/>
          </w:rPr>
          <w:t>Reputación de enlaces de correo</w:t>
        </w:r>
      </w:hyperlink>
    </w:p>
    <w:p>
      <w:hyperlink r:id="rId24">
        <w:r>
          <w:rPr>
            <w:color w:val="0563C1"/>
            <w:u w:val="single"/>
          </w:rPr>
          <w:t>Listas antispam MXToolbox</w:t>
        </w:r>
      </w:hyperlink>
    </w:p>
    <w:p>
      <w:hyperlink r:id="rId49">
        <w:r>
          <w:rPr>
            <w:color w:val="0563C1"/>
            <w:u w:val="single"/>
          </w:rPr>
          <w:t>Informes de URL, RDAP, DNS y certificados</w:t>
        </w:r>
      </w:hyperlink>
    </w:p>
    <w:p>
      <w:hyperlink r:id="rId50">
        <w:r>
          <w:rPr>
            <w:color w:val="0563C1"/>
            <w:u w:val="single"/>
          </w:rPr>
          <w:t>Integridad de las evidencias</w:t>
        </w:r>
      </w:hyperlink>
    </w:p>
    <w:p>
      <w:r>
        <w:t>Las fechas del proveedor no equivalen a fechas de adquisición. Los informes existentes pueden cambiar o dejar de estar disponibles; las respuestas y las capturas guardadas preservan la observación utilizada. Una huella SHA-256 comprueba integridad local, sin constituir un sellado de tiempo externo.</w:t>
      </w:r>
    </w:p>
    <w:sectPr w:rsidR="00FC693F" w:rsidRPr="0006063C" w:rsidSect="00034616">
      <w:headerReference w:type="default" r:id="rId9"/>
      <w:footerReference w:type="default" r:id="rId10"/>
      <w:pgSz w:w="11906" w:h="16838"/>
      <w:pgMar w:top="907"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Grupo 05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UTN FRRe    Fundamentos de Ciberseguridad    Grupo 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Auto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Lato" w:hAnsi="Lato"/>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Lato" w:hAnsi="Lato"/>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Lato" w:hAnsi="Lato"/>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Lato" w:hAnsi="Lato"/>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Lato" w:hAnsi="Lato"/>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Lato" w:hAnsi="Lato"/>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github.com/FranDSchz/ciberseguridad-phishing-lab/blob/main/docs/informe-grupo05/capturas/F001-virustotal-detecciones.jpg" TargetMode="External"/><Relationship Id="rId13" Type="http://schemas.openxmlformats.org/officeDocument/2006/relationships/hyperlink" Target="https://www.virustotal.com/gui/file/6f9f663f832a06474913ec6bb0f94e3cca6e0658396a68053ff36abedbb050ba" TargetMode="External"/><Relationship Id="rId14" Type="http://schemas.openxmlformats.org/officeDocument/2006/relationships/hyperlink" Target="https://github.com/FranDSchz/ciberseguridad-phishing-lab/blob/main/docs/informe-grupo05/primarios/vm/grupo05-archivos-estaticos.json" TargetMode="External"/><Relationship Id="rId15" Type="http://schemas.openxmlformats.org/officeDocument/2006/relationships/hyperlink" Target="https://github.com/FranDSchz/ciberseguridad-phishing-lab/blob/main/docs/informe-grupo05/archivos-reputacion.json" TargetMode="External"/><Relationship Id="rId16" Type="http://schemas.openxmlformats.org/officeDocument/2006/relationships/image" Target="media/image2.jpg"/><Relationship Id="rId17" Type="http://schemas.openxmlformats.org/officeDocument/2006/relationships/hyperlink" Target="https://github.com/FranDSchz/ciberseguridad-phishing-lab/blob/main/docs/informe-grupo05/capturas/F002-virustotal-detecciones.jpg" TargetMode="External"/><Relationship Id="rId18" Type="http://schemas.openxmlformats.org/officeDocument/2006/relationships/hyperlink" Target="https://www.virustotal.com/gui/file/06af7db1507c685154f7a291c862b0bfe5649c989de4e7acbeff23fd3252e4ec" TargetMode="External"/><Relationship Id="rId19" Type="http://schemas.openxmlformats.org/officeDocument/2006/relationships/image" Target="media/image3.jpg"/><Relationship Id="rId20" Type="http://schemas.openxmlformats.org/officeDocument/2006/relationships/hyperlink" Target="https://github.com/FranDSchz/ciberseguridad-phishing-lab/blob/main/docs/informe-grupo05/capturas/R004-pnreap-verificado.jpg" TargetMode="External"/><Relationship Id="rId21" Type="http://schemas.openxmlformats.org/officeDocument/2006/relationships/hyperlink" Target="https://www.virustotal.com/gui/url/b5964327810a7c813ae6a17ec150228e0f3c1bc77fa5dba775f7eaae5eda674d" TargetMode="External"/><Relationship Id="rId22" Type="http://schemas.openxmlformats.org/officeDocument/2006/relationships/hyperlink" Target="https://github.com/FranDSchz/ciberseguridad-phishing-lab/blob/main/docs/informe-grupo05/correos-estaticos.json" TargetMode="External"/><Relationship Id="rId23" Type="http://schemas.openxmlformats.org/officeDocument/2006/relationships/hyperlink" Target="https://github.com/FranDSchz/ciberseguridad-phishing-lab/blob/main/docs/informe-grupo05/cierre/R004-pnreap-verificacion.json" TargetMode="External"/><Relationship Id="rId24" Type="http://schemas.openxmlformats.org/officeDocument/2006/relationships/hyperlink" Target="https://github.com/FranDSchz/ciberseguridad-phishing-lab/blob/main/docs/informe-grupo05/cierre/mxtoolbox-adquisicion.json" TargetMode="External"/><Relationship Id="rId25" Type="http://schemas.openxmlformats.org/officeDocument/2006/relationships/image" Target="media/image4.jpg"/><Relationship Id="rId26" Type="http://schemas.openxmlformats.org/officeDocument/2006/relationships/hyperlink" Target="https://github.com/FranDSchz/ciberseguridad-phishing-lab/blob/main/docs/informe-grupo05/capturas/R005-dominio-enlaces-virustotal.jpg" TargetMode="External"/><Relationship Id="rId27" Type="http://schemas.openxmlformats.org/officeDocument/2006/relationships/hyperlink" Target="https://www.virustotal.com/gui/domain/woondsplay.com" TargetMode="External"/><Relationship Id="rId28" Type="http://schemas.openxmlformats.org/officeDocument/2006/relationships/hyperlink" Target="https://github.com/FranDSchz/ciberseguridad-phishing-lab/blob/main/docs/informe-grupo05/correos-html-resumen.json" TargetMode="External"/><Relationship Id="rId29" Type="http://schemas.openxmlformats.org/officeDocument/2006/relationships/image" Target="media/image5.jpg"/><Relationship Id="rId30" Type="http://schemas.openxmlformats.org/officeDocument/2006/relationships/hyperlink" Target="https://github.com/FranDSchz/ciberseguridad-phishing-lab/blob/main/docs/informe-grupo05/capturas/U001-urlscan-resumen.jpg" TargetMode="External"/><Relationship Id="rId31" Type="http://schemas.openxmlformats.org/officeDocument/2006/relationships/hyperlink" Target="https://urlscan.io/result/01a1462b-bbda-773d-a9b2-fa0511ed4b52/" TargetMode="External"/><Relationship Id="rId32" Type="http://schemas.openxmlformats.org/officeDocument/2006/relationships/hyperlink" Target="https://github.com/FranDSchz/ciberseguridad-phishing-lab/blob/main/docs/informe-grupo05/urls/20261023T180740Z/U001.json" TargetMode="External"/><Relationship Id="rId33" Type="http://schemas.openxmlformats.org/officeDocument/2006/relationships/hyperlink" Target="https://crt.sh/?q=%25.g-comeceseuatendimenton.shop" TargetMode="External"/><Relationship Id="rId34" Type="http://schemas.openxmlformats.org/officeDocument/2006/relationships/image" Target="media/image6.jpg"/><Relationship Id="rId35" Type="http://schemas.openxmlformats.org/officeDocument/2006/relationships/hyperlink" Target="https://github.com/FranDSchz/ciberseguridad-phishing-lab/blob/main/docs/informe-grupo05/capturas/U002-urlscan-descarga-detalle.jpg" TargetMode="External"/><Relationship Id="rId36" Type="http://schemas.openxmlformats.org/officeDocument/2006/relationships/hyperlink" Target="https://urlscan.io/result/01a1464c-f4e2-70ba-8c0c-131c9851a684/" TargetMode="External"/><Relationship Id="rId37" Type="http://schemas.openxmlformats.org/officeDocument/2006/relationships/hyperlink" Target="https://www.virustotal.com/gui/file/f6c97b1e2ed02578ca1066c8235ba4f991e645f89012406c639dbccc6582eec8" TargetMode="External"/><Relationship Id="rId38" Type="http://schemas.openxmlformats.org/officeDocument/2006/relationships/hyperlink" Target="https://github.com/FranDSchz/ciberseguridad-phishing-lab/blob/main/docs/informe-grupo05/urls/20261023T180740Z/U002-archivo-reputacion.json" TargetMode="External"/><Relationship Id="rId39" Type="http://schemas.openxmlformats.org/officeDocument/2006/relationships/hyperlink" Target="https://github.com/FranDSchz/ciberseguridad-phishing-lab/blob/main/docs/informe-grupo05/urls/20261023T180740Z/U002.json" TargetMode="External"/><Relationship Id="rId40" Type="http://schemas.openxmlformats.org/officeDocument/2006/relationships/image" Target="media/image7.jpg"/><Relationship Id="rId41" Type="http://schemas.openxmlformats.org/officeDocument/2006/relationships/hyperlink" Target="https://github.com/FranDSchz/ciberseguridad-phishing-lab/blob/main/docs/informe-grupo05/capturas/U003-urlscan-resumen.jpg" TargetMode="External"/><Relationship Id="rId42" Type="http://schemas.openxmlformats.org/officeDocument/2006/relationships/hyperlink" Target="https://urlscan.io/result/01a1460d-11c6-71b9-9818-3caec90d10c7/" TargetMode="External"/><Relationship Id="rId43" Type="http://schemas.openxmlformats.org/officeDocument/2006/relationships/hyperlink" Target="https://www.virustotal.com/gui/domain/pneustorebr.cfd" TargetMode="External"/><Relationship Id="rId44" Type="http://schemas.openxmlformats.org/officeDocument/2006/relationships/hyperlink" Target="https://github.com/FranDSchz/ciberseguridad-phishing-lab/blob/main/docs/informe-grupo05/urls/20261023T180740Z/U003.json" TargetMode="External"/><Relationship Id="rId45" Type="http://schemas.openxmlformats.org/officeDocument/2006/relationships/hyperlink" Target="https://crt.sh/?q=%25.pneustorebr.cfd" TargetMode="External"/><Relationship Id="rId46" Type="http://schemas.openxmlformats.org/officeDocument/2006/relationships/hyperlink" Target="https://github.com/FranDSchz/ciberseguridad-phishing-lab/tree/main/docs/informe-grupo05/capturas" TargetMode="External"/><Relationship Id="rId47" Type="http://schemas.openxmlformats.org/officeDocument/2006/relationships/hyperlink" Target="https://github.com/FranDSchz/ciberseguridad-phishing-lab/blob/main/docs/informe-grupo05/capturas/registro-capturas-informe.json" TargetMode="External"/><Relationship Id="rId48" Type="http://schemas.openxmlformats.org/officeDocument/2006/relationships/hyperlink" Target="https://github.com/FranDSchz/ciberseguridad-phishing-lab/blob/main/docs/informe-grupo05/enlaces-correo-reputacion.json" TargetMode="External"/><Relationship Id="rId49" Type="http://schemas.openxmlformats.org/officeDocument/2006/relationships/hyperlink" Target="https://github.com/FranDSchz/ciberseguridad-phishing-lab/tree/main/docs/informe-grupo05/urls/20261023T180740Z" TargetMode="External"/><Relationship Id="rId50" Type="http://schemas.openxmlformats.org/officeDocument/2006/relationships/hyperlink" Target="https://github.com/FranDSchz/ciberseguridad-phishing-lab/blob/main/docs/informe-grupo05/SHA256SU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y triage de recursos sospechosos</dc:title>
  <dc:subject>Fundamentos de Ciberseguridad</dc:subject>
  <dc:creator>Grupo 05</dc:creator>
  <cp:keywords/>
  <dc:description/>
  <cp:lastModifiedBy/>
  <cp:revision>1</cp:revision>
  <dcterms:created xsi:type="dcterms:W3CDTF">2013-12-23T23:15:00Z</dcterms:created>
  <dcterms:modified xsi:type="dcterms:W3CDTF">2013-12-23T23:15:00Z</dcterms:modified>
  <cp:category/>
</cp:coreProperties>
</file>