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rPr>
          <w:b/>
          <w:bCs/>
        </w:rPr>
        <w:t xml:space="preserve">Informe Ejecutivo de Compensaciones</w:t>
      </w:r>
      <w:r>
        <w:br/>
      </w:r>
      <w:r>
        <w:t xml:space="preserve">TalentCo — Analítica de Recursos Humanos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de Recursos Humanos, TalentCo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Analítica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Asunto: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Determinantes salariales y recomendaciones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Fecha: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 de 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t xml:space="preserve">Analizamos la estructura de compensaciones de TalentCo (~9.800 empleados,</w:t>
      </w:r>
      <w:r>
        <w:t xml:space="preserve"> </w:t>
      </w:r>
      <w:r>
        <w:t xml:space="preserve">tras depurar registros con datos faltantes o fuera de rango) para identificar qué</w:t>
      </w:r>
      <w:r>
        <w:t xml:space="preserve"> </w:t>
      </w:r>
      <w:r>
        <w:t xml:space="preserve">determina los salarios y validar las inquietudes de RRHH sobre posibles</w:t>
      </w:r>
      <w:r>
        <w:t xml:space="preserve"> </w:t>
      </w:r>
      <w:r>
        <w:t xml:space="preserve">inconsistencias. El modelo explica alrededor del</w:t>
      </w:r>
      <w:r>
        <w:t xml:space="preserve"> </w:t>
      </w:r>
      <w:r>
        <w:rPr>
          <w:b/>
          <w:bCs/>
        </w:rPr>
        <w:t xml:space="preserve">54 %</w:t>
      </w:r>
      <w:r>
        <w:t xml:space="preserve"> </w:t>
      </w:r>
      <w:r>
        <w:t xml:space="preserve">de la variabilidad</w:t>
      </w:r>
      <w:r>
        <w:t xml:space="preserve"> </w:t>
      </w:r>
      <w:r>
        <w:t xml:space="preserve">salarial (estimado por validación cruzada).</w:t>
      </w:r>
    </w:p>
    <w:bookmarkEnd w:id="9"/>
    <w:bookmarkStart w:id="10" w:name="principales-determinantes-del-salario"/>
    <w:p>
      <w:pPr>
        <w:pStyle w:val="Heading1"/>
      </w:pPr>
      <w:r>
        <w:t xml:space="preserve">Principales determinantes del salario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Nivel de cargo:</w:t>
      </w:r>
      <w:r>
        <w:t xml:space="preserve"> </w:t>
      </w:r>
      <w:r>
        <w:t xml:space="preserve">el predictor más fuerte. Cada salto</w:t>
      </w:r>
      <w:r>
        <w:t xml:space="preserve"> </w:t>
      </w:r>
      <w:r>
        <w:t xml:space="preserve">(Junior </w:t>
      </w:r>
      <m:oMath>
        <m:r>
          <m:rPr>
            <m:sty m:val="p"/>
          </m:rPr>
          <m:t>→</m:t>
        </m:r>
      </m:oMath>
      <w:r>
        <w:t xml:space="preserve"> Mid </w:t>
      </w:r>
      <m:oMath>
        <m:r>
          <m:rPr>
            <m:sty m:val="p"/>
          </m:rPr>
          <m:t>→</m:t>
        </m:r>
      </m:oMath>
      <w:r>
        <w:t xml:space="preserve"> Senior) implica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 USD 15.500 anuales.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Experiencia: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 USD 1.350 por año adicional.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Desempeño: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 USD 2.000 por punto de la escala.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Edad:</w:t>
      </w:r>
      <w:r>
        <w:t xml:space="preserve"> </w:t>
      </w:r>
      <w:r>
        <w:t xml:space="preserve">efecto pequeño pero estadísticamente significativo, independiente de la experiencia.</w:t>
      </w:r>
    </w:p>
    <w:bookmarkEnd w:id="10"/>
    <w:bookmarkStart w:id="11" w:name="impacto-de-la-experiencia"/>
    <w:p>
      <w:pPr>
        <w:pStyle w:val="Heading1"/>
      </w:pPr>
      <w:r>
        <w:t xml:space="preserve">Impacto de la experiencia</w:t>
      </w:r>
    </w:p>
    <w:p>
      <w:pPr>
        <w:pStyle w:val="FirstParagraph"/>
      </w:pPr>
      <w:r>
        <w:t xml:space="preserve">La relación entre experiencia y salario es claramente positiva y sólida, pero</w:t>
      </w:r>
      <w:r>
        <w:t xml:space="preserve"> </w:t>
      </w:r>
      <w:r>
        <w:t xml:space="preserve">se debilita al controlar por nivel de cargo: es la</w:t>
      </w:r>
      <w:r>
        <w:t xml:space="preserve"> </w:t>
      </w:r>
      <w:r>
        <w:rPr>
          <w:b/>
          <w:bCs/>
        </w:rPr>
        <w:t xml:space="preserve">promoción</w:t>
      </w:r>
      <w:r>
        <w:t xml:space="preserve">, no la</w:t>
      </w:r>
      <w:r>
        <w:t xml:space="preserve"> </w:t>
      </w:r>
      <w:r>
        <w:t xml:space="preserve">mera antigüedad, el canal que traduce experiencia en mayor compensación.</w:t>
      </w:r>
    </w:p>
    <w:bookmarkEnd w:id="11"/>
    <w:bookmarkStart w:id="12" w:name="departamentos-y-regiones"/>
    <w:p>
      <w:pPr>
        <w:pStyle w:val="Heading1"/>
      </w:pPr>
      <w:r>
        <w:t xml:space="preserve">Departamentos y regiones</w:t>
      </w:r>
    </w:p>
    <w:p>
      <w:pPr>
        <w:pStyle w:val="FirstParagraph"/>
      </w:pPr>
      <w:r>
        <w:t xml:space="preserve">Ingeniería y Finanzas presentan los salarios promedio más altos, reflejando</w:t>
      </w:r>
      <w:r>
        <w:t xml:space="preserve"> </w:t>
      </w:r>
      <w:r>
        <w:t xml:space="preserve">primas de mercado del sector tecnológico y financiero. Las diferencias entre</w:t>
      </w:r>
      <w:r>
        <w:t xml:space="preserve"> </w:t>
      </w:r>
      <w:r>
        <w:t xml:space="preserve">regiones son menores, lo que indica una política geográfica razonablemente</w:t>
      </w:r>
      <w:r>
        <w:t xml:space="preserve"> </w:t>
      </w:r>
      <w:r>
        <w:t xml:space="preserve">uniforme.</w:t>
      </w:r>
    </w:p>
    <w:bookmarkEnd w:id="12"/>
    <w:bookmarkStart w:id="13" w:name="promoción-de-mid-a-senior"/>
    <w:p>
      <w:pPr>
        <w:pStyle w:val="Heading1"/>
      </w:pPr>
      <w:r>
        <w:t xml:space="preserve">Promoción de Mid a Senior</w:t>
      </w:r>
    </w:p>
    <w:p>
      <w:pPr>
        <w:pStyle w:val="FirstParagraph"/>
      </w:pPr>
      <w:r>
        <w:t xml:space="preserve">Según el modelo, ascender a un empleado de Mid a Senior implica un aumento</w:t>
      </w:r>
      <w:r>
        <w:t xml:space="preserve"> </w:t>
      </w:r>
      <w:r>
        <w:t xml:space="preserve">esperado de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 </w:t>
      </w:r>
      <w:r>
        <w:rPr>
          <w:b/>
          <w:bCs/>
        </w:rPr>
        <w:t xml:space="preserve">USD 15.500</w:t>
      </w:r>
      <w:r>
        <w:t xml:space="preserve"> </w:t>
      </w:r>
      <w:r>
        <w:t xml:space="preserve">anuales (controlando por experiencia,</w:t>
      </w:r>
      <w:r>
        <w:t xml:space="preserve"> </w:t>
      </w:r>
      <w:r>
        <w:t xml:space="preserve">edad y desempeño). Recomendamos formalizar este rango como referencia.</w:t>
      </w:r>
    </w:p>
    <w:bookmarkEnd w:id="13"/>
    <w:bookmarkStart w:id="14" w:name="equidad-de-género"/>
    <w:p>
      <w:pPr>
        <w:pStyle w:val="Heading1"/>
      </w:pPr>
      <w:r>
        <w:t xml:space="preserve">Equidad de género</w:t>
      </w:r>
    </w:p>
    <w:p>
      <w:pPr>
        <w:pStyle w:val="FirstParagraph"/>
      </w:pPr>
      <w:r>
        <w:t xml:space="preserve">Tras controlar por nivel de cargo, experiencia, edad y desempeño, persiste una</w:t>
      </w:r>
      <w:r>
        <w:t xml:space="preserve"> </w:t>
      </w:r>
      <w:r>
        <w:t xml:space="preserve">diferencia salarial</w:t>
      </w:r>
      <w:r>
        <w:t xml:space="preserve"> </w:t>
      </w:r>
      <w:r>
        <w:rPr>
          <w:b/>
          <w:bCs/>
        </w:rPr>
        <w:t xml:space="preserve">pequeña pero sistemática a favor de los hombres</w:t>
      </w:r>
      <w:r>
        <w:t xml:space="preserve">,</w:t>
      </w:r>
      <w:r>
        <w:t xml:space="preserve"> </w:t>
      </w:r>
      <w:r>
        <w:t xml:space="preserve">del orden de</w:t>
      </w:r>
      <w:r>
        <w:t xml:space="preserve"> </w:t>
      </w:r>
      <w:r>
        <w:rPr>
          <w:b/>
          <w:bCs/>
        </w:rPr>
        <w:t xml:space="preserve">USD 1.250 anuales</w:t>
      </w:r>
      <w:r>
        <w:t xml:space="preserve">. Aunque su magnitud es modesta frente al</w:t>
      </w:r>
      <w:r>
        <w:t xml:space="preserve"> </w:t>
      </w:r>
      <w:r>
        <w:t xml:space="preserve">peso de otros factores, no queda explicada por las variables del modelo, por lo</w:t>
      </w:r>
      <w:r>
        <w:t xml:space="preserve"> </w:t>
      </w:r>
      <w:r>
        <w:t xml:space="preserve">que recomendamos una auditoría por subgrupos (género </w:t>
      </w:r>
      <m:oMath>
        <m:r>
          <m:rPr>
            <m:sty m:val="p"/>
          </m:rPr>
          <m:t>×</m:t>
        </m:r>
      </m:oMath>
      <w:r>
        <w:t xml:space="preserve"> departamento)</w:t>
      </w:r>
      <w:r>
        <w:t xml:space="preserve"> </w:t>
      </w:r>
      <w:r>
        <w:t xml:space="preserve">para descartar inequidades locales más marcadas.</w:t>
      </w:r>
    </w:p>
    <w:bookmarkEnd w:id="14"/>
    <w:bookmarkStart w:id="15" w:name="recomendaciones"/>
    <w:p>
      <w:pPr>
        <w:pStyle w:val="Heading1"/>
      </w:pPr>
      <w:r>
        <w:t xml:space="preserve">Recomendaciones</w:t>
      </w:r>
    </w:p>
    <w:p>
      <w:pPr>
        <w:numPr>
          <w:ilvl w:val="0"/>
          <w:numId w:val="1002"/>
        </w:numPr>
      </w:pPr>
      <w:r>
        <w:t xml:space="preserve">Publicar bandas salariales por nivel y departamento (transparencia).</w:t>
      </w:r>
    </w:p>
    <w:p>
      <w:pPr>
        <w:numPr>
          <w:ilvl w:val="0"/>
          <w:numId w:val="1002"/>
        </w:numPr>
      </w:pPr>
      <w:r>
        <w:t xml:space="preserve">Formalizar criterios objetivos de promoción (experiencia + desempeño).</w:t>
      </w:r>
    </w:p>
    <w:p>
      <w:pPr>
        <w:numPr>
          <w:ilvl w:val="0"/>
          <w:numId w:val="1002"/>
        </w:numPr>
      </w:pPr>
      <w:r>
        <w:t xml:space="preserve">Auditar la equidad por subgrupos para detectar brechas no visibles.</w:t>
      </w:r>
    </w:p>
    <w:p>
      <w:pPr>
        <w:numPr>
          <w:ilvl w:val="0"/>
          <w:numId w:val="1002"/>
        </w:numPr>
      </w:pPr>
      <w:r>
        <w:t xml:space="preserve">Reforzar el premio al desempeño en la política de compensaciones.</w:t>
      </w:r>
    </w:p>
    <w:bookmarkEnd w:id="15"/>
    <w:bookmarkStart w:id="16" w:name="limitaciones"/>
    <w:p>
      <w:pPr>
        <w:pStyle w:val="Heading1"/>
      </w:pPr>
      <w:r>
        <w:t xml:space="preserve">Limitaciones</w:t>
      </w:r>
    </w:p>
    <w:p>
      <w:pPr>
        <w:pStyle w:val="FirstParagraph"/>
      </w:pPr>
      <w:r>
        <w:t xml:space="preserve">El modelo explica alrededor del 54 % de la variabilidad; el resto responde a factores</w:t>
      </w:r>
      <w:r>
        <w:t xml:space="preserve"> </w:t>
      </w:r>
      <w:r>
        <w:t xml:space="preserve">no observados (negociación individual, antigüedad, certificaciones). Además, un grupo</w:t>
      </w:r>
      <w:r>
        <w:t xml:space="preserve"> </w:t>
      </w:r>
      <w:r>
        <w:t xml:space="preserve">reducido de salarios muy altos distorsiona parcialmente el ajuste, por lo que conviene</w:t>
      </w:r>
      <w:r>
        <w:t xml:space="preserve"> </w:t>
      </w:r>
      <w:r>
        <w:t xml:space="preserve">tratarlos o usar métodos robustos en una segunda fase. Las recomendaciones deben</w:t>
      </w:r>
      <w:r>
        <w:t xml:space="preserve"> </w:t>
      </w:r>
      <w:r>
        <w:t xml:space="preserve">validarse con el contexto operativo de TalentCo.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2026-05-29T20:19:51Z</dcterms:created>
  <dcterms:modified xsi:type="dcterms:W3CDTF">2026-05-29T20:19:51Z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