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53.png" ContentType="image/png"/>
  <Override PartName="/word/media/rId156.png" ContentType="image/png"/>
  <Override PartName="/word/media/rId159.png" ContentType="image/png"/>
  <Override PartName="/word/media/rId162.png" ContentType="image/png"/>
  <Override PartName="/word/media/rId165.png" ContentType="image/png"/>
  <Override PartName="/word/media/rId168.png" ContentType="image/png"/>
  <Override PartName="/word/media/rId171.png" ContentType="image/png"/>
  <Override PartName="/word/media/rId174.png" ContentType="image/png"/>
  <Override PartName="/word/media/rId177.png" ContentType="image/png"/>
  <Override PartName="/word/media/rId180.png" ContentType="image/png"/>
  <Override PartName="/word/media/rId183.png" ContentType="image/png"/>
  <Override PartName="/word/media/rId186.png" ContentType="image/png"/>
  <Override PartName="/word/media/rId189.png" ContentType="image/png"/>
  <Override PartName="/word/media/rId192.png" ContentType="image/png"/>
  <Override PartName="/word/media/rId195.png" ContentType="image/png"/>
  <Override PartName="/word/media/rId198.png" ContentType="image/png"/>
  <Override PartName="/word/media/rId201.png" ContentType="image/png"/>
  <Override PartName="/word/media/rId50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Rumbo — Modelo de desarrollo e interfaces gráficas</w:t>
      </w:r>
    </w:p>
    <w:p>
      <w:pPr>
        <w:pStyle w:val="Subtitle"/>
      </w:pPr>
      <w:r>
        <w:t xml:space="preserve">Universidad de Morón · Ingeniería Informática — Trabajo de Campo (PC1)</w:t>
      </w:r>
    </w:p>
    <w:p>
      <w:pPr>
        <w:pStyle w:val="Author"/>
      </w:pPr>
      <w:r>
        <w:t xml:space="preserve">Francisco Luciano</w:t>
      </w:r>
    </w:p>
    <w:p>
      <w:pPr>
        <w:pStyle w:val="Author"/>
      </w:pPr>
      <w:r>
        <w:t xml:space="preserve">Nahuel Viniegra</w:t>
      </w:r>
    </w:p>
    <w:p>
      <w:pPr>
        <w:pStyle w:val="Author"/>
      </w:pPr>
      <w:r>
        <w:t xml:space="preserve">Paloma Patiño</w:t>
      </w:r>
    </w:p>
    <w:p>
      <w:pPr>
        <w:pStyle w:val="Date"/>
      </w:pPr>
      <w:r>
        <w:t xml:space="preserve">2.º cuatrimestre 2026 · Entrega: 02/10/26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9" w:name="presentación"/>
    <w:p>
      <w:pPr>
        <w:pStyle w:val="Heading1"/>
      </w:pPr>
      <w:r>
        <w:t xml:space="preserve">Presentación</w:t>
      </w:r>
    </w:p>
    <w:p>
      <w:pPr>
        <w:pStyle w:val="FirstParagraph"/>
      </w:pPr>
      <w:r>
        <w:t xml:space="preserve">Este documento describe el</w:t>
      </w:r>
      <w:r>
        <w:t xml:space="preserve"> </w:t>
      </w:r>
      <w:r>
        <w:rPr>
          <w:b/>
          <w:bCs/>
        </w:rPr>
        <w:t xml:space="preserve">modelo de desarrollo</w:t>
      </w:r>
      <w:r>
        <w:t xml:space="preserve"> </w:t>
      </w:r>
      <w:r>
        <w:t xml:space="preserve">que sigue el equipo para construir</w:t>
      </w:r>
      <w:r>
        <w:t xml:space="preserve"> </w:t>
      </w:r>
      <w:r>
        <w:rPr>
          <w:b/>
          <w:bCs/>
        </w:rPr>
        <w:t xml:space="preserve">Rumbo</w:t>
      </w:r>
      <w:r>
        <w:t xml:space="preserve">, entendido como su metodología de trabajo: el ciclo de vida del proyecto, las prácticas con las que tres personas trabajan sobre una misma base, cómo se controla la calidad del código y cómo se diseñaron las interfaces.</w:t>
      </w:r>
    </w:p>
    <w:p>
      <w:pPr>
        <w:pStyle w:val="BodyText"/>
      </w:pPr>
      <w:r>
        <w:t xml:space="preserve">Cierra con las</w:t>
      </w:r>
      <w:r>
        <w:t xml:space="preserve"> </w:t>
      </w:r>
      <w:r>
        <w:rPr>
          <w:b/>
          <w:bCs/>
        </w:rPr>
        <w:t xml:space="preserve">interfaces gráficas</w:t>
      </w:r>
      <w:r>
        <w:t xml:space="preserve"> </w:t>
      </w:r>
      <w:r>
        <w:t xml:space="preserve">del prototipo navegable: cada pantalla se presenta con el caso de uso que realiza, cuya especificación está en el documento de casos de uso.</w:t>
      </w:r>
    </w:p>
    <w:bookmarkEnd w:id="49"/>
    <w:bookmarkStart w:id="205" w:name="modelo-de-desarrollo"/>
    <w:p>
      <w:pPr>
        <w:pStyle w:val="Heading1"/>
      </w:pPr>
      <w:r>
        <w:t xml:space="preserve">Modelo de desarrollo</w:t>
      </w:r>
    </w:p>
    <w:p>
      <w:pPr>
        <w:pStyle w:val="FirstParagraph"/>
      </w:pPr>
      <w:r>
        <w:t xml:space="preserve">Este apartado describe cómo trabaja el equipo para construir Rumbo: el ciclo de vida, las prácticas que sostienen el trabajo entre tres personas, cómo se controla la calidad y cómo se diseñaron las interfaces gráficas.</w:t>
      </w:r>
    </w:p>
    <w:bookmarkStart w:id="53" w:name="X9da0fd39c5d0325bf98c881e0be495d517f683f"/>
    <w:p>
      <w:pPr>
        <w:pStyle w:val="Heading2"/>
      </w:pPr>
      <w:r>
        <w:t xml:space="preserve">Ciclo de vida: iterativo e incremental por punto de control</w:t>
      </w:r>
    </w:p>
    <w:p>
      <w:pPr>
        <w:pStyle w:val="FirstParagraph"/>
      </w:pPr>
      <w:r>
        <w:t xml:space="preserve">El proyecto avanza en</w:t>
      </w:r>
      <w:r>
        <w:t xml:space="preserve"> </w:t>
      </w:r>
      <w:r>
        <w:rPr>
          <w:b/>
          <w:bCs/>
        </w:rPr>
        <w:t xml:space="preserve">iteraciones</w:t>
      </w:r>
      <w:r>
        <w:t xml:space="preserve">, una por cada punto de control de la cátedra. Cada iteración parte de lo que dejó la anterior, agrega un incremento completo y verificable, y cierra con una entrega. Se eligió este modelo porque las fechas de entrega son fijas, el equipo es chico y el relevamiento se completó en dos rondas con la agencia: un modelo en cascada no hubiera dejado incorporar la segunda ronda sin rehacer el análisis.</w:t>
      </w:r>
    </w:p>
    <w:p>
      <w:pPr>
        <w:pStyle w:val="CaptionedFigure"/>
      </w:pPr>
      <w:r>
        <w:drawing>
          <wp:inline>
            <wp:extent cx="5753100" cy="1621728"/>
            <wp:effectExtent b="0" l="0" r="0" t="0"/>
            <wp:docPr descr="Figura 1. Ciclo de vida iterativo, una iteración por punto de control." title="" id="51" name="Picture"/>
            <a:graphic>
              <a:graphicData uri="http://schemas.openxmlformats.org/drawingml/2006/picture">
                <pic:pic>
                  <pic:nvPicPr>
                    <pic:cNvPr descr="DES-iteracion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2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Ciclo de vida iterativo, una iteración por punto de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Iteración 1 (PC1):</w:t>
      </w:r>
      <w:r>
        <w:t xml:space="preserve"> </w:t>
      </w:r>
      <w:r>
        <w:t xml:space="preserve">relevamiento, análisis y diseño. Termina con el modelo UML completo, la arquitectura, el modelo de datos, el contrato de la API y el prototipo de interfaces.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Iteración 2 (PC2):</w:t>
      </w:r>
      <w:r>
        <w:t xml:space="preserve"> </w:t>
      </w:r>
      <w:r>
        <w:t xml:space="preserve">código funcional de los módulos núcleo, sobre el diseño aprobado.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Iteración 3 (PC3):</w:t>
      </w:r>
      <w:r>
        <w:t xml:space="preserve"> </w:t>
      </w:r>
      <w:r>
        <w:t xml:space="preserve">pruebas y documentación. El diseño queda congelado, salvo que una decisión nueva lo reemplace de forma explícita.</w:t>
      </w:r>
    </w:p>
    <w:p>
      <w:pPr>
        <w:pStyle w:val="Compact"/>
        <w:numPr>
          <w:ilvl w:val="0"/>
          <w:numId w:val="1001"/>
        </w:numPr>
      </w:pPr>
      <w:r>
        <w:t xml:space="preserve">Al cerrar cada punto de control se deja una</w:t>
      </w:r>
      <w:r>
        <w:t xml:space="preserve"> </w:t>
      </w:r>
      <w:r>
        <w:rPr>
          <w:b/>
          <w:bCs/>
        </w:rPr>
        <w:t xml:space="preserve">versión etiquetada</w:t>
      </w:r>
      <w:r>
        <w:t xml:space="preserve"> </w:t>
      </w:r>
      <w:r>
        <w:t xml:space="preserve">del repositorio (</w:t>
      </w:r>
      <w:r>
        <w:rPr>
          <w:rStyle w:val="VerbatimChar"/>
        </w:rPr>
        <w:t xml:space="preserve">pc1</w:t>
      </w:r>
      <w:r>
        <w:t xml:space="preserve">,</w:t>
      </w:r>
      <w:r>
        <w:t xml:space="preserve"> </w:t>
      </w:r>
      <w:r>
        <w:rPr>
          <w:rStyle w:val="VerbatimChar"/>
        </w:rPr>
        <w:t xml:space="preserve">pc2</w:t>
      </w:r>
      <w:r>
        <w:t xml:space="preserve">,</w:t>
      </w:r>
      <w:r>
        <w:t xml:space="preserve"> </w:t>
      </w:r>
      <w:r>
        <w:rPr>
          <w:rStyle w:val="VerbatimChar"/>
        </w:rPr>
        <w:t xml:space="preserve">pc3</w:t>
      </w:r>
      <w:r>
        <w:t xml:space="preserve">), para poder volver exactamente a lo entregado.</w:t>
      </w:r>
    </w:p>
    <w:bookmarkEnd w:id="53"/>
    <w:bookmarkStart w:id="61" w:name="prácticas-de-trabajo-del-equipo"/>
    <w:p>
      <w:pPr>
        <w:pStyle w:val="Heading2"/>
      </w:pPr>
      <w:r>
        <w:t xml:space="preserve">Prácticas de trabajo del equipo</w:t>
      </w:r>
    </w:p>
    <w:bookmarkStart w:id="54" w:name="una-sola-fuente-de-verdad-versionada"/>
    <w:p>
      <w:pPr>
        <w:pStyle w:val="Heading3"/>
      </w:pPr>
      <w:r>
        <w:t xml:space="preserve">Una sola fuente de verdad, versionada</w:t>
      </w:r>
    </w:p>
    <w:p>
      <w:pPr>
        <w:pStyle w:val="FirstParagraph"/>
      </w:pPr>
      <w:r>
        <w:t xml:space="preserve">Todo el proyecto vive en un</w:t>
      </w:r>
      <w:r>
        <w:t xml:space="preserve"> </w:t>
      </w:r>
      <w:r>
        <w:rPr>
          <w:b/>
          <w:bCs/>
        </w:rPr>
        <w:t xml:space="preserve">repositorio Git privado</w:t>
      </w:r>
      <w:r>
        <w:t xml:space="preserve">, escrito en Markdown: relevamiento, casos de uso, entidades, decisiones, diagramas y entregables. Cada contenido tiene</w:t>
      </w:r>
      <w:r>
        <w:t xml:space="preserve"> </w:t>
      </w:r>
      <w:r>
        <w:rPr>
          <w:b/>
          <w:bCs/>
        </w:rPr>
        <w:t xml:space="preserve">una sola nota de origen</w:t>
      </w:r>
      <w:r>
        <w:t xml:space="preserve">, y el resto lo referencia. Los diagramas se escriben como texto en Mermaid y se exportan a imagen. Así los tres documentos del análisis no se contradicen, y cualquier cambio queda registrado con su autor y su fecha.</w:t>
      </w:r>
    </w:p>
    <w:bookmarkEnd w:id="54"/>
    <w:bookmarkStart w:id="55" w:name="madurez-de-cada-documento"/>
    <w:p>
      <w:pPr>
        <w:pStyle w:val="Heading3"/>
      </w:pPr>
      <w:r>
        <w:t xml:space="preserve">Madurez de cada documento</w:t>
      </w:r>
    </w:p>
    <w:p>
      <w:pPr>
        <w:pStyle w:val="FirstParagraph"/>
      </w:pPr>
      <w:r>
        <w:t xml:space="preserve">Cada nota indica en qué estado está: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La está escribiendo su responsable.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revisión</w:t>
            </w:r>
          </w:p>
        </w:tc>
        <w:tc>
          <w:tcPr/>
          <w:p>
            <w:pPr>
              <w:pStyle w:val="Compact"/>
            </w:pPr>
            <w:r>
              <w:t xml:space="preserve">Está completa y espera la revisión del equipo.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Formalizado</w:t>
            </w:r>
          </w:p>
        </w:tc>
        <w:tc>
          <w:tcPr/>
          <w:p>
            <w:pPr>
              <w:pStyle w:val="Compact"/>
            </w:pPr>
            <w:r>
              <w:t xml:space="preserve">El equipo la aprobó de forma explícita, con fecha.</w:t>
            </w:r>
          </w:p>
        </w:tc>
      </w:tr>
    </w:tbl>
    <w:p>
      <w:pPr>
        <w:pStyle w:val="BodyText"/>
      </w:pPr>
      <w:r>
        <w:t xml:space="preserve">Nada pasa a formalizado sin la aprobación de los tres. Antes de cada entrega se verifica que no quede ningún documento obligatorio en borrador.</w:t>
      </w:r>
    </w:p>
    <w:bookmarkEnd w:id="55"/>
    <w:bookmarkStart w:id="56" w:name="decisiones-registradas"/>
    <w:p>
      <w:pPr>
        <w:pStyle w:val="Heading3"/>
      </w:pPr>
      <w:r>
        <w:t xml:space="preserve">Decisiones registradas</w:t>
      </w:r>
    </w:p>
    <w:p>
      <w:pPr>
        <w:pStyle w:val="FirstParagraph"/>
      </w:pPr>
      <w:r>
        <w:t xml:space="preserve">Cada decisión que no es obvia se registra en un</w:t>
      </w:r>
      <w:r>
        <w:t xml:space="preserve"> </w:t>
      </w:r>
      <w:r>
        <w:rPr>
          <w:b/>
          <w:bCs/>
        </w:rPr>
        <w:t xml:space="preserve">documento de decisión</w:t>
      </w:r>
      <w:r>
        <w:t xml:space="preserve"> </w:t>
      </w:r>
      <w:r>
        <w:t xml:space="preserve">con su contexto, las alternativas que se consideraron, la justificación y quiénes la aprobaron. Cuando dos documentos se contradicen, manda el relevamiento, después las decisiones aprobadas y después el resto; la contradicción se resuelve con una decisión, no eligiendo una versión en silencio. A la fecha del PC1 hay trece decisiones registradas, entre ellas el stack tecnológico, el modelo económico, los roles y la infraestructura.</w:t>
      </w:r>
    </w:p>
    <w:bookmarkEnd w:id="56"/>
    <w:bookmarkStart w:id="57" w:name="reuniones-de-sincronización"/>
    <w:p>
      <w:pPr>
        <w:pStyle w:val="Heading3"/>
      </w:pPr>
      <w:r>
        <w:t xml:space="preserve">Reuniones de sincronización</w:t>
      </w:r>
    </w:p>
    <w:p>
      <w:pPr>
        <w:pStyle w:val="FirstParagraph"/>
      </w:pPr>
      <w:r>
        <w:t xml:space="preserve">El equipo se reúne en una</w:t>
      </w:r>
      <w:r>
        <w:t xml:space="preserve"> </w:t>
      </w:r>
      <w:r>
        <w:rPr>
          <w:b/>
          <w:bCs/>
        </w:rPr>
        <w:t xml:space="preserve">sync semanal</w:t>
      </w:r>
      <w:r>
        <w:t xml:space="preserve"> </w:t>
      </w:r>
      <w:r>
        <w:t xml:space="preserve">para revisar el avance, resolver las decisiones abiertas y aprobar documentos. Para decisiones grandes se usa una</w:t>
      </w:r>
      <w:r>
        <w:t xml:space="preserve"> </w:t>
      </w:r>
      <w:r>
        <w:rPr>
          <w:b/>
          <w:bCs/>
        </w:rPr>
        <w:t xml:space="preserve">entrevista de diseño</w:t>
      </w:r>
      <w:r>
        <w:t xml:space="preserve">: se recorren las preguntas abiertas de a una, cada una con una recomendación, y el equipo decide. Para el cierre del PC1 el ritmo pasó a ser diario.</w:t>
      </w:r>
    </w:p>
    <w:bookmarkEnd w:id="57"/>
    <w:bookmarkStart w:id="58" w:name="roles-y-reparto-del-trabajo"/>
    <w:p>
      <w:pPr>
        <w:pStyle w:val="Heading3"/>
      </w:pPr>
      <w:r>
        <w:t xml:space="preserve">Roles y reparto del trabajo</w:t>
      </w:r>
    </w:p>
    <w:p>
      <w:pPr>
        <w:pStyle w:val="FirstParagraph"/>
      </w:pPr>
      <w:r>
        <w:t xml:space="preserve">Los tres integrantes comparten los roles de coordinación del repositorio, cuidado del modelo de dominio y registro de decisiones. El trabajo se reparte por</w:t>
      </w:r>
      <w:r>
        <w:t xml:space="preserve"> </w:t>
      </w:r>
      <w:r>
        <w:rPr>
          <w:b/>
          <w:bCs/>
        </w:rPr>
        <w:t xml:space="preserve">frentes</w:t>
      </w:r>
      <w:r>
        <w:t xml:space="preserve">: cada persona es responsable de una parte y la presenta, y el resto la revisa.</w:t>
      </w:r>
    </w:p>
    <w:bookmarkEnd w:id="58"/>
    <w:bookmarkStart w:id="59" w:name="git-y-trazabilidad"/>
    <w:p>
      <w:pPr>
        <w:pStyle w:val="Heading3"/>
      </w:pPr>
      <w:r>
        <w:t xml:space="preserve">Git y trazabilidad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Documentación (PC1):</w:t>
      </w:r>
      <w:r>
        <w:t xml:space="preserve"> </w:t>
      </w:r>
      <w:r>
        <w:t xml:space="preserve">commits pequeños y descriptivos sobre la rama principal, uno por tarea.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Código (desde PC2):</w:t>
      </w:r>
      <w:r>
        <w:t xml:space="preserve"> </w:t>
      </w:r>
      <w:r>
        <w:t xml:space="preserve">una rama por funcionalidad y un</w:t>
      </w:r>
      <w:r>
        <w:t xml:space="preserve"> </w:t>
      </w:r>
      <w:r>
        <w:rPr>
          <w:b/>
          <w:bCs/>
        </w:rPr>
        <w:t xml:space="preserve">pull request</w:t>
      </w:r>
      <w:r>
        <w:t xml:space="preserve"> </w:t>
      </w:r>
      <w:r>
        <w:t xml:space="preserve">revisado antes de integrar. Cada commit cita la regla o la decisión que implementa.</w:t>
      </w:r>
    </w:p>
    <w:p>
      <w:pPr>
        <w:pStyle w:val="Compact"/>
        <w:numPr>
          <w:ilvl w:val="0"/>
          <w:numId w:val="1002"/>
        </w:numPr>
      </w:pPr>
      <w:r>
        <w:t xml:space="preserve">Cada integrante trabaja con</w:t>
      </w:r>
      <w:r>
        <w:t xml:space="preserve"> </w:t>
      </w:r>
      <w:r>
        <w:rPr>
          <w:b/>
          <w:bCs/>
        </w:rPr>
        <w:t xml:space="preserve">su propia identidad de Git</w:t>
      </w:r>
      <w:r>
        <w:t xml:space="preserve">, así queda claro quién hizo cada cambio.</w:t>
      </w:r>
    </w:p>
    <w:p>
      <w:pPr>
        <w:pStyle w:val="Compact"/>
        <w:numPr>
          <w:ilvl w:val="0"/>
          <w:numId w:val="1002"/>
        </w:numPr>
      </w:pPr>
      <w:r>
        <w:t xml:space="preserve">Al empezar, cada sesión trae el trabajo del resto del equipo; al terminar, deja registrado qué hizo, qué verificó y qué quedó pendiente, y sube sus cambios.</w:t>
      </w:r>
    </w:p>
    <w:bookmarkEnd w:id="59"/>
    <w:bookmarkStart w:id="60" w:name="asistencia-de-ia"/>
    <w:p>
      <w:pPr>
        <w:pStyle w:val="Heading3"/>
      </w:pPr>
      <w:r>
        <w:t xml:space="preserve">Asistencia de IA</w:t>
      </w:r>
    </w:p>
    <w:p>
      <w:pPr>
        <w:pStyle w:val="FirstParagraph"/>
      </w:pPr>
      <w:r>
        <w:t xml:space="preserve">El equipo trabaja con un agente de IA que lee el repositorio al empezar cada sesión y deja por escrito lo que hace. El repositorio funciona como memoria compartida: lo que no queda escrito ahí no pasa de una sesión a otra. El detalle de cada agente, con sus herramientas y límites, está en el documento de inteligencia artificial.</w:t>
      </w:r>
    </w:p>
    <w:bookmarkEnd w:id="60"/>
    <w:bookmarkEnd w:id="61"/>
    <w:bookmarkStart w:id="65" w:name="control-de-calidad-a-partir-del-pc2"/>
    <w:p>
      <w:pPr>
        <w:pStyle w:val="Heading2"/>
      </w:pPr>
      <w:r>
        <w:t xml:space="preserve">Control de calidad (a partir del PC2)</w:t>
      </w:r>
    </w:p>
    <w:p>
      <w:pPr>
        <w:pStyle w:val="FirstParagraph"/>
      </w:pPr>
      <w:r>
        <w:t xml:space="preserve">Cada cambio en el código pasa por un</w:t>
      </w:r>
      <w:r>
        <w:t xml:space="preserve"> </w:t>
      </w:r>
      <w:r>
        <w:rPr>
          <w:b/>
          <w:bCs/>
        </w:rPr>
        <w:t xml:space="preserve">pipeline automático</w:t>
      </w:r>
      <w:r>
        <w:t xml:space="preserve"> </w:t>
      </w:r>
      <w:r>
        <w:t xml:space="preserve">antes de integrarse:</w:t>
      </w:r>
    </w:p>
    <w:p>
      <w:pPr>
        <w:pStyle w:val="CaptionedFigure"/>
      </w:pPr>
      <w:r>
        <w:drawing>
          <wp:inline>
            <wp:extent cx="5753100" cy="594389"/>
            <wp:effectExtent b="0" l="0" r="0" t="0"/>
            <wp:docPr descr="Figura 2. Pipeline de calidad de cada cambio en el código." title="" id="63" name="Picture"/>
            <a:graphic>
              <a:graphicData uri="http://schemas.openxmlformats.org/drawingml/2006/picture">
                <pic:pic>
                  <pic:nvPicPr>
                    <pic:cNvPr descr="DES-pipeline-calida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94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Pipeline de calidad de cada cambio en el código.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Estilo y tipos</w:t>
            </w:r>
          </w:p>
        </w:tc>
        <w:tc>
          <w:tcPr/>
          <w:p>
            <w:pPr>
              <w:pStyle w:val="Compact"/>
            </w:pPr>
            <w:r>
              <w:t xml:space="preserve">Pruebas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(Python)</w:t>
            </w:r>
          </w:p>
        </w:tc>
        <w:tc>
          <w:tcPr/>
          <w:p>
            <w:pPr>
              <w:pStyle w:val="Compact"/>
            </w:pPr>
            <w:r>
              <w:t xml:space="preserve">ruff y mypy</w:t>
            </w:r>
          </w:p>
        </w:tc>
        <w:tc>
          <w:tcPr/>
          <w:p>
            <w:pPr>
              <w:pStyle w:val="Compact"/>
            </w:pPr>
            <w:r>
              <w:t xml:space="preserve">pytest, con 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(React)</w:t>
            </w:r>
          </w:p>
        </w:tc>
        <w:tc>
          <w:tcPr/>
          <w:p>
            <w:pPr>
              <w:pStyle w:val="Compact"/>
            </w:pPr>
            <w:r>
              <w:t xml:space="preserve">ESLint, Prettier y TypeScript</w:t>
            </w:r>
          </w:p>
        </w:tc>
        <w:tc>
          <w:tcPr/>
          <w:p>
            <w:pPr>
              <w:pStyle w:val="Compact"/>
            </w:pPr>
            <w:r>
              <w:t xml:space="preserve">Vitest, React Testing Library y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(React Native)</w:t>
            </w:r>
          </w:p>
        </w:tc>
        <w:tc>
          <w:tcPr/>
          <w:p>
            <w:pPr>
              <w:pStyle w:val="Compact"/>
            </w:pPr>
            <w:r>
              <w:t xml:space="preserve">ESLint, Prettier y TypeScript</w:t>
            </w:r>
          </w:p>
        </w:tc>
        <w:tc>
          <w:tcPr/>
          <w:p>
            <w:pPr>
              <w:pStyle w:val="Compact"/>
            </w:pPr>
            <w:r>
              <w:t xml:space="preserve">Jest, React Native Testing Library y Maestro</w:t>
            </w:r>
          </w:p>
        </w:tc>
      </w:tr>
    </w:tbl>
    <w:p>
      <w:pPr>
        <w:pStyle w:val="BodyText"/>
      </w:pPr>
      <w:r>
        <w:t xml:space="preserve">La seguridad se revisa con pip-audit, pnpm audit, bandit, Semgrep (reglas OWASP) y gitleaks, y Dependabot propone las actualizaciones de dependencias. Estas herramientas forman parte del stack tecnológico elegido para el proyecto.</w:t>
      </w:r>
    </w:p>
    <w:bookmarkEnd w:id="65"/>
    <w:bookmarkStart w:id="204" w:name="interfaces-gráficas"/>
    <w:p>
      <w:pPr>
        <w:pStyle w:val="Heading2"/>
      </w:pPr>
      <w:r>
        <w:t xml:space="preserve">Interfaces gráficas</w:t>
      </w:r>
    </w:p>
    <w:p>
      <w:pPr>
        <w:pStyle w:val="FirstParagraph"/>
      </w:pPr>
      <w:r>
        <w:t xml:space="preserve">Las interfaces se diseñaron en un</w:t>
      </w:r>
      <w:r>
        <w:t xml:space="preserve"> </w:t>
      </w:r>
      <w:r>
        <w:rPr>
          <w:b/>
          <w:bCs/>
        </w:rPr>
        <w:t xml:space="preserve">prototipo navegable en Figma</w:t>
      </w:r>
      <w:r>
        <w:t xml:space="preserve">, construido sobre el modelo ya aprobado: usan el lenguaje del negocio (cliente, oportunidad, cotización, viaje, pago, alerta), los estados reales de cada entidad y datos de ejemplo ficticios pero coherentes entre pantallas.</w:t>
      </w:r>
    </w:p>
    <w:p>
      <w:pPr>
        <w:pStyle w:val="BodyText"/>
      </w:pPr>
      <w:r>
        <w:t xml:space="preserve">El prototipo es</w:t>
      </w:r>
      <w:r>
        <w:t xml:space="preserve"> </w:t>
      </w:r>
      <w:r>
        <w:rPr>
          <w:b/>
          <w:bCs/>
        </w:rPr>
        <w:t xml:space="preserve">navegable</w:t>
      </w:r>
      <w:r>
        <w:t xml:space="preserve">: tiene un punto de inicio por perfil (empleado en escritorio, mobile, dueña, administrador y vendedor freelance) y se recorre como si fuera el sistema. Las pantallas se muestran a continuación, cada una con el caso de uso que realiza.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3. Inicio de sesión — CU-24." title="" id="67" name="Picture"/>
            <a:graphic>
              <a:graphicData uri="http://schemas.openxmlformats.org/drawingml/2006/picture">
                <pic:pic>
                  <pic:nvPicPr>
                    <pic:cNvPr descr="01-cu24-inicio-ses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Inicio de sesión — CU-24.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. Inicio de sesión · credenciales inválidas — CU-24 A1." title="" id="70" name="Picture"/>
            <a:graphic>
              <a:graphicData uri="http://schemas.openxmlformats.org/drawingml/2006/picture">
                <pic:pic>
                  <pic:nvPicPr>
                    <pic:cNvPr descr="02-cu24-inicio-sesion-erro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Inicio de sesión · credenciales inválidas — CU-24 A1.</w:t>
      </w:r>
    </w:p>
    <w:p>
      <w:pPr>
        <w:pStyle w:val="CaptionedFigure"/>
      </w:pPr>
      <w:r>
        <w:drawing>
          <wp:inline>
            <wp:extent cx="5753100" cy="4746307"/>
            <wp:effectExtent b="0" l="0" r="0" t="0"/>
            <wp:docPr descr="Figura 5. Agenda de alertas del día — CU-14." title="" id="73" name="Picture"/>
            <a:graphic>
              <a:graphicData uri="http://schemas.openxmlformats.org/drawingml/2006/picture">
                <pic:pic>
                  <pic:nvPicPr>
                    <pic:cNvPr descr="03-cu14-agenda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4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Agenda de alertas del día — CU-14.</w:t>
      </w:r>
    </w:p>
    <w:p>
      <w:pPr>
        <w:pStyle w:val="CaptionedFigure"/>
      </w:pPr>
      <w:r>
        <w:drawing>
          <wp:inline>
            <wp:extent cx="5753100" cy="3909565"/>
            <wp:effectExtent b="0" l="0" r="0" t="0"/>
            <wp:docPr descr="Figura 6. Agenda vacía — CU-14 A3." title="" id="76" name="Picture"/>
            <a:graphic>
              <a:graphicData uri="http://schemas.openxmlformats.org/drawingml/2006/picture">
                <pic:pic>
                  <pic:nvPicPr>
                    <pic:cNvPr descr="04-cu14-agenda-vacia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0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 Agenda vacía — CU-14 A3.</w:t>
      </w:r>
    </w:p>
    <w:p>
      <w:pPr>
        <w:pStyle w:val="CaptionedFigure"/>
      </w:pPr>
      <w:r>
        <w:drawing>
          <wp:inline>
            <wp:extent cx="5753100" cy="1895452"/>
            <wp:effectExtent b="0" l="0" r="0" t="0"/>
            <wp:docPr descr="Figura 7. Aviso tras resolver, con «Deshacer» — CU-14." title="" id="79" name="Picture"/>
            <a:graphic>
              <a:graphicData uri="http://schemas.openxmlformats.org/drawingml/2006/picture">
                <pic:pic>
                  <pic:nvPicPr>
                    <pic:cNvPr descr="05-cu14-aviso-deshace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95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7. Aviso tras resolver, con «Deshacer» — CU-14.</w:t>
      </w:r>
    </w:p>
    <w:p>
      <w:pPr>
        <w:pStyle w:val="CaptionedFigure"/>
      </w:pPr>
      <w:r>
        <w:drawing>
          <wp:inline>
            <wp:extent cx="5753100" cy="4746307"/>
            <wp:effectExtent b="0" l="0" r="0" t="0"/>
            <wp:docPr descr="Figura 8. Nuevo recordatorio — CU-28." title="" id="82" name="Picture"/>
            <a:graphic>
              <a:graphicData uri="http://schemas.openxmlformats.org/drawingml/2006/picture">
                <pic:pic>
                  <pic:nvPicPr>
                    <pic:cNvPr descr="06-cu28-recordatorio-manual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4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8. Nuevo recordatorio — CU-28.</w:t>
      </w:r>
    </w:p>
    <w:p>
      <w:pPr>
        <w:pStyle w:val="CaptionedFigure"/>
      </w:pPr>
      <w:r>
        <w:drawing>
          <wp:inline>
            <wp:extent cx="5753100" cy="4714345"/>
            <wp:effectExtent b="0" l="0" r="0" t="0"/>
            <wp:docPr descr="Figura 9. Sugerencia de recontacto — CU-30." title="" id="85" name="Picture"/>
            <a:graphic>
              <a:graphicData uri="http://schemas.openxmlformats.org/drawingml/2006/picture">
                <pic:pic>
                  <pic:nvPicPr>
                    <pic:cNvPr descr="07-cu30-recontact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1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9. Sugerencia de recontacto — CU-30.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0. Listado de clientes — CU-03 paso 1." title="" id="88" name="Picture"/>
            <a:graphic>
              <a:graphicData uri="http://schemas.openxmlformats.org/drawingml/2006/picture">
                <pic:pic>
                  <pic:nvPicPr>
                    <pic:cNvPr descr="08-clientes-listado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 Listado de clientes — CU-03 paso 1.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1. Nuevo cliente · posible duplicado — CU-02 A1." title="" id="91" name="Picture"/>
            <a:graphic>
              <a:graphicData uri="http://schemas.openxmlformats.org/drawingml/2006/picture">
                <pic:pic>
                  <pic:nvPicPr>
                    <pic:cNvPr descr="09-cu02-registrar-client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 Nuevo cliente · posible duplicado — CU-02 A1.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2. Ficha del cliente — CU-03." title="" id="94" name="Picture"/>
            <a:graphic>
              <a:graphicData uri="http://schemas.openxmlformats.org/drawingml/2006/picture">
                <pic:pic>
                  <pic:nvPicPr>
                    <pic:cNvPr descr="10-cu03-ficha-client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12. Ficha del cliente — CU-03.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3. Nueva consulta — CU-04." title="" id="97" name="Picture"/>
            <a:graphic>
              <a:graphicData uri="http://schemas.openxmlformats.org/drawingml/2006/picture">
                <pic:pic>
                  <pic:nvPicPr>
                    <pic:cNvPr descr="11-cu04-registrar-consulta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13. Nueva consulta — CU-04.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4. Embudo de oportunidades — CU-05." title="" id="100" name="Picture"/>
            <a:graphic>
              <a:graphicData uri="http://schemas.openxmlformats.org/drawingml/2006/picture">
                <pic:pic>
                  <pic:nvPicPr>
                    <pic:cNvPr descr="12-cu05-embudo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14. Embudo de oportunidades — CU-05.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5. Emitir cotización — CU-06." title="" id="103" name="Picture"/>
            <a:graphic>
              <a:graphicData uri="http://schemas.openxmlformats.org/drawingml/2006/picture">
                <pic:pic>
                  <pic:nvPicPr>
                    <pic:cNvPr descr="13-cu06-emitir-cotizac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15. Emitir cotización — CU-06.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6. Listado de viajes — CU-08." title="" id="106" name="Picture"/>
            <a:graphic>
              <a:graphicData uri="http://schemas.openxmlformats.org/drawingml/2006/picture">
                <pic:pic>
                  <pic:nvPicPr>
                    <pic:cNvPr descr="14-viajes-listado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16. Listado de viajes — CU-08.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7. Ficha del viaje — CU-07 · CU-10 · CU-11." title="" id="109" name="Picture"/>
            <a:graphic>
              <a:graphicData uri="http://schemas.openxmlformats.org/drawingml/2006/picture">
                <pic:pic>
                  <pic:nvPicPr>
                    <pic:cNvPr descr="15-cu07-10-11-ficha-viaj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17. Ficha del viaje — CU-07 · CU-10 · CU-11.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8. Confirmar el cambio a «en curso» — CU-08 A1." title="" id="112" name="Picture"/>
            <a:graphic>
              <a:graphicData uri="http://schemas.openxmlformats.org/drawingml/2006/picture">
                <pic:pic>
                  <pic:nvPicPr>
                    <pic:cNvPr descr="16-cu08-estado-viaj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18. Confirmar el cambio a «en curso» — CU-08 A1.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19. Itinerario de hoteles — CU-09." title="" id="115" name="Picture"/>
            <a:graphic>
              <a:graphicData uri="http://schemas.openxmlformats.org/drawingml/2006/picture">
                <pic:pic>
                  <pic:nvPicPr>
                    <pic:cNvPr descr="17-cu09-itinerario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19. Itinerario de hoteles — CU-09.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20. Registrar cobro — CU-12." title="" id="118" name="Picture"/>
            <a:graphic>
              <a:graphicData uri="http://schemas.openxmlformats.org/drawingml/2006/picture">
                <pic:pic>
                  <pic:nvPicPr>
                    <pic:cNvPr descr="18-cu12-registrar-cobro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20. Registrar cobro — CU-12.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21. Cancelar viaje — CU-27." title="" id="121" name="Picture"/>
            <a:graphic>
              <a:graphicData uri="http://schemas.openxmlformats.org/drawingml/2006/picture">
                <pic:pic>
                  <pic:nvPicPr>
                    <pic:cNvPr descr="19-cu27-cancelar-viaj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21. Cancelar viaje — CU-27.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22. Calendario — CU-23." title="" id="124" name="Picture"/>
            <a:graphic>
              <a:graphicData uri="http://schemas.openxmlformats.org/drawingml/2006/picture">
                <pic:pic>
                  <pic:nvPicPr>
                    <pic:cNvPr descr="20-cu23-calendario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22. Calendario — CU-23.</w:t>
      </w:r>
    </w:p>
    <w:p>
      <w:pPr>
        <w:pStyle w:val="CaptionedFigure"/>
      </w:pPr>
      <w:r>
        <w:drawing>
          <wp:inline>
            <wp:extent cx="5753100" cy="4218940"/>
            <wp:effectExtent b="0" l="0" r="0" t="0"/>
            <wp:docPr descr="Figura 23. Catálogo de hoteles — CU-18." title="" id="127" name="Picture"/>
            <a:graphic>
              <a:graphicData uri="http://schemas.openxmlformats.org/drawingml/2006/picture">
                <pic:pic>
                  <pic:nvPicPr>
                    <pic:cNvPr descr="21-cu18-catalogo-hotele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1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23. Catálogo de hoteles — CU-18.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24. Catálogo sin resultados — CU-18 A1." title="" id="130" name="Picture"/>
            <a:graphic>
              <a:graphicData uri="http://schemas.openxmlformats.org/drawingml/2006/picture">
                <pic:pic>
                  <pic:nvPicPr>
                    <pic:cNvPr descr="22-cu18-sin-resultado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24. Catálogo sin resultados — CU-18 A1.</w:t>
      </w:r>
    </w:p>
    <w:p>
      <w:pPr>
        <w:pStyle w:val="CaptionedFigure"/>
      </w:pPr>
      <w:r>
        <w:drawing>
          <wp:inline>
            <wp:extent cx="5753100" cy="4218940"/>
            <wp:effectExtent b="0" l="0" r="0" t="0"/>
            <wp:docPr descr="Figura 25. Nuevo hotel — CU-16." title="" id="133" name="Picture"/>
            <a:graphic>
              <a:graphicData uri="http://schemas.openxmlformats.org/drawingml/2006/picture">
                <pic:pic>
                  <pic:nvPicPr>
                    <pic:cNvPr descr="23-cu16-nuevo-hotel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1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25. Nuevo hotel — CU-16.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26. Detalle de hotel y moderación de reseñas (admin) — CU-18 paso 3 · CU-29." title="" id="136" name="Picture"/>
            <a:graphic>
              <a:graphicData uri="http://schemas.openxmlformats.org/drawingml/2006/picture">
                <pic:pic>
                  <pic:nvPicPr>
                    <pic:cNvPr descr="24-hotel-detalle-cu2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26. Detalle de hotel y moderación de reseñas (admin) — CU-18 paso 3 · CU-29.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27. Nueva reseña — CU-17." title="" id="139" name="Picture"/>
            <a:graphic>
              <a:graphicData uri="http://schemas.openxmlformats.org/drawingml/2006/picture">
                <pic:pic>
                  <pic:nvPicPr>
                    <pic:cNvPr descr="25-cu17-registrar-resena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27. Nueva reseña — CU-17.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28. Contenido en redes — CU-19." title="" id="142" name="Picture"/>
            <a:graphic>
              <a:graphicData uri="http://schemas.openxmlformats.org/drawingml/2006/picture">
                <pic:pic>
                  <pic:nvPicPr>
                    <pic:cNvPr descr="26-cu19-contenido-rede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28. Contenido en redes — CU-19.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29. Propuesta con IA — CU-20." title="" id="145" name="Picture"/>
            <a:graphic>
              <a:graphicData uri="http://schemas.openxmlformats.org/drawingml/2006/picture">
                <pic:pic>
                  <pic:nvPicPr>
                    <pic:cNvPr descr="27-cu20-propuesta-ia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29. Propuesta con IA — CU-20.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30. Dashboard (dueña) — CU-21." title="" id="148" name="Picture"/>
            <a:graphic>
              <a:graphicData uri="http://schemas.openxmlformats.org/drawingml/2006/picture">
                <pic:pic>
                  <pic:nvPicPr>
                    <pic:cNvPr descr="28-cu21-dashboard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30. Dashboard (dueña) — CU-21.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31. Reportes (dueña) — CU-22." title="" id="151" name="Picture"/>
            <a:graphic>
              <a:graphicData uri="http://schemas.openxmlformats.org/drawingml/2006/picture">
                <pic:pic>
                  <pic:nvPicPr>
                    <pic:cNvPr descr="29-cu22-reportes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31. Reportes (dueña) — CU-22.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32. Parámetros y comisiones (admin) — CU-13." title="" id="154" name="Picture"/>
            <a:graphic>
              <a:graphicData uri="http://schemas.openxmlformats.org/drawingml/2006/picture">
                <pic:pic>
                  <pic:nvPicPr>
                    <pic:cNvPr descr="30-config-parametros-cu13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32. Parámetros y comisiones (admin) — CU-13.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33. Usuarios y roles (admin) — CU-25." title="" id="157" name="Picture"/>
            <a:graphic>
              <a:graphicData uri="http://schemas.openxmlformats.org/drawingml/2006/picture">
                <pic:pic>
                  <pic:nvPicPr>
                    <pic:cNvPr descr="31-cu25-usuarios-roles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33. Usuarios y roles (admin) — CU-25.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34. Destinos y requisitos (admin) — CU-26 · CU-15." title="" id="160" name="Picture"/>
            <a:graphic>
              <a:graphicData uri="http://schemas.openxmlformats.org/drawingml/2006/picture">
                <pic:pic>
                  <pic:nvPicPr>
                    <pic:cNvPr descr="32-cu26-cu15-destinos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34. Destinos y requisitos (admin) — CU-26 · CU-15.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35. Operadores (admin) — CU-31." title="" id="163" name="Picture"/>
            <a:graphic>
              <a:graphicData uri="http://schemas.openxmlformats.org/drawingml/2006/picture">
                <pic:pic>
                  <pic:nvPicPr>
                    <pic:cNvPr descr="33-cu31-operadores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35. Operadores (admin) — CU-31.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36. Freelance · embudo (solo lo suyo) — CU-05." title="" id="166" name="Picture"/>
            <a:graphic>
              <a:graphicData uri="http://schemas.openxmlformats.org/drawingml/2006/picture">
                <pic:pic>
                  <pic:nvPicPr>
                    <pic:cNvPr descr="34-freelance-embudo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36. Freelance · embudo (solo lo suyo) — CU-05.</w:t>
      </w:r>
    </w:p>
    <w:p>
      <w:pPr>
        <w:pStyle w:val="CaptionedFigure"/>
      </w:pPr>
      <w:r>
        <w:drawing>
          <wp:inline>
            <wp:extent cx="2013585" cy="4357604"/>
            <wp:effectExtent b="0" l="0" r="0" t="0"/>
            <wp:docPr descr="Figura 37. Mobile · agenda — CU-14." title="" id="169" name="Picture"/>
            <a:graphic>
              <a:graphicData uri="http://schemas.openxmlformats.org/drawingml/2006/picture">
                <pic:pic>
                  <pic:nvPicPr>
                    <pic:cNvPr descr="35-mobile-agenda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435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37. Mobile · agenda — CU-14.</w:t>
      </w:r>
    </w:p>
    <w:p>
      <w:pPr>
        <w:pStyle w:val="CaptionedFigure"/>
      </w:pPr>
      <w:r>
        <w:drawing>
          <wp:inline>
            <wp:extent cx="2013585" cy="4357604"/>
            <wp:effectExtent b="0" l="0" r="0" t="0"/>
            <wp:docPr descr="Figura 38. Mobile · ficha del cliente — CU-03." title="" id="172" name="Picture"/>
            <a:graphic>
              <a:graphicData uri="http://schemas.openxmlformats.org/drawingml/2006/picture">
                <pic:pic>
                  <pic:nvPicPr>
                    <pic:cNvPr descr="36-mobile-ficha-cliente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435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38. Mobile · ficha del cliente — CU-03.</w:t>
      </w:r>
    </w:p>
    <w:p>
      <w:pPr>
        <w:pStyle w:val="CaptionedFigure"/>
      </w:pPr>
      <w:r>
        <w:drawing>
          <wp:inline>
            <wp:extent cx="5753100" cy="4746307"/>
            <wp:effectExtent b="0" l="0" r="0" t="0"/>
            <wp:docPr descr="Figura 39. Freelance · agenda del día — CU-14." title="" id="175" name="Picture"/>
            <a:graphic>
              <a:graphicData uri="http://schemas.openxmlformats.org/drawingml/2006/picture">
                <pic:pic>
                  <pic:nvPicPr>
                    <pic:cNvPr descr="37-freelance-agenda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4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39. Freelance · agenda del día — CU-14.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0. Freelance · calendario — CU-23." title="" id="178" name="Picture"/>
            <a:graphic>
              <a:graphicData uri="http://schemas.openxmlformats.org/drawingml/2006/picture">
                <pic:pic>
                  <pic:nvPicPr>
                    <pic:cNvPr descr="38-freelance-calendario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40. Freelance · calendario — CU-23.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1. Freelance · clientes — CU-03 paso 1." title="" id="181" name="Picture"/>
            <a:graphic>
              <a:graphicData uri="http://schemas.openxmlformats.org/drawingml/2006/picture">
                <pic:pic>
                  <pic:nvPicPr>
                    <pic:cNvPr descr="39-freelance-clientes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41. Freelance · clientes — CU-03 paso 1.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2. Freelance · ficha del cliente — CU-03." title="" id="184" name="Picture"/>
            <a:graphic>
              <a:graphicData uri="http://schemas.openxmlformats.org/drawingml/2006/picture">
                <pic:pic>
                  <pic:nvPicPr>
                    <pic:cNvPr descr="40-freelance-ficha-cliente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42. Freelance · ficha del cliente — CU-03.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3. Freelance · emitir cotización — CU-06." title="" id="187" name="Picture"/>
            <a:graphic>
              <a:graphicData uri="http://schemas.openxmlformats.org/drawingml/2006/picture">
                <pic:pic>
                  <pic:nvPicPr>
                    <pic:cNvPr descr="41-freelance-cotizacion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43. Freelance · emitir cotización — CU-06.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4. Freelance · viajes — CU-08." title="" id="190" name="Picture"/>
            <a:graphic>
              <a:graphicData uri="http://schemas.openxmlformats.org/drawingml/2006/picture">
                <pic:pic>
                  <pic:nvPicPr>
                    <pic:cNvPr descr="42-freelance-viajes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44. Freelance · viajes — CU-08.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5. Freelance · ficha del viaje (ve su comisión) — CU-07 · CU-10 · CU-11." title="" id="193" name="Picture"/>
            <a:graphic>
              <a:graphicData uri="http://schemas.openxmlformats.org/drawingml/2006/picture">
                <pic:pic>
                  <pic:nvPicPr>
                    <pic:cNvPr descr="43-freelance-ficha-viaj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45. Freelance · ficha del viaje (ve su comisión) — CU-07 · CU-10 · CU-11.</w:t>
      </w:r>
    </w:p>
    <w:p>
      <w:pPr>
        <w:pStyle w:val="CaptionedFigure"/>
      </w:pPr>
      <w:r>
        <w:drawing>
          <wp:inline>
            <wp:extent cx="5753100" cy="4730326"/>
            <wp:effectExtent b="0" l="0" r="0" t="0"/>
            <wp:docPr descr="Figura 46. Freelance · catálogo de hoteles (solo consulta) — CU-18." title="" id="196" name="Picture"/>
            <a:graphic>
              <a:graphicData uri="http://schemas.openxmlformats.org/drawingml/2006/picture">
                <pic:pic>
                  <pic:nvPicPr>
                    <pic:cNvPr descr="44-freelance-catalogo-hoteles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30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46. Freelance · catálogo de hoteles (solo consulta) — CU-18.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7. Freelance · detalle de hotel (solo lectura) — CU-18 paso 3." title="" id="199" name="Picture"/>
            <a:graphic>
              <a:graphicData uri="http://schemas.openxmlformats.org/drawingml/2006/picture">
                <pic:pic>
                  <pic:nvPicPr>
                    <pic:cNvPr descr="45-freelance-detalle-hotel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47. Freelance · detalle de hotel (solo lectura) — CU-18 paso 3.</w:t>
      </w:r>
    </w:p>
    <w:p>
      <w:pPr>
        <w:pStyle w:val="CaptionedFigure"/>
      </w:pPr>
      <w:r>
        <w:drawing>
          <wp:inline>
            <wp:extent cx="5753100" cy="4091093"/>
            <wp:effectExtent b="0" l="0" r="0" t="0"/>
            <wp:docPr descr="Figura 48. Freelance · dashboard (sus ventas y comisiones) — CU-21 A1." title="" id="202" name="Picture"/>
            <a:graphic>
              <a:graphicData uri="http://schemas.openxmlformats.org/drawingml/2006/picture">
                <pic:pic>
                  <pic:nvPicPr>
                    <pic:cNvPr descr="46-freelance-dashboard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48. Freelance · dashboard (sus ventas y comisiones) — CU-21 A1.</w:t>
      </w:r>
    </w:p>
    <w:bookmarkEnd w:id="204"/>
    <w:bookmarkEnd w:id="205"/>
    <w:sectPr>
      <w:footerReference r:id="rId40" w:type="default"/>
      <w:footnotePr>
        <w:numRestart w:val="eachSect"/>
      </w:footnotePr>
      <w:pgSz w:h="16838" w:w="11906"/>
      <w:pgMar w:bottom="1418" w:footer="708" w:gutter="0" w:header="708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ambria" w:hAnsi="Cambria"/>
        <w:color w:val="808080"/>
        <w:sz w:val="18"/>
        <w:szCs w:val="18"/>
      </w:rPr>
      <w:fldChar w:fldCharType="begin"/>
    </w:r>
    <w:r>
      <w:rPr>
        <w:rFonts w:ascii="Cambria" w:hAnsi="Cambria"/>
        <w:color w:val="808080"/>
        <w:sz w:val="18"/>
        <w:szCs w:val="18"/>
      </w:rPr>
      <w:instrText xml:space="preserve"> PAGE </w:instrText>
    </w:r>
    <w:r>
      <w:rPr>
        <w:rFonts w:ascii="Cambria" w:hAnsi="Cambria"/>
        <w:color w:val="808080"/>
        <w:sz w:val="18"/>
        <w:szCs w:val="18"/>
      </w:rPr>
      <w:fldChar w:fldCharType="separate"/>
    </w:r>
    <w:r>
      <w:rPr>
        <w:rFonts w:ascii="Cambria" w:hAnsi="Cambria"/>
        <w:color w:val="808080"/>
        <w:sz w:val="18"/>
        <w:szCs w:val="18"/>
      </w:rPr>
      <w:t>1</w:t>
    </w:r>
    <w:r>
      <w:rPr>
        <w:rFonts w:ascii="Cambria" w:hAnsi="Cambria"/>
        <w:color w:val="808080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cs="Cambria" w:hAnsi="Cambria"/>
        <w:sz w:val="22"/>
        <w:szCs w:val="22"/>
        <w:lang w:bidi="ar-SA" w:eastAsia="es-AR" w:val="es-AR"/>
      </w:rPr>
    </w:rPrDefault>
    <w:pPrDefault>
      <w:pPr>
        <w:spacing w:after="120" w:line="264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0" w:line="264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80" w:before="240" w:line="240" w:lineRule="auto"/>
      <w:contextualSpacing/>
      <w:jc w:val="center"/>
    </w:pPr>
    <w:rPr>
      <w:rFonts w:ascii="Cambria" w:cs="Cambria" w:hAnsi="Cambria"/>
      <w:b/>
      <w:color w:val="1E3A5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pPr>
      <w:spacing w:after="160"/>
      <w:contextualSpacing/>
      <w:jc w:val="center"/>
    </w:pPr>
    <w:rPr>
      <w:rFonts w:ascii="Cambria" w:cs="Cambria" w:hAnsi="Cambria"/>
      <w:i/>
      <w:color w:val="5B6B7B"/>
      <w:sz w:val="30"/>
      <w:szCs w:val="3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keepNext/>
      <w:spacing w:after="40"/>
      <w:contextualSpacing/>
      <w:jc w:val="center"/>
    </w:pPr>
    <w:rPr>
      <w:rFonts w:ascii="Cambria" w:cs="Cambria" w:hAnsi="Cambria"/>
      <w:color w:val="333333"/>
      <w:sz w:val="26"/>
      <w:szCs w:val="26"/>
    </w:rPr>
  </w:style>
  <w:style w:styleId="Date" w:type="paragraph">
    <w:name w:val="Date"/>
    <w:basedOn w:val="Normal"/>
    <w:next w:val="BodyText"/>
    <w:qFormat/>
    <w:pPr>
      <w:spacing w:before="120"/>
      <w:jc w:val="center"/>
    </w:pPr>
    <w:rPr>
      <w:rFonts w:ascii="Cambria" w:cs="Cambria" w:hAnsi="Cambria"/>
      <w:color w:val="5B6B7B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ageBreakBefore/>
      <w:pBdr>
        <w:bottom w:color="1E3A5F" w:space="4" w:sz="8" w:val="single"/>
      </w:pBdr>
      <w:spacing w:after="220" w:before="0"/>
      <w:jc w:val="left"/>
      <w:outlineLvl w:val="0"/>
    </w:pPr>
    <w:rPr>
      <w:rFonts w:ascii="Cambria" w:cs="Cambria" w:hAnsi="Cambria"/>
      <w:b/>
      <w:color w:val="1E3A5F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240"/>
      <w:jc w:val="left"/>
      <w:outlineLvl w:val="1"/>
    </w:pPr>
    <w:rPr>
      <w:rFonts w:ascii="Cambria" w:cs="Cambria" w:hAnsi="Cambria"/>
      <w:b/>
      <w:color w:val="2A4A6B"/>
      <w:sz w:val="27"/>
      <w:szCs w:val="27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60" w:before="160"/>
      <w:jc w:val="left"/>
      <w:outlineLvl w:val="2"/>
    </w:pPr>
    <w:rPr>
      <w:rFonts w:ascii="Cambria" w:cs="Cambria" w:hAnsi="Cambria"/>
      <w:b/>
      <w:i/>
      <w:color w:val="3A5A7B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168" Target="media/rId168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180" Target="media/rId180.png" /><Relationship Type="http://schemas.openxmlformats.org/officeDocument/2006/relationships/image" Id="rId183" Target="media/rId183.png" /><Relationship Type="http://schemas.openxmlformats.org/officeDocument/2006/relationships/image" Id="rId186" Target="media/rId186.png" /><Relationship Type="http://schemas.openxmlformats.org/officeDocument/2006/relationships/image" Id="rId189" Target="media/rId189.png" /><Relationship Type="http://schemas.openxmlformats.org/officeDocument/2006/relationships/image" Id="rId192" Target="media/rId192.png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201" Target="media/rId201.png" /><Relationship Type="http://schemas.openxmlformats.org/officeDocument/2006/relationships/image" Id="rId50" Target="media/rId50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Rumbo — Modelo de desarrollo e interfaces gráficas</dc:title>
  <dc:creator>Francisco Luciano; Nahuel Viniegra; Paloma Patiño</dc:creator>
  <cp:keywords/>
  <dcterms:created xsi:type="dcterms:W3CDTF">2026-09-30T21:36:16Z</dcterms:created>
  <dcterms:modified xsi:type="dcterms:W3CDTF">2026-09-30T21:36:16Z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2.º cuatrimestre 2026 · Entrega: 02/10/26</vt:lpwstr>
  </property>
  <property fmtid="{D5CDD505-2E9C-101B-9397-08002B2CF9AE}" pid="3" name="subtitle">
    <vt:lpwstr>Universidad de Morón · Ingeniería Informática — Trabajo de Campo (PC1)</vt:lpwstr>
  </property>
  <property fmtid="{D5CDD505-2E9C-101B-9397-08002B2CF9AE}" pid="4" name="toc-title">
    <vt:lpwstr>Índice</vt:lpwstr>
  </property>
</Properties>
</file>