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12.png" ContentType="image/png"/>
  <Override PartName="/word/media/rId109.png" ContentType="image/png"/>
  <Override PartName="/word/media/rId115.png" ContentType="image/png"/>
  <Override PartName="/word/media/rId151.png" ContentType="image/png"/>
  <Override PartName="/word/media/rId155.png" ContentType="image/png"/>
  <Override PartName="/word/media/rId159.png" ContentType="image/png"/>
  <Override PartName="/word/media/rId183.png" ContentType="image/png"/>
  <Override PartName="/word/media/rId179.png" ContentType="image/png"/>
  <Override PartName="/word/media/rId87.png" ContentType="image/png"/>
  <Override PartName="/word/media/rId164.png" ContentType="image/png"/>
  <Override PartName="/word/media/rId219.png" ContentType="image/png"/>
  <Override PartName="/word/media/rId142.png" ContentType="image/png"/>
  <Override PartName="/word/media/rId169.png" ContentType="image/png"/>
  <Override PartName="/word/media/rId124.png" ContentType="image/png"/>
  <Override PartName="/word/media/rId146.png" ContentType="image/png"/>
  <Override PartName="/word/media/rId120.png" ContentType="image/png"/>
  <Override PartName="/word/media/rId128.png" ContentType="image/png"/>
  <Override PartName="/word/media/rId135.png" ContentType="image/png"/>
  <Override PartName="/word/media/rId138.png" ContentType="image/png"/>
  <Override PartName="/word/media/rId132.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presentación-del-documento"/>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71" w:name="definición-del-problema"/>
    <w:p>
      <w:pPr>
        <w:pStyle w:val="Heading1"/>
      </w:pPr>
      <w:r>
        <w:t xml:space="preserve">1. Definición del problema</w:t>
      </w:r>
    </w:p>
    <w:bookmarkStart w:id="64" w:name="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cómo-trabaja-hoy-la-agencia"/>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qué-ofrece-el-mercado"/>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X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X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software-específico-de-turismo"/>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X40dfb3e71d2461426dc06aea8fec990643b5a60"/>
    <w:p>
      <w:pPr>
        <w:pStyle w:val="Heading4"/>
      </w:pPr>
      <w:r>
        <w:t xml:space="preserve">Comparación con lo que necesita la agencia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BodyText"/>
      </w:pPr>
      <w:r>
        <w:t xml:space="preserve">Los casilleros «no se encontró» indican que la documentación pública consultada no lo menciona, no que el producto no lo tenga.</w:t>
      </w:r>
    </w:p>
    <w:bookmarkEnd w:id="61"/>
    <w:bookmarkEnd w:id="62"/>
    <w:bookmarkStart w:id="63" w:name="por-qué-no-alcanzan"/>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5" w:name="un-problema-real-y-costoso"/>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el-activo-son-los-clientes-fieles"/>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las-herramientas-genéricas-no-alcanzan"/>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impacto-esperado"/>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como-proyecto-integrador"/>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End w:id="71"/>
    <w:bookmarkStart w:id="86" w:name="alcance-y-límites"/>
    <w:p>
      <w:pPr>
        <w:pStyle w:val="Heading1"/>
      </w:pPr>
      <w:r>
        <w:t xml:space="preserve">2. Alcance y límites</w:t>
      </w:r>
    </w:p>
    <w:bookmarkStart w:id="72" w:name="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2"/>
    <w:bookmarkStart w:id="77" w:name="alcance-y-límites-del-sistema"/>
    <w:p>
      <w:pPr>
        <w:pStyle w:val="Heading2"/>
      </w:pPr>
      <w:r>
        <w:t xml:space="preserve">Alcance y límites del sistema</w:t>
      </w:r>
    </w:p>
    <w:bookmarkStart w:id="73" w:name="módulos-incluidos-web-y-mobile"/>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3"/>
    <w:bookmarkStart w:id="74" w:name="fuera-de-alcance-esta-etapa"/>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4"/>
    <w:bookmarkStart w:id="75" w:name="incluido-explícitamente"/>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5"/>
    <w:bookmarkStart w:id="76" w:name="fase-2-fuera-de-esta-etapa"/>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6"/>
    <w:bookmarkEnd w:id="77"/>
    <w:bookmarkStart w:id="84" w:name="actores"/>
    <w:p>
      <w:pPr>
        <w:pStyle w:val="Heading2"/>
      </w:pPr>
      <w:r>
        <w:t xml:space="preserve">Actores</w:t>
      </w:r>
    </w:p>
    <w:p>
      <w:pPr>
        <w:pStyle w:val="FirstParagraph"/>
      </w:pPr>
      <w:r>
        <w:t xml:space="preserve">En una PyME una misma persona puede cubrir varios roles.</w:t>
      </w:r>
    </w:p>
    <w:bookmarkStart w:id="78" w:name="empleado-asesor-usuario-principal"/>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8"/>
    <w:bookmarkStart w:id="79" w:name="administrador-configuración-y-operación"/>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79"/>
    <w:bookmarkStart w:id="80" w:name="dueñoa-visión-del-negocio"/>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Usuario con rol</w:t>
      </w:r>
      <w:r>
        <w:t xml:space="preserve"> </w:t>
      </w:r>
      <w:r>
        <w:rPr>
          <w:rStyle w:val="VerbatimChar"/>
        </w:rPr>
        <w:t xml:space="preserve">dueño</w:t>
      </w:r>
      <w:r>
        <w:t xml:space="preserve">.</w:t>
      </w:r>
    </w:p>
    <w:bookmarkEnd w:id="80"/>
    <w:bookmarkStart w:id="81" w:name="X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1"/>
    <w:bookmarkStart w:id="82" w:name="X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2"/>
    <w:bookmarkStart w:id="83" w:name="pasajero-cliente-actor-externo"/>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3"/>
    <w:bookmarkEnd w:id="84"/>
    <w:bookmarkStart w:id="85" w:name="casos-de-uso"/>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5"/>
    <w:bookmarkEnd w:id="86"/>
    <w:bookmarkStart w:id="119" w:name="X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8" name="Picture"/>
            <a:graphic>
              <a:graphicData uri="http://schemas.openxmlformats.org/drawingml/2006/picture">
                <pic:pic>
                  <pic:nvPicPr>
                    <pic:cNvPr descr="ARQ-capas-conceptual.png" id="89" name="Picture"/>
                    <pic:cNvPicPr>
                      <a:picLocks noChangeArrowheads="1" noChangeAspect="1"/>
                    </pic:cNvPicPr>
                  </pic:nvPicPr>
                  <pic:blipFill>
                    <a:blip r:embed="rId87"/>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0" w:name="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0"/>
          <w:numId w:val="1010"/>
        </w:numPr>
      </w:pPr>
      <w:r>
        <w:rPr>
          <w:b/>
          <w:bCs/>
        </w:rPr>
        <w:t xml:space="preserve">Web:</w:t>
      </w:r>
      <w:r>
        <w:t xml:space="preserve"> </w:t>
      </w:r>
      <w:r>
        <w:t xml:space="preserve">los once módulos (clientes, oportunidades y cotizaciones, viajes, economía y pagos, alertas, configuración, hoteles, redes, dashboard, calendario y usuarios),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0"/>
          <w:numId w:val="1010"/>
        </w:numPr>
      </w:pPr>
      <w:r>
        <w:rPr>
          <w:b/>
          <w:bCs/>
        </w:rPr>
        <w:t xml:space="preserve">Mobile:</w:t>
      </w:r>
      <w:r>
        <w:t xml:space="preserve"> </w:t>
      </w:r>
      <w:r>
        <w:t xml:space="preserve">la agenda y las alertas del día y la consulta de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0"/>
    <w:bookmarkStart w:id="91" w:name="backend-de-negocio"/>
    <w:p>
      <w:pPr>
        <w:pStyle w:val="Heading2"/>
      </w:pPr>
      <w:r>
        <w:t xml:space="preserve">Backend de negocio</w:t>
      </w:r>
    </w:p>
    <w:p>
      <w:pPr>
        <w:pStyle w:val="Compact"/>
        <w:numPr>
          <w:ilvl w:val="0"/>
          <w:numId w:val="1011"/>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1"/>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1"/>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2"/>
        </w:numPr>
      </w:pPr>
      <w:r>
        <w:rPr>
          <w:b/>
          <w:bCs/>
        </w:rPr>
        <w:t xml:space="preserve">Qué no hace:</w:t>
      </w:r>
      <w:r>
        <w:t xml:space="preserve"> </w:t>
      </w:r>
      <w:r>
        <w:t xml:space="preserve">no muestra pantallas ni conoce cómo se presenta la información, y no publica en redes ni cobra pagos online (fuera del alcance).</w:t>
      </w:r>
    </w:p>
    <w:bookmarkEnd w:id="91"/>
    <w:bookmarkStart w:id="92" w:name="base-de-datos"/>
    <w:p>
      <w:pPr>
        <w:pStyle w:val="Heading2"/>
      </w:pPr>
      <w:r>
        <w:t xml:space="preserve">Base de datos</w:t>
      </w:r>
    </w:p>
    <w:p>
      <w:pPr>
        <w:pStyle w:val="Compact"/>
        <w:numPr>
          <w:ilvl w:val="0"/>
          <w:numId w:val="1013"/>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3"/>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3"/>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4"/>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4"/>
        </w:numPr>
      </w:pPr>
      <w:r>
        <w:rPr>
          <w:b/>
          <w:bCs/>
        </w:rPr>
        <w:t xml:space="preserve">Qué no hace:</w:t>
      </w:r>
      <w:r>
        <w:t xml:space="preserve"> </w:t>
      </w:r>
      <w:r>
        <w:t xml:space="preserve">no contiene lógica de negocio en procedimientos almacenados: las reglas viven en el backend, y la base solo asegura la integridad.</w:t>
      </w:r>
    </w:p>
    <w:bookmarkEnd w:id="92"/>
    <w:bookmarkStart w:id="118" w:name="interfaces-principales-del-prototipo"/>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3">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5" name="Picture"/>
            <a:graphic>
              <a:graphicData uri="http://schemas.openxmlformats.org/drawingml/2006/picture">
                <pic:pic>
                  <pic:nvPicPr>
                    <pic:cNvPr descr="03-cu14-agenda.png" id="96" name="Picture"/>
                    <pic:cNvPicPr>
                      <a:picLocks noChangeArrowheads="1" noChangeAspect="1"/>
                    </pic:cNvPicPr>
                  </pic:nvPicPr>
                  <pic:blipFill>
                    <a:blip r:embed="rId9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8" name="Picture"/>
            <a:graphic>
              <a:graphicData uri="http://schemas.openxmlformats.org/drawingml/2006/picture">
                <pic:pic>
                  <pic:nvPicPr>
                    <pic:cNvPr descr="13-cu06-emitir-cotizacion.png" id="99" name="Picture"/>
                    <pic:cNvPicPr>
                      <a:picLocks noChangeArrowheads="1" noChangeAspect="1"/>
                    </pic:cNvPicPr>
                  </pic:nvPicPr>
                  <pic:blipFill>
                    <a:blip r:embed="rId9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1" name="Picture"/>
            <a:graphic>
              <a:graphicData uri="http://schemas.openxmlformats.org/drawingml/2006/picture">
                <pic:pic>
                  <pic:nvPicPr>
                    <pic:cNvPr descr="15-cu07-10-11-ficha-viaje.png" id="102" name="Picture"/>
                    <pic:cNvPicPr>
                      <a:picLocks noChangeArrowheads="1" noChangeAspect="1"/>
                    </pic:cNvPicPr>
                  </pic:nvPicPr>
                  <pic:blipFill>
                    <a:blip r:embed="rId10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4" name="Picture"/>
            <a:graphic>
              <a:graphicData uri="http://schemas.openxmlformats.org/drawingml/2006/picture">
                <pic:pic>
                  <pic:nvPicPr>
                    <pic:cNvPr descr="18-cu12-registrar-cobro.png" id="105" name="Picture"/>
                    <pic:cNvPicPr>
                      <a:picLocks noChangeArrowheads="1" noChangeAspect="1"/>
                    </pic:cNvPicPr>
                  </pic:nvPicPr>
                  <pic:blipFill>
                    <a:blip r:embed="rId103"/>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7" name="Picture"/>
            <a:graphic>
              <a:graphicData uri="http://schemas.openxmlformats.org/drawingml/2006/picture">
                <pic:pic>
                  <pic:nvPicPr>
                    <pic:cNvPr descr="28-cu21-dashboard.png" id="108" name="Picture"/>
                    <pic:cNvPicPr>
                      <a:picLocks noChangeArrowheads="1" noChangeAspect="1"/>
                    </pic:cNvPicPr>
                  </pic:nvPicPr>
                  <pic:blipFill>
                    <a:blip r:embed="rId106"/>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0" name="Picture"/>
            <a:graphic>
              <a:graphicData uri="http://schemas.openxmlformats.org/drawingml/2006/picture">
                <pic:pic>
                  <pic:nvPicPr>
                    <pic:cNvPr descr="46-freelance-dashboard.png" id="111" name="Picture"/>
                    <pic:cNvPicPr>
                      <a:picLocks noChangeArrowheads="1" noChangeAspect="1"/>
                    </pic:cNvPicPr>
                  </pic:nvPicPr>
                  <pic:blipFill>
                    <a:blip r:embed="rId109"/>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BodyText"/>
      </w:pPr>
      <w:r>
        <w:drawing>
          <wp:inline>
            <wp:extent cx="1725930" cy="3735089"/>
            <wp:effectExtent b="0" l="0" r="0" t="0"/>
            <wp:docPr descr="Mobile: agenda del día — CU-14." title="" id="113" name="Picture"/>
            <a:graphic>
              <a:graphicData uri="http://schemas.openxmlformats.org/drawingml/2006/picture">
                <pic:pic>
                  <pic:nvPicPr>
                    <pic:cNvPr descr="35-mobile-agenda.png" id="114" name="Picture"/>
                    <pic:cNvPicPr>
                      <a:picLocks noChangeArrowheads="1" noChangeAspect="1"/>
                    </pic:cNvPicPr>
                  </pic:nvPicPr>
                  <pic:blipFill>
                    <a:blip r:embed="rId112"/>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6" name="Picture"/>
            <a:graphic>
              <a:graphicData uri="http://schemas.openxmlformats.org/drawingml/2006/picture">
                <pic:pic>
                  <pic:nvPicPr>
                    <pic:cNvPr descr="57-mobile-clientes.png" id="117" name="Picture"/>
                    <pic:cNvPicPr>
                      <a:picLocks noChangeArrowheads="1" noChangeAspect="1"/>
                    </pic:cNvPicPr>
                  </pic:nvPicPr>
                  <pic:blipFill>
                    <a:blip r:embed="rId115"/>
                    <a:stretch>
                      <a:fillRect/>
                    </a:stretch>
                  </pic:blipFill>
                  <pic:spPr bwMode="auto">
                    <a:xfrm>
                      <a:off x="0" y="0"/>
                      <a:ext cx="1725930" cy="3735089"/>
                    </a:xfrm>
                    <a:prstGeom prst="rect">
                      <a:avLst/>
                    </a:prstGeom>
                    <a:noFill/>
                    <a:ln w="9525">
                      <a:noFill/>
                      <a:headEnd/>
                      <a:tailEnd/>
                    </a:ln>
                  </pic:spPr>
                </pic:pic>
              </a:graphicData>
            </a:graphic>
          </wp:inline>
        </w:drawing>
      </w:r>
    </w:p>
    <w:bookmarkEnd w:id="118"/>
    <w:bookmarkEnd w:id="119"/>
    <w:bookmarkStart w:id="168" w:name="modelo-de-flujo-gráficos-uml-y-c4"/>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3" w:name="diagrama-de-casos-de-uso"/>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3164205" cy="6913626"/>
            <wp:effectExtent b="0" l="0" r="0" t="0"/>
            <wp:docPr descr="Diagrama de casos de uso." title="" id="121" name="Picture"/>
            <a:graphic>
              <a:graphicData uri="http://schemas.openxmlformats.org/drawingml/2006/picture">
                <pic:pic>
                  <pic:nvPicPr>
                    <pic:cNvPr descr="DGM-casos-de-uso.png" id="122" name="Picture"/>
                    <pic:cNvPicPr>
                      <a:picLocks noChangeArrowheads="1" noChangeAspect="1"/>
                    </pic:cNvPicPr>
                  </pic:nvPicPr>
                  <pic:blipFill>
                    <a:blip r:embed="rId120"/>
                    <a:stretch>
                      <a:fillRect/>
                    </a:stretch>
                  </pic:blipFill>
                  <pic:spPr bwMode="auto">
                    <a:xfrm>
                      <a:off x="0" y="0"/>
                      <a:ext cx="3164205" cy="6913626"/>
                    </a:xfrm>
                    <a:prstGeom prst="rect">
                      <a:avLst/>
                    </a:prstGeom>
                    <a:noFill/>
                    <a:ln w="9525">
                      <a:noFill/>
                      <a:headEnd/>
                      <a:tailEnd/>
                    </a:ln>
                  </pic:spPr>
                </pic:pic>
              </a:graphicData>
            </a:graphic>
          </wp:inline>
        </w:drawing>
      </w:r>
    </w:p>
    <w:p>
      <w:pPr>
        <w:pStyle w:val="ImageCaption"/>
      </w:pPr>
      <w:r>
        <w:t xml:space="preserve">Diagrama de casos de uso.</w:t>
      </w:r>
    </w:p>
    <w:bookmarkEnd w:id="123"/>
    <w:bookmarkStart w:id="127" w:name="circuito-de-la-consulta-a-la-venta"/>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5" name="Picture"/>
            <a:graphic>
              <a:graphicData uri="http://schemas.openxmlformats.org/drawingml/2006/picture">
                <pic:pic>
                  <pic:nvPicPr>
                    <pic:cNvPr descr="DGM-SEC-consulta-a-venta.png" id="126" name="Picture"/>
                    <pic:cNvPicPr>
                      <a:picLocks noChangeArrowheads="1" noChangeAspect="1"/>
                    </pic:cNvPicPr>
                  </pic:nvPicPr>
                  <pic:blipFill>
                    <a:blip r:embed="rId124"/>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7"/>
    <w:bookmarkStart w:id="131" w:name="diagrama-de-clases"/>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29" name="Picture"/>
            <a:graphic>
              <a:graphicData uri="http://schemas.openxmlformats.org/drawingml/2006/picture">
                <pic:pic>
                  <pic:nvPicPr>
                    <pic:cNvPr descr="DGM-clases.png" id="130" name="Picture"/>
                    <pic:cNvPicPr>
                      <a:picLocks noChangeArrowheads="1" noChangeAspect="1"/>
                    </pic:cNvPicPr>
                  </pic:nvPicPr>
                  <pic:blipFill>
                    <a:blip r:embed="rId128"/>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1"/>
    <w:bookmarkStart w:id="141" w:name="diagramas-de-estados"/>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3" name="Picture"/>
            <a:graphic>
              <a:graphicData uri="http://schemas.openxmlformats.org/drawingml/2006/picture">
                <pic:pic>
                  <pic:nvPicPr>
                    <pic:cNvPr descr="EST-Viaje.png" id="134" name="Picture"/>
                    <pic:cNvPicPr>
                      <a:picLocks noChangeArrowheads="1" noChangeAspect="1"/>
                    </pic:cNvPicPr>
                  </pic:nvPicPr>
                  <pic:blipFill>
                    <a:blip r:embed="rId132"/>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70" cy="2712175"/>
            <wp:effectExtent b="0" l="0" r="0" t="0"/>
            <wp:docPr descr="Estados de la oportunidad: pasa a ganada al confirmarse la reserva." title="" id="136" name="Picture"/>
            <a:graphic>
              <a:graphicData uri="http://schemas.openxmlformats.org/drawingml/2006/picture">
                <pic:pic>
                  <pic:nvPicPr>
                    <pic:cNvPr descr="EST-Oportunidad.png" id="137" name="Picture"/>
                    <pic:cNvPicPr>
                      <a:picLocks noChangeArrowheads="1" noChangeAspect="1"/>
                    </pic:cNvPicPr>
                  </pic:nvPicPr>
                  <pic:blipFill>
                    <a:blip r:embed="rId135"/>
                    <a:stretch>
                      <a:fillRect/>
                    </a:stretch>
                  </pic:blipFill>
                  <pic:spPr bwMode="auto">
                    <a:xfrm>
                      <a:off x="0" y="0"/>
                      <a:ext cx="4027170"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70" cy="1946807"/>
            <wp:effectExtent b="0" l="0" r="0" t="0"/>
            <wp:docPr descr="Estados del pago: vencido es un pendiente con la fecha pasada; anulado es la baja lógica." title="" id="139" name="Picture"/>
            <a:graphic>
              <a:graphicData uri="http://schemas.openxmlformats.org/drawingml/2006/picture">
                <pic:pic>
                  <pic:nvPicPr>
                    <pic:cNvPr descr="EST-Pago.png" id="140" name="Picture"/>
                    <pic:cNvPicPr>
                      <a:picLocks noChangeArrowheads="1" noChangeAspect="1"/>
                    </pic:cNvPicPr>
                  </pic:nvPicPr>
                  <pic:blipFill>
                    <a:blip r:embed="rId138"/>
                    <a:stretch>
                      <a:fillRect/>
                    </a:stretch>
                  </pic:blipFill>
                  <pic:spPr bwMode="auto">
                    <a:xfrm>
                      <a:off x="0" y="0"/>
                      <a:ext cx="4027170"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1"/>
    <w:bookmarkStart w:id="145" w:name="diagrama-de-actividad"/>
    <w:p>
      <w:pPr>
        <w:pStyle w:val="Heading2"/>
      </w:pPr>
      <w:r>
        <w:t xml:space="preserve">Diagrama de actividad</w:t>
      </w:r>
    </w:p>
    <w:p>
      <w:pPr>
        <w:pStyle w:val="FirstParagraph"/>
      </w:pPr>
      <w:r>
        <w:t xml:space="preserve">El circuito completo de CU-01, con las decisiones de cada paso y el actor que realiza cada acción.</w:t>
      </w:r>
    </w:p>
    <w:p>
      <w:pPr>
        <w:pStyle w:val="CaptionedFigure"/>
      </w:pPr>
      <w:r>
        <w:drawing>
          <wp:inline>
            <wp:extent cx="4602480" cy="25114042"/>
            <wp:effectExtent b="0" l="0" r="0" t="0"/>
            <wp:docPr descr="Actividad: de la consulta a la venta." title="" id="143" name="Picture"/>
            <a:graphic>
              <a:graphicData uri="http://schemas.openxmlformats.org/drawingml/2006/picture">
                <pic:pic>
                  <pic:nvPicPr>
                    <pic:cNvPr descr="DGM-ACT-consulta-a-venta.png" id="144" name="Picture"/>
                    <pic:cNvPicPr>
                      <a:picLocks noChangeArrowheads="1" noChangeAspect="1"/>
                    </pic:cNvPicPr>
                  </pic:nvPicPr>
                  <pic:blipFill>
                    <a:blip r:embed="rId142"/>
                    <a:stretch>
                      <a:fillRect/>
                    </a:stretch>
                  </pic:blipFill>
                  <pic:spPr bwMode="auto">
                    <a:xfrm>
                      <a:off x="0" y="0"/>
                      <a:ext cx="4602480" cy="25114042"/>
                    </a:xfrm>
                    <a:prstGeom prst="rect">
                      <a:avLst/>
                    </a:prstGeom>
                    <a:noFill/>
                    <a:ln w="9525">
                      <a:noFill/>
                      <a:headEnd/>
                      <a:tailEnd/>
                    </a:ln>
                  </pic:spPr>
                </pic:pic>
              </a:graphicData>
            </a:graphic>
          </wp:inline>
        </w:drawing>
      </w:r>
    </w:p>
    <w:p>
      <w:pPr>
        <w:pStyle w:val="ImageCaption"/>
      </w:pPr>
      <w:r>
        <w:t xml:space="preserve">Actividad: de la consulta a la venta.</w:t>
      </w:r>
    </w:p>
    <w:bookmarkEnd w:id="145"/>
    <w:bookmarkStart w:id="149" w:name="diagrama-de-secuencia-de-análisis"/>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7" name="Picture"/>
            <a:graphic>
              <a:graphicData uri="http://schemas.openxmlformats.org/drawingml/2006/picture">
                <pic:pic>
                  <pic:nvPicPr>
                    <pic:cNvPr descr="DGM-SEC-registrar-cobro.png" id="148" name="Picture"/>
                    <pic:cNvPicPr>
                      <a:picLocks noChangeArrowheads="1" noChangeAspect="1"/>
                    </pic:cNvPicPr>
                  </pic:nvPicPr>
                  <pic:blipFill>
                    <a:blip r:embed="rId146"/>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49"/>
    <w:bookmarkStart w:id="163" w:name="modelo-c4"/>
    <w:p>
      <w:pPr>
        <w:pStyle w:val="Heading2"/>
      </w:pPr>
      <w:r>
        <w:t xml:space="preserve">Modelo C4</w:t>
      </w:r>
    </w:p>
    <w:p>
      <w:pPr>
        <w:pStyle w:val="FirstParagraph"/>
      </w:pPr>
      <w:r>
        <w:t xml:space="preserve">El</w:t>
      </w:r>
      <w:r>
        <w:t xml:space="preserve"> </w:t>
      </w:r>
      <w:hyperlink r:id="rId150">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154" w:name="nivel-1-contexto"/>
    <w:p>
      <w:pPr>
        <w:pStyle w:val="Heading3"/>
      </w:pPr>
      <w:r>
        <w:t xml:space="preserve">Nivel 1 · Contexto</w:t>
      </w:r>
    </w:p>
    <w:p>
      <w:pPr>
        <w:pStyle w:val="CaptionedFigure"/>
      </w:pPr>
      <w:r>
        <w:drawing>
          <wp:inline>
            <wp:extent cx="5753100" cy="2509643"/>
            <wp:effectExtent b="0" l="0" r="0" t="0"/>
            <wp:docPr descr="Modelo C4, nivel 1: contexto." title="" id="152" name="Picture"/>
            <a:graphic>
              <a:graphicData uri="http://schemas.openxmlformats.org/drawingml/2006/picture">
                <pic:pic>
                  <pic:nvPicPr>
                    <pic:cNvPr descr="ARQ-C4-1-contexto.png" id="153" name="Picture"/>
                    <pic:cNvPicPr>
                      <a:picLocks noChangeArrowheads="1" noChangeAspect="1"/>
                    </pic:cNvPicPr>
                  </pic:nvPicPr>
                  <pic:blipFill>
                    <a:blip r:embed="rId151"/>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5"/>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5"/>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5"/>
        </w:numPr>
      </w:pPr>
      <w:r>
        <w:t xml:space="preserve">La única integración con un sistema externo en tiempo de uso es la</w:t>
      </w:r>
      <w:r>
        <w:t xml:space="preserve"> </w:t>
      </w:r>
      <w:r>
        <w:rPr>
          <w:b/>
          <w:bCs/>
        </w:rPr>
        <w:t xml:space="preserve">API de Claude</w:t>
      </w:r>
      <w:r>
        <w:t xml:space="preserve">, solo para CU-20.</w:t>
      </w:r>
    </w:p>
    <w:bookmarkEnd w:id="154"/>
    <w:bookmarkStart w:id="158" w:name="nivel-2-contenedores"/>
    <w:p>
      <w:pPr>
        <w:pStyle w:val="Heading3"/>
      </w:pPr>
      <w:r>
        <w:t xml:space="preserve">Nivel 2 · Contenedores</w:t>
      </w:r>
    </w:p>
    <w:p>
      <w:pPr>
        <w:pStyle w:val="CaptionedFigure"/>
      </w:pPr>
      <w:r>
        <w:drawing>
          <wp:inline>
            <wp:extent cx="5753100" cy="2106045"/>
            <wp:effectExtent b="0" l="0" r="0" t="0"/>
            <wp:docPr descr="Modelo C4, nivel 2: contenedores." title="" id="156" name="Picture"/>
            <a:graphic>
              <a:graphicData uri="http://schemas.openxmlformats.org/drawingml/2006/picture">
                <pic:pic>
                  <pic:nvPicPr>
                    <pic:cNvPr descr="ARQ-C4-2-contenedores.png" id="157" name="Picture"/>
                    <pic:cNvPicPr>
                      <a:picLocks noChangeArrowheads="1" noChangeAspect="1"/>
                    </pic:cNvPicPr>
                  </pic:nvPicPr>
                  <pic:blipFill>
                    <a:blip r:embed="rId155"/>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6"/>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6"/>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6"/>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8"/>
    <w:bookmarkStart w:id="162" w:name="nivel-3-componentes-de-la-api"/>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0" name="Picture"/>
            <a:graphic>
              <a:graphicData uri="http://schemas.openxmlformats.org/drawingml/2006/picture">
                <pic:pic>
                  <pic:nvPicPr>
                    <pic:cNvPr descr="ARQ-C4-3-componentes.png" id="161" name="Picture"/>
                    <pic:cNvPicPr>
                      <a:picLocks noChangeArrowheads="1" noChangeAspect="1"/>
                    </pic:cNvPicPr>
                  </pic:nvPicPr>
                  <pic:blipFill>
                    <a:blip r:embed="rId159"/>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7"/>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7"/>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2"/>
    <w:bookmarkEnd w:id="163"/>
    <w:bookmarkStart w:id="167" w:name="vista-de-despliegue"/>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5" name="Picture"/>
            <a:graphic>
              <a:graphicData uri="http://schemas.openxmlformats.org/drawingml/2006/picture">
                <pic:pic>
                  <pic:nvPicPr>
                    <pic:cNvPr descr="ARQ-despliegue.png" id="166" name="Picture"/>
                    <pic:cNvPicPr>
                      <a:picLocks noChangeArrowheads="1" noChangeAspect="1"/>
                    </pic:cNvPicPr>
                  </pic:nvPicPr>
                  <pic:blipFill>
                    <a:blip r:embed="rId164"/>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8"/>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8"/>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8"/>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8"/>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8"/>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8"/>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7"/>
    <w:bookmarkEnd w:id="168"/>
    <w:bookmarkStart w:id="178" w:name="modelo-de-datos-sql"/>
    <w:p>
      <w:pPr>
        <w:pStyle w:val="Heading1"/>
      </w:pPr>
      <w:r>
        <w:t xml:space="preserve">5. Modelo de datos SQL</w:t>
      </w:r>
    </w:p>
    <w:bookmarkStart w:id="172" w:name="modelo-entidad-relación"/>
    <w:p>
      <w:pPr>
        <w:pStyle w:val="Heading2"/>
      </w:pPr>
      <w:r>
        <w:t xml:space="preserve">Modelo entidad-relación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0" name="Picture"/>
            <a:graphic>
              <a:graphicData uri="http://schemas.openxmlformats.org/drawingml/2006/picture">
                <pic:pic>
                  <pic:nvPicPr>
                    <pic:cNvPr descr="DGM-ER.png" id="171" name="Picture"/>
                    <pic:cNvPicPr>
                      <a:picLocks noChangeArrowheads="1" noChangeAspect="1"/>
                    </pic:cNvPicPr>
                  </pic:nvPicPr>
                  <pic:blipFill>
                    <a:blip r:embed="rId169"/>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2"/>
    <w:bookmarkStart w:id="173" w:name="qué-contiene"/>
    <w:p>
      <w:pPr>
        <w:pStyle w:val="Heading2"/>
      </w:pPr>
      <w:r>
        <w:t xml:space="preserve">Qué contiene</w:t>
      </w:r>
    </w:p>
    <w:p>
      <w:pPr>
        <w:pStyle w:val="Compact"/>
        <w:numPr>
          <w:ilvl w:val="0"/>
          <w:numId w:val="1019"/>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19"/>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19"/>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19"/>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19"/>
        </w:numPr>
      </w:pPr>
      <w:r>
        <w:rPr>
          <w:b/>
          <w:bCs/>
        </w:rPr>
        <w:t xml:space="preserve">Restricciones del modelo:</w:t>
      </w:r>
    </w:p>
    <w:p>
      <w:pPr>
        <w:pStyle w:val="Compact"/>
        <w:numPr>
          <w:ilvl w:val="0"/>
          <w:numId w:val="1019"/>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0"/>
          <w:numId w:val="1019"/>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0"/>
          <w:numId w:val="1019"/>
        </w:numPr>
      </w:pPr>
      <w:r>
        <w:rPr>
          <w:rStyle w:val="VerbatimChar"/>
        </w:rPr>
        <w:t xml:space="preserve">viaje.oportunidad_id</w:t>
      </w:r>
      <w:r>
        <w:t xml:space="preserve"> </w:t>
      </w:r>
      <w:r>
        <w:t xml:space="preserve">es único: una oportunidad deriva en a lo sumo un viaje.</w:t>
      </w:r>
    </w:p>
    <w:p>
      <w:pPr>
        <w:pStyle w:val="Compact"/>
        <w:numPr>
          <w:ilvl w:val="0"/>
          <w:numId w:val="1019"/>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0"/>
          <w:numId w:val="1019"/>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0"/>
          <w:numId w:val="1019"/>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0"/>
          <w:numId w:val="1019"/>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0"/>
          <w:numId w:val="1019"/>
        </w:numPr>
      </w:pPr>
      <w:r>
        <w:t xml:space="preserve">Chequeos de sentido común: fechas de regreso y de check-out que no quedan antes de las de inicio, puntaje de reseña de 1 a 5, montos no negativos y al menos un pasajero.</w:t>
      </w:r>
    </w:p>
    <w:p>
      <w:pPr>
        <w:pStyle w:val="Compact"/>
        <w:numPr>
          <w:ilvl w:val="0"/>
          <w:numId w:val="1019"/>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3"/>
    <w:bookmarkStart w:id="174" w:name="lo-que-queda-en-la-api-y-no-en-la-base"/>
    <w:p>
      <w:pPr>
        <w:pStyle w:val="Heading2"/>
      </w:pPr>
      <w:r>
        <w:t xml:space="preserve">Lo que queda en la API y no en la base</w:t>
      </w:r>
    </w:p>
    <w:p>
      <w:pPr>
        <w:pStyle w:val="Compact"/>
        <w:numPr>
          <w:ilvl w:val="0"/>
          <w:numId w:val="1020"/>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0"/>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0"/>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4"/>
    <w:bookmarkStart w:id="175" w:name="criterios-de-escritura"/>
    <w:p>
      <w:pPr>
        <w:pStyle w:val="Heading2"/>
      </w:pPr>
      <w:r>
        <w:t xml:space="preserve">Criterios de escritura</w:t>
      </w:r>
    </w:p>
    <w:p>
      <w:pPr>
        <w:pStyle w:val="Compact"/>
        <w:numPr>
          <w:ilvl w:val="0"/>
          <w:numId w:val="1021"/>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1"/>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5"/>
    <w:bookmarkStart w:id="176" w:name="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6"/>
    <w:bookmarkStart w:id="177" w:name="script-sql"/>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7"/>
    <w:bookmarkEnd w:id="178"/>
    <w:bookmarkStart w:id="194" w:name="Xcbda01be181e637c1fd916f45491ee1a55735f6"/>
    <w:p>
      <w:pPr>
        <w:pStyle w:val="Heading1"/>
      </w:pPr>
      <w:r>
        <w:t xml:space="preserve">6. Comunicación Vista–Controlador: OpenAPI en JSON</w:t>
      </w:r>
    </w:p>
    <w:bookmarkStart w:id="182" w:name="mvc-en-rumbo"/>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0" name="Picture"/>
            <a:graphic>
              <a:graphicData uri="http://schemas.openxmlformats.org/drawingml/2006/picture">
                <pic:pic>
                  <pic:nvPicPr>
                    <pic:cNvPr descr="ARQ-MVC.png" id="181" name="Picture"/>
                    <pic:cNvPicPr>
                      <a:picLocks noChangeArrowheads="1" noChangeAspect="1"/>
                    </pic:cNvPicPr>
                  </pic:nvPicPr>
                  <pic:blipFill>
                    <a:blip r:embed="rId179"/>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BodyText"/>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2"/>
    <w:bookmarkStart w:id="187" w:name="X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2"/>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2"/>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2"/>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2"/>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2"/>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2"/>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6" w:name="X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4" name="Picture"/>
            <a:graphic>
              <a:graphicData uri="http://schemas.openxmlformats.org/drawingml/2006/picture">
                <pic:pic>
                  <pic:nvPicPr>
                    <pic:cNvPr descr="ARQ-MVC-secuencia-cobro.png" id="185" name="Picture"/>
                    <pic:cNvPicPr>
                      <a:picLocks noChangeArrowheads="1" noChangeAspect="1"/>
                    </pic:cNvPicPr>
                  </pic:nvPicPr>
                  <pic:blipFill>
                    <a:blip r:embed="rId183"/>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BodyText"/>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6"/>
    <w:bookmarkEnd w:id="187"/>
    <w:bookmarkStart w:id="193" w:name="contrato-openapi"/>
    <w:p>
      <w:pPr>
        <w:pStyle w:val="Heading2"/>
      </w:pPr>
      <w:r>
        <w:t xml:space="preserve">Contrato OpenAPI</w:t>
      </w:r>
    </w:p>
    <w:bookmarkStart w:id="188" w:name="qué-es-y-qué-no-es"/>
    <w:p>
      <w:pPr>
        <w:pStyle w:val="Heading3"/>
      </w:pPr>
      <w:r>
        <w:t xml:space="preserve">Qué es y qué no es</w:t>
      </w:r>
    </w:p>
    <w:p>
      <w:pPr>
        <w:pStyle w:val="Compact"/>
        <w:numPr>
          <w:ilvl w:val="0"/>
          <w:numId w:val="1023"/>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3"/>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3"/>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3"/>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3"/>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8"/>
    <w:bookmarkStart w:id="189" w:name="convenciones"/>
    <w:p>
      <w:pPr>
        <w:pStyle w:val="Heading3"/>
      </w:pPr>
      <w:r>
        <w:t xml:space="preserve">Convenciones</w:t>
      </w:r>
    </w:p>
    <w:p>
      <w:pPr>
        <w:pStyle w:val="Compact"/>
        <w:numPr>
          <w:ilvl w:val="0"/>
          <w:numId w:val="1024"/>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4"/>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4"/>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4"/>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4"/>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4"/>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4"/>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4"/>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89"/>
    <w:bookmarkStart w:id="190" w:name="autenticación-y-roles"/>
    <w:p>
      <w:pPr>
        <w:pStyle w:val="Heading3"/>
      </w:pPr>
      <w:r>
        <w:t xml:space="preserve">Autenticación y roles</w:t>
      </w:r>
    </w:p>
    <w:p>
      <w:pPr>
        <w:pStyle w:val="Compact"/>
        <w:numPr>
          <w:ilvl w:val="0"/>
          <w:numId w:val="1025"/>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5"/>
        </w:numPr>
      </w:pPr>
      <w:r>
        <w:rPr>
          <w:b/>
          <w:bCs/>
        </w:rPr>
        <w:t xml:space="preserve">Roles por operación</w:t>
      </w:r>
      <w:r>
        <w:t xml:space="preserve">, derivados de los actores de cada CU:</w:t>
      </w:r>
    </w:p>
    <w:p>
      <w:pPr>
        <w:pStyle w:val="Compact"/>
        <w:numPr>
          <w:ilvl w:val="0"/>
          <w:numId w:val="1025"/>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0"/>
          <w:numId w:val="1025"/>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0"/>
          <w:numId w:val="1025"/>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5"/>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5"/>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0"/>
    <w:bookmarkStart w:id="191" w:name="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1"/>
    <w:bookmarkStart w:id="192" w:name="operaciones-por-módulo"/>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2"/>
    <w:bookmarkEnd w:id="193"/>
    <w:bookmarkEnd w:id="194"/>
    <w:bookmarkStart w:id="216" w:name="Xcd9e708fb52b998eea603efb3578ff0bb0afc07"/>
    <w:p>
      <w:pPr>
        <w:pStyle w:val="Heading1"/>
      </w:pPr>
      <w:r>
        <w:t xml:space="preserve">7. Selección de modelos y agentes de IA, con sus prompts</w:t>
      </w:r>
    </w:p>
    <w:bookmarkStart w:id="199" w:name="modelo-de-ia-del-producto"/>
    <w:p>
      <w:pPr>
        <w:pStyle w:val="Heading2"/>
      </w:pPr>
      <w:r>
        <w:t xml:space="preserve">Modelo de IA del producto</w:t>
      </w:r>
    </w:p>
    <w:bookmarkStart w:id="195" w:name="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5"/>
    <w:bookmarkStart w:id="196" w:name="decisión"/>
    <w:p>
      <w:pPr>
        <w:pStyle w:val="Heading3"/>
      </w:pPr>
      <w:r>
        <w:t xml:space="preserve">Decisión</w:t>
      </w:r>
    </w:p>
    <w:p>
      <w:pPr>
        <w:pStyle w:val="Compact"/>
        <w:numPr>
          <w:ilvl w:val="0"/>
          <w:numId w:val="1026"/>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6"/>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6"/>
    <w:bookmarkStart w:id="197" w:name="alternativas-consideradas"/>
    <w:p>
      <w:pPr>
        <w:pStyle w:val="Heading3"/>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7"/>
    <w:bookmarkStart w:id="198" w:name="justificación-1"/>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8"/>
    <w:bookmarkEnd w:id="199"/>
    <w:bookmarkStart w:id="208" w:name="agentes-de-ia-del-proyecto"/>
    <w:p>
      <w:pPr>
        <w:pStyle w:val="Heading2"/>
      </w:pPr>
      <w:r>
        <w:t xml:space="preserve">Agentes de IA del proyecto</w:t>
      </w:r>
    </w:p>
    <w:bookmarkStart w:id="203" w:name="ciclo-de-trabajo-con-el-agente"/>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3164205" cy="10223655"/>
            <wp:effectExtent b="0" l="0" r="0" t="0"/>
            <wp:docPr descr="Ciclo de trabajo de una sesión con el agente." title="" id="201" name="Picture"/>
            <a:graphic>
              <a:graphicData uri="http://schemas.openxmlformats.org/drawingml/2006/picture">
                <pic:pic>
                  <pic:nvPicPr>
                    <pic:cNvPr descr="IA-ciclo-de-trabajo.png" id="202" name="Picture"/>
                    <pic:cNvPicPr>
                      <a:picLocks noChangeArrowheads="1" noChangeAspect="1"/>
                    </pic:cNvPicPr>
                  </pic:nvPicPr>
                  <pic:blipFill>
                    <a:blip r:embed="rId200"/>
                    <a:stretch>
                      <a:fillRect/>
                    </a:stretch>
                  </pic:blipFill>
                  <pic:spPr bwMode="auto">
                    <a:xfrm>
                      <a:off x="0" y="0"/>
                      <a:ext cx="3164205" cy="10223655"/>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3"/>
    <w:bookmarkStart w:id="207" w:name="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4" w:name="claude-code-agente-principal"/>
    <w:p>
      <w:pPr>
        <w:pStyle w:val="Heading4"/>
      </w:pPr>
      <w:r>
        <w:t xml:space="preserve">Claude Code — agente principal</w:t>
      </w:r>
    </w:p>
    <w:p>
      <w:pPr>
        <w:pStyle w:val="Compact"/>
        <w:numPr>
          <w:ilvl w:val="0"/>
          <w:numId w:val="1027"/>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27"/>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27"/>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27"/>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27"/>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27"/>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27"/>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204"/>
    <w:bookmarkStart w:id="205" w:name="subagentes-exploración-en-paralelo"/>
    <w:p>
      <w:pPr>
        <w:pStyle w:val="Heading4"/>
      </w:pPr>
      <w:r>
        <w:t xml:space="preserve">Subagentes — exploración en paralelo</w:t>
      </w:r>
    </w:p>
    <w:p>
      <w:pPr>
        <w:pStyle w:val="Compact"/>
        <w:numPr>
          <w:ilvl w:val="0"/>
          <w:numId w:val="1028"/>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28"/>
        </w:numPr>
      </w:pPr>
      <w:r>
        <w:rPr>
          <w:b/>
          <w:bCs/>
        </w:rPr>
        <w:t xml:space="preserve">Modelo:</w:t>
      </w:r>
      <w:r>
        <w:t xml:space="preserve"> </w:t>
      </w:r>
      <w:r>
        <w:t xml:space="preserve">el del agente principal, o uno más liviano cuando la tarea es solo buscar.</w:t>
      </w:r>
    </w:p>
    <w:p>
      <w:pPr>
        <w:pStyle w:val="Compact"/>
        <w:numPr>
          <w:ilvl w:val="0"/>
          <w:numId w:val="1028"/>
        </w:numPr>
      </w:pPr>
      <w:r>
        <w:rPr>
          <w:b/>
          <w:bCs/>
        </w:rPr>
        <w:t xml:space="preserve">Herramientas:</w:t>
      </w:r>
      <w:r>
        <w:t xml:space="preserve"> </w:t>
      </w:r>
      <w:r>
        <w:t xml:space="preserve">las de lectura y búsqueda. Los subagentes de exploración no editan archivos.</w:t>
      </w:r>
    </w:p>
    <w:p>
      <w:pPr>
        <w:pStyle w:val="Compact"/>
        <w:numPr>
          <w:ilvl w:val="0"/>
          <w:numId w:val="1028"/>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28"/>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5"/>
    <w:bookmarkStart w:id="206" w:name="mcp-de-figma-prototipo-de-interfaces"/>
    <w:p>
      <w:pPr>
        <w:pStyle w:val="Heading4"/>
      </w:pPr>
      <w:r>
        <w:t xml:space="preserve">MCP de Figma — prototipo de interfaces</w:t>
      </w:r>
    </w:p>
    <w:p>
      <w:pPr>
        <w:pStyle w:val="Compact"/>
        <w:numPr>
          <w:ilvl w:val="0"/>
          <w:numId w:val="1029"/>
        </w:numPr>
      </w:pPr>
      <w:r>
        <w:rPr>
          <w:b/>
          <w:bCs/>
        </w:rPr>
        <w:t xml:space="preserve">Qué hace:</w:t>
      </w:r>
      <w:r>
        <w:t xml:space="preserve"> </w:t>
      </w:r>
      <w:r>
        <w:t xml:space="preserve">conecta a Claude Code con Figma para que pueda leer y escribir en un archivo de diseño. Con él se construyó el Prototipo UI (</w:t>
      </w:r>
      <w:hyperlink r:id="rId93">
        <w:r>
          <w:rPr>
            <w:rStyle w:val="Hyperlink"/>
          </w:rPr>
          <w:t xml:space="preserve">Rumbo — Prototipo PC1</w:t>
        </w:r>
      </w:hyperlink>
      <w:r>
        <w:t xml:space="preserve">).</w:t>
      </w:r>
    </w:p>
    <w:p>
      <w:pPr>
        <w:pStyle w:val="Compact"/>
        <w:numPr>
          <w:ilvl w:val="0"/>
          <w:numId w:val="1029"/>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29"/>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29"/>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29"/>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206"/>
    <w:bookmarkEnd w:id="207"/>
    <w:bookmarkEnd w:id="208"/>
    <w:bookmarkStart w:id="214" w:name="prompt-de-la-ia-del-producto-cu-20"/>
    <w:p>
      <w:pPr>
        <w:pStyle w:val="Heading2"/>
      </w:pPr>
      <w:r>
        <w:t xml:space="preserve">Prompt de la IA del producto (CU-20)</w:t>
      </w:r>
    </w:p>
    <w:bookmarkStart w:id="209" w:name="cómo-se-arma-el-pedido"/>
    <w:p>
      <w:pPr>
        <w:pStyle w:val="Heading3"/>
      </w:pPr>
      <w:r>
        <w:t xml:space="preserve">Cómo se arma el pedido</w:t>
      </w:r>
    </w:p>
    <w:p>
      <w:pPr>
        <w:pStyle w:val="FirstParagraph"/>
      </w:pPr>
      <w:r>
        <w:t xml:space="preserve">El servicio del módulo</w:t>
      </w:r>
      <w:r>
        <w:t xml:space="preserve"> </w:t>
      </w:r>
      <w:r>
        <w:rPr>
          <w:rStyle w:val="VerbatimChar"/>
        </w:rPr>
        <w:t xml:space="preserve">redes</w:t>
      </w:r>
      <w:r>
        <w:t xml:space="preserve"> </w:t>
      </w:r>
      <w:r>
        <w:t xml:space="preserve">arma el pedido con LangChain en dos partes: un</w:t>
      </w:r>
      <w:r>
        <w:t xml:space="preserve"> </w:t>
      </w:r>
      <w:r>
        <w:rPr>
          <w:b/>
          <w:bCs/>
        </w:rPr>
        <w:t xml:space="preserve">prompt de sistema</w:t>
      </w:r>
      <w:r>
        <w:t xml:space="preserve">, fijo, que define el rol y los límites, y un</w:t>
      </w:r>
      <w:r>
        <w:t xml:space="preserve"> </w:t>
      </w:r>
      <w:r>
        <w:rPr>
          <w:b/>
          <w:bCs/>
        </w:rPr>
        <w:t xml:space="preserve">prompt de usuario</w:t>
      </w:r>
      <w:r>
        <w:t xml:space="preserve">, que se completa con las tres variables que carga el empleado. Se hace</w:t>
      </w:r>
      <w:r>
        <w:t xml:space="preserve"> </w:t>
      </w:r>
      <w:r>
        <w:rPr>
          <w:b/>
          <w:bCs/>
        </w:rPr>
        <w:t xml:space="preserve">una sola llamada</w:t>
      </w:r>
      <w:r>
        <w:t xml:space="preserve"> </w:t>
      </w:r>
      <w:r>
        <w:t xml:space="preserve">a Claude Sonnet 5.5 y se devuelve un borrador; si no convence, el empleado ajusta los datos y pide otro (A1).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Qué es</w:t>
            </w:r>
          </w:p>
        </w:tc>
        <w:tc>
          <w:tcPr/>
          <w:p>
            <w:pPr>
              <w:pStyle w:val="Compact"/>
            </w:pPr>
            <w:r>
              <w:t xml:space="preserve">Valores</w:t>
            </w:r>
          </w:p>
        </w:tc>
      </w:tr>
      <w:tr>
        <w:tc>
          <w:tcPr/>
          <w:p>
            <w:pPr>
              <w:pStyle w:val="Compact"/>
            </w:pPr>
            <w:r>
              <w:rPr>
                <w:rStyle w:val="VerbatimChar"/>
              </w:rPr>
              <w:t xml:space="preserve">tema</w:t>
            </w:r>
          </w:p>
        </w:tc>
        <w:tc>
          <w:tcPr/>
          <w:p>
            <w:pPr>
              <w:pStyle w:val="Compact"/>
            </w:pPr>
            <w:r>
              <w:t xml:space="preserve">El destino, la oferta o la idea del posteo</w:t>
            </w:r>
          </w:p>
        </w:tc>
        <w:tc>
          <w:tcPr/>
          <w:p>
            <w:pPr>
              <w:pStyle w:val="Compact"/>
            </w:pPr>
            <w:r>
              <w:t xml:space="preserve">Texto libre, obligatorio</w:t>
            </w:r>
          </w:p>
        </w:tc>
      </w:tr>
      <w:tr>
        <w:tc>
          <w:tcPr/>
          <w:p>
            <w:pPr>
              <w:pStyle w:val="Compact"/>
            </w:pPr>
            <w:r>
              <w:rPr>
                <w:rStyle w:val="VerbatimChar"/>
              </w:rPr>
              <w:t xml:space="preserve">canal</w:t>
            </w:r>
          </w:p>
        </w:tc>
        <w:tc>
          <w:tcPr/>
          <w:p>
            <w:pPr>
              <w:pStyle w:val="Compact"/>
            </w:pPr>
            <w:r>
              <w:t xml:space="preserve">Dónde se va a publicar</w:t>
            </w:r>
          </w:p>
        </w:tc>
        <w:tc>
          <w:tcPr/>
          <w:p>
            <w:pPr>
              <w:pStyle w:val="Compact"/>
            </w:pPr>
            <w:r>
              <w:rPr>
                <w:rStyle w:val="VerbatimChar"/>
              </w:rPr>
              <w:t xml:space="preserve">instagram</w:t>
            </w:r>
            <w:r>
              <w:t xml:space="preserve">,</w:t>
            </w:r>
            <w:r>
              <w:t xml:space="preserve"> </w:t>
            </w:r>
            <w:r>
              <w:rPr>
                <w:rStyle w:val="VerbatimChar"/>
              </w:rPr>
              <w:t xml:space="preserve">tiktok</w:t>
            </w:r>
            <w:r>
              <w:t xml:space="preserve"> </w:t>
            </w:r>
            <w:r>
              <w:t xml:space="preserve">o</w:t>
            </w:r>
            <w:r>
              <w:t xml:space="preserve"> </w:t>
            </w:r>
            <w:r>
              <w:rPr>
                <w:rStyle w:val="VerbatimChar"/>
              </w:rPr>
              <w:t xml:space="preserve">whatsapp_ventas</w:t>
            </w:r>
            <w:r>
              <w:t xml:space="preserve"> </w:t>
            </w:r>
            <w:r>
              <w:t xml:space="preserve">(los canales de ContenidoRed)</w:t>
            </w:r>
          </w:p>
        </w:tc>
      </w:tr>
      <w:tr>
        <w:tc>
          <w:tcPr/>
          <w:p>
            <w:pPr>
              <w:pStyle w:val="Compact"/>
            </w:pPr>
            <w:r>
              <w:rPr>
                <w:rStyle w:val="VerbatimChar"/>
              </w:rPr>
              <w:t xml:space="preserve">tono</w:t>
            </w:r>
          </w:p>
        </w:tc>
        <w:tc>
          <w:tcPr/>
          <w:p>
            <w:pPr>
              <w:pStyle w:val="Compact"/>
            </w:pPr>
            <w:r>
              <w:t xml:space="preserve">El objetivo del posteo</w:t>
            </w:r>
          </w:p>
        </w:tc>
        <w:tc>
          <w:tcPr/>
          <w:p>
            <w:pPr>
              <w:pStyle w:val="Compact"/>
            </w:pPr>
            <w:r>
              <w:t xml:space="preserve">Texto libre, por ejemplo «promocionar un destino» o «anunciar una oferta»</w:t>
            </w:r>
          </w:p>
        </w:tc>
      </w:tr>
    </w:tbl>
    <w:bookmarkEnd w:id="209"/>
    <w:bookmarkStart w:id="210" w:name="prompt-de-sistema"/>
    <w:p>
      <w:pPr>
        <w:pStyle w:val="Heading3"/>
      </w:pPr>
      <w:r>
        <w:t xml:space="preserve">Prompt de sistema</w:t>
      </w:r>
    </w:p>
    <w:p>
      <w:pPr>
        <w:pStyle w:val="SourceCode"/>
      </w:pPr>
      <w:r>
        <w:rPr>
          <w:rStyle w:val="VerbatimChar"/>
        </w:rPr>
        <w:t xml:space="preserve">Sos redactor de contenido para redes sociales de una agencia de turismo argentina.</w:t>
      </w:r>
      <w:r>
        <w:br/>
      </w:r>
      <w:r>
        <w:rPr>
          <w:rStyle w:val="VerbatimChar"/>
        </w:rPr>
        <w:t xml:space="preserve">Escribís en español de Argentina, con voseo, de forma cálida y clara.</w:t>
      </w:r>
      <w:r>
        <w:br/>
      </w:r>
      <w:r>
        <w:br/>
      </w:r>
      <w:r>
        <w:rPr>
          <w:rStyle w:val="VerbatimChar"/>
        </w:rPr>
        <w:t xml:space="preserve">Tu tarea es proponer UN borrador de posteo a partir del tema, el canal y el tono</w:t>
      </w:r>
      <w:r>
        <w:br/>
      </w:r>
      <w:r>
        <w:rPr>
          <w:rStyle w:val="VerbatimChar"/>
        </w:rPr>
        <w:t xml:space="preserve">que te indica una persona de la agencia. Esa persona lo va a revisar, corregir y</w:t>
      </w:r>
      <w:r>
        <w:br/>
      </w:r>
      <w:r>
        <w:rPr>
          <w:rStyle w:val="VerbatimChar"/>
        </w:rPr>
        <w:t xml:space="preserve">publicar a mano: vos no publicás nada.</w:t>
      </w:r>
      <w:r>
        <w:br/>
      </w:r>
      <w:r>
        <w:br/>
      </w:r>
      <w:r>
        <w:rPr>
          <w:rStyle w:val="VerbatimChar"/>
        </w:rPr>
        <w:t xml:space="preserve">Reglas:</w:t>
      </w:r>
      <w:r>
        <w:br/>
      </w:r>
      <w:r>
        <w:rPr>
          <w:rStyle w:val="VerbatimChar"/>
        </w:rPr>
        <w:t xml:space="preserve">- Usá solo la información del pedido. No inventes precios, fechas, cupos, nombres</w:t>
      </w:r>
      <w:r>
        <w:br/>
      </w:r>
      <w:r>
        <w:rPr>
          <w:rStyle w:val="VerbatimChar"/>
        </w:rPr>
        <w:t xml:space="preserve">  de hoteles ni promociones que no estén en el tema.</w:t>
      </w:r>
      <w:r>
        <w:br/>
      </w:r>
      <w:r>
        <w:rPr>
          <w:rStyle w:val="VerbatimChar"/>
        </w:rPr>
        <w:t xml:space="preserve">- Si el tema no alcanza para un dato concreto, dejá un marcador entre corchetes,</w:t>
      </w:r>
      <w:r>
        <w:br/>
      </w:r>
      <w:r>
        <w:rPr>
          <w:rStyle w:val="VerbatimChar"/>
        </w:rPr>
        <w:t xml:space="preserve">  por ejemplo [precio] o [fecha de salida], para que la persona lo complete.</w:t>
      </w:r>
      <w:r>
        <w:br/>
      </w:r>
      <w:r>
        <w:rPr>
          <w:rStyle w:val="VerbatimChar"/>
        </w:rPr>
        <w:t xml:space="preserve">- No incluyas datos personales de clientes.</w:t>
      </w:r>
      <w:r>
        <w:br/>
      </w:r>
      <w:r>
        <w:rPr>
          <w:rStyle w:val="VerbatimChar"/>
        </w:rPr>
        <w:t xml:space="preserve">- Adaptá el largo y el formato al canal:</w:t>
      </w:r>
      <w:r>
        <w:br/>
      </w:r>
      <w:r>
        <w:rPr>
          <w:rStyle w:val="VerbatimChar"/>
        </w:rPr>
        <w:t xml:space="preserve">  - instagram: hasta 120 palabras, un párrafo de gancho, una llamada a la acción</w:t>
      </w:r>
      <w:r>
        <w:br/>
      </w:r>
      <w:r>
        <w:rPr>
          <w:rStyle w:val="VerbatimChar"/>
        </w:rPr>
        <w:t xml:space="preserve">    y entre 3 y 6 hashtags al final.</w:t>
      </w:r>
      <w:r>
        <w:br/>
      </w:r>
      <w:r>
        <w:rPr>
          <w:rStyle w:val="VerbatimChar"/>
        </w:rPr>
        <w:t xml:space="preserve">  - tiktok: un guion corto para un video de 15 a 30 segundos, con las escenas en</w:t>
      </w:r>
      <w:r>
        <w:br/>
      </w:r>
      <w:r>
        <w:rPr>
          <w:rStyle w:val="VerbatimChar"/>
        </w:rPr>
        <w:t xml:space="preserve">    viñetas, y una línea de texto para la descripción.</w:t>
      </w:r>
      <w:r>
        <w:br/>
      </w:r>
      <w:r>
        <w:rPr>
          <w:rStyle w:val="VerbatimChar"/>
        </w:rPr>
        <w:t xml:space="preserve">  - whatsapp_ventas: un mensaje de difusión de hasta 60 palabras, sin hashtags,</w:t>
      </w:r>
      <w:r>
        <w:br/>
      </w:r>
      <w:r>
        <w:rPr>
          <w:rStyle w:val="VerbatimChar"/>
        </w:rPr>
        <w:t xml:space="preserve">    con una pregunta final que invite a responder.</w:t>
      </w:r>
      <w:r>
        <w:br/>
      </w:r>
      <w:r>
        <w:rPr>
          <w:rStyle w:val="VerbatimChar"/>
        </w:rPr>
        <w:t xml:space="preserve">- Respondé solo con el borrador, sin explicaciones ni comentarios.</w:t>
      </w:r>
    </w:p>
    <w:bookmarkEnd w:id="210"/>
    <w:bookmarkStart w:id="211" w:name="prompt-de-usuario-plantilla"/>
    <w:p>
      <w:pPr>
        <w:pStyle w:val="Heading3"/>
      </w:pPr>
      <w:r>
        <w:t xml:space="preserve">Prompt de usuario (plantilla)</w:t>
      </w:r>
    </w:p>
    <w:p>
      <w:pPr>
        <w:pStyle w:val="SourceCode"/>
      </w:pPr>
      <w:r>
        <w:rPr>
          <w:rStyle w:val="VerbatimChar"/>
        </w:rPr>
        <w:t xml:space="preserve">Tema: {tema}</w:t>
      </w:r>
      <w:r>
        <w:br/>
      </w:r>
      <w:r>
        <w:rPr>
          <w:rStyle w:val="VerbatimChar"/>
        </w:rPr>
        <w:t xml:space="preserve">Canal: {canal}</w:t>
      </w:r>
      <w:r>
        <w:br/>
      </w:r>
      <w:r>
        <w:rPr>
          <w:rStyle w:val="VerbatimChar"/>
        </w:rPr>
        <w:t xml:space="preserve">Tono u objetivo: {tono}</w:t>
      </w:r>
    </w:p>
    <w:bookmarkEnd w:id="211"/>
    <w:bookmarkStart w:id="212" w:name="ejemplo"/>
    <w:p>
      <w:pPr>
        <w:pStyle w:val="Heading3"/>
      </w:pPr>
      <w:r>
        <w:t xml:space="preserve">Ejemplo</w:t>
      </w:r>
    </w:p>
    <w:p>
      <w:pPr>
        <w:pStyle w:val="FirstParagraph"/>
      </w:pPr>
      <w:r>
        <w:t xml:space="preserve">Datos que carga el empleado:</w:t>
      </w:r>
    </w:p>
    <w:p>
      <w:pPr>
        <w:pStyle w:val="SourceCode"/>
      </w:pPr>
      <w:r>
        <w:rPr>
          <w:rStyle w:val="VerbatimChar"/>
        </w:rPr>
        <w:t xml:space="preserve">Tema: Cataratas del Iguazú en 4 días, salida grupal en noviembre</w:t>
      </w:r>
      <w:r>
        <w:br/>
      </w:r>
      <w:r>
        <w:rPr>
          <w:rStyle w:val="VerbatimChar"/>
        </w:rPr>
        <w:t xml:space="preserve">Canal: instagram</w:t>
      </w:r>
      <w:r>
        <w:br/>
      </w:r>
      <w:r>
        <w:rPr>
          <w:rStyle w:val="VerbatimChar"/>
        </w:rPr>
        <w:t xml:space="preserve">Tono u objetivo: promocionar un destino</w:t>
      </w:r>
    </w:p>
    <w:p>
      <w:pPr>
        <w:pStyle w:val="FirstParagraph"/>
      </w:pPr>
      <w:r>
        <w:t xml:space="preserve">Borrador que podría devolver el modelo (ilustrativo, no es una salida real):</w:t>
      </w:r>
    </w:p>
    <w:p>
      <w:pPr>
        <w:pStyle w:val="SourceCode"/>
      </w:pPr>
      <w:r>
        <w:rPr>
          <w:rStyle w:val="VerbatimChar"/>
        </w:rPr>
        <w:t xml:space="preserve">¿Te imaginás sentir la fuerza de la Garganta del Diablo a pocos metros?</w:t>
      </w:r>
      <w:r>
        <w:br/>
      </w:r>
      <w:r>
        <w:rPr>
          <w:rStyle w:val="VerbatimChar"/>
        </w:rPr>
        <w:t xml:space="preserve">Te proponemos 4 días en las Cataratas del Iguazú, con salida grupal en noviembre:</w:t>
      </w:r>
      <w:r>
        <w:br/>
      </w:r>
      <w:r>
        <w:rPr>
          <w:rStyle w:val="VerbatimChar"/>
        </w:rPr>
        <w:t xml:space="preserve">senderos, lancha bajo los saltos y noches tranquilas en la selva misionera.</w:t>
      </w:r>
      <w:r>
        <w:br/>
      </w:r>
      <w:r>
        <w:rPr>
          <w:rStyle w:val="VerbatimChar"/>
        </w:rPr>
        <w:t xml:space="preserve">Cupos limitados. Escribinos y armamos tu lugar en el grupo. Desde [precio].</w:t>
      </w:r>
      <w:r>
        <w:br/>
      </w:r>
      <w:r>
        <w:br/>
      </w:r>
      <w:r>
        <w:rPr>
          <w:rStyle w:val="VerbatimChar"/>
        </w:rPr>
        <w:t xml:space="preserve">#CataratasDelIguazú #ViajarEnGrupo #Misiones #EscapadaArgentina</w:t>
      </w:r>
    </w:p>
    <w:bookmarkEnd w:id="212"/>
    <w:bookmarkStart w:id="213" w:name="por-qué-así"/>
    <w:p>
      <w:pPr>
        <w:pStyle w:val="Heading3"/>
      </w:pPr>
      <w:r>
        <w:t xml:space="preserve">Por qué así</w:t>
      </w:r>
    </w:p>
    <w:p>
      <w:pPr>
        <w:pStyle w:val="Compact"/>
        <w:numPr>
          <w:ilvl w:val="0"/>
          <w:numId w:val="1030"/>
        </w:numPr>
      </w:pPr>
      <w:r>
        <w:rPr>
          <w:b/>
          <w:bCs/>
        </w:rPr>
        <w:t xml:space="preserve">Límites en el prompt de sistema:</w:t>
      </w:r>
      <w:r>
        <w:t xml:space="preserve"> </w:t>
      </w:r>
      <w:r>
        <w:t xml:space="preserve">son los de CU-20 y de la decisión sobre el modelo (no publica, no usa datos del negocio). Se suma no inventar datos comerciales, porque un precio o una fecha inventados en un posteo le generan un problema real a la agencia.</w:t>
      </w:r>
    </w:p>
    <w:p>
      <w:pPr>
        <w:pStyle w:val="Compact"/>
        <w:numPr>
          <w:ilvl w:val="0"/>
          <w:numId w:val="1030"/>
        </w:numPr>
      </w:pPr>
      <w:r>
        <w:rPr>
          <w:b/>
          <w:bCs/>
        </w:rPr>
        <w:t xml:space="preserve">Marcadores entre corchetes:</w:t>
      </w:r>
      <w:r>
        <w:t xml:space="preserve"> </w:t>
      </w:r>
      <w:r>
        <w:t xml:space="preserve">hacen visible lo que la persona tiene que completar antes de publicar.</w:t>
      </w:r>
    </w:p>
    <w:p>
      <w:pPr>
        <w:pStyle w:val="Compact"/>
        <w:numPr>
          <w:ilvl w:val="0"/>
          <w:numId w:val="1030"/>
        </w:numPr>
      </w:pPr>
      <w:r>
        <w:rPr>
          <w:b/>
          <w:bCs/>
        </w:rPr>
        <w:t xml:space="preserve">Formato por canal:</w:t>
      </w:r>
      <w:r>
        <w:t xml:space="preserve"> </w:t>
      </w:r>
      <w:r>
        <w:t xml:space="preserve">los tres canales de ContenidoRed piden textos distintos, y dejarlo en el prompt evita que el empleado tenga que explicarlo en cada pedido.</w:t>
      </w:r>
    </w:p>
    <w:p>
      <w:pPr>
        <w:pStyle w:val="Compact"/>
        <w:numPr>
          <w:ilvl w:val="0"/>
          <w:numId w:val="1030"/>
        </w:numPr>
      </w:pPr>
      <w:r>
        <w:rPr>
          <w:b/>
          <w:bCs/>
        </w:rPr>
        <w:t xml:space="preserve">Sin parámetros explícitos:</w:t>
      </w:r>
      <w:r>
        <w:t xml:space="preserve"> </w:t>
      </w:r>
      <w:r>
        <w:t xml:space="preserve">se usan los valores por defecto del modelo, como se decidió al elegirlo.</w:t>
      </w:r>
    </w:p>
    <w:bookmarkEnd w:id="213"/>
    <w:bookmarkEnd w:id="214"/>
    <w:bookmarkStart w:id="215" w:name="prompts-del-agente-de-desarrollo"/>
    <w:p>
      <w:pPr>
        <w:pStyle w:val="Heading2"/>
      </w:pPr>
      <w:r>
        <w:t xml:space="preserve">Prompts del agente de desarrollo</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Claude Code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1"/>
        </w:numPr>
      </w:pPr>
      <w:r>
        <w:t xml:space="preserve">Identifica a la persona por su usuario de Git y le avisa si tiene tareas pendientes.</w:t>
      </w:r>
    </w:p>
    <w:p>
      <w:pPr>
        <w:pStyle w:val="Compact"/>
        <w:numPr>
          <w:ilvl w:val="0"/>
          <w:numId w:val="1031"/>
        </w:numPr>
      </w:pPr>
      <w:r>
        <w:t xml:space="preserve">Revisa el estado del repositorio y trae la última versión del trabajo del equipo.</w:t>
      </w:r>
    </w:p>
    <w:p>
      <w:pPr>
        <w:pStyle w:val="Compact"/>
        <w:numPr>
          <w:ilvl w:val="0"/>
          <w:numId w:val="1031"/>
        </w:numPr>
      </w:pPr>
      <w:r>
        <w:t xml:space="preserve">Lee el estado del proyecto, la bitácora de sesiones y la memoria del proyecto.</w:t>
      </w:r>
    </w:p>
    <w:p>
      <w:pPr>
        <w:pStyle w:val="Compact"/>
        <w:numPr>
          <w:ilvl w:val="0"/>
          <w:numId w:val="1031"/>
        </w:numPr>
      </w:pPr>
      <w:r>
        <w:t xml:space="preserve">Comprueba que estén disponibles las skills compartidas del equipo.</w:t>
      </w:r>
    </w:p>
    <w:p>
      <w:pPr>
        <w:pStyle w:val="Compact"/>
        <w:numPr>
          <w:ilvl w:val="0"/>
          <w:numId w:val="1031"/>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2"/>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2"/>
        </w:numPr>
      </w:pPr>
      <w:r>
        <w:t xml:space="preserve">Respetar el alcance: no implementar pagos online, publicación automática en redes, integración con mayoristas ni facturación.</w:t>
      </w:r>
    </w:p>
    <w:p>
      <w:pPr>
        <w:pStyle w:val="Compact"/>
        <w:numPr>
          <w:ilvl w:val="0"/>
          <w:numId w:val="1032"/>
        </w:numPr>
      </w:pPr>
      <w:r>
        <w:t xml:space="preserve">No aprobar ni formalizar nada sin la aprobación explícita del equipo, y no inventar datos del negocio: si falta información, avanzar con una propuesta marcada como borrador.</w:t>
      </w:r>
    </w:p>
    <w:p>
      <w:pPr>
        <w:pStyle w:val="Compact"/>
        <w:numPr>
          <w:ilvl w:val="0"/>
          <w:numId w:val="1032"/>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2"/>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p>
      <w:pPr>
        <w:pStyle w:val="BodyText"/>
      </w:pPr>
      <w:r>
        <w:rPr>
          <w:b/>
          <w:bCs/>
        </w:rPr>
        <w:t xml:space="preserve">Prompt inicial de ejemplo.</w:t>
      </w:r>
      <w:r>
        <w:t xml:space="preserve"> </w:t>
      </w:r>
      <w:r>
        <w:t xml:space="preserve">Cuando el agente se usa fuera de Claude Code, el equipo arranca la conversación con este pedido:</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5"/>
    <w:bookmarkEnd w:id="216"/>
    <w:bookmarkStart w:id="223" w:name="modelado-con-mermaid.js"/>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7" w:name="por-qué-mermaid"/>
    <w:p>
      <w:pPr>
        <w:pStyle w:val="Heading2"/>
      </w:pPr>
      <w:r>
        <w:t xml:space="preserve">Por qué Mermaid</w:t>
      </w:r>
    </w:p>
    <w:p>
      <w:pPr>
        <w:pStyle w:val="Compact"/>
        <w:numPr>
          <w:ilvl w:val="0"/>
          <w:numId w:val="1033"/>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3"/>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3"/>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3"/>
        </w:numPr>
      </w:pPr>
      <w:r>
        <w:rPr>
          <w:b/>
          <w:bCs/>
        </w:rPr>
        <w:t xml:space="preserve">Gratis y portable:</w:t>
      </w:r>
      <w:r>
        <w:t xml:space="preserve"> </w:t>
      </w:r>
      <w:r>
        <w:t xml:space="preserve">no requiere cuenta ni licencia, y lo integran el editor del equipo (Obsidian) y GitHub.</w:t>
      </w:r>
    </w:p>
    <w:bookmarkEnd w:id="217"/>
    <w:bookmarkStart w:id="218" w:name="cómo-se-trabaja"/>
    <w:p>
      <w:pPr>
        <w:pStyle w:val="Heading2"/>
      </w:pPr>
      <w:r>
        <w:t xml:space="preserve">Cómo se trabaja</w:t>
      </w:r>
    </w:p>
    <w:p>
      <w:pPr>
        <w:pStyle w:val="Compact"/>
        <w:numPr>
          <w:ilvl w:val="0"/>
          <w:numId w:val="1034"/>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4"/>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4"/>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8"/>
    <w:bookmarkStart w:id="222" w:name="ejemplo-1"/>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20" name="Picture"/>
            <a:graphic>
              <a:graphicData uri="http://schemas.openxmlformats.org/drawingml/2006/picture">
                <pic:pic>
                  <pic:nvPicPr>
                    <pic:cNvPr descr="DES-pipeline-calidad.png" id="221" name="Picture"/>
                    <pic:cNvPicPr>
                      <a:picLocks noChangeArrowheads="1" noChangeAspect="1"/>
                    </pic:cNvPicPr>
                  </pic:nvPicPr>
                  <pic:blipFill>
                    <a:blip r:embed="rId219"/>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22"/>
    <w:bookmarkEnd w:id="223"/>
    <w:bookmarkStart w:id="224" w:name="X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ordenada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rPr>
                <w:rStyle w:val="VerbatimChar"/>
              </w:rPr>
              <w:t xml:space="preserve">CLAUDE.md</w:t>
            </w:r>
            <w:r>
              <w:t xml:space="preserve">, las instrucciones del agente de desarrollo.</w:t>
            </w:r>
          </w:p>
        </w:tc>
      </w:tr>
    </w:tbl>
    <w:bookmarkEnd w:id="22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image" Id="rId87" Target="media/rId87.png" /><Relationship Type="http://schemas.openxmlformats.org/officeDocument/2006/relationships/image" Id="rId164" Target="media/rId164.png" /><Relationship Type="http://schemas.openxmlformats.org/officeDocument/2006/relationships/image" Id="rId219" Target="media/rId219.png" /><Relationship Type="http://schemas.openxmlformats.org/officeDocument/2006/relationships/image" Id="rId142" Target="media/rId142.png" /><Relationship Type="http://schemas.openxmlformats.org/officeDocument/2006/relationships/image" Id="rId169" Target="media/rId169.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200" Target="media/rId200.png" /><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2026-09-30T22:15:50Z</dcterms:created>
  <dcterms:modified xsi:type="dcterms:W3CDTF">2026-09-30T22:15:50Z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