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modelo-de-ia-del-producto"/>
    <w:p>
      <w:pPr>
        <w:pStyle w:val="Heading1"/>
      </w:pPr>
      <w:r>
        <w:t xml:space="preserve">Modelo de IA del producto</w:t>
      </w:r>
    </w:p>
    <w:bookmarkStart w:id="50" w:name="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alternativas-consideradas"/>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agentes-de-ia-del-proyecto"/>
    <w:p>
      <w:pPr>
        <w:pStyle w:val="Heading1"/>
      </w:pPr>
      <w:r>
        <w:t xml:space="preserve">Agentes de IA del proyecto</w:t>
      </w:r>
    </w:p>
    <w:bookmarkStart w:id="58" w:name="ciclo-de-trabajo-con-el-agente"/>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claude-code-agente-principal"/>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subagentes-exploración-en-paralelo"/>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mcp-de-figma-prototipo-de-interfaces"/>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2026-09-30T22:43:42Z</dcterms:created>
  <dcterms:modified xsi:type="dcterms:W3CDTF">2026-09-30T22:43:42Z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