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3"/>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CU-28 Crear recordatorio manual</w:t>
      </w:r>
    </w:p>
    <w:p>
      <w:pPr>
        <w:pStyle w:val="Compact"/>
        <w:numPr>
          <w:ilvl w:val="0"/>
          <w:numId w:val="1083"/>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4"/>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CU-28 Crear recordatorio manual</w:t>
      </w:r>
    </w:p>
    <w:p>
      <w:pPr>
        <w:pStyle w:val="Compact"/>
        <w:numPr>
          <w:ilvl w:val="0"/>
          <w:numId w:val="1084"/>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5"/>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6"/>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6"/>
        </w:numPr>
      </w:pPr>
      <w:r>
        <w:rPr>
          <w:b/>
          <w:bCs/>
        </w:rPr>
        <w:t xml:space="preserve">Casos de uso:</w:t>
      </w:r>
      <w:r>
        <w:t xml:space="preserve"> </w:t>
      </w:r>
      <w:r>
        <w:t xml:space="preserve">CU-13 Configurar porcentaje de comisión</w:t>
      </w:r>
    </w:p>
    <w:p>
      <w:pPr>
        <w:pStyle w:val="Compact"/>
        <w:numPr>
          <w:ilvl w:val="0"/>
          <w:numId w:val="1086"/>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7"/>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CU-13 Configurar porcentaje de comisión</w:t>
      </w:r>
    </w:p>
    <w:p>
      <w:pPr>
        <w:pStyle w:val="Compact"/>
        <w:numPr>
          <w:ilvl w:val="0"/>
          <w:numId w:val="1087"/>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8"/>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89"/>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8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CU-15 Configurar recordatorios por destino</w:t>
      </w:r>
    </w:p>
    <w:p>
      <w:pPr>
        <w:pStyle w:val="Compact"/>
        <w:numPr>
          <w:ilvl w:val="0"/>
          <w:numId w:val="1089"/>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0"/>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0"/>
        </w:numPr>
      </w:pPr>
      <w:r>
        <w:rPr>
          <w:b/>
          <w:bCs/>
        </w:rPr>
        <w:t xml:space="preserve">Casos de uso:</w:t>
      </w:r>
      <w:r>
        <w:t xml:space="preserve"> </w:t>
      </w:r>
      <w:r>
        <w:t xml:space="preserve">CU-15 Configurar recordatorios por destino</w:t>
      </w:r>
    </w:p>
    <w:p>
      <w:pPr>
        <w:pStyle w:val="Compact"/>
        <w:numPr>
          <w:ilvl w:val="0"/>
          <w:numId w:val="1090"/>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1"/>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2"/>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2"/>
        </w:numPr>
      </w:pPr>
      <w:r>
        <w:rPr>
          <w:b/>
          <w:bCs/>
        </w:rPr>
        <w:t xml:space="preserve">Casos de uso:</w:t>
      </w:r>
      <w:r>
        <w:t xml:space="preserve"> </w:t>
      </w:r>
      <w:r>
        <w:t xml:space="preserve">CU-26 Gestionar destinos</w:t>
      </w:r>
    </w:p>
    <w:p>
      <w:pPr>
        <w:pStyle w:val="Compact"/>
        <w:numPr>
          <w:ilvl w:val="0"/>
          <w:numId w:val="1092"/>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3"/>
        </w:numPr>
      </w:pPr>
      <w:r>
        <w:rPr>
          <w:b/>
          <w:bCs/>
        </w:rPr>
        <w:t xml:space="preserve">Descripción:</w:t>
      </w:r>
      <w:r>
        <w:t xml:space="preserve"> </w:t>
      </w:r>
      <w:r>
        <w:t xml:space="preserve">si el nombre del destino ya existe en el catálogo, el sistema rechaza el alta.</w:t>
      </w:r>
    </w:p>
    <w:p>
      <w:pPr>
        <w:pStyle w:val="Compact"/>
        <w:numPr>
          <w:ilvl w:val="0"/>
          <w:numId w:val="109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CU-26 Gestionar destinos</w:t>
      </w:r>
    </w:p>
    <w:p>
      <w:pPr>
        <w:pStyle w:val="Compact"/>
        <w:numPr>
          <w:ilvl w:val="0"/>
          <w:numId w:val="1093"/>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4"/>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5"/>
        </w:numPr>
      </w:pPr>
      <w:r>
        <w:rPr>
          <w:b/>
          <w:bCs/>
        </w:rPr>
        <w:t xml:space="preserve">Descripción:</w:t>
      </w:r>
      <w:r>
        <w:t xml:space="preserve"> </w:t>
      </w:r>
      <w:r>
        <w:t xml:space="preserve">el sistema permite reactivar un Destino dado de baja lógica.</w:t>
      </w:r>
    </w:p>
    <w:p>
      <w:pPr>
        <w:pStyle w:val="Compact"/>
        <w:numPr>
          <w:ilvl w:val="0"/>
          <w:numId w:val="109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6"/>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CU-31 Gestionar operadores</w:t>
      </w:r>
    </w:p>
    <w:p>
      <w:pPr>
        <w:pStyle w:val="Compact"/>
        <w:numPr>
          <w:ilvl w:val="0"/>
          <w:numId w:val="1096"/>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7"/>
        </w:numPr>
      </w:pPr>
      <w:r>
        <w:rPr>
          <w:b/>
          <w:bCs/>
        </w:rPr>
        <w:t xml:space="preserve">Descripción:</w:t>
      </w:r>
      <w:r>
        <w:t xml:space="preserve"> </w:t>
      </w:r>
      <w:r>
        <w:t xml:space="preserve">si el nombre del operador ya existe en el catálogo, el sistema rechaza el alta.</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7"/>
        </w:numPr>
      </w:pPr>
      <w:r>
        <w:rPr>
          <w:b/>
          <w:bCs/>
        </w:rPr>
        <w:t xml:space="preserve">Casos de uso:</w:t>
      </w:r>
      <w:r>
        <w:t xml:space="preserve"> </w:t>
      </w:r>
      <w:r>
        <w:t xml:space="preserve">CU-31 Gestionar operadores</w:t>
      </w:r>
    </w:p>
    <w:p>
      <w:pPr>
        <w:pStyle w:val="Compact"/>
        <w:numPr>
          <w:ilvl w:val="0"/>
          <w:numId w:val="1097"/>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8"/>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099"/>
        </w:numPr>
      </w:pPr>
      <w:r>
        <w:rPr>
          <w:b/>
          <w:bCs/>
        </w:rPr>
        <w:t xml:space="preserve">Descripción:</w:t>
      </w:r>
      <w:r>
        <w:t xml:space="preserve"> </w:t>
      </w:r>
      <w:r>
        <w:t xml:space="preserve">el sistema permite reactivar un Operador dado de baja lógica.</w:t>
      </w:r>
    </w:p>
    <w:p>
      <w:pPr>
        <w:pStyle w:val="Compact"/>
        <w:numPr>
          <w:ilvl w:val="0"/>
          <w:numId w:val="109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0"/>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0"/>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CU-16 Gestionar hotel en catálogo</w:t>
      </w:r>
    </w:p>
    <w:p>
      <w:pPr>
        <w:pStyle w:val="Compact"/>
        <w:numPr>
          <w:ilvl w:val="0"/>
          <w:numId w:val="1100"/>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1"/>
        </w:numPr>
      </w:pPr>
      <w:r>
        <w:rPr>
          <w:b/>
          <w:bCs/>
        </w:rPr>
        <w:t xml:space="preserve">Descripción:</w:t>
      </w:r>
      <w:r>
        <w:t xml:space="preserve"> </w:t>
      </w:r>
      <w:r>
        <w:t xml:space="preserve">el sistema exige nombre y destino; si falta alguno, no guarda y pide completarlos.</w:t>
      </w:r>
    </w:p>
    <w:p>
      <w:pPr>
        <w:pStyle w:val="Compact"/>
        <w:numPr>
          <w:ilvl w:val="0"/>
          <w:numId w:val="110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CU-16 Gestionar hotel en catálogo</w:t>
      </w:r>
    </w:p>
    <w:p>
      <w:pPr>
        <w:pStyle w:val="Compact"/>
        <w:numPr>
          <w:ilvl w:val="0"/>
          <w:numId w:val="1101"/>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2"/>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3"/>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3"/>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4"/>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4"/>
        </w:numPr>
      </w:pPr>
      <w:r>
        <w:rPr>
          <w:b/>
          <w:bCs/>
        </w:rPr>
        <w:t xml:space="preserve">Casos de uso:</w:t>
      </w:r>
      <w:r>
        <w:t xml:space="preserve"> </w:t>
      </w:r>
      <w:r>
        <w:t xml:space="preserve">CU-17 Registrar reseña de hotel</w:t>
      </w:r>
    </w:p>
    <w:p>
      <w:pPr>
        <w:pStyle w:val="Compact"/>
        <w:numPr>
          <w:ilvl w:val="0"/>
          <w:numId w:val="1104"/>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5"/>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5"/>
        </w:numPr>
      </w:pPr>
      <w:r>
        <w:rPr>
          <w:b/>
          <w:bCs/>
        </w:rPr>
        <w:t xml:space="preserve">Casos de uso:</w:t>
      </w:r>
      <w:r>
        <w:t xml:space="preserve"> </w:t>
      </w:r>
      <w:r>
        <w:t xml:space="preserve">CU-17 Registrar reseña de hotel</w:t>
      </w:r>
    </w:p>
    <w:p>
      <w:pPr>
        <w:pStyle w:val="Compact"/>
        <w:numPr>
          <w:ilvl w:val="0"/>
          <w:numId w:val="1105"/>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6"/>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7"/>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8"/>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09"/>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CU-18 Buscar y recomendar hoteles</w:t>
      </w:r>
    </w:p>
    <w:p>
      <w:pPr>
        <w:pStyle w:val="Compact"/>
        <w:numPr>
          <w:ilvl w:val="0"/>
          <w:numId w:val="1109"/>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0"/>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0"/>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CU-18 Buscar y recomendar hoteles</w:t>
      </w:r>
    </w:p>
    <w:p>
      <w:pPr>
        <w:pStyle w:val="Compact"/>
        <w:numPr>
          <w:ilvl w:val="0"/>
          <w:numId w:val="1110"/>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1"/>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2"/>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3"/>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4"/>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4"/>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4"/>
        </w:numPr>
      </w:pPr>
      <w:r>
        <w:rPr>
          <w:b/>
          <w:bCs/>
        </w:rPr>
        <w:t xml:space="preserve">Casos de uso:</w:t>
      </w:r>
      <w:r>
        <w:t xml:space="preserve"> </w:t>
      </w:r>
      <w:r>
        <w:t xml:space="preserve">CU-29 Eliminar reseña</w:t>
      </w:r>
    </w:p>
    <w:p>
      <w:pPr>
        <w:pStyle w:val="Compact"/>
        <w:numPr>
          <w:ilvl w:val="0"/>
          <w:numId w:val="1114"/>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5"/>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5"/>
        </w:numPr>
      </w:pPr>
      <w:r>
        <w:rPr>
          <w:b/>
          <w:bCs/>
        </w:rPr>
        <w:t xml:space="preserve">Casos de uso:</w:t>
      </w:r>
      <w:r>
        <w:t xml:space="preserve"> </w:t>
      </w:r>
      <w:r>
        <w:t xml:space="preserve">CU-29 Eliminar reseña</w:t>
      </w:r>
    </w:p>
    <w:p>
      <w:pPr>
        <w:pStyle w:val="Compact"/>
        <w:numPr>
          <w:ilvl w:val="0"/>
          <w:numId w:val="1115"/>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6"/>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CU-19 Planificar contenido en redes</w:t>
      </w:r>
    </w:p>
    <w:p>
      <w:pPr>
        <w:pStyle w:val="Compact"/>
        <w:numPr>
          <w:ilvl w:val="0"/>
          <w:numId w:val="1116"/>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7"/>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CU-19 Planificar contenido en redes</w:t>
      </w:r>
    </w:p>
    <w:p>
      <w:pPr>
        <w:pStyle w:val="Compact"/>
        <w:numPr>
          <w:ilvl w:val="0"/>
          <w:numId w:val="1117"/>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8"/>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19"/>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0"/>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1"/>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2"/>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CU-20 Generar propuesta de contenido con IA</w:t>
      </w:r>
    </w:p>
    <w:p>
      <w:pPr>
        <w:pStyle w:val="Compact"/>
        <w:numPr>
          <w:ilvl w:val="0"/>
          <w:numId w:val="1122"/>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3"/>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CU-20 Generar propuesta de contenido con IA</w:t>
      </w:r>
    </w:p>
    <w:p>
      <w:pPr>
        <w:pStyle w:val="Compact"/>
        <w:numPr>
          <w:ilvl w:val="0"/>
          <w:numId w:val="1123"/>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4"/>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5"/>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6"/>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CU-21 Ver dashboard y embudo</w:t>
      </w:r>
    </w:p>
    <w:p>
      <w:pPr>
        <w:pStyle w:val="Compact"/>
        <w:numPr>
          <w:ilvl w:val="0"/>
          <w:numId w:val="1126"/>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7"/>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CU-21 Ver dashboard y embudo</w:t>
      </w:r>
    </w:p>
    <w:p>
      <w:pPr>
        <w:pStyle w:val="Compact"/>
        <w:numPr>
          <w:ilvl w:val="0"/>
          <w:numId w:val="1127"/>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8"/>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29"/>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0"/>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1"/>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2"/>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2"/>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3"/>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4"/>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4"/>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CU-22 Generar reportes y estadísticas</w:t>
      </w:r>
    </w:p>
    <w:p>
      <w:pPr>
        <w:pStyle w:val="Compact"/>
        <w:numPr>
          <w:ilvl w:val="0"/>
          <w:numId w:val="1134"/>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5"/>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CU-22 Generar reportes y estadísticas</w:t>
      </w:r>
    </w:p>
    <w:p>
      <w:pPr>
        <w:pStyle w:val="Compact"/>
        <w:numPr>
          <w:ilvl w:val="0"/>
          <w:numId w:val="1135"/>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6"/>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7"/>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8"/>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8"/>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39"/>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9"/>
        </w:numPr>
      </w:pPr>
      <w:r>
        <w:rPr>
          <w:b/>
          <w:bCs/>
        </w:rPr>
        <w:t xml:space="preserve">Casos de uso:</w:t>
      </w:r>
      <w:r>
        <w:t xml:space="preserve"> </w:t>
      </w:r>
      <w:r>
        <w:t xml:space="preserve">CU-23 Ver calendario de viajes y vencimientos</w:t>
      </w:r>
    </w:p>
    <w:p>
      <w:pPr>
        <w:pStyle w:val="Compact"/>
        <w:numPr>
          <w:ilvl w:val="0"/>
          <w:numId w:val="1139"/>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0"/>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Casos de uso:</w:t>
      </w:r>
      <w:r>
        <w:t xml:space="preserve"> </w:t>
      </w:r>
      <w:r>
        <w:t xml:space="preserve">CU-23 Ver calendario de viajes y vencimientos</w:t>
      </w:r>
    </w:p>
    <w:p>
      <w:pPr>
        <w:pStyle w:val="Compact"/>
        <w:numPr>
          <w:ilvl w:val="0"/>
          <w:numId w:val="1140"/>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1"/>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2"/>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3"/>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3"/>
        </w:numPr>
      </w:pPr>
      <w:r>
        <w:rPr>
          <w:b/>
          <w:bCs/>
        </w:rPr>
        <w:t xml:space="preserve">Casos de uso:</w:t>
      </w:r>
      <w:r>
        <w:t xml:space="preserve"> </w:t>
      </w:r>
      <w:r>
        <w:t xml:space="preserve">CU-24 Iniciar sesión</w:t>
      </w:r>
    </w:p>
    <w:p>
      <w:pPr>
        <w:pStyle w:val="Compact"/>
        <w:numPr>
          <w:ilvl w:val="0"/>
          <w:numId w:val="1143"/>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4"/>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CU-24 Iniciar sesión</w:t>
      </w:r>
    </w:p>
    <w:p>
      <w:pPr>
        <w:pStyle w:val="Compact"/>
        <w:numPr>
          <w:ilvl w:val="0"/>
          <w:numId w:val="1144"/>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5"/>
        </w:numPr>
      </w:pPr>
      <w:r>
        <w:rPr>
          <w:b/>
          <w:bCs/>
        </w:rPr>
        <w:t xml:space="preserve">Descripción:</w:t>
      </w:r>
      <w:r>
        <w:t xml:space="preserve"> </w:t>
      </w:r>
      <w:r>
        <w:t xml:space="preserve">si las credenciales no son válidas, el sistema rechaza el acceso y no abre sesión.</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6"/>
        </w:numPr>
      </w:pPr>
      <w:r>
        <w:rPr>
          <w:b/>
          <w:bCs/>
        </w:rPr>
        <w:t xml:space="preserve">Descripción:</w:t>
      </w:r>
      <w:r>
        <w:t xml:space="preserve"> </w:t>
      </w:r>
      <w:r>
        <w:t xml:space="preserve">el sistema permite al Usuario cerrar su sesión y descarta su contexto de trabajo.</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7"/>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CU-25 Gestionar usuarios y roles</w:t>
      </w:r>
    </w:p>
    <w:p>
      <w:pPr>
        <w:pStyle w:val="Compact"/>
        <w:numPr>
          <w:ilvl w:val="0"/>
          <w:numId w:val="1147"/>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8"/>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8"/>
        </w:numPr>
      </w:pPr>
      <w:r>
        <w:rPr>
          <w:b/>
          <w:bCs/>
        </w:rPr>
        <w:t xml:space="preserve">Casos de uso:</w:t>
      </w:r>
      <w:r>
        <w:t xml:space="preserve"> </w:t>
      </w:r>
      <w:r>
        <w:t xml:space="preserve">CU-25 Gestionar usuarios y roles</w:t>
      </w:r>
    </w:p>
    <w:p>
      <w:pPr>
        <w:pStyle w:val="Compact"/>
        <w:numPr>
          <w:ilvl w:val="0"/>
          <w:numId w:val="1148"/>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49"/>
        </w:numPr>
      </w:pPr>
      <w:r>
        <w:rPr>
          <w:b/>
          <w:bCs/>
        </w:rPr>
        <w:t xml:space="preserve">Descripción:</w:t>
      </w:r>
      <w:r>
        <w:t xml:space="preserve"> </w:t>
      </w:r>
      <w:r>
        <w:t xml:space="preserve">si el email ya existe en el padrón, el sistema rechaza el alta del Usuario.</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0"/>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1"/>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2"/>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3"/>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 (transversal)</w:t>
      </w:r>
    </w:p>
    <w:p>
      <w:pPr>
        <w:pStyle w:val="Compact"/>
        <w:numPr>
          <w:ilvl w:val="0"/>
          <w:numId w:val="1154"/>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transversal — se aplica en todos los casos de uso del sistema</w:t>
      </w:r>
    </w:p>
    <w:p>
      <w:pPr>
        <w:pStyle w:val="Compact"/>
        <w:numPr>
          <w:ilvl w:val="0"/>
          <w:numId w:val="1154"/>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 (transversal)</w:t>
      </w:r>
    </w:p>
    <w:p>
      <w:pPr>
        <w:pStyle w:val="Compact"/>
        <w:numPr>
          <w:ilvl w:val="0"/>
          <w:numId w:val="1155"/>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transversal — se aplica sobre los registros que crea o modifica cualquier caso de uso</w:t>
      </w:r>
    </w:p>
    <w:p>
      <w:pPr>
        <w:pStyle w:val="Compact"/>
        <w:numPr>
          <w:ilvl w:val="0"/>
          <w:numId w:val="1155"/>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 (transversal)</w:t>
      </w:r>
    </w:p>
    <w:p>
      <w:pPr>
        <w:pStyle w:val="Compact"/>
        <w:numPr>
          <w:ilvl w:val="0"/>
          <w:numId w:val="1156"/>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6"/>
        </w:numPr>
      </w:pPr>
      <w:r>
        <w:rPr>
          <w:b/>
          <w:bCs/>
        </w:rPr>
        <w:t xml:space="preserve">Entidades:</w:t>
      </w:r>
      <w:r>
        <w:t xml:space="preserve"> </w:t>
      </w:r>
      <w:r>
        <w:t xml:space="preserve">Hotel · Reseña · Destino · Operador · Usuario · Pago · Viaje · ContenidoRed</w:t>
      </w:r>
    </w:p>
    <w:bookmarkEnd w:id="218"/>
    <w:bookmarkEnd w:id="219"/>
    <w:bookmarkStart w:id="244"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4" w:name="seguridad"/>
    <w:p>
      <w:pPr>
        <w:pStyle w:val="Heading2"/>
      </w:pPr>
      <w:r>
        <w:t xml:space="preserve">Seguridad</w:t>
      </w:r>
    </w:p>
    <w:bookmarkStart w:id="220" w:name="Xaec881bbbb2cc2da411c5fa94cc4f4225c6bfb2"/>
    <w:p>
      <w:pPr>
        <w:pStyle w:val="Heading4"/>
      </w:pPr>
      <w:r>
        <w:t xml:space="preserve">RNF-01 — Identificación individual de cada usuario</w:t>
      </w:r>
    </w:p>
    <w:p>
      <w:pPr>
        <w:pStyle w:val="Compact"/>
        <w:numPr>
          <w:ilvl w:val="0"/>
          <w:numId w:val="1157"/>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7"/>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7"/>
        </w:numPr>
      </w:pPr>
      <w:r>
        <w:rPr>
          <w:b/>
          <w:bCs/>
        </w:rPr>
        <w:t xml:space="preserve">Verificación:</w:t>
      </w:r>
      <w:r>
        <w:t xml:space="preserve"> </w:t>
      </w:r>
      <w:r>
        <w:t xml:space="preserve">el padrón no admite usuarios genéricos; toda sesión queda asociada a una persona.</w:t>
      </w:r>
    </w:p>
    <w:bookmarkEnd w:id="220"/>
    <w:bookmarkStart w:id="221" w:name="X178598f79d04f64a483b6abfe32b64cda7340e3"/>
    <w:p>
      <w:pPr>
        <w:pStyle w:val="Heading4"/>
      </w:pPr>
      <w:r>
        <w:t xml:space="preserve">RNF-02 — Control de acceso sobre cada registro</w:t>
      </w:r>
    </w:p>
    <w:p>
      <w:pPr>
        <w:pStyle w:val="Compact"/>
        <w:numPr>
          <w:ilvl w:val="0"/>
          <w:numId w:val="1158"/>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58"/>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58"/>
        </w:numPr>
      </w:pPr>
      <w:r>
        <w:rPr>
          <w:b/>
          <w:bCs/>
        </w:rPr>
        <w:t xml:space="preserve">Verificación:</w:t>
      </w:r>
      <w:r>
        <w:t xml:space="preserve"> </w:t>
      </w:r>
      <w:r>
        <w:t xml:space="preserve">un usuario con visibilidad restringida no obtiene registros ajenos por ninguna vía de acceso, incluida la interfaz de servicios.</w:t>
      </w:r>
    </w:p>
    <w:bookmarkEnd w:id="221"/>
    <w:bookmarkStart w:id="222" w:name="rnf-03-protección-de-las-credenciales"/>
    <w:p>
      <w:pPr>
        <w:pStyle w:val="Heading4"/>
      </w:pPr>
      <w:r>
        <w:t xml:space="preserve">RNF-03 — Protección de las credenciales</w:t>
      </w:r>
    </w:p>
    <w:p>
      <w:pPr>
        <w:pStyle w:val="Compact"/>
        <w:numPr>
          <w:ilvl w:val="0"/>
          <w:numId w:val="1159"/>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59"/>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59"/>
        </w:numPr>
      </w:pPr>
      <w:r>
        <w:rPr>
          <w:b/>
          <w:bCs/>
        </w:rPr>
        <w:t xml:space="preserve">Verificación:</w:t>
      </w:r>
      <w:r>
        <w:t xml:space="preserve"> </w:t>
      </w:r>
      <w:r>
        <w:t xml:space="preserve">la base no contiene contraseñas recuperables y todo tráfico de las aplicaciones usa canal cifrado.</w:t>
      </w:r>
    </w:p>
    <w:bookmarkEnd w:id="222"/>
    <w:bookmarkStart w:id="223" w:name="rnf-04-trazabilidad-de-las-operaciones"/>
    <w:p>
      <w:pPr>
        <w:pStyle w:val="Heading4"/>
      </w:pPr>
      <w:r>
        <w:t xml:space="preserve">RNF-04 — Trazabilidad de las operaciones</w:t>
      </w:r>
    </w:p>
    <w:p>
      <w:pPr>
        <w:pStyle w:val="Compact"/>
        <w:numPr>
          <w:ilvl w:val="0"/>
          <w:numId w:val="1160"/>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0"/>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3"/>
    <w:bookmarkEnd w:id="224"/>
    <w:bookmarkStart w:id="229" w:name="fiabilidad-y-robustez"/>
    <w:p>
      <w:pPr>
        <w:pStyle w:val="Heading2"/>
      </w:pPr>
      <w:r>
        <w:t xml:space="preserve">Fiabilidad y robustez</w:t>
      </w:r>
    </w:p>
    <w:bookmarkStart w:id="225" w:name="X102730d760764af8ed806c24dcfad92c8afd156"/>
    <w:p>
      <w:pPr>
        <w:pStyle w:val="Heading4"/>
      </w:pPr>
      <w:r>
        <w:t xml:space="preserve">RNF-05 — Consistencia de la información económica</w:t>
      </w:r>
    </w:p>
    <w:p>
      <w:pPr>
        <w:pStyle w:val="Compact"/>
        <w:numPr>
          <w:ilvl w:val="0"/>
          <w:numId w:val="1161"/>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1"/>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1"/>
        </w:numPr>
      </w:pPr>
      <w:r>
        <w:rPr>
          <w:b/>
          <w:bCs/>
        </w:rPr>
        <w:t xml:space="preserve">Verificación:</w:t>
      </w:r>
      <w:r>
        <w:t xml:space="preserve"> </w:t>
      </w:r>
      <w:r>
        <w:t xml:space="preserve">ante una interrupción durante una operación compuesta, el sistema no queda en un estado intermedio.</w:t>
      </w:r>
    </w:p>
    <w:bookmarkEnd w:id="225"/>
    <w:bookmarkStart w:id="226" w:name="rnf-06-tolerancia-al-error-del-usuario"/>
    <w:p>
      <w:pPr>
        <w:pStyle w:val="Heading4"/>
      </w:pPr>
      <w:r>
        <w:t xml:space="preserve">RNF-06 — Tolerancia al error del usuario</w:t>
      </w:r>
    </w:p>
    <w:p>
      <w:pPr>
        <w:pStyle w:val="Compact"/>
        <w:numPr>
          <w:ilvl w:val="0"/>
          <w:numId w:val="1162"/>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2"/>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2"/>
        </w:numPr>
      </w:pPr>
      <w:r>
        <w:rPr>
          <w:b/>
          <w:bCs/>
        </w:rPr>
        <w:t xml:space="preserve">Verificación:</w:t>
      </w:r>
      <w:r>
        <w:t xml:space="preserve"> </w:t>
      </w:r>
      <w:r>
        <w:t xml:space="preserve">las operaciones reversibles vuelven al estado anterior y ninguna validación fallida descarta lo que el usuario ya había cargado.</w:t>
      </w:r>
    </w:p>
    <w:bookmarkEnd w:id="226"/>
    <w:bookmarkStart w:id="227" w:name="rnf-07-preservación-del-historial"/>
    <w:p>
      <w:pPr>
        <w:pStyle w:val="Heading4"/>
      </w:pPr>
      <w:r>
        <w:t xml:space="preserve">RNF-07 — Preservación del historial</w:t>
      </w:r>
    </w:p>
    <w:p>
      <w:pPr>
        <w:pStyle w:val="Compact"/>
        <w:numPr>
          <w:ilvl w:val="0"/>
          <w:numId w:val="1163"/>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3"/>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3"/>
        </w:numPr>
      </w:pPr>
      <w:r>
        <w:rPr>
          <w:b/>
          <w:bCs/>
        </w:rPr>
        <w:t xml:space="preserve">Verificación:</w:t>
      </w:r>
      <w:r>
        <w:t xml:space="preserve"> </w:t>
      </w:r>
      <w:r>
        <w:t xml:space="preserve">ninguna operación deja registros huérfanos ni altera reportes de períodos ya cerrados.</w:t>
      </w:r>
    </w:p>
    <w:bookmarkEnd w:id="227"/>
    <w:bookmarkStart w:id="228" w:name="rnf-08-resguardo-y-recuperación"/>
    <w:p>
      <w:pPr>
        <w:pStyle w:val="Heading4"/>
      </w:pPr>
      <w:r>
        <w:t xml:space="preserve">RNF-08 — Resguardo y recuperación</w:t>
      </w:r>
    </w:p>
    <w:p>
      <w:pPr>
        <w:pStyle w:val="Compact"/>
        <w:numPr>
          <w:ilvl w:val="0"/>
          <w:numId w:val="1164"/>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4"/>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4"/>
        </w:numPr>
      </w:pPr>
      <w:r>
        <w:rPr>
          <w:b/>
          <w:bCs/>
        </w:rPr>
        <w:t xml:space="preserve">Verificación:</w:t>
      </w:r>
      <w:r>
        <w:t xml:space="preserve"> </w:t>
      </w:r>
      <w:r>
        <w:t xml:space="preserve">existe un respaldo de cada uno de los últimos 30 días, con su copia externa, y se prueba mediante una restauración completa.</w:t>
      </w:r>
    </w:p>
    <w:bookmarkEnd w:id="228"/>
    <w:bookmarkEnd w:id="229"/>
    <w:bookmarkStart w:id="232" w:name="rendimiento"/>
    <w:p>
      <w:pPr>
        <w:pStyle w:val="Heading2"/>
      </w:pPr>
      <w:r>
        <w:t xml:space="preserve">Rendimiento</w:t>
      </w:r>
    </w:p>
    <w:bookmarkStart w:id="230" w:name="X51a6473284e85a6f469b242ab8ed93e4b8476aa"/>
    <w:p>
      <w:pPr>
        <w:pStyle w:val="Heading4"/>
      </w:pPr>
      <w:r>
        <w:t xml:space="preserve">RNF-09 — Respuesta ágil en la operación diaria</w:t>
      </w:r>
    </w:p>
    <w:p>
      <w:pPr>
        <w:pStyle w:val="Compact"/>
        <w:numPr>
          <w:ilvl w:val="0"/>
          <w:numId w:val="1165"/>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5"/>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5"/>
        </w:numPr>
      </w:pPr>
      <w:r>
        <w:rPr>
          <w:b/>
          <w:bCs/>
        </w:rPr>
        <w:t xml:space="preserve">Verificación:</w:t>
      </w:r>
      <w:r>
        <w:t xml:space="preserve"> </w:t>
      </w:r>
      <w:r>
        <w:t xml:space="preserve">una prueba de carga con 10 usuarios simultáneos mide el percentil 95 de las pantallas frecuentes en 2 segundos o menos.</w:t>
      </w:r>
    </w:p>
    <w:bookmarkEnd w:id="230"/>
    <w:bookmarkStart w:id="231" w:name="Xcc17109278ec2bc0d350e34478bddf8b4d8a51d"/>
    <w:p>
      <w:pPr>
        <w:pStyle w:val="Heading4"/>
      </w:pPr>
      <w:r>
        <w:t xml:space="preserve">RNF-10 — Comportamiento estable ante el crecimiento del histórico</w:t>
      </w:r>
    </w:p>
    <w:p>
      <w:pPr>
        <w:pStyle w:val="Compact"/>
        <w:numPr>
          <w:ilvl w:val="0"/>
          <w:numId w:val="1166"/>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6"/>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6"/>
        </w:numPr>
      </w:pPr>
      <w:r>
        <w:rPr>
          <w:b/>
          <w:bCs/>
        </w:rPr>
        <w:t xml:space="preserve">Verificación:</w:t>
      </w:r>
      <w:r>
        <w:t xml:space="preserve"> </w:t>
      </w:r>
      <w:r>
        <w:t xml:space="preserve">con una base de prueba de 5.000 clientes y su historial, los tiempos de respuesta siguen dentro de la meta de RNF-09.</w:t>
      </w:r>
    </w:p>
    <w:bookmarkEnd w:id="231"/>
    <w:bookmarkEnd w:id="232"/>
    <w:bookmarkStart w:id="235" w:name="usabilidad"/>
    <w:p>
      <w:pPr>
        <w:pStyle w:val="Heading2"/>
      </w:pPr>
      <w:r>
        <w:t xml:space="preserve">Usabilidad</w:t>
      </w:r>
    </w:p>
    <w:bookmarkStart w:id="233" w:name="Xd45db0fd6965d4abd07e6ae81ab181068ce905e"/>
    <w:p>
      <w:pPr>
        <w:pStyle w:val="Heading4"/>
      </w:pPr>
      <w:r>
        <w:t xml:space="preserve">RNF-11 — Aprendizaje inmediato para el equipo de la agencia</w:t>
      </w:r>
    </w:p>
    <w:p>
      <w:pPr>
        <w:pStyle w:val="Compact"/>
        <w:numPr>
          <w:ilvl w:val="0"/>
          <w:numId w:val="1167"/>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7"/>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7"/>
        </w:numPr>
      </w:pPr>
      <w:r>
        <w:rPr>
          <w:b/>
          <w:bCs/>
        </w:rPr>
        <w:t xml:space="preserve">Verificación:</w:t>
      </w:r>
      <w:r>
        <w:t xml:space="preserve"> </w:t>
      </w:r>
      <w:r>
        <w:t xml:space="preserve">una persona del equipo completa el circuito de consulta a venta sin asistencia.</w:t>
      </w:r>
    </w:p>
    <w:bookmarkEnd w:id="233"/>
    <w:bookmarkStart w:id="234" w:name="rnf-12-prevención-de-errores-de-carga"/>
    <w:p>
      <w:pPr>
        <w:pStyle w:val="Heading4"/>
      </w:pPr>
      <w:r>
        <w:t xml:space="preserve">RNF-12 — Prevención de errores de carga</w:t>
      </w:r>
    </w:p>
    <w:p>
      <w:pPr>
        <w:pStyle w:val="Compact"/>
        <w:numPr>
          <w:ilvl w:val="0"/>
          <w:numId w:val="1168"/>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68"/>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68"/>
        </w:numPr>
      </w:pPr>
      <w:r>
        <w:rPr>
          <w:b/>
          <w:bCs/>
        </w:rPr>
        <w:t xml:space="preserve">Verificación:</w:t>
      </w:r>
      <w:r>
        <w:t xml:space="preserve"> </w:t>
      </w:r>
      <w:r>
        <w:t xml:space="preserve">los datos obligatorios y las reglas del negocio se validan antes de persistir, con mensajes que indican la corrección concreta.</w:t>
      </w:r>
    </w:p>
    <w:bookmarkEnd w:id="234"/>
    <w:bookmarkEnd w:id="235"/>
    <w:bookmarkStart w:id="237" w:name="disponibilidad"/>
    <w:p>
      <w:pPr>
        <w:pStyle w:val="Heading2"/>
      </w:pPr>
      <w:r>
        <w:t xml:space="preserve">Disponibilidad</w:t>
      </w:r>
    </w:p>
    <w:bookmarkStart w:id="236" w:name="rnf-13-disponibilidad-permanente"/>
    <w:p>
      <w:pPr>
        <w:pStyle w:val="Heading4"/>
      </w:pPr>
      <w:r>
        <w:t xml:space="preserve">RNF-13 — Disponibilidad permanente</w:t>
      </w:r>
    </w:p>
    <w:p>
      <w:pPr>
        <w:pStyle w:val="Compact"/>
        <w:numPr>
          <w:ilvl w:val="0"/>
          <w:numId w:val="1169"/>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69"/>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69"/>
        </w:numPr>
      </w:pPr>
      <w:r>
        <w:rPr>
          <w:b/>
          <w:bCs/>
        </w:rPr>
        <w:t xml:space="preserve">Verificación:</w:t>
      </w:r>
      <w:r>
        <w:t xml:space="preserve"> </w:t>
      </w:r>
      <w:r>
        <w:t xml:space="preserve">el sistema responde a cualquier hora, y toda interrupción planificada se anuncia antes y se hace en la franja de menor uso.</w:t>
      </w:r>
    </w:p>
    <w:bookmarkEnd w:id="236"/>
    <w:bookmarkEnd w:id="237"/>
    <w:bookmarkStart w:id="239" w:name="portabilidad-y-compatibilidad"/>
    <w:p>
      <w:pPr>
        <w:pStyle w:val="Heading2"/>
      </w:pPr>
      <w:r>
        <w:t xml:space="preserve">Portabilidad y compatibilidad</w:t>
      </w:r>
    </w:p>
    <w:bookmarkStart w:id="238" w:name="X0aba705bcc96e5b76597fadf1477553eccdd6da"/>
    <w:p>
      <w:pPr>
        <w:pStyle w:val="Heading4"/>
      </w:pPr>
      <w:r>
        <w:t xml:space="preserve">RNF-14 — Acceso desde escritorio y desde el teléfono</w:t>
      </w:r>
    </w:p>
    <w:p>
      <w:pPr>
        <w:pStyle w:val="Compact"/>
        <w:numPr>
          <w:ilvl w:val="0"/>
          <w:numId w:val="1170"/>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0"/>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0"/>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38"/>
    <w:bookmarkEnd w:id="239"/>
    <w:bookmarkStart w:id="241" w:name="mantenibilidad"/>
    <w:p>
      <w:pPr>
        <w:pStyle w:val="Heading2"/>
      </w:pPr>
      <w:r>
        <w:t xml:space="preserve">Mantenibilidad</w:t>
      </w:r>
    </w:p>
    <w:bookmarkStart w:id="240" w:name="rnf-15-evolución-sin-regresiones"/>
    <w:p>
      <w:pPr>
        <w:pStyle w:val="Heading4"/>
      </w:pPr>
      <w:r>
        <w:t xml:space="preserve">RNF-15 — Evolución sin regresiones</w:t>
      </w:r>
    </w:p>
    <w:p>
      <w:pPr>
        <w:pStyle w:val="Compact"/>
        <w:numPr>
          <w:ilvl w:val="0"/>
          <w:numId w:val="1171"/>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1"/>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1"/>
        </w:numPr>
      </w:pPr>
      <w:r>
        <w:rPr>
          <w:b/>
          <w:bCs/>
        </w:rPr>
        <w:t xml:space="preserve">Verificación:</w:t>
      </w:r>
      <w:r>
        <w:t xml:space="preserve"> </w:t>
      </w:r>
      <w:r>
        <w:t xml:space="preserve">los controles de calidad y las pruebas se ejecutan ante cada cambio y bloquean su avance ante un fallo.</w:t>
      </w:r>
    </w:p>
    <w:bookmarkEnd w:id="240"/>
    <w:bookmarkEnd w:id="241"/>
    <w:bookmarkStart w:id="243" w:name="localización-y-privacidad"/>
    <w:p>
      <w:pPr>
        <w:pStyle w:val="Heading2"/>
      </w:pPr>
      <w:r>
        <w:t xml:space="preserve">Localización y privacidad</w:t>
      </w:r>
    </w:p>
    <w:bookmarkStart w:id="242" w:name="X5be458164d2607eb21adc2d140d0c52dea7ede5"/>
    <w:p>
      <w:pPr>
        <w:pStyle w:val="Heading4"/>
      </w:pPr>
      <w:r>
        <w:t xml:space="preserve">RNF-16 — Convenciones locales y confidencialidad de los datos</w:t>
      </w:r>
    </w:p>
    <w:p>
      <w:pPr>
        <w:pStyle w:val="Compact"/>
        <w:numPr>
          <w:ilvl w:val="0"/>
          <w:numId w:val="1172"/>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2"/>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2"/>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2"/>
    <w:bookmarkEnd w:id="243"/>
    <w:bookmarkEnd w:id="244"/>
    <w:bookmarkStart w:id="245"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5"/>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2026-09-29T21:07:15Z</dcterms:created>
  <dcterms:modified xsi:type="dcterms:W3CDTF">2026-09-29T21:07:15Z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