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2D72"/>
          <w:sz w:val="44"/>
        </w:rPr>
        <w:t>MVP Canvas — HyperCopa DISEC 2026</w:t>
      </w:r>
    </w:p>
    <w:p>
      <w:pPr>
        <w:jc w:val="center"/>
      </w:pPr>
      <w:r>
        <w:rPr>
          <w:rFonts w:ascii="Calibri" w:hAnsi="Calibri"/>
          <w:b/>
          <w:i w:val="0"/>
          <w:color w:val="003DA5"/>
          <w:sz w:val="26"/>
        </w:rPr>
        <w:t>Agente Predfy + Modelo Analítico (H2O AutoML)</w:t>
      </w:r>
    </w:p>
    <w:p>
      <w:pPr>
        <w:jc w:val="center"/>
      </w:pPr>
      <w:r>
        <w:rPr>
          <w:rFonts w:ascii="Calibri" w:hAnsi="Calibri"/>
          <w:b w:val="0"/>
          <w:i w:val="0"/>
          <w:color w:val="5C6670"/>
          <w:sz w:val="20"/>
        </w:rPr>
        <w:t>Equipe: Equipe HyperCopa DISEC 2026  |  Banco do Brasil · DISEC · CESUP-Contratações  |  07/05/2026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c>
          <w:tcPr>
            <w:tcW w:type="dxa" w:w="3118"/>
            <w:shd w:val="clear" w:color="auto" w:fill="FAE128"/>
          </w:tcPr>
          <w:p>
            <w:r>
              <w:rPr>
                <w:rFonts w:ascii="Calibri" w:hAnsi="Calibri"/>
                <w:b/>
                <w:i w:val="0"/>
                <w:color w:val="002D72"/>
                <w:sz w:val="24"/>
              </w:rPr>
              <w:t>1. Personas segmentadas</w:t>
            </w:r>
          </w:p>
          <w:p>
            <w:r>
              <w:rPr>
                <w:rFonts w:ascii="Calibri" w:hAnsi="Calibri"/>
                <w:b w:val="0"/>
                <w:i/>
                <w:color w:val="002D72"/>
                <w:sz w:val="18"/>
              </w:rPr>
              <w:t>Para que área foi destinado esse MVP?</w:t>
            </w:r>
          </w:p>
        </w:tc>
        <w:tc>
          <w:tcPr>
            <w:tcW w:type="dxa" w:w="6520"/>
            <w:shd w:val="clear" w:color="auto" w:fill="FFFFFF"/>
          </w:tcPr>
          <w:p>
            <w:r/>
          </w:p>
          <w:p>
            <w:r>
              <w:rPr>
                <w:rFonts w:ascii="Calibri" w:hAnsi="Calibri"/>
                <w:b/>
                <w:i w:val="0"/>
                <w:color w:val="003DA5"/>
                <w:sz w:val="22"/>
              </w:rPr>
              <w:t>Categoria do desafio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Inteligência Acionável para Compras e Fornecedores.</w:t>
            </w:r>
          </w:p>
          <w:p>
            <w:r>
              <w:rPr>
                <w:rFonts w:ascii="Calibri" w:hAnsi="Calibri"/>
                <w:b/>
                <w:i w:val="0"/>
                <w:color w:val="003DA5"/>
                <w:sz w:val="22"/>
              </w:rPr>
              <w:t>Personas atendidas (DISEC – CESUP-Contratações)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Demandantes de áreas-cliente (DICOI, DISEC, DITEC, GECOI) — gestores que recebem perguntas analíticas e hoje dependem de fila DBA + Cientista de Dados.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Líderes de contratação da DISEC — quem prioriza carteira sob a Lei 13.303/16.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Cientistas de dados internos — deixam de fazer ETL repetitivo e focam em modelos de maior valor.</w:t>
            </w:r>
          </w:p>
        </w:tc>
      </w:tr>
      <w:tr>
        <w:tc>
          <w:tcPr>
            <w:tcW w:type="dxa" w:w="3118"/>
            <w:shd w:val="clear" w:color="auto" w:fill="FAE128"/>
          </w:tcPr>
          <w:p>
            <w:r>
              <w:rPr>
                <w:rFonts w:ascii="Calibri" w:hAnsi="Calibri"/>
                <w:b/>
                <w:i w:val="0"/>
                <w:color w:val="002D72"/>
                <w:sz w:val="24"/>
              </w:rPr>
              <w:t>2. Proposta do MVP</w:t>
            </w:r>
          </w:p>
          <w:p>
            <w:r>
              <w:rPr>
                <w:rFonts w:ascii="Calibri" w:hAnsi="Calibri"/>
                <w:b w:val="0"/>
                <w:i/>
                <w:color w:val="002D72"/>
                <w:sz w:val="18"/>
              </w:rPr>
              <w:t>Problema de negócio. Que ações foram simplificadas/melhoradas?</w:t>
            </w:r>
          </w:p>
        </w:tc>
        <w:tc>
          <w:tcPr>
            <w:tcW w:type="dxa" w:w="6520"/>
            <w:shd w:val="clear" w:color="auto" w:fill="FFFFFF"/>
          </w:tcPr>
          <w:p>
            <w:r/>
          </w:p>
          <w:p>
            <w:r>
              <w:rPr>
                <w:rFonts w:ascii="Calibri" w:hAnsi="Calibri"/>
                <w:b/>
                <w:i w:val="0"/>
                <w:color w:val="003DA5"/>
                <w:sz w:val="22"/>
              </w:rPr>
              <w:t>Problema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O ciclo de uma pergunta de negócio ("qual a chance de ruptura desta carteira?") até a resposta acionável dura 3 a 10 dias, passando por DBA → Cientista de Dados → Validação. Decisões são adiadas; contratos rompem antes da análise ficar pronta.</w:t>
            </w:r>
          </w:p>
          <w:p>
            <w:r>
              <w:rPr>
                <w:rFonts w:ascii="Calibri" w:hAnsi="Calibri"/>
                <w:b/>
                <w:i w:val="0"/>
                <w:color w:val="003DA5"/>
                <w:sz w:val="22"/>
              </w:rPr>
              <w:t>O que foi simplificado/melhorado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Tempo do extrato bruto ao modelo: 3-10 dias → 3-5 minutos.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Linhas de código que o usuário precisa escrever: 50-300 → zero.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Pessoas no ciclo: 3-4 → 1.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Caminho A (OpenAI direto): só schema + 20 linhas de amostra trafegam para o LLM. Caminho B (Copilot Teams): CSV completo nunca sai do laptop.</w:t>
            </w:r>
          </w:p>
          <w:p>
            <w:r>
              <w:rPr>
                <w:rFonts w:ascii="Calibri" w:hAnsi="Calibri"/>
                <w:b/>
                <w:i w:val="0"/>
                <w:color w:val="003DA5"/>
                <w:sz w:val="22"/>
              </w:rPr>
              <w:t>Como funciona</w:t>
            </w:r>
          </w:p>
          <w:p>
            <w:pPr>
              <w:spacing w:after="80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Usuário sobe CSV no app BB; um Agente IA (OpenAI ou Microsoft Copilot do Teams) entende a pergunta, propõe target/features e gera CSV final via sandbox pandas. H2O AutoML treina 3 modelos preditivos em até 5 min. Copilot do Teams traduz o relatório técnico em recomendações de negócio.</w:t>
            </w:r>
          </w:p>
        </w:tc>
      </w:tr>
      <w:tr>
        <w:tc>
          <w:tcPr>
            <w:tcW w:type="dxa" w:w="3118"/>
            <w:shd w:val="clear" w:color="auto" w:fill="FAE128"/>
          </w:tcPr>
          <w:p>
            <w:r>
              <w:rPr>
                <w:rFonts w:ascii="Calibri" w:hAnsi="Calibri"/>
                <w:b/>
                <w:i w:val="0"/>
                <w:color w:val="002D72"/>
                <w:sz w:val="24"/>
              </w:rPr>
              <w:t>3. Jornadas</w:t>
            </w:r>
          </w:p>
          <w:p>
            <w:r>
              <w:rPr>
                <w:rFonts w:ascii="Calibri" w:hAnsi="Calibri"/>
                <w:b w:val="0"/>
                <w:i/>
                <w:color w:val="002D72"/>
                <w:sz w:val="18"/>
              </w:rPr>
              <w:t>Jornadas atendidas. Indicadores estratégicos do Plano DISEC 2026: Integração para a Ação.</w:t>
            </w:r>
          </w:p>
        </w:tc>
        <w:tc>
          <w:tcPr>
            <w:tcW w:type="dxa" w:w="6520"/>
            <w:shd w:val="clear" w:color="auto" w:fill="FFFFFF"/>
          </w:tcPr>
          <w:p>
            <w:r/>
          </w:p>
          <w:p>
            <w:r>
              <w:rPr>
                <w:rFonts w:ascii="Calibri" w:hAnsi="Calibri"/>
                <w:b/>
                <w:i w:val="0"/>
                <w:color w:val="003DA5"/>
                <w:sz w:val="22"/>
              </w:rPr>
              <w:t>Jornadas DISEC atendidas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Priorização de carteira de EAPs — prever risco de atraso em contratações em andamento.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Gestão de fornecedores — antecipar intercorrências (impugnação, recurso) antes da homologação.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Mitigação de ruptura contratual — identificar contratos com alta probabilidade de rescisão.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Atendimento a demanda recorrente das áreas-cliente, sem fila de cientista de dados.</w:t>
            </w:r>
          </w:p>
          <w:p>
            <w:r>
              <w:rPr>
                <w:rFonts w:ascii="Calibri" w:hAnsi="Calibri"/>
                <w:b/>
                <w:i w:val="0"/>
                <w:color w:val="003DA5"/>
                <w:sz w:val="22"/>
              </w:rPr>
              <w:t>Indicadores estratégicos contemplados (DISEC 2026 – Integração para a Ação)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Tempo de resposta a demandas analíticas (3-10 dias → 3-5 min).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Aderência à governança de dados BB (Caminho B mantém CSV completo no laptop; só amostra trafega no tenant M365 sob Microsoft Purview).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Capilaridade analítica — qualquer demandante usa, sem precisar saber Python.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Conformidade Lei 13.303/16 — terminologia oficial (Licitação Eletrônica, EAPs Padrão) embutida no system_prompt versionado em git.</w:t>
            </w:r>
          </w:p>
        </w:tc>
      </w:tr>
      <w:tr>
        <w:tc>
          <w:tcPr>
            <w:tcW w:type="dxa" w:w="3118"/>
            <w:shd w:val="clear" w:color="auto" w:fill="FAE128"/>
          </w:tcPr>
          <w:p>
            <w:r>
              <w:rPr>
                <w:rFonts w:ascii="Calibri" w:hAnsi="Calibri"/>
                <w:b/>
                <w:i w:val="0"/>
                <w:color w:val="002D72"/>
                <w:sz w:val="24"/>
              </w:rPr>
              <w:t>4. Tecnologias envolvidas</w:t>
            </w:r>
          </w:p>
          <w:p>
            <w:r>
              <w:rPr>
                <w:rFonts w:ascii="Calibri" w:hAnsi="Calibri"/>
                <w:b w:val="0"/>
                <w:i/>
                <w:color w:val="002D72"/>
                <w:sz w:val="18"/>
              </w:rPr>
              <w:t>Quais tecnologias foram utilizadas? Justifique a escolha.</w:t>
            </w:r>
          </w:p>
        </w:tc>
        <w:tc>
          <w:tcPr>
            <w:tcW w:type="dxa" w:w="6520"/>
            <w:shd w:val="clear" w:color="auto" w:fill="FFFFFF"/>
          </w:tcPr>
          <w:p>
            <w:r/>
          </w:p>
          <w:p>
            <w:r>
              <w:rPr>
                <w:rFonts w:ascii="Calibri" w:hAnsi="Calibri"/>
                <w:b/>
                <w:i w:val="0"/>
                <w:color w:val="003DA5"/>
                <w:sz w:val="22"/>
              </w:rPr>
              <w:t>Modelo Analítico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H2O AutoML 3.46 (GBM, GLM, XGBoost, RF, DRF) — roda em JVM local; dados nunca saem do laptop. AutoML elimina escolha manual de algoritmo. Leaderboard auditável. Open-source.</w:t>
            </w:r>
          </w:p>
          <w:p>
            <w:r>
              <w:rPr>
                <w:rFonts w:ascii="Calibri" w:hAnsi="Calibri"/>
                <w:b/>
                <w:i w:val="0"/>
                <w:color w:val="003DA5"/>
                <w:sz w:val="22"/>
              </w:rPr>
              <w:t>Agente de IA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Caminho A — OpenAI gpt-4o-mini com Tool Use (4 tools: ler_schema, ler_amostra, executar_pandas, salvar_csv_final). Sandbox exec() restrito. ~R$ 0,30/conversa. Apropriado para demo.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Caminho B (produção BB) — Microsoft Copilot do Teams via Copilot Studio (declarativo, sem código). Trafega no tenant M365 BB sob acordo Microsoft↔BB. Auditoria automática Microsoft Purview. R$ 0 marginal (incluso na licença Copilot).</w:t>
            </w:r>
          </w:p>
          <w:p>
            <w:r>
              <w:rPr>
                <w:rFonts w:ascii="Calibri" w:hAnsi="Calibri"/>
                <w:b/>
                <w:i w:val="0"/>
                <w:color w:val="003DA5"/>
                <w:sz w:val="22"/>
              </w:rPr>
              <w:t>RPA / Automação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Copilot do Teams interpreta JSON do relatório H2O em recomendações executivas (RPA conversacional). Sandbox pandas substitui scripts ad-hoc do cientista de dados.</w:t>
            </w:r>
          </w:p>
          <w:p>
            <w:r>
              <w:rPr>
                <w:rFonts w:ascii="Calibri" w:hAnsi="Calibri"/>
                <w:b/>
                <w:i w:val="0"/>
                <w:color w:val="003DA5"/>
                <w:sz w:val="22"/>
              </w:rPr>
              <w:t>Frontend / UX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Streamlit single-page com identidade visual BB (paleta #FAE128 / #003DA5, IBM Plex Sans como proxy de BB Texto). Jornada linear; sidebar = estado, centro = ação.</w:t>
            </w:r>
          </w:p>
          <w:p>
            <w:r>
              <w:rPr>
                <w:rFonts w:ascii="Calibri" w:hAnsi="Calibri"/>
                <w:b/>
                <w:i w:val="0"/>
                <w:color w:val="003DA5"/>
                <w:sz w:val="22"/>
              </w:rPr>
              <w:t>Dados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Sintéticos (Faker + regras Lei 13.303/16). Acesso a dados reais inviável no prazo. Inclui ciclo pós-contrato (aditivos, rescisão, atrasos).</w:t>
            </w:r>
          </w:p>
        </w:tc>
      </w:tr>
      <w:tr>
        <w:tc>
          <w:tcPr>
            <w:tcW w:type="dxa" w:w="3118"/>
            <w:shd w:val="clear" w:color="auto" w:fill="FAE128"/>
          </w:tcPr>
          <w:p>
            <w:r>
              <w:rPr>
                <w:rFonts w:ascii="Calibri" w:hAnsi="Calibri"/>
                <w:b/>
                <w:i w:val="0"/>
                <w:color w:val="002D72"/>
                <w:sz w:val="24"/>
              </w:rPr>
              <w:t>5. Resultados Obtidos</w:t>
            </w:r>
          </w:p>
          <w:p>
            <w:r>
              <w:rPr>
                <w:rFonts w:ascii="Calibri" w:hAnsi="Calibri"/>
                <w:b w:val="0"/>
                <w:i/>
                <w:color w:val="002D72"/>
                <w:sz w:val="18"/>
              </w:rPr>
              <w:t>Que aprendizados ou resultados foram obtidos?</w:t>
            </w:r>
          </w:p>
        </w:tc>
        <w:tc>
          <w:tcPr>
            <w:tcW w:type="dxa" w:w="6520"/>
            <w:shd w:val="clear" w:color="auto" w:fill="FFFFFF"/>
          </w:tcPr>
          <w:p>
            <w:r/>
          </w:p>
          <w:p>
            <w:r>
              <w:rPr>
                <w:rFonts w:ascii="Calibri" w:hAnsi="Calibri"/>
                <w:b/>
                <w:i w:val="0"/>
                <w:color w:val="003DA5"/>
                <w:sz w:val="22"/>
              </w:rPr>
              <w:t>Resultados técnicos do MVP (07/05/2026)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Modelo 1 — Prazo (regressão GBM): RMSE ~18 dias / R² ~0,82.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Modelo 2 — Intercorrência (classif. binária GBM): AUC ~0,84.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Modelo 3 — Ruptura contratual (classif. binária GBM): AUC ~0,79.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App entregável funcional (app_agente_bb.py) com identidade visual BB e jornada de 3 etapas.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Dois caminhos validados: OpenAI (A) e Microsoft Copilot Teams (B). B é o de produção BB.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Repositório privado no GitHub com .gitignore protegendo .env e dados reais/.</w:t>
            </w:r>
          </w:p>
          <w:p>
            <w:r>
              <w:rPr>
                <w:rFonts w:ascii="Calibri" w:hAnsi="Calibri"/>
                <w:b/>
                <w:i w:val="0"/>
                <w:color w:val="003DA5"/>
                <w:sz w:val="22"/>
              </w:rPr>
              <w:t>Aprendizados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Velocidade analítica e governança não são trade-offs: separar o que sai para o LLM (metadados+amostra) de onde o modelo é treinado (JVM H2O local).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AutoML &gt; escolher algoritmo manual: GBM venceu na maioria dos targets, mas a leaderboard expõe a escolha quando não.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Caminho B é o de produção: elimina chave individual, custo OpenAI e dependência de LLM público.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Sandbox restrito é não-negociável: código gerado por LLM precisa de globals limitados (sem os, sem subprocess, sem rede).</w:t>
            </w:r>
          </w:p>
        </w:tc>
      </w:tr>
      <w:tr>
        <w:tc>
          <w:tcPr>
            <w:tcW w:type="dxa" w:w="3118"/>
            <w:shd w:val="clear" w:color="auto" w:fill="FAE128"/>
          </w:tcPr>
          <w:p>
            <w:r>
              <w:rPr>
                <w:rFonts w:ascii="Calibri" w:hAnsi="Calibri"/>
                <w:b/>
                <w:i w:val="0"/>
                <w:color w:val="002D72"/>
                <w:sz w:val="24"/>
              </w:rPr>
              <w:t>6. Métricas para validação</w:t>
            </w:r>
          </w:p>
          <w:p>
            <w:r>
              <w:rPr>
                <w:rFonts w:ascii="Calibri" w:hAnsi="Calibri"/>
                <w:b w:val="0"/>
                <w:i/>
                <w:color w:val="002D72"/>
                <w:sz w:val="18"/>
              </w:rPr>
              <w:t>Indicadores afetados (tempo, custo, qualidade, risco). Como evidenciamos. Ganhos na entrega.</w:t>
            </w:r>
          </w:p>
        </w:tc>
        <w:tc>
          <w:tcPr>
            <w:tcW w:type="dxa" w:w="6520"/>
            <w:shd w:val="clear" w:color="auto" w:fill="FFFFFF"/>
          </w:tcPr>
          <w:p>
            <w:r/>
          </w:p>
          <w:p>
            <w:r>
              <w:rPr>
                <w:rFonts w:ascii="Calibri" w:hAnsi="Calibri"/>
                <w:b/>
                <w:i w:val="0"/>
                <w:color w:val="003DA5"/>
                <w:sz w:val="22"/>
              </w:rPr>
              <w:t>Indicadores afetados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Tempo CSV bruto → modelo treinado: 3-10 dias → 3-5 min (cronometrado no vídeo).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Linhas de código escritas pelo demandante: 50-300 → 0.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Pessoas no ciclo: 3-4 → 1.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Vazamento de CSV para LLM: alto → 0% (Caminho A só amostra; Caminho B nem amostra completa sai).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Custo marginal por conversa: R$ 0,30 (A) / R$ 0 (B, incluso na licença Copilot).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AUC dos modelos de risco: 0,84 (intercorrência) / 0,79 (ruptura).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Auditabilidade: system_prompt versionado em git + leaderboard H2O + logs Streamlit.</w:t>
            </w:r>
          </w:p>
          <w:p>
            <w:r>
              <w:rPr>
                <w:rFonts w:ascii="Calibri" w:hAnsi="Calibri"/>
                <w:b/>
                <w:i w:val="0"/>
                <w:color w:val="003DA5"/>
                <w:sz w:val="22"/>
              </w:rPr>
              <w:t>Ganhos obtidos na data da entrega (07/05/2026)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App funcional e entregável (Caminhos A e B).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3 modelos validados com performance acima do baseline (AUC &gt; 0,75).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Documentação completa: fluxograma, acesso, relatório, guia Copilot Studio.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Vídeo de demonstração da jornada ponta-a-ponta.</w:t>
            </w:r>
          </w:p>
        </w:tc>
      </w:tr>
      <w:tr>
        <w:tc>
          <w:tcPr>
            <w:tcW w:type="dxa" w:w="3118"/>
            <w:shd w:val="clear" w:color="auto" w:fill="FAE128"/>
          </w:tcPr>
          <w:p>
            <w:r>
              <w:rPr>
                <w:rFonts w:ascii="Calibri" w:hAnsi="Calibri"/>
                <w:b/>
                <w:i w:val="0"/>
                <w:color w:val="002D72"/>
                <w:sz w:val="24"/>
              </w:rPr>
              <w:t>7. Escalabilidade</w:t>
            </w:r>
          </w:p>
          <w:p>
            <w:r>
              <w:rPr>
                <w:rFonts w:ascii="Calibri" w:hAnsi="Calibri"/>
                <w:b w:val="0"/>
                <w:i/>
                <w:color w:val="002D72"/>
                <w:sz w:val="18"/>
              </w:rPr>
              <w:t>Outras áreas beneficiadas. Previsão de ganhos (horas, financeiro).</w:t>
            </w:r>
          </w:p>
        </w:tc>
        <w:tc>
          <w:tcPr>
            <w:tcW w:type="dxa" w:w="6520"/>
            <w:shd w:val="clear" w:color="auto" w:fill="FFFFFF"/>
          </w:tcPr>
          <w:p>
            <w:r/>
          </w:p>
          <w:p>
            <w:r>
              <w:rPr>
                <w:rFonts w:ascii="Calibri" w:hAnsi="Calibri"/>
                <w:b/>
                <w:i w:val="0"/>
                <w:color w:val="003DA5"/>
                <w:sz w:val="22"/>
              </w:rPr>
              <w:t>Outras áreas BB que podem ser beneficiadas (mesmo padrão de jornada)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DIRAO / DIROP — risco de inadimplência por carteira.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DICOI / DITEC / DISEC / GECOI — atraso em projetos de TI / obras (já contemplada).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DICAR / DIPES — turnover por agência ou função.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CRGOV / DIRIS — risco regulatório por contrato (com RAG de cláusulas).</w:t>
            </w:r>
          </w:p>
          <w:p>
            <w:r>
              <w:rPr>
                <w:rFonts w:ascii="Calibri" w:hAnsi="Calibri"/>
                <w:b/>
                <w:i w:val="0"/>
                <w:color w:val="003DA5"/>
                <w:sz w:val="22"/>
              </w:rPr>
              <w:t>Previsão de ganhos (cenário DISEC anualizado, hipóteses conservadoras)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60 demandas/ano × 6h economizadas = 360 horas.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360h × R$ 150/h carregada = R$ 54.000 em homem-hora/ano.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0,5% de 4.000 contratos × R$ 200 mil = R$ 4.000.000/ano de ruptura evitada.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Custo marginal Caminho A: R$ 300/ano; Caminho B: R$ 0 (incluso na licença M365).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Saldo estimado primeiro ano DISEC: ~ R$ 4 milhões.</w:t>
            </w:r>
          </w:p>
          <w:p>
            <w:r>
              <w:rPr>
                <w:rFonts w:ascii="Calibri" w:hAnsi="Calibri"/>
                <w:b/>
                <w:i w:val="0"/>
                <w:color w:val="003DA5"/>
                <w:sz w:val="22"/>
              </w:rPr>
              <w:t>Caminho de escala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Curto prazo (até 10/06/2026): publicar agente Copilot no Teams (Copilot Studio); pilotar com extratos das 4 áreas DISEC.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Médio prazo: RAG com EAPs Padrão e jurisprudência da Lei 13.303/16; persistência das conversas em banco BB; substituir IBM Plex Sans pelas fontes oficiais BB.</w:t>
            </w:r>
          </w:p>
          <w:p>
            <w:pPr>
              <w:pStyle w:val="ListBullet"/>
            </w:pPr>
            <w:r>
              <w:rPr>
                <w:rFonts w:ascii="Calibri" w:hAnsi="Calibri"/>
                <w:b w:val="0"/>
                <w:i w:val="0"/>
                <w:color w:val="1F1F1F"/>
                <w:sz w:val="22"/>
              </w:rPr>
              <w:t>Longo prazo: out-of-time validation trimestral; detecção de drift; agente proativo (alerta quando EAP cruza limiar de risco); API REST para sistemas internos BB.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 w:val="0"/>
          <w:color w:val="5C6670"/>
          <w:sz w:val="18"/>
        </w:rPr>
        <w:t xml:space="preserve">Repositório: github.com/FranMarteen/hypercopa-disec-mvp (privado)  ·  </w:t>
      </w:r>
      <w:r>
        <w:rPr>
          <w:rFonts w:ascii="Calibri" w:hAnsi="Calibri"/>
          <w:b w:val="0"/>
          <w:i w:val="0"/>
          <w:color w:val="5C6670"/>
          <w:sz w:val="18"/>
        </w:rPr>
        <w:t>Artefatos: app_agente_bb.py, docs/FLUXOGRAMA.md, docs/ACESSO.md, docs/RELATORIO_SOLUCAO.md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