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AECB"/>
          <w:sz w:val="60"/>
        </w:rPr>
        <w:t>REPORTE DE JUNTAS DE ACCIONISTAS</w:t>
      </w:r>
    </w:p>
    <w:p>
      <w:pPr>
        <w:jc w:val="center"/>
      </w:pPr>
      <w:r>
        <w:rPr>
          <w:b/>
          <w:color w:val="00AECB"/>
          <w:sz w:val="60"/>
        </w:rPr>
        <w:t>periodo completo</w:t>
      </w:r>
    </w:p>
    <w:p/>
    <w:p/>
    <w:p/>
    <w:p/>
    <w:p/>
    <w:tbl>
      <w:tblPr>
        <w:tblW w:type="auto" w:w="0"/>
        <w:jc w:val="center"/>
        <w:tblLook w:firstColumn="1" w:firstRow="1" w:lastColumn="0" w:lastRow="0" w:noHBand="0" w:noVBand="1" w:val="04A0"/>
        <w:tblBorders>
          <w:top w:val="none" w:sz="0" w:color="FFFFFF"/>
          <w:left w:val="none" w:sz="0" w:color="FFFFFF"/>
          <w:bottom w:val="none" w:sz="0" w:color="FFFFFF"/>
          <w:right w:val="none" w:sz="0" w:color="FFFFFF"/>
          <w:insideH w:val="none" w:sz="0" w:color="FFFFFF"/>
          <w:insideV w:val="none" w:sz="0" w:color="FFFFFF"/>
        </w:tblBorders>
      </w:tblPr>
      <w:tblGrid>
        <w:gridCol w:w="9746"/>
      </w:tblGrid>
      <w:tr>
        <w:tc>
          <w:tcPr>
            <w:tcW w:type="dxa" w:w="9746"/>
            <w:shd w:val="clear" w:fill="D9DDE3"/>
          </w:tcPr>
          <w:p>
            <w:pPr>
              <w:spacing w:after="120"/>
              <w:jc w:val="both"/>
            </w:pPr>
            <w:r>
              <w:rPr>
                <w:color w:val="1E2E6E"/>
                <w:sz w:val="19"/>
              </w:rPr>
              <w:t>AFP Integra tiene como objetivo principal la gestion de fondos de pensiones en representacion de nuestros afiliados, con quienes mantenemos el deber fiduciario de buscar la mejor rentabilidad ajustada por riesgo para sus recursos. El presente documento comparte informacion sobre el sentido de nuestros votos en las juntas de accionistas a las que hemos asistido durante el periodo completo.</w:t>
            </w:r>
          </w:p>
          <w:p>
            <w:r>
              <w:rPr>
                <w:color w:val="1E2E6E"/>
                <w:sz w:val="15"/>
              </w:rPr>
              <w:t>*El reporte ha sido elaborado con la informacion disponible al 20 de julio de 2026.</w:t>
            </w:r>
          </w:p>
        </w:tc>
      </w:tr>
    </w:tbl>
    <w:p>
      <w:r>
        <w:br w:type="page"/>
      </w:r>
    </w:p>
    <w:p>
      <w:pPr>
        <w:spacing w:before="120" w:after="240"/>
        <w:pBdr>
          <w:bottom w:val="single" w:sz="8" w:space="4" w:color="1E2E6E"/>
        </w:pBdr>
      </w:pPr>
      <w:r>
        <w:rPr>
          <w:b/>
          <w:color w:val="00AECB"/>
          <w:sz w:val="32"/>
        </w:rPr>
        <w:t>a. Juntas Obligatorias Anuales (JOAs) - periodo completo</w:t>
      </w:r>
    </w:p>
    <w:p>
      <w:pPr>
        <w:spacing w:before="200" w:after="120"/>
        <w:ind w:left="120"/>
        <w:pBdr>
          <w:left w:val="single" w:sz="28" w:space="8" w:color="E3E829"/>
        </w:pBdr>
      </w:pPr>
      <w:r>
        <w:rPr>
          <w:b/>
          <w:color w:val="00AECB"/>
          <w:sz w:val="24"/>
        </w:rPr>
        <w:t>Total de JOAs y Distribucion por Sector</w:t>
      </w:r>
    </w:p>
    <w:p>
      <w:pPr>
        <w:spacing w:after="160" w:before="0"/>
        <w:jc w:val="both"/>
      </w:pPr>
      <w:r>
        <w:rPr>
          <w:b w:val="0"/>
          <w:color w:val="1E2E6E"/>
          <w:sz w:val="20"/>
        </w:rPr>
        <w:t>Durante el periodo completo, participamos en 31 juntas obligatorias anuales de accionistas de 18 empresas. La mayor parte de dichas juntas (68%) corresponden a los sectores Metales y Mineria, Industriales y Construccion y Servicios Publicos, dada la mayor cantidad de empresas de estos sectores en nuestra cartera de renta variable.</w:t>
      </w:r>
    </w:p>
    <w:p>
      <w:pPr>
        <w:jc w:val="center"/>
      </w:pPr>
      <w:r>
        <w:drawing>
          <wp:inline xmlns:a="http://schemas.openxmlformats.org/drawingml/2006/main" xmlns:pic="http://schemas.openxmlformats.org/drawingml/2006/picture">
            <wp:extent cx="5760720" cy="1757578"/>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1757578"/>
                    </a:xfrm>
                    <a:prstGeom prst="rect"/>
                  </pic:spPr>
                </pic:pic>
              </a:graphicData>
            </a:graphic>
          </wp:inline>
        </w:drawing>
      </w:r>
    </w:p>
    <w:p>
      <w:pPr>
        <w:spacing w:before="200" w:after="120"/>
        <w:ind w:left="120"/>
        <w:pBdr>
          <w:left w:val="single" w:sz="28" w:space="8" w:color="E3E829"/>
        </w:pBdr>
      </w:pPr>
      <w:r>
        <w:rPr>
          <w:b/>
          <w:color w:val="00AECB"/>
          <w:sz w:val="24"/>
        </w:rPr>
        <w:t>Votacion por Tema de Agenda en JOAs</w:t>
      </w:r>
    </w:p>
    <w:p>
      <w:pPr>
        <w:spacing w:after="160" w:before="0"/>
        <w:jc w:val="both"/>
      </w:pPr>
      <w:r>
        <w:rPr>
          <w:b w:val="0"/>
          <w:color w:val="1E2E6E"/>
          <w:sz w:val="20"/>
        </w:rPr>
        <w:t>Durante este periodo votamos respecto a 235 puntos de agenda, los cuales incluyeron temas recurrentes, asi como temas no recurrentes como Otros, Emision de Instrumentos y Modificacion de Estatutos.</w:t>
      </w:r>
    </w:p>
    <w:p>
      <w:pPr>
        <w:spacing w:before="200" w:after="120"/>
        <w:ind w:left="120"/>
        <w:pBdr>
          <w:left w:val="single" w:sz="28" w:space="8" w:color="E3E829"/>
        </w:pBdr>
      </w:pPr>
      <w:r>
        <w:rPr>
          <w:b/>
          <w:color w:val="00AECB"/>
          <w:sz w:val="24"/>
        </w:rPr>
        <w:t>Votos en Contra en JOAs</w:t>
      </w:r>
    </w:p>
    <w:p>
      <w:pPr>
        <w:spacing w:after="160" w:before="0"/>
        <w:jc w:val="both"/>
      </w:pPr>
      <w:r>
        <w:rPr>
          <w:b w:val="0"/>
          <w:color w:val="1E2E6E"/>
          <w:sz w:val="20"/>
        </w:rPr>
        <w:t>Emitimos 19 votos en contra durante este periodo siguiendo las mejores practicas de mercado y la Politica de Votacion de los Fondos de Pensiones de AFP Integra. Los temas donde concentramos los votos en contra fueron Designacion Auditores y Eleccion y Numero de Directores.</w:t>
      </w:r>
    </w:p>
    <w:p>
      <w:pPr>
        <w:spacing w:before="200" w:after="120"/>
        <w:ind w:left="120"/>
        <w:pBdr>
          <w:left w:val="single" w:sz="28" w:space="8" w:color="E3E829"/>
        </w:pBdr>
      </w:pPr>
      <w:r>
        <w:rPr>
          <w:b/>
          <w:color w:val="00AECB"/>
          <w:sz w:val="24"/>
        </w:rPr>
        <w:t>Votacion respecto a directores en JOAs:</w:t>
      </w:r>
    </w:p>
    <w:p>
      <w:pPr>
        <w:spacing w:before="160" w:after="80"/>
        <w:ind w:left="200"/>
      </w:pPr>
      <w:r>
        <w:rPr>
          <w:color w:val="00AECB"/>
          <w:sz w:val="22"/>
        </w:rPr>
        <w:t>▸  Votos en contra</w:t>
      </w:r>
    </w:p>
    <w:p>
      <w:pPr>
        <w:spacing w:after="160" w:before="0"/>
        <w:jc w:val="both"/>
      </w:pPr>
      <w:r>
        <w:rPr>
          <w:b w:val="0"/>
          <w:color w:val="1E2E6E"/>
          <w:sz w:val="20"/>
        </w:rPr>
        <w:t>Emitimos 6 votos en contra en esta categoria siguiendo los lineamientos de la Politica de Votacion. La mayor parte de los votos en contra se emitieron por: no se cuenta con directores independientes y directores alternos o suplentes.</w:t>
      </w:r>
    </w:p>
    <w:p>
      <w:pPr>
        <w:spacing w:before="160" w:after="80"/>
        <w:ind w:left="200"/>
      </w:pPr>
      <w:r>
        <w:rPr>
          <w:color w:val="00AECB"/>
          <w:sz w:val="22"/>
        </w:rPr>
        <w:t>▸  Independencia</w:t>
      </w:r>
    </w:p>
    <w:p>
      <w:pPr>
        <w:spacing w:after="160" w:before="0"/>
        <w:jc w:val="both"/>
      </w:pPr>
      <w:r>
        <w:rPr>
          <w:b w:val="0"/>
          <w:color w:val="1E2E6E"/>
          <w:sz w:val="20"/>
        </w:rPr>
        <w:t>Votamos a favor de 9 directores, todos ellos calificaban como independientes.</w:t>
      </w:r>
    </w:p>
    <w:p>
      <w:pPr>
        <w:spacing w:before="160" w:after="80"/>
        <w:ind w:left="200"/>
      </w:pPr>
      <w:r>
        <w:rPr>
          <w:color w:val="00AECB"/>
          <w:sz w:val="22"/>
        </w:rPr>
        <w:t>▸  Experiencia</w:t>
      </w:r>
    </w:p>
    <w:p>
      <w:pPr>
        <w:spacing w:after="160" w:before="0"/>
        <w:jc w:val="both"/>
      </w:pPr>
      <w:r>
        <w:rPr>
          <w:b w:val="0"/>
          <w:color w:val="1E2E6E"/>
          <w:sz w:val="20"/>
        </w:rPr>
        <w:t>Votamos a favor de 9 directores, los cuales tenian experiencia en distintas industrias y especialidades. La mayoria de estos directores presentaban experiencia en Finanzas e Inversiones (44%).</w:t>
      </w:r>
    </w:p>
    <w:p>
      <w:r>
        <w:br w:type="page"/>
      </w:r>
    </w:p>
    <w:p>
      <w:pPr>
        <w:spacing w:before="200" w:after="120"/>
        <w:ind w:left="120"/>
        <w:pBdr>
          <w:left w:val="single" w:sz="28" w:space="8" w:color="E3E829"/>
        </w:pBdr>
      </w:pPr>
      <w:r>
        <w:rPr>
          <w:b/>
          <w:color w:val="00AECB"/>
          <w:sz w:val="26"/>
        </w:rPr>
        <w:t>Votacion por empresa en JOAs periodo completo</w:t>
      </w:r>
    </w:p>
    <w:p>
      <w:pPr>
        <w:spacing w:after="120"/>
      </w:pPr>
      <w:r>
        <w:rPr>
          <w:color w:val="00AECB"/>
          <w:sz w:val="26"/>
        </w:rPr>
        <w:t>JOA periodo completo</w:t>
      </w:r>
    </w:p>
    <w:tbl>
      <w:tblPr>
        <w:tblW w:type="auto" w:w="0"/>
        <w:tblLayout w:type="fixed"/>
        <w:tblLook w:firstColumn="1" w:firstRow="1" w:lastColumn="0" w:lastRow="0" w:noHBand="0" w:noVBand="1" w:val="04A0"/>
        <w:tblBorders>
          <w:top w:val="none" w:sz="0" w:color="FFFFFF"/>
          <w:left w:val="none" w:sz="0" w:color="FFFFFF"/>
          <w:bottom w:val="none" w:sz="0" w:color="FFFFFF"/>
          <w:right w:val="none" w:sz="0" w:color="FFFFFF"/>
          <w:insideH w:val="none" w:sz="0" w:color="FFFFFF"/>
          <w:insideV w:val="none" w:sz="0" w:color="FFFFFF"/>
        </w:tblBorders>
      </w:tblPr>
      <w:tblGrid>
        <w:gridCol w:w="4873"/>
        <w:gridCol w:w="4873"/>
      </w:tblGrid>
      <w:tr>
        <w:tc>
          <w:tcPr>
            <w:tcW w:type="dxa" w:w="6350"/>
            <w:shd w:val="clear" w:fill="E3E829"/>
          </w:tcPr>
          <w:p>
            <w:r>
              <w:rPr>
                <w:b/>
                <w:color w:val="1E2E6E"/>
                <w:sz w:val="18"/>
              </w:rPr>
              <w:t>Temas de Agenda</w:t>
            </w:r>
          </w:p>
        </w:tc>
        <w:tc>
          <w:tcPr>
            <w:tcW w:type="dxa" w:w="3175"/>
            <w:shd w:val="clear" w:fill="E3E829"/>
          </w:tcPr>
          <w:p>
            <w:r>
              <w:rPr>
                <w:b/>
                <w:color w:val="1E2E6E"/>
                <w:sz w:val="18"/>
              </w:rPr>
              <w:t>Votacion</w:t>
            </w:r>
          </w:p>
        </w:tc>
      </w:tr>
      <w:tr>
        <w:tc>
          <w:tcPr>
            <w:tcW w:type="dxa" w:w="6350"/>
            <w:shd w:val="clear" w:fill="E3E829"/>
          </w:tcPr>
          <w:p>
            <w:r>
              <w:rPr>
                <w:b/>
                <w:color w:val="1E2E6E"/>
                <w:sz w:val="18"/>
              </w:rPr>
              <w:t>Aenza</w:t>
            </w:r>
          </w:p>
        </w:tc>
        <w:tc>
          <w:tcPr>
            <w:tcW w:type="dxa" w:w="3175"/>
            <w:shd w:val="clear" w:fill="E3E829"/>
          </w:tcPr>
          <w:p/>
        </w:tc>
      </w:tr>
      <w:tr>
        <w:tc>
          <w:tcPr>
            <w:tcW w:type="dxa" w:w="6350"/>
            <w:shd w:val="clear" w:fill="EDF29A"/>
          </w:tcPr>
          <w:p>
            <w:r>
              <w:rPr>
                <w:b/>
                <w:color w:val="1E2E6E"/>
                <w:sz w:val="18"/>
              </w:rPr>
              <w:t>27/03/2025</w:t>
            </w:r>
          </w:p>
        </w:tc>
        <w:tc>
          <w:tcPr>
            <w:tcW w:type="dxa" w:w="3175"/>
            <w:shd w:val="clear" w:fill="EDF29A"/>
          </w:tcPr>
          <w:p/>
        </w:tc>
      </w:tr>
      <w:tr>
        <w:tc>
          <w:tcPr>
            <w:tcW w:type="dxa" w:w="6350"/>
            <w:shd w:val="clear" w:fill="E8EDF0"/>
          </w:tcPr>
          <w:p>
            <w:r>
              <w:rPr>
                <w:color w:val="1E2E6E"/>
                <w:sz w:val="16"/>
              </w:rPr>
              <w:t>01.  Aprobación de los Estados Financieros Separados y Consolidados Auditados, Memoria Anual, Informe Anual de Gobierno Corporativo del Ejercicio 2024</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Aplicación de Resultados del Ejercicio 2024</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Designación de los auditores externos para el periodo 2025-2027</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04.  Delegación de Facultades para formalizar acuerdos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Aprobación de Informe de Sostenibilidad del ejercicio 2024</w:t>
            </w:r>
          </w:p>
        </w:tc>
        <w:tc>
          <w:tcPr>
            <w:tcW w:type="dxa" w:w="3175"/>
            <w:shd w:val="clear" w:fill="E8EDF0"/>
          </w:tcPr>
          <w:p>
            <w:pPr>
              <w:jc w:val="center"/>
            </w:pPr>
            <w:r>
              <w:rPr>
                <w:color w:val="1E2E6E"/>
                <w:sz w:val="16"/>
              </w:rPr>
              <w:t>A Favor</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F7F9FA"/>
          </w:tcPr>
          <w:p>
            <w:r>
              <w:rPr>
                <w:color w:val="1E2E6E"/>
                <w:sz w:val="16"/>
              </w:rPr>
              <w:t>01.  Aprobación de los Estados Financieros Separados y Consolidados Auditados, de la Memoria Anual, del Informe Anual de Gobierno Corporativo e Informe de Sostenibilidad del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Aplicación de los Resultados del Ejercicio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Delegación de facultades para formalizar los acuerdos.</w:t>
            </w:r>
          </w:p>
        </w:tc>
        <w:tc>
          <w:tcPr>
            <w:tcW w:type="dxa" w:w="3175"/>
            <w:shd w:val="clear" w:fill="F7F9FA"/>
          </w:tcPr>
          <w:p>
            <w:pPr>
              <w:jc w:val="center"/>
            </w:pPr>
            <w:r>
              <w:rPr>
                <w:color w:val="1E2E6E"/>
                <w:sz w:val="16"/>
              </w:rPr>
              <w:t>A Favor</w:t>
            </w:r>
          </w:p>
        </w:tc>
      </w:tr>
      <w:tr>
        <w:tc>
          <w:tcPr>
            <w:tcW w:type="dxa" w:w="6350"/>
            <w:shd w:val="clear" w:fill="E3E829"/>
          </w:tcPr>
          <w:p>
            <w:r>
              <w:rPr>
                <w:b/>
                <w:color w:val="1E2E6E"/>
                <w:sz w:val="18"/>
              </w:rPr>
              <w:t>Alicorp</w:t>
            </w:r>
          </w:p>
        </w:tc>
        <w:tc>
          <w:tcPr>
            <w:tcW w:type="dxa" w:w="3175"/>
            <w:shd w:val="clear" w:fill="E3E829"/>
          </w:tcPr>
          <w:p/>
        </w:tc>
      </w:tr>
      <w:tr>
        <w:tc>
          <w:tcPr>
            <w:tcW w:type="dxa" w:w="6350"/>
            <w:shd w:val="clear" w:fill="EDF29A"/>
          </w:tcPr>
          <w:p>
            <w:r>
              <w:rPr>
                <w:b/>
                <w:color w:val="1E2E6E"/>
                <w:sz w:val="18"/>
              </w:rPr>
              <w:t>27/03/2025</w:t>
            </w:r>
          </w:p>
        </w:tc>
        <w:tc>
          <w:tcPr>
            <w:tcW w:type="dxa" w:w="3175"/>
            <w:shd w:val="clear" w:fill="EDF29A"/>
          </w:tcPr>
          <w:p/>
        </w:tc>
      </w:tr>
      <w:tr>
        <w:tc>
          <w:tcPr>
            <w:tcW w:type="dxa" w:w="6350"/>
            <w:shd w:val="clear" w:fill="E8EDF0"/>
          </w:tcPr>
          <w:p>
            <w:r>
              <w:rPr>
                <w:color w:val="1E2E6E"/>
                <w:sz w:val="16"/>
              </w:rPr>
              <w:t>01.  Elección o Remoción de Directores</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02.  Aprobación de la Gestión Social (EEFF y Memoria)</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Distribución o Aplicación de Utilidades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  Retribución de los miembros del Directorio y miembros de Comités del Directorio</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Designación de los Auditores Externos para el ejercicio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06.  Aprobación de un financiamiento a través del Mercado de Capitales para la reestructuración de los pasivos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07.  Informe ASG</w:t>
            </w:r>
          </w:p>
        </w:tc>
        <w:tc>
          <w:tcPr>
            <w:tcW w:type="dxa" w:w="3175"/>
            <w:shd w:val="clear" w:fill="E8EDF0"/>
          </w:tcPr>
          <w:p>
            <w:pPr>
              <w:jc w:val="center"/>
            </w:pPr>
            <w:r>
              <w:rPr>
                <w:color w:val="1E2E6E"/>
                <w:sz w:val="16"/>
              </w:rPr>
              <w:t>Informativo</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F7F9FA"/>
          </w:tcPr>
          <w:p>
            <w:r>
              <w:rPr>
                <w:color w:val="1E2E6E"/>
                <w:sz w:val="16"/>
              </w:rPr>
              <w:t>01.  Aprobación de la Gestión Social (EEFF Y Memoria)</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01.  Informes sobre las acciones implementadas para la eliminación de Emisiones netas, sobre la Equidad de Género y diversidad; y sobre los Riesgos Financieros vinculados al cambio climático.</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Distribución o Aplicación de Utilidades: Con relación a la aplicación de utilidades, se propone distribuir dividendos por S/215,000,000 con cargo a utilidades del 2019, lo que equivale a un dividendo por acción de S/0.37306238. Para esta distribución se propone que la fecha de registro sea el 23 de abril de 2026 y la fecha de entrega 20 de mayo de 2026. Adicionalmente, se propone facultar al Directorio la distribución dividendos por hasta S/215,000,000, pudiendo el Directorio acordar la distribución de hasta dicho monto en una o más oportunidades en función a la disponibilidad de caja.</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Reclasificación de la reserva legal: La reserva legal excede el máximo necesario al haberse efectuado reducciones de capital luego de los procesos de recompra de acciones. Se propone que el monto a reclasificar de Reserva Legal a Resultados Acumulados sea de S/ 55,499,513.91.</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  Retribución de los miembros del Directorio y miembros de Comités del Directorio: Se propone mantener la retribución definida en el año 2023, que se mantuvo en el año 2024 y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Designación de los Auditores Externos para el ejercicio 2026: Se propone la designación de la firma Tanaka, Valdivia &amp; Asociados Sociedad Civil de Responsabilidad Limitada, firma miembro de EY.</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BBVA Peru</w:t>
            </w:r>
          </w:p>
        </w:tc>
        <w:tc>
          <w:tcPr>
            <w:tcW w:type="dxa" w:w="3175"/>
            <w:shd w:val="clear" w:fill="E3E829"/>
          </w:tcPr>
          <w:p/>
        </w:tc>
      </w:tr>
      <w:tr>
        <w:tc>
          <w:tcPr>
            <w:tcW w:type="dxa" w:w="6350"/>
            <w:shd w:val="clear" w:fill="EDF29A"/>
          </w:tcPr>
          <w:p>
            <w:r>
              <w:rPr>
                <w:b/>
                <w:color w:val="1E2E6E"/>
                <w:sz w:val="18"/>
              </w:rPr>
              <w:t>27/03/2025</w:t>
            </w:r>
          </w:p>
        </w:tc>
        <w:tc>
          <w:tcPr>
            <w:tcW w:type="dxa" w:w="3175"/>
            <w:shd w:val="clear" w:fill="EDF29A"/>
          </w:tcPr>
          <w:p/>
        </w:tc>
      </w:tr>
      <w:tr>
        <w:tc>
          <w:tcPr>
            <w:tcW w:type="dxa" w:w="6350"/>
            <w:shd w:val="clear" w:fill="F7F9FA"/>
          </w:tcPr>
          <w:p>
            <w:r>
              <w:rPr>
                <w:color w:val="1E2E6E"/>
                <w:sz w:val="16"/>
              </w:rPr>
              <w:t>01.  Lectura del dictamen e informe de los auditores externos correspondiente al ejercicio 2024. Aprobación de los estados financieros separados y consolidados, memoria anual y gestión social correspondiente al ejercicio 2024</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Informe sobre la gestión social y de avances en la gestión de factores ambientales, sociales, de gobierno corporativo y riesgo climático (ASG).</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03.  Designación de los auditores externos para el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Propuesta de aplicación de utilidades.</w:t>
            </w:r>
          </w:p>
        </w:tc>
        <w:tc>
          <w:tcPr>
            <w:tcW w:type="dxa" w:w="3175"/>
            <w:shd w:val="clear" w:fill="E8EDF0"/>
          </w:tcPr>
          <w:p>
            <w:pPr>
              <w:jc w:val="center"/>
            </w:pPr>
            <w:r>
              <w:rPr>
                <w:color w:val="1E2E6E"/>
                <w:sz w:val="16"/>
              </w:rPr>
              <w:t>Cabecera</w:t>
            </w:r>
          </w:p>
        </w:tc>
      </w:tr>
      <w:tr>
        <w:tc>
          <w:tcPr>
            <w:tcW w:type="dxa" w:w="6350"/>
            <w:shd w:val="clear" w:fill="F7F9FA"/>
          </w:tcPr>
          <w:p>
            <w:r>
              <w:rPr>
                <w:color w:val="1E2E6E"/>
                <w:sz w:val="16"/>
              </w:rPr>
              <w:t>04.1.  PEN 188’640,459.53, se destinarán a incrementar la reserva legal</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04.2.  PEN 943’202,297.79, se distribuirán como dividendos en efectivo.</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05.  Aumento de capital por capitalización de utilidades, modificación del artículo quinto del estatuto legal (PEN 754’561,838.00, se destinarán a ser capitalizados.)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06.  Determinación del número de directores titulares. Determinación del número de directores suplentes.</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06.1.  Determinación del número de directores titulares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06.2.  Determinación del número de directores suplentes</w:t>
            </w:r>
          </w:p>
        </w:tc>
        <w:tc>
          <w:tcPr>
            <w:tcW w:type="dxa" w:w="3175"/>
            <w:shd w:val="clear" w:fill="E8EDF0"/>
          </w:tcPr>
          <w:p>
            <w:pPr>
              <w:jc w:val="center"/>
            </w:pPr>
            <w:r>
              <w:rPr>
                <w:color w:val="00AECB"/>
                <w:sz w:val="16"/>
              </w:rPr>
              <w:t>En Contra. En linea con la Politica de Votacion de AFP Integra (directores alternos o suplentes)</w:t>
            </w:r>
          </w:p>
        </w:tc>
      </w:tr>
      <w:tr>
        <w:tc>
          <w:tcPr>
            <w:tcW w:type="dxa" w:w="6350"/>
            <w:shd w:val="clear" w:fill="F7F9FA"/>
          </w:tcPr>
          <w:p>
            <w:r>
              <w:rPr>
                <w:color w:val="1E2E6E"/>
                <w:sz w:val="16"/>
              </w:rPr>
              <w:t>07.  Elección de directores titulares. Elección de directores suplentes.</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07.1.  Elección de directores titulares.</w:t>
            </w:r>
          </w:p>
        </w:tc>
        <w:tc>
          <w:tcPr>
            <w:tcW w:type="dxa" w:w="3175"/>
            <w:shd w:val="clear" w:fill="E8EDF0"/>
          </w:tcPr>
          <w:p>
            <w:pPr>
              <w:jc w:val="center"/>
            </w:pPr>
            <w:r>
              <w:rPr>
                <w:color w:val="1E2E6E"/>
                <w:sz w:val="16"/>
              </w:rPr>
              <w:t>Cabecera</w:t>
            </w:r>
          </w:p>
        </w:tc>
      </w:tr>
      <w:tr>
        <w:tc>
          <w:tcPr>
            <w:tcW w:type="dxa" w:w="6350"/>
            <w:shd w:val="clear" w:fill="F7F9FA"/>
          </w:tcPr>
          <w:p>
            <w:r>
              <w:rPr>
                <w:color w:val="1E2E6E"/>
                <w:sz w:val="16"/>
              </w:rPr>
              <w:t>07.1.1.  Alex Fort Brescia</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07.1.2.  Pedro Brescia Moreyra</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07.1.3.  Pablo Alfonso Pastor Muñoz</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07.1.4.  Fernando Eguiluz Lozano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07.1.5.  Mario Brescia Moreyra</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07.1.6.  Fortunato Brescia Moreyra</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07.1.7.  Nuria Alonso Jimenez</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07.1.8.  Rafael Varela Martínez</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07.1.9.  Martín Ezequiel Zarich</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07.1.9.10.  Ismael Alberto Benavides Ferreyros (Independiente)</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07.1.9.11.  José Manuel Rodríguez-Novás Sánchez-Diezma (Independiente)</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07.2.1.  Antonio Alonso Granada</w:t>
            </w:r>
          </w:p>
        </w:tc>
        <w:tc>
          <w:tcPr>
            <w:tcW w:type="dxa" w:w="3175"/>
            <w:shd w:val="clear" w:fill="E8EDF0"/>
          </w:tcPr>
          <w:p>
            <w:pPr>
              <w:jc w:val="center"/>
            </w:pPr>
            <w:r>
              <w:rPr>
                <w:color w:val="00AECB"/>
                <w:sz w:val="16"/>
              </w:rPr>
              <w:t>En Contra. En linea con la Politica de Votacion de AFP Integra (no se cuenta con directores independientes)</w:t>
            </w:r>
          </w:p>
        </w:tc>
      </w:tr>
      <w:tr>
        <w:tc>
          <w:tcPr>
            <w:tcW w:type="dxa" w:w="6350"/>
            <w:shd w:val="clear" w:fill="F7F9FA"/>
          </w:tcPr>
          <w:p>
            <w:r>
              <w:rPr>
                <w:color w:val="1E2E6E"/>
                <w:sz w:val="16"/>
              </w:rPr>
              <w:t>07.2.2.  Pedro José Malo Rob</w:t>
            </w:r>
          </w:p>
        </w:tc>
        <w:tc>
          <w:tcPr>
            <w:tcW w:type="dxa" w:w="3175"/>
            <w:shd w:val="clear" w:fill="F7F9FA"/>
          </w:tcPr>
          <w:p>
            <w:pPr>
              <w:jc w:val="center"/>
            </w:pPr>
            <w:r>
              <w:rPr>
                <w:color w:val="00AECB"/>
                <w:sz w:val="16"/>
              </w:rPr>
              <w:t>En Contra. En linea con la Politica de Votacion de AFP Integra (no se cuenta con directores independientes)</w:t>
            </w:r>
          </w:p>
        </w:tc>
      </w:tr>
      <w:tr>
        <w:tc>
          <w:tcPr>
            <w:tcW w:type="dxa" w:w="6350"/>
            <w:shd w:val="clear" w:fill="E8EDF0"/>
          </w:tcPr>
          <w:p>
            <w:r>
              <w:rPr>
                <w:color w:val="1E2E6E"/>
                <w:sz w:val="16"/>
              </w:rPr>
              <w:t>07.2.3.  Miguel Ángel Salmón Jacobs</w:t>
            </w:r>
          </w:p>
        </w:tc>
        <w:tc>
          <w:tcPr>
            <w:tcW w:type="dxa" w:w="3175"/>
            <w:shd w:val="clear" w:fill="E8EDF0"/>
          </w:tcPr>
          <w:p>
            <w:pPr>
              <w:jc w:val="center"/>
            </w:pPr>
            <w:r>
              <w:rPr>
                <w:color w:val="00AECB"/>
                <w:sz w:val="16"/>
              </w:rPr>
              <w:t>En Contra. En linea con la Politica de Votacion de AFP Integra (no se cuenta con directores independientes)</w:t>
            </w:r>
          </w:p>
        </w:tc>
      </w:tr>
      <w:tr>
        <w:tc>
          <w:tcPr>
            <w:tcW w:type="dxa" w:w="6350"/>
            <w:shd w:val="clear" w:fill="F7F9FA"/>
          </w:tcPr>
          <w:p>
            <w:r>
              <w:rPr>
                <w:color w:val="1E2E6E"/>
                <w:sz w:val="16"/>
              </w:rPr>
              <w:t>07.2.4.  Gustavo Alberto Mazzolini Casas</w:t>
            </w:r>
          </w:p>
        </w:tc>
        <w:tc>
          <w:tcPr>
            <w:tcW w:type="dxa" w:w="3175"/>
            <w:shd w:val="clear" w:fill="F7F9FA"/>
          </w:tcPr>
          <w:p>
            <w:pPr>
              <w:jc w:val="center"/>
            </w:pPr>
            <w:r>
              <w:rPr>
                <w:color w:val="00AECB"/>
                <w:sz w:val="16"/>
              </w:rPr>
              <w:t>En Contra. En linea con la Politica de Votacion de AFP Integra (no se cuenta con directores independientes)</w:t>
            </w:r>
          </w:p>
        </w:tc>
      </w:tr>
      <w:tr>
        <w:tc>
          <w:tcPr>
            <w:tcW w:type="dxa" w:w="6350"/>
            <w:shd w:val="clear" w:fill="E8EDF0"/>
          </w:tcPr>
          <w:p>
            <w:r>
              <w:rPr>
                <w:color w:val="1E2E6E"/>
                <w:sz w:val="16"/>
              </w:rPr>
              <w:t>08.  Determinación de retribución del directorio.</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09.  Aprobación de la emisión de obligaciones no convertibles en acciones y delegación en el directorio de la facultad de decidir la oportunidad de la emisión, el monto, tipo de obligaciones a emitirse y demás condiciones de la emisión, hasta la celebración de la próxima junta obligatoria anual de accionistas del año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10.  Otorgamiento de poderes para la formalización de acuerdos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7.2.  Elección de directores suplentes.</w:t>
            </w:r>
          </w:p>
        </w:tc>
        <w:tc>
          <w:tcPr>
            <w:tcW w:type="dxa" w:w="3175"/>
            <w:shd w:val="clear" w:fill="F7F9FA"/>
          </w:tcPr>
          <w:p>
            <w:pPr>
              <w:jc w:val="center"/>
            </w:pPr>
            <w:r>
              <w:rPr>
                <w:color w:val="1E2E6E"/>
                <w:sz w:val="16"/>
              </w:rPr>
              <w:t>Cabecera</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Informe sobre la gestión social y de avances en la gestión de factores ambientales, sociales, de gobierno corporativo y riesgo climático (ASG). Lectura del dictamen e informe de los auditores externos correspondiente al ejercicio 2025. Aprobación de los estados financieros separados y consolidados, memoria anual y gestión social correspondiente al ejercicio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Designación de los auditores externos para el ejercicio 2026.</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Propuesta de aplicación de utilidades.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  Aumento de capital por capitalización de utilidades, modificación del artículo quinto del estatuto y constitución de reserva legal</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Determinación del número de directores titulares. Determinación del número de directores suplentes.</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06.  Determinación del número de directores titulares. Determinación del número de directores suplentes.</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06.01.  Alex Fort Brescia</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06.02.  Pedro Brescia Moreyra</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06.03.  Pablo Pastor Muñoz</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06.04.  Fernando Eguiluz Lozano</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06.05.  Mario Brescia Moreyra</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06.06.  Nuria Alonso Jiménez</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06.07.  Martín Ezequiel Zarich</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06.08.  Ismael Benavides Fereyros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06.09.  José Rodríguez‑Novas Sanchez‑Diezma</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07.  Determinación de retribución del directorio.</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08.  Aprobación de la emisión de obligaciones no convertibles en acciones y delegación en el directorio de la facultad de decidir la oportunidad de la emisión, el monto, tipo de obligaciones a emitirse y demás condiciones de la emisión, hasta la celebración de la próxima junta obligatoria anual de accionistas del año 2027.</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09.  Otorgamiento de poderes para la formalización de acuerdos.</w:t>
            </w:r>
          </w:p>
        </w:tc>
        <w:tc>
          <w:tcPr>
            <w:tcW w:type="dxa" w:w="3175"/>
            <w:shd w:val="clear" w:fill="F7F9FA"/>
          </w:tcPr>
          <w:p>
            <w:pPr>
              <w:jc w:val="center"/>
            </w:pPr>
            <w:r>
              <w:rPr>
                <w:color w:val="1E2E6E"/>
                <w:sz w:val="16"/>
              </w:rPr>
              <w:t>A Favor</w:t>
            </w:r>
          </w:p>
        </w:tc>
      </w:tr>
      <w:tr>
        <w:tc>
          <w:tcPr>
            <w:tcW w:type="dxa" w:w="6350"/>
            <w:shd w:val="clear" w:fill="E3E829"/>
          </w:tcPr>
          <w:p>
            <w:r>
              <w:rPr>
                <w:b/>
                <w:color w:val="1E2E6E"/>
                <w:sz w:val="18"/>
              </w:rPr>
              <w:t>Cementos Pacasmayo</w:t>
            </w:r>
          </w:p>
        </w:tc>
        <w:tc>
          <w:tcPr>
            <w:tcW w:type="dxa" w:w="3175"/>
            <w:shd w:val="clear" w:fill="E3E829"/>
          </w:tcP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Pronunciamiento sobre la Gestión Social y los resultados económicos (memoria anual integrada, informe de auditoría externa y estados financieros correspondientes al ejercicio 2025).</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03.  Aplicación de las utilidades del ejercicio 2025 y delegación de facultades al Directorio para el pago de dividendos con cargo a resultados acumulados y a cuenta del ejercicio 2026.</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04.  Fijación del número de Directores y elección del Directorio.</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04.1.  Ana Maria Botellano Serrano</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04.2.  Esteban Chong Leon</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04.3.  Venkat Krishnamurthy</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04.4.  Jose Morales Dasso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04.5.  Humberto Nadal del Carpio</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04.6.  Santiago Ojea Quintana</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04.7.  Simon Rolf</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05.  Informe sobre aspectos Ambientales, Sociales y de Gobierno Corporativo (ASG), incluyendo nuestro enfoque en sostenibilidad y los riesgos climáticos y; nuestros compromisos para la reducción de emisiones y la carbono-neutralidad; promoción de la equidad de género y diversidad; y, la implementación de reportes de riesgos y oportunidades vinculados al cambio climático.</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Cerro Verde</w:t>
            </w:r>
          </w:p>
        </w:tc>
        <w:tc>
          <w:tcPr>
            <w:tcW w:type="dxa" w:w="3175"/>
            <w:shd w:val="clear" w:fill="E3E829"/>
          </w:tcPr>
          <w:p/>
        </w:tc>
      </w:tr>
      <w:tr>
        <w:tc>
          <w:tcPr>
            <w:tcW w:type="dxa" w:w="6350"/>
            <w:shd w:val="clear" w:fill="EDF29A"/>
          </w:tcPr>
          <w:p>
            <w:r>
              <w:rPr>
                <w:b/>
                <w:color w:val="1E2E6E"/>
                <w:sz w:val="18"/>
              </w:rPr>
              <w:t>24/03/2025</w:t>
            </w:r>
          </w:p>
        </w:tc>
        <w:tc>
          <w:tcPr>
            <w:tcW w:type="dxa" w:w="3175"/>
            <w:shd w:val="clear" w:fill="EDF29A"/>
          </w:tcPr>
          <w:p/>
        </w:tc>
      </w:tr>
      <w:tr>
        <w:tc>
          <w:tcPr>
            <w:tcW w:type="dxa" w:w="6350"/>
            <w:shd w:val="clear" w:fill="F7F9FA"/>
          </w:tcPr>
          <w:p>
            <w:r>
              <w:rPr>
                <w:color w:val="1E2E6E"/>
                <w:sz w:val="16"/>
              </w:rPr>
              <w:t>01.  Aprobación de la Gestión Social y los resultados económicos del ejercicio cerrado al 31 de diciembre de 2024, expresados en los Estados Financieros y en la Memoria Anual y sus anexos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01.1.  ASG</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02.  Destino de los resultados económicos obtenidos en el año 2024</w:t>
            </w:r>
          </w:p>
        </w:tc>
        <w:tc>
          <w:tcPr>
            <w:tcW w:type="dxa" w:w="3175"/>
            <w:shd w:val="clear" w:fill="F7F9FA"/>
          </w:tcPr>
          <w:p>
            <w:pPr>
              <w:jc w:val="center"/>
            </w:pPr>
            <w:r>
              <w:rPr>
                <w:color w:val="1E2E6E"/>
                <w:sz w:val="16"/>
              </w:rPr>
              <w:t>Cabecera</w:t>
            </w:r>
          </w:p>
        </w:tc>
      </w:tr>
      <w:tr>
        <w:tc>
          <w:tcPr>
            <w:tcW w:type="dxa" w:w="6350"/>
            <w:shd w:val="clear" w:fill="E8EDF0"/>
          </w:tcPr>
          <w:p>
            <w:r>
              <w:rPr>
                <w:color w:val="1E2E6E"/>
                <w:sz w:val="16"/>
              </w:rPr>
              <w:t>03.  Ratificación de los miembros del Directorio</w:t>
            </w:r>
          </w:p>
        </w:tc>
        <w:tc>
          <w:tcPr>
            <w:tcW w:type="dxa" w:w="3175"/>
            <w:shd w:val="clear" w:fill="E8EDF0"/>
          </w:tcPr>
          <w:p>
            <w:pPr>
              <w:jc w:val="center"/>
            </w:pPr>
            <w:r>
              <w:rPr>
                <w:color w:val="00AECB"/>
                <w:sz w:val="16"/>
              </w:rPr>
              <w:t>En Contra. En linea con la Politica de Votacion de AFP Integra (no se cuenta con directores independientes)</w:t>
            </w:r>
          </w:p>
        </w:tc>
      </w:tr>
      <w:tr>
        <w:tc>
          <w:tcPr>
            <w:tcW w:type="dxa" w:w="6350"/>
            <w:shd w:val="clear" w:fill="F7F9FA"/>
          </w:tcPr>
          <w:p>
            <w:r>
              <w:rPr>
                <w:color w:val="1E2E6E"/>
                <w:sz w:val="16"/>
              </w:rPr>
              <w:t>04.  Delegación al Directorio de la designación de los auditores externos</w:t>
            </w:r>
          </w:p>
        </w:tc>
        <w:tc>
          <w:tcPr>
            <w:tcW w:type="dxa" w:w="3175"/>
            <w:shd w:val="clear" w:fill="F7F9FA"/>
          </w:tcPr>
          <w:p>
            <w:pPr>
              <w:jc w:val="center"/>
            </w:pPr>
            <w:r>
              <w:rPr>
                <w:color w:val="00AECB"/>
                <w:sz w:val="16"/>
              </w:rPr>
              <w:t>En Contra. En linea con la Politica de Votacion de AFP Integra (se delega la eleccion de la firma auditora al directorio)</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Aprobación de la gestión social y de los resultados económicos correspondientes al</w:t>
              <w:br/>
              <w:t>ejercicio cerrado al 31 de diciembre de 2025, expresados en los Estados Financieros y en la Memoria Anual y sus anexos.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Destino de los resultados económicos obtenidos en el año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Delegación al Directorio de la designación de los auditores externos.</w:t>
            </w:r>
          </w:p>
        </w:tc>
        <w:tc>
          <w:tcPr>
            <w:tcW w:type="dxa" w:w="3175"/>
            <w:shd w:val="clear" w:fill="E8EDF0"/>
          </w:tcPr>
          <w:p>
            <w:pPr>
              <w:jc w:val="center"/>
            </w:pPr>
            <w:r>
              <w:rPr>
                <w:color w:val="00AECB"/>
                <w:sz w:val="16"/>
              </w:rPr>
              <w:t>En Contra. En linea con la Politica de Votacion de AFP Integra (se delega la eleccion de la firma auditora al directorio)</w:t>
            </w:r>
          </w:p>
        </w:tc>
      </w:tr>
      <w:tr>
        <w:tc>
          <w:tcPr>
            <w:tcW w:type="dxa" w:w="6350"/>
            <w:shd w:val="clear" w:fill="F7F9FA"/>
          </w:tcPr>
          <w:p>
            <w:r>
              <w:rPr>
                <w:color w:val="1E2E6E"/>
                <w:sz w:val="16"/>
              </w:rPr>
              <w:t>04.  Elección de los miembros titulares y alternos del Directorio, determinación de su</w:t>
              <w:br/>
              <w:t>remuneración, y elección del presidente y del vicepresidente del Directorio.</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06.  Elección de los miembros titulares y alternos del Directorio, determinación de su</w:t>
              <w:br/>
              <w:t>remuneración, y elección del presidente y del vicepresidente del Directorio.</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Chancay</w:t>
            </w:r>
          </w:p>
        </w:tc>
        <w:tc>
          <w:tcPr>
            <w:tcW w:type="dxa" w:w="3175"/>
            <w:shd w:val="clear" w:fill="E3E829"/>
          </w:tcPr>
          <w:p/>
        </w:tc>
      </w:tr>
      <w:tr>
        <w:tc>
          <w:tcPr>
            <w:tcW w:type="dxa" w:w="6350"/>
            <w:shd w:val="clear" w:fill="EDF29A"/>
          </w:tcPr>
          <w:p>
            <w:r>
              <w:rPr>
                <w:b/>
                <w:color w:val="1E2E6E"/>
                <w:sz w:val="18"/>
              </w:rPr>
              <w:t>27/03/2025</w:t>
            </w:r>
          </w:p>
        </w:tc>
        <w:tc>
          <w:tcPr>
            <w:tcW w:type="dxa" w:w="3175"/>
            <w:shd w:val="clear" w:fill="EDF29A"/>
          </w:tcPr>
          <w:p/>
        </w:tc>
      </w:tr>
      <w:tr>
        <w:tc>
          <w:tcPr>
            <w:tcW w:type="dxa" w:w="6350"/>
            <w:shd w:val="clear" w:fill="F7F9FA"/>
          </w:tcPr>
          <w:p>
            <w:r>
              <w:rPr>
                <w:color w:val="1E2E6E"/>
                <w:sz w:val="16"/>
              </w:rPr>
              <w:t>01.  Aprobación de la Memoria Anual, Reporte sobre cumplimiento del Código de Buen Gobierno Corporativo, Reporte de Sostenibilidad y Estados Financieros Auditados al 31 de diciembre de 2024</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Aplicación de resultados del Ejercicio 2024</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Designar o delegar en el directorio la designación de los auditores externos</w:t>
            </w:r>
          </w:p>
        </w:tc>
        <w:tc>
          <w:tcPr>
            <w:tcW w:type="dxa" w:w="3175"/>
            <w:shd w:val="clear" w:fill="F7F9FA"/>
          </w:tcPr>
          <w:p>
            <w:pPr>
              <w:jc w:val="center"/>
            </w:pPr>
            <w:r>
              <w:rPr>
                <w:color w:val="00AECB"/>
                <w:sz w:val="16"/>
              </w:rPr>
              <w:t>En Contra. En linea con la Politica de Votacion de AFP Integra (se delega la eleccion de la firma auditora al directorio)</w:t>
            </w:r>
          </w:p>
        </w:tc>
      </w:tr>
      <w:tr>
        <w:tc>
          <w:tcPr>
            <w:tcW w:type="dxa" w:w="6350"/>
            <w:shd w:val="clear" w:fill="E8EDF0"/>
          </w:tcPr>
          <w:p>
            <w:r>
              <w:rPr>
                <w:color w:val="1E2E6E"/>
                <w:sz w:val="16"/>
              </w:rPr>
              <w:t>04.  Otorgamiento de facultades para formalizar los acuerdos adoptados en la Junta</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05.  Aprobación del  Reporte de Sostenibilidad</w:t>
            </w:r>
          </w:p>
        </w:tc>
        <w:tc>
          <w:tcPr>
            <w:tcW w:type="dxa" w:w="3175"/>
            <w:shd w:val="clear" w:fill="F7F9FA"/>
          </w:tcPr>
          <w:p>
            <w:pPr>
              <w:jc w:val="center"/>
            </w:pPr>
            <w:r>
              <w:rPr>
                <w:color w:val="1E2E6E"/>
                <w:sz w:val="16"/>
              </w:rPr>
              <w:t>Informativo</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Aprobación de la Memoria Anual, Reporte sobre cumplimiento del Código de Buen Gobierno Corporativo, Reporte de Sostenibilidad y Estados Financieros Auditados, separados y consolidados, al 31 de diciembre de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Aplicación de resultados del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Designar o delegar en el directorio la designación de los auditores externos.</w:t>
            </w:r>
          </w:p>
        </w:tc>
        <w:tc>
          <w:tcPr>
            <w:tcW w:type="dxa" w:w="3175"/>
            <w:shd w:val="clear" w:fill="E8EDF0"/>
          </w:tcPr>
          <w:p>
            <w:pPr>
              <w:jc w:val="center"/>
            </w:pPr>
            <w:r>
              <w:rPr>
                <w:color w:val="00AECB"/>
                <w:sz w:val="16"/>
              </w:rPr>
              <w:t>En Contra. En linea con la Politica de Votacion de AFP Integra (se delega la eleccion de la firma auditora al directorio)</w:t>
            </w:r>
          </w:p>
        </w:tc>
      </w:tr>
      <w:tr>
        <w:tc>
          <w:tcPr>
            <w:tcW w:type="dxa" w:w="6350"/>
            <w:shd w:val="clear" w:fill="F7F9FA"/>
          </w:tcPr>
          <w:p>
            <w:r>
              <w:rPr>
                <w:color w:val="1E2E6E"/>
                <w:sz w:val="16"/>
              </w:rPr>
              <w:t>04.  Otorgamiento de facultades para formalizar los acuerdos adoptados en la Junta.</w:t>
            </w:r>
          </w:p>
        </w:tc>
        <w:tc>
          <w:tcPr>
            <w:tcW w:type="dxa" w:w="3175"/>
            <w:shd w:val="clear" w:fill="F7F9FA"/>
          </w:tcPr>
          <w:p>
            <w:pPr>
              <w:jc w:val="center"/>
            </w:pPr>
            <w:r>
              <w:rPr>
                <w:color w:val="1E2E6E"/>
                <w:sz w:val="16"/>
              </w:rPr>
              <w:t>A Favor</w:t>
            </w:r>
          </w:p>
        </w:tc>
      </w:tr>
      <w:tr>
        <w:tc>
          <w:tcPr>
            <w:tcW w:type="dxa" w:w="6350"/>
            <w:shd w:val="clear" w:fill="E3E829"/>
          </w:tcPr>
          <w:p>
            <w:r>
              <w:rPr>
                <w:b/>
                <w:color w:val="1E2E6E"/>
                <w:sz w:val="18"/>
              </w:rPr>
              <w:t>Cia. de Minas Buenaventura</w:t>
            </w:r>
          </w:p>
        </w:tc>
        <w:tc>
          <w:tcPr>
            <w:tcW w:type="dxa" w:w="3175"/>
            <w:shd w:val="clear" w:fill="E3E829"/>
          </w:tcPr>
          <w:p/>
        </w:tc>
      </w:tr>
      <w:tr>
        <w:tc>
          <w:tcPr>
            <w:tcW w:type="dxa" w:w="6350"/>
            <w:shd w:val="clear" w:fill="EDF29A"/>
          </w:tcPr>
          <w:p>
            <w:r>
              <w:rPr>
                <w:b/>
                <w:color w:val="1E2E6E"/>
                <w:sz w:val="18"/>
              </w:rPr>
              <w:t>28/03/2025</w:t>
            </w:r>
          </w:p>
        </w:tc>
        <w:tc>
          <w:tcPr>
            <w:tcW w:type="dxa" w:w="3175"/>
            <w:shd w:val="clear" w:fill="EDF29A"/>
          </w:tcPr>
          <w:p/>
        </w:tc>
      </w:tr>
      <w:tr>
        <w:tc>
          <w:tcPr>
            <w:tcW w:type="dxa" w:w="6350"/>
            <w:shd w:val="clear" w:fill="E8EDF0"/>
          </w:tcPr>
          <w:p>
            <w:r>
              <w:rPr>
                <w:color w:val="1E2E6E"/>
                <w:sz w:val="16"/>
              </w:rPr>
              <w:t>01.  Aprobación de la Memoria Anual 2024 y Aprobación de los estados financieros correspondientes al ejercicio cerrado al 31 de diciembre de 2024</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Retribución al directorio – ejercicio 2024</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03.  Designación de auditores externos para el ejercicio 2025</w:t>
            </w:r>
          </w:p>
        </w:tc>
        <w:tc>
          <w:tcPr>
            <w:tcW w:type="dxa" w:w="3175"/>
            <w:shd w:val="clear" w:fill="E8EDF0"/>
          </w:tcPr>
          <w:p>
            <w:pPr>
              <w:jc w:val="center"/>
            </w:pPr>
            <w:r>
              <w:rPr>
                <w:color w:val="00AECB"/>
                <w:sz w:val="16"/>
              </w:rPr>
              <w:t>En Contra. En linea con la Politica de Votacion de AFP Integra (la firma auditora supera 10 anios de servicio)</w:t>
            </w:r>
          </w:p>
        </w:tc>
      </w:tr>
      <w:tr>
        <w:tc>
          <w:tcPr>
            <w:tcW w:type="dxa" w:w="6350"/>
            <w:shd w:val="clear" w:fill="F7F9FA"/>
          </w:tcPr>
          <w:p>
            <w:r>
              <w:rPr>
                <w:color w:val="1E2E6E"/>
                <w:sz w:val="16"/>
              </w:rPr>
              <w:t>04.  Distribución de dividendos</w:t>
            </w:r>
          </w:p>
        </w:tc>
        <w:tc>
          <w:tcPr>
            <w:tcW w:type="dxa" w:w="3175"/>
            <w:shd w:val="clear" w:fill="F7F9FA"/>
          </w:tcPr>
          <w:p>
            <w:pPr>
              <w:jc w:val="center"/>
            </w:pPr>
            <w:r>
              <w:rPr>
                <w:color w:val="1E2E6E"/>
                <w:sz w:val="16"/>
              </w:rPr>
              <w:t>A Favor</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Aprobación de los estados financieros y Memoria Anual correspondientes al ejercicio cerrado al 31 de diciembre de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Retribución al directorio –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Designación de auditores externos para el ejercicio 2026.</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04.  Distribución de dividendos.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Modificación parcial del estatuto social: Artículo trigésimo cuarto.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  Designación de los miembros del directorio para el periodo marzo 2026 – marzo 2029.</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06.01.  ARRIAGADA HERRERA, IVAN DAGOBERTO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06.02.  BENAVIDES GANOZA, RAUL EDUARDO PEDRO</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06.03.  BENAVIDES GANOZA, ROQUE EDUARDO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06.04.  BERNEX WEISS DE FALEN, NICOLE EDEL LAURE MARIE</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06.05.  BETZHOLD HENZI, JORGE F.</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06.06.  BHARMAL , SHEHZAD</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06.07.  DE LA TORRE DE LA PIEDRA, DIEGO EDUARDO M</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06.08.  ORTIZ JARA, MAURICIO</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06.09.  ZALDIVAR GARCIA, MARCO ANTONIO</w:t>
            </w:r>
          </w:p>
        </w:tc>
        <w:tc>
          <w:tcPr>
            <w:tcW w:type="dxa" w:w="3175"/>
            <w:shd w:val="clear" w:fill="E8EDF0"/>
          </w:tcPr>
          <w:p>
            <w:pPr>
              <w:jc w:val="center"/>
            </w:pPr>
            <w:r>
              <w:rPr>
                <w:color w:val="1E2E6E"/>
                <w:sz w:val="16"/>
              </w:rPr>
              <w:t>Abstencion</w:t>
            </w:r>
          </w:p>
        </w:tc>
      </w:tr>
      <w:tr>
        <w:tc>
          <w:tcPr>
            <w:tcW w:type="dxa" w:w="6350"/>
            <w:shd w:val="clear" w:fill="E3E829"/>
          </w:tcPr>
          <w:p>
            <w:r>
              <w:rPr>
                <w:b/>
                <w:color w:val="1E2E6E"/>
                <w:sz w:val="18"/>
              </w:rPr>
              <w:t>Credicorp</w:t>
            </w:r>
          </w:p>
        </w:tc>
        <w:tc>
          <w:tcPr>
            <w:tcW w:type="dxa" w:w="3175"/>
            <w:shd w:val="clear" w:fill="E3E829"/>
          </w:tcPr>
          <w:p/>
        </w:tc>
      </w:tr>
      <w:tr>
        <w:tc>
          <w:tcPr>
            <w:tcW w:type="dxa" w:w="6350"/>
            <w:shd w:val="clear" w:fill="EDF29A"/>
          </w:tcPr>
          <w:p>
            <w:r>
              <w:rPr>
                <w:b/>
                <w:color w:val="1E2E6E"/>
                <w:sz w:val="18"/>
              </w:rPr>
              <w:t>03/04/2025</w:t>
            </w:r>
          </w:p>
        </w:tc>
        <w:tc>
          <w:tcPr>
            <w:tcW w:type="dxa" w:w="3175"/>
            <w:shd w:val="clear" w:fill="EDF29A"/>
          </w:tcPr>
          <w:p/>
        </w:tc>
      </w:tr>
      <w:tr>
        <w:tc>
          <w:tcPr>
            <w:tcW w:type="dxa" w:w="6350"/>
            <w:shd w:val="clear" w:fill="F7F9FA"/>
          </w:tcPr>
          <w:p>
            <w:r>
              <w:rPr>
                <w:color w:val="1E2E6E"/>
                <w:sz w:val="16"/>
              </w:rPr>
              <w:t>01.  Presentación por el Presidente del Directorio del Reporte Anual y de Sostenibilidad de Credicorp sobre el ejercicio cerrado al 31 de diciembre de 2024</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Presentación por el Presidente del Directorio de los estados financieros separados y consolidados de Credicorp y subsidiarias al 31 de diciembre de 2024, incluyendo el dictamen de los auditores externos de Credicorp</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Designación de auditores externos para el ejercicio 2025 y delegación al Directorio para determinar y aprobar sus honorarios (para posterior delegación al Comité de Auditoría)</w:t>
            </w:r>
          </w:p>
        </w:tc>
        <w:tc>
          <w:tcPr>
            <w:tcW w:type="dxa" w:w="3175"/>
            <w:shd w:val="clear" w:fill="F7F9FA"/>
          </w:tcPr>
          <w:p>
            <w:pPr>
              <w:jc w:val="center"/>
            </w:pPr>
            <w:r>
              <w:rPr>
                <w:color w:val="1E2E6E"/>
                <w:sz w:val="16"/>
              </w:rPr>
              <w:t>A Favor</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Aprobar el Reporte Anual y de Sostenibilidad de Credicorp sobre el ejercicio cerrado al 31 de diciembre de 2025, incluyendo sus anexos. Aprobar los estados financieros separados y consolidados de Credicorp y sus subsidiarias al 31 de diciembre de 2025, así como el dictamen de los auditores externos.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Proponer a la AGAA la relación de candidatos a directores de Credicorp para el periodo marzo 2026 - marzo 2029.</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03.01.  ALIÑO PEREZ, NURIA</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03.02.  ALVAREZ ARNAO, MARIA INES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03.03.  ARANZABAL HARREGUY, MARIA TERESA</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03.04.  MORALES DASSO, JOSE RAIMUNDO</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03.05.  PAREDES MANRIQUE, JUAN LIZARDO</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03.06.  PIERCE DIEZ CANSECO, LESLIE HAROLD</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03.07.  ROMERO BELISMELIS, LUIS ENRIQUE</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03.08.  ROMERO VALDEZ, MANUEL ENRIQUE</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03.09.  RUBIO FEIJOO, PEDRO</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  Proponer a la AGAA la remuneración del Directorio y sus comités para el periodo marzo 2026 – marzo 2027.</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Appointment of the external auditors of Credicorp to perform such services for the 2026 financial year and delegation of the power to set and approve fees for such audit services to the Board of Directors (for further delegation to the Audit Committee thereof)</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Engie Energia Peru</w:t>
            </w:r>
          </w:p>
        </w:tc>
        <w:tc>
          <w:tcPr>
            <w:tcW w:type="dxa" w:w="3175"/>
            <w:shd w:val="clear" w:fill="E3E829"/>
          </w:tcPr>
          <w:p/>
        </w:tc>
      </w:tr>
      <w:tr>
        <w:tc>
          <w:tcPr>
            <w:tcW w:type="dxa" w:w="6350"/>
            <w:shd w:val="clear" w:fill="EDF29A"/>
          </w:tcPr>
          <w:p>
            <w:r>
              <w:rPr>
                <w:b/>
                <w:color w:val="1E2E6E"/>
                <w:sz w:val="18"/>
              </w:rPr>
              <w:t>20/03/2025</w:t>
            </w:r>
          </w:p>
        </w:tc>
        <w:tc>
          <w:tcPr>
            <w:tcW w:type="dxa" w:w="3175"/>
            <w:shd w:val="clear" w:fill="EDF29A"/>
          </w:tcPr>
          <w:p/>
        </w:tc>
      </w:tr>
      <w:tr>
        <w:tc>
          <w:tcPr>
            <w:tcW w:type="dxa" w:w="6350"/>
            <w:shd w:val="clear" w:fill="F7F9FA"/>
          </w:tcPr>
          <w:p>
            <w:r>
              <w:rPr>
                <w:color w:val="1E2E6E"/>
                <w:sz w:val="16"/>
              </w:rPr>
              <w:t>01.  Aprobación de la gestión social expresada en el Reporte Integrado, que contiene la Memoria Anual 2024 y los estados financieros auditados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Distribución o Aplicación de Utilidades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Determinación de la Fecha de Registro y Fecha de Entrega de Dividendos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Designación de Auditores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05.  Informar a la Junta Obligatoria Anual de Accionistas sobre los aspectos Ambientales, Sociales y Gobierno Corporativo</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06.  Designación de los miembros del Directorio y fijación de su retribución</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07.  Adaptación de ENGIE a sociedad anónima abierta según lo dispuesto en la Ley General de Sociedades y modificación de estatutos.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08.  Designación de personas autorizadas para la formalización de los acuerdos y documentos que origine la Junta General de Accionistas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09.  Designación de personas para suscribir el acta</w:t>
            </w:r>
          </w:p>
        </w:tc>
        <w:tc>
          <w:tcPr>
            <w:tcW w:type="dxa" w:w="3175"/>
            <w:shd w:val="clear" w:fill="F7F9FA"/>
          </w:tcPr>
          <w:p>
            <w:pPr>
              <w:jc w:val="center"/>
            </w:pPr>
            <w:r>
              <w:rPr>
                <w:color w:val="1E2E6E"/>
                <w:sz w:val="16"/>
              </w:rPr>
              <w:t>A Favor</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Aprobación de la gestión social expresada en el Reporte Integrado, que contiene la Memoria Anual 2025 y los estados financieros auditados.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Aplicación de Utilidades.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Designación de Auditores.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  Informar a la Junta Obligatoria Anual de Accionistas sobre los aspectos Ambientales, Sociales y Gobierno Corporativo.</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Designación de personas autorizadas para la formalización de los acuerdos y documentos que origine la Junta General de Accionistas.</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Ferreycorp</w:t>
            </w:r>
          </w:p>
        </w:tc>
        <w:tc>
          <w:tcPr>
            <w:tcW w:type="dxa" w:w="3175"/>
            <w:shd w:val="clear" w:fill="E3E829"/>
          </w:tcPr>
          <w:p/>
        </w:tc>
      </w:tr>
      <w:tr>
        <w:tc>
          <w:tcPr>
            <w:tcW w:type="dxa" w:w="6350"/>
            <w:shd w:val="clear" w:fill="EDF29A"/>
          </w:tcPr>
          <w:p>
            <w:r>
              <w:rPr>
                <w:b/>
                <w:color w:val="1E2E6E"/>
                <w:sz w:val="18"/>
              </w:rPr>
              <w:t>24/03/2025</w:t>
            </w:r>
          </w:p>
        </w:tc>
        <w:tc>
          <w:tcPr>
            <w:tcW w:type="dxa" w:w="3175"/>
            <w:shd w:val="clear" w:fill="EDF29A"/>
          </w:tcPr>
          <w:p/>
        </w:tc>
      </w:tr>
      <w:tr>
        <w:tc>
          <w:tcPr>
            <w:tcW w:type="dxa" w:w="6350"/>
            <w:shd w:val="clear" w:fill="F7F9FA"/>
          </w:tcPr>
          <w:p>
            <w:r>
              <w:rPr>
                <w:color w:val="1E2E6E"/>
                <w:sz w:val="16"/>
              </w:rPr>
              <w:t>01.  Examen y aprobación de la memoria 2024 que incluye el análisis y discusión de los estados financieros, así como el informe del programa de sostenibilidad.</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Distribución de utilidades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Nombramiento de los auditores externos para el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Delegación de facultades para suscribir documentos públicos y/o privados respecto de los acuerdos adoptados por la presente junta de accionista.</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05.  Aprobación del programa de sostenibilidad</w:t>
            </w:r>
          </w:p>
        </w:tc>
        <w:tc>
          <w:tcPr>
            <w:tcW w:type="dxa" w:w="3175"/>
            <w:shd w:val="clear" w:fill="F7F9FA"/>
          </w:tcPr>
          <w:p>
            <w:pPr>
              <w:jc w:val="center"/>
            </w:pPr>
            <w:r>
              <w:rPr>
                <w:color w:val="1E2E6E"/>
                <w:sz w:val="16"/>
              </w:rPr>
              <w:t>A Favor</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Examen y aprobación de la memoria 2025 que incluye el análisis y discusión de los estados financieros, así como el informe del programa de sostenibilidad.</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Distribución de utilidades.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Nombramiento de los auditores externos para el ejercicio 2026.</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04.1.  Manuel Bustamante Olivares</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04.2.  Georgette Montalván</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04.3.  Manuel Arturo Del Río Jimenez</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04.4.  Mariela Garcia Figari</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04.5.  Rodrigo Isasi Ruiz</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04.6.  Raúl Ortiz de Zevallos</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04.7.  Juan Pablo Segura</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04.8.  Alba Fiorella San Martín Piaggio</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04.9.  Andreas Von Wedemeyer</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05.  Delegación de facultades para suscribir documentos públicos y/o privados respecto de los acuerdos adoptados por la presente junta de accionistas.</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InRetail</w:t>
            </w:r>
          </w:p>
        </w:tc>
        <w:tc>
          <w:tcPr>
            <w:tcW w:type="dxa" w:w="3175"/>
            <w:shd w:val="clear" w:fill="E3E829"/>
          </w:tcP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F7F9FA"/>
          </w:tcPr>
          <w:p>
            <w:r>
              <w:rPr>
                <w:color w:val="1E2E6E"/>
                <w:sz w:val="16"/>
              </w:rPr>
              <w:t>01.  Aprobación de los Estados Financieros Auditados Individuales y Consolidados (Estado de Situación Financiera y Estado de Resultados) y Memoria Anual correspondientes al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Aplicación de Resultados del Ejercicio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Designación de Auditores Externos y fijación de su retribución o delegación de tales facultades en el Directorio.</w:t>
            </w:r>
          </w:p>
        </w:tc>
        <w:tc>
          <w:tcPr>
            <w:tcW w:type="dxa" w:w="3175"/>
            <w:shd w:val="clear" w:fill="F7F9FA"/>
          </w:tcPr>
          <w:p>
            <w:pPr>
              <w:jc w:val="center"/>
            </w:pPr>
            <w:r>
              <w:rPr>
                <w:color w:val="00AECB"/>
                <w:sz w:val="16"/>
              </w:rPr>
              <w:t>En Contra. En linea con la Politica de Votacion de AFP Integra (se delega la eleccion de la firma auditora al directorio)</w:t>
            </w:r>
          </w:p>
        </w:tc>
      </w:tr>
      <w:tr>
        <w:tc>
          <w:tcPr>
            <w:tcW w:type="dxa" w:w="6350"/>
            <w:shd w:val="clear" w:fill="E8EDF0"/>
          </w:tcPr>
          <w:p>
            <w:r>
              <w:rPr>
                <w:color w:val="1E2E6E"/>
                <w:sz w:val="16"/>
              </w:rPr>
              <w:t>04.  Autorización para la formalización de acuerdos</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Intergroup</w:t>
            </w:r>
          </w:p>
        </w:tc>
        <w:tc>
          <w:tcPr>
            <w:tcW w:type="dxa" w:w="3175"/>
            <w:shd w:val="clear" w:fill="E3E829"/>
          </w:tcP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F7F9FA"/>
          </w:tcPr>
          <w:p>
            <w:r>
              <w:rPr>
                <w:color w:val="1E2E6E"/>
                <w:sz w:val="16"/>
              </w:rPr>
              <w:t>01.  Presentación de resultados del año 2025. Aprobación de la Memoria Anual correspondiente al ejercicio 2025. Aprobación de la Información Financiera (incluyendo Estados Financieros) auditada individual y consolidada correspondiente al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Presentación de resultados de participación de IFS en el S&amp;P Global 2025 Corporate Sustainability Assessment (CSA), y presentación de avances en materia de sostenibilidad (ASG).</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05.  Aplicación de resultados del ejercicio 2025 y distribución de dividendos.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06.  Aprobación de la Política de Dividendos de 2026.</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07.  Designación de los auditores externos para IFS y sus subsidiarias para el ejercicio 2027 - 2029.</w:t>
            </w:r>
          </w:p>
        </w:tc>
        <w:tc>
          <w:tcPr>
            <w:tcW w:type="dxa" w:w="3175"/>
            <w:shd w:val="clear" w:fill="F7F9FA"/>
          </w:tcPr>
          <w:p>
            <w:pPr>
              <w:jc w:val="center"/>
            </w:pPr>
            <w:r>
              <w:rPr>
                <w:color w:val="00AECB"/>
                <w:sz w:val="16"/>
              </w:rPr>
              <w:t>En Contra. En linea con la Politica de Votacion de AFP Integra (se delega la eleccion de la firma auditora al directorio)</w:t>
            </w:r>
          </w:p>
        </w:tc>
      </w:tr>
      <w:tr>
        <w:tc>
          <w:tcPr>
            <w:tcW w:type="dxa" w:w="6350"/>
            <w:shd w:val="clear" w:fill="E8EDF0"/>
          </w:tcPr>
          <w:p>
            <w:r>
              <w:rPr>
                <w:color w:val="1E2E6E"/>
                <w:sz w:val="16"/>
              </w:rPr>
              <w:t>08.  Otorgamiento de poderes para la formalización de acuerdos adoptados en la JOA.</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Nexa Peru</w:t>
            </w:r>
          </w:p>
        </w:tc>
        <w:tc>
          <w:tcPr>
            <w:tcW w:type="dxa" w:w="3175"/>
            <w:shd w:val="clear" w:fill="E3E829"/>
          </w:tcPr>
          <w:p/>
        </w:tc>
      </w:tr>
      <w:tr>
        <w:tc>
          <w:tcPr>
            <w:tcW w:type="dxa" w:w="6350"/>
            <w:shd w:val="clear" w:fill="EDF29A"/>
          </w:tcPr>
          <w:p>
            <w:r>
              <w:rPr>
                <w:b/>
                <w:color w:val="1E2E6E"/>
                <w:sz w:val="18"/>
              </w:rPr>
              <w:t>28/03/2025</w:t>
            </w:r>
          </w:p>
        </w:tc>
        <w:tc>
          <w:tcPr>
            <w:tcW w:type="dxa" w:w="3175"/>
            <w:shd w:val="clear" w:fill="EDF29A"/>
          </w:tcPr>
          <w:p/>
        </w:tc>
      </w:tr>
      <w:tr>
        <w:tc>
          <w:tcPr>
            <w:tcW w:type="dxa" w:w="6350"/>
            <w:shd w:val="clear" w:fill="F7F9FA"/>
          </w:tcPr>
          <w:p>
            <w:r>
              <w:rPr>
                <w:color w:val="1E2E6E"/>
                <w:sz w:val="16"/>
              </w:rPr>
              <w:t>01.  Elección o Remoción de Directores</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02.  Aprobación de la Gestión Social (EEFF Y Memoria)</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Distribución o Aplicación de Utilidades</w:t>
            </w:r>
          </w:p>
        </w:tc>
        <w:tc>
          <w:tcPr>
            <w:tcW w:type="dxa" w:w="3175"/>
            <w:shd w:val="clear" w:fill="F7F9FA"/>
          </w:tcPr>
          <w:p>
            <w:pPr>
              <w:jc w:val="center"/>
            </w:pPr>
            <w:r>
              <w:rPr>
                <w:color w:val="1E2E6E"/>
                <w:sz w:val="16"/>
              </w:rPr>
              <w:t>Cabecera</w:t>
            </w:r>
          </w:p>
        </w:tc>
      </w:tr>
      <w:tr>
        <w:tc>
          <w:tcPr>
            <w:tcW w:type="dxa" w:w="6350"/>
            <w:shd w:val="clear" w:fill="E8EDF0"/>
          </w:tcPr>
          <w:p>
            <w:r>
              <w:rPr>
                <w:color w:val="1E2E6E"/>
                <w:sz w:val="16"/>
              </w:rPr>
              <w:t>03.1.  Transferir la pérdida de la participación en Shalipayco al 2024, por US$5.8 mm a la cuenta de Resultados Acumulados, debido a la desinversión generada en el ejercicio 2024</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03.2.  Distribuir dividendos a cuenta de Resultados Acumulados por US$ 100 mm</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Temas Ambientales, Sociales y de Gobernanza (ESG)</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05.  Designación Auditores Externos para el ejercicio 2025</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06.  Nombramiento de apoderados para la formalización de los acuerdos que adopte la Junta</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Nexa Resources</w:t>
            </w:r>
          </w:p>
        </w:tc>
        <w:tc>
          <w:tcPr>
            <w:tcW w:type="dxa" w:w="3175"/>
            <w:shd w:val="clear" w:fill="E3E829"/>
          </w:tcP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F7F9FA"/>
          </w:tcPr>
          <w:p>
            <w:r>
              <w:rPr>
                <w:color w:val="1E2E6E"/>
                <w:sz w:val="16"/>
              </w:rPr>
              <w:t>01.  Aprobación de la Gestión Social (EEFF Y Memoria)</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Distribución o Aplicación de Utilidades</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Temas Ambientales, Sociales y de Gobernanza (ESG)</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Designación Auditores Externos para el ejercicio 2026</w:t>
            </w:r>
          </w:p>
        </w:tc>
        <w:tc>
          <w:tcPr>
            <w:tcW w:type="dxa" w:w="3175"/>
            <w:shd w:val="clear" w:fill="E8EDF0"/>
          </w:tcPr>
          <w:p>
            <w:pPr>
              <w:jc w:val="center"/>
            </w:pPr>
            <w:r>
              <w:rPr>
                <w:color w:val="00AECB"/>
                <w:sz w:val="16"/>
              </w:rPr>
              <w:t>En Contra. En linea con la Politica de Votacion de AFP Integra (se delega la eleccion de la firma auditora al directorio)</w:t>
            </w:r>
          </w:p>
        </w:tc>
      </w:tr>
      <w:tr>
        <w:tc>
          <w:tcPr>
            <w:tcW w:type="dxa" w:w="6350"/>
            <w:shd w:val="clear" w:fill="F7F9FA"/>
          </w:tcPr>
          <w:p>
            <w:r>
              <w:rPr>
                <w:color w:val="1E2E6E"/>
                <w:sz w:val="16"/>
              </w:rPr>
              <w:t>05.  Nombramiento de apoderados para la formalización de los acuerdos que adopte la Junta</w:t>
            </w:r>
          </w:p>
        </w:tc>
        <w:tc>
          <w:tcPr>
            <w:tcW w:type="dxa" w:w="3175"/>
            <w:shd w:val="clear" w:fill="F7F9FA"/>
          </w:tcPr>
          <w:p>
            <w:pPr>
              <w:jc w:val="center"/>
            </w:pPr>
            <w:r>
              <w:rPr>
                <w:color w:val="1E2E6E"/>
                <w:sz w:val="16"/>
              </w:rPr>
              <w:t>A Favor</w:t>
            </w:r>
          </w:p>
        </w:tc>
      </w:tr>
      <w:tr>
        <w:tc>
          <w:tcPr>
            <w:tcW w:type="dxa" w:w="6350"/>
            <w:shd w:val="clear" w:fill="E3E829"/>
          </w:tcPr>
          <w:p>
            <w:r>
              <w:rPr>
                <w:b/>
                <w:color w:val="1E2E6E"/>
                <w:sz w:val="18"/>
              </w:rPr>
              <w:t>Orygen</w:t>
            </w:r>
          </w:p>
        </w:tc>
        <w:tc>
          <w:tcPr>
            <w:tcW w:type="dxa" w:w="3175"/>
            <w:shd w:val="clear" w:fill="E3E829"/>
          </w:tcPr>
          <w:p/>
        </w:tc>
      </w:tr>
      <w:tr>
        <w:tc>
          <w:tcPr>
            <w:tcW w:type="dxa" w:w="6350"/>
            <w:shd w:val="clear" w:fill="EDF29A"/>
          </w:tcPr>
          <w:p>
            <w:r>
              <w:rPr>
                <w:b/>
                <w:color w:val="1E2E6E"/>
                <w:sz w:val="18"/>
              </w:rPr>
              <w:t>28/03/2025</w:t>
            </w:r>
          </w:p>
        </w:tc>
        <w:tc>
          <w:tcPr>
            <w:tcW w:type="dxa" w:w="3175"/>
            <w:shd w:val="clear" w:fill="EDF29A"/>
          </w:tcPr>
          <w:p/>
        </w:tc>
      </w:tr>
      <w:tr>
        <w:tc>
          <w:tcPr>
            <w:tcW w:type="dxa" w:w="6350"/>
            <w:shd w:val="clear" w:fill="E8EDF0"/>
          </w:tcPr>
          <w:p>
            <w:r>
              <w:rPr>
                <w:color w:val="1E2E6E"/>
                <w:sz w:val="16"/>
              </w:rPr>
              <w:t>01.  Pronunciarse sobre la gestión social y resultados del ejercicio económico 2024 expresados en la memoria anual y los estados financieros auditados del ejercicio económico cerrado al 31 de diciembre de 2024</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Resolver sobre la aplicación de las utilidades del ejercicio económico 2024</w:t>
            </w:r>
          </w:p>
        </w:tc>
        <w:tc>
          <w:tcPr>
            <w:tcW w:type="dxa" w:w="3175"/>
            <w:shd w:val="clear" w:fill="F7F9FA"/>
          </w:tcPr>
          <w:p>
            <w:pPr>
              <w:jc w:val="center"/>
            </w:pPr>
            <w:r>
              <w:rPr>
                <w:color w:val="1E2E6E"/>
                <w:sz w:val="16"/>
              </w:rPr>
              <w:t>Cabecera</w:t>
            </w:r>
          </w:p>
        </w:tc>
      </w:tr>
      <w:tr>
        <w:tc>
          <w:tcPr>
            <w:tcW w:type="dxa" w:w="6350"/>
            <w:shd w:val="clear" w:fill="E8EDF0"/>
          </w:tcPr>
          <w:p>
            <w:r>
              <w:rPr>
                <w:color w:val="1E2E6E"/>
                <w:sz w:val="16"/>
              </w:rPr>
              <w:t>02.  Resolver sobre la aplicación de las utilidades del ejercicio económico 2024</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02.1.  Destinar el importe de PEN 90,257,746.31 a incrementar la reserva legal.</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02.2.  Distribuir como dividendos el importe de PEN 176,067,775.33, monto que se ha obtenido luego de aplicar un redondeo a la diferencia entre la utilidad a distribuir menos los dividendos distribuidos a cuenta durante el ejercicio 2024. El dividendo por distribuir equivale a PEN 0.056164 por acción (con redondeo)</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02.3.  Destinar el saldo a resultados acumulados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Aprobar la política de dividendos para el ejercicio económico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04.  Delegar en el directorio la facultad de aprobar la distribución de dividendos a cuenta</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05.  Designar nuevo directorio para el período 2025-2028 y fijar su retribución para el período</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06.  Delegar en el directorio la facultad de designar a los auditores externos por 3 años (ejercicios 2025, 2026 y 2027)</w:t>
            </w:r>
          </w:p>
        </w:tc>
        <w:tc>
          <w:tcPr>
            <w:tcW w:type="dxa" w:w="3175"/>
            <w:shd w:val="clear" w:fill="F7F9FA"/>
          </w:tcPr>
          <w:p>
            <w:pPr>
              <w:jc w:val="center"/>
            </w:pPr>
            <w:r>
              <w:rPr>
                <w:color w:val="00AECB"/>
                <w:sz w:val="16"/>
              </w:rPr>
              <w:t>En Contra. En linea con la Politica de Votacion de AFP Integra (se delega la eleccion de la firma auditora al directorio)</w:t>
            </w:r>
          </w:p>
        </w:tc>
      </w:tr>
      <w:tr>
        <w:tc>
          <w:tcPr>
            <w:tcW w:type="dxa" w:w="6350"/>
            <w:shd w:val="clear" w:fill="E8EDF0"/>
          </w:tcPr>
          <w:p>
            <w:r>
              <w:rPr>
                <w:color w:val="1E2E6E"/>
                <w:sz w:val="16"/>
              </w:rPr>
              <w:t>07.  Otorgamiento de facultades para la formalización de acuerdos</w:t>
            </w:r>
          </w:p>
        </w:tc>
        <w:tc>
          <w:tcPr>
            <w:tcW w:type="dxa" w:w="3175"/>
            <w:shd w:val="clear" w:fill="E8EDF0"/>
          </w:tcPr>
          <w:p>
            <w:pPr>
              <w:jc w:val="center"/>
            </w:pPr>
            <w:r>
              <w:rPr>
                <w:color w:val="1E2E6E"/>
                <w:sz w:val="16"/>
              </w:rPr>
              <w:t>A Favor</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F7F9FA"/>
          </w:tcPr>
          <w:p>
            <w:r>
              <w:rPr>
                <w:color w:val="1E2E6E"/>
                <w:sz w:val="16"/>
              </w:rPr>
              <w:t>01.  Aprobación de la Gestión Social (EEFF Y Memoria)</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Aprobar la distribución de utilidades para el ejercicio económico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Aprobar la política de dividendos para el ejercicio económico 2026.</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Otorgamiento de facultades para la formalización de acuerdos.</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Pluz Energia</w:t>
            </w:r>
          </w:p>
        </w:tc>
        <w:tc>
          <w:tcPr>
            <w:tcW w:type="dxa" w:w="3175"/>
            <w:shd w:val="clear" w:fill="E3E829"/>
          </w:tcPr>
          <w:p/>
        </w:tc>
      </w:tr>
      <w:tr>
        <w:tc>
          <w:tcPr>
            <w:tcW w:type="dxa" w:w="6350"/>
            <w:shd w:val="clear" w:fill="EDF29A"/>
          </w:tcPr>
          <w:p>
            <w:r>
              <w:rPr>
                <w:b/>
                <w:color w:val="1E2E6E"/>
                <w:sz w:val="18"/>
              </w:rPr>
              <w:t>28/03/2025</w:t>
            </w:r>
          </w:p>
        </w:tc>
        <w:tc>
          <w:tcPr>
            <w:tcW w:type="dxa" w:w="3175"/>
            <w:shd w:val="clear" w:fill="EDF29A"/>
          </w:tcPr>
          <w:p/>
        </w:tc>
      </w:tr>
      <w:tr>
        <w:tc>
          <w:tcPr>
            <w:tcW w:type="dxa" w:w="6350"/>
            <w:shd w:val="clear" w:fill="F7F9FA"/>
          </w:tcPr>
          <w:p>
            <w:r>
              <w:rPr>
                <w:color w:val="1E2E6E"/>
                <w:sz w:val="16"/>
              </w:rPr>
              <w:t>01.  Pronunciarse sobre la gestión social y resultados del ejercicio económico 2024 expresados en la memoria anual y los estados financieros auditados del ejercicio económico cerrado al 31 de diciembre de 2024</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Resolver sobre la aplicación de las utilidades del ejercicio económico 2024</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Aprobar la política de dividendos de la Sociedad</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Delegar en el Directorio la facultad de aprobar la distribución de dividendos a cuenta</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05.  Designar a los miembros del Directorio y fijar su retribución</w:t>
            </w:r>
          </w:p>
        </w:tc>
        <w:tc>
          <w:tcPr>
            <w:tcW w:type="dxa" w:w="3175"/>
            <w:shd w:val="clear" w:fill="F7F9FA"/>
          </w:tcPr>
          <w:p>
            <w:pPr>
              <w:jc w:val="center"/>
            </w:pPr>
            <w:r>
              <w:rPr>
                <w:color w:val="1E2E6E"/>
                <w:sz w:val="16"/>
              </w:rPr>
              <w:t>Informativo</w:t>
            </w:r>
          </w:p>
        </w:tc>
      </w:tr>
      <w:tr>
        <w:tc>
          <w:tcPr>
            <w:tcW w:type="dxa" w:w="6350"/>
            <w:shd w:val="clear" w:fill="E8EDF0"/>
          </w:tcPr>
          <w:p>
            <w:r>
              <w:rPr>
                <w:color w:val="1E2E6E"/>
                <w:sz w:val="16"/>
              </w:rPr>
              <w:t>06.  Delegar en el Directorio la facultad de designar a los auditores externos para el ejercicio 2025</w:t>
            </w:r>
          </w:p>
        </w:tc>
        <w:tc>
          <w:tcPr>
            <w:tcW w:type="dxa" w:w="3175"/>
            <w:shd w:val="clear" w:fill="E8EDF0"/>
          </w:tcPr>
          <w:p>
            <w:pPr>
              <w:jc w:val="center"/>
            </w:pPr>
            <w:r>
              <w:rPr>
                <w:color w:val="00AECB"/>
                <w:sz w:val="16"/>
              </w:rPr>
              <w:t>En Contra. En linea con la Politica de Votacion de AFP Integra (se delega la eleccion de la firma auditora al directorio)</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F7F9FA"/>
          </w:tcPr>
          <w:p>
            <w:r>
              <w:rPr>
                <w:color w:val="1E2E6E"/>
                <w:sz w:val="16"/>
              </w:rPr>
              <w:t>01.  Pronunciarse sobre la gestión social y resultados del ejercicio económico 2025 expresados en la memoria anual y los estados financieros auditados del ejercicio económico cerrado al 31 de diciembre de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Propuesta de aplicación de utilidades del ejercicio económico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03.  Propuesta de designación de auditores externos para el ejercicio 2026.</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04.  Propuesta de incremento de las Dietas de los directores.</w:t>
            </w:r>
          </w:p>
        </w:tc>
        <w:tc>
          <w:tcPr>
            <w:tcW w:type="dxa" w:w="3175"/>
            <w:shd w:val="clear" w:fill="E8EDF0"/>
          </w:tcPr>
          <w:p>
            <w:pPr>
              <w:jc w:val="center"/>
            </w:pPr>
            <w:r>
              <w:rPr>
                <w:color w:val="1E2E6E"/>
                <w:sz w:val="16"/>
              </w:rPr>
              <w:t>A Favor</w:t>
            </w:r>
          </w:p>
        </w:tc>
      </w:tr>
      <w:tr>
        <w:tc>
          <w:tcPr>
            <w:tcW w:type="dxa" w:w="6350"/>
            <w:shd w:val="clear" w:fill="E3E829"/>
          </w:tcPr>
          <w:p>
            <w:r>
              <w:rPr>
                <w:b/>
                <w:color w:val="1E2E6E"/>
                <w:sz w:val="18"/>
              </w:rPr>
              <w:t>Union Andina de Cementos</w:t>
            </w:r>
          </w:p>
        </w:tc>
        <w:tc>
          <w:tcPr>
            <w:tcW w:type="dxa" w:w="3175"/>
            <w:shd w:val="clear" w:fill="E3E829"/>
          </w:tcPr>
          <w:p/>
        </w:tc>
      </w:tr>
      <w:tr>
        <w:tc>
          <w:tcPr>
            <w:tcW w:type="dxa" w:w="6350"/>
            <w:shd w:val="clear" w:fill="EDF29A"/>
          </w:tcPr>
          <w:p>
            <w:r>
              <w:rPr>
                <w:b/>
                <w:color w:val="1E2E6E"/>
                <w:sz w:val="18"/>
              </w:rPr>
              <w:t>31/03/2025</w:t>
            </w:r>
          </w:p>
        </w:tc>
        <w:tc>
          <w:tcPr>
            <w:tcW w:type="dxa" w:w="3175"/>
            <w:shd w:val="clear" w:fill="EDF29A"/>
          </w:tcPr>
          <w:p/>
        </w:tc>
      </w:tr>
      <w:tr>
        <w:tc>
          <w:tcPr>
            <w:tcW w:type="dxa" w:w="6350"/>
            <w:shd w:val="clear" w:fill="F7F9FA"/>
          </w:tcPr>
          <w:p>
            <w:r>
              <w:rPr>
                <w:color w:val="1E2E6E"/>
                <w:sz w:val="16"/>
              </w:rPr>
              <w:t>01.  Reporte Integrado, que contiene la Memoria del Directorio del Ejercicio 2024; y Estados Financieros Auditados del Ejercicio 2024.</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02.  Reporte de los Avances en Sostenibilidad del Grupo UNACEM.</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03.  Delegación en el Directorio de Auditores Externos.</w:t>
            </w:r>
          </w:p>
        </w:tc>
        <w:tc>
          <w:tcPr>
            <w:tcW w:type="dxa" w:w="3175"/>
            <w:shd w:val="clear" w:fill="F7F9FA"/>
          </w:tcPr>
          <w:p>
            <w:pPr>
              <w:jc w:val="center"/>
            </w:pPr>
            <w:r>
              <w:rPr>
                <w:color w:val="00AECB"/>
                <w:sz w:val="16"/>
              </w:rPr>
              <w:t>En Contra. En linea con la Politica de Votacion de AFP Integra (se delega la eleccion de la firma auditora al directorio)</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Reporte Integrado, que contiene la Memoria del Directorio del Ejercicio 2025; y Estados Financieros Auditados del Ejercicio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Reporte de los Avances en Sostenibilidad del Grupo UNACEM.</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Elección de Directorio 2026 – 2028, Presidente y Vicepresidente.</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03.1.  ALVARADO ARAUZO, ALEX ALBERTO</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03.10.  UGAS DELGADO, CARLOS ALFONSO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03.2.  CORTEZ LEWIS, GIOVANNA DEL CARMEN</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03.3.  CUBA BUSTINZA, ELMER RAFAEL</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03.4.  GASTAÑETA ALAYZA, ALFREDO JOAQUIN</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03.5.  RAMOS RIZO PATRON, MARCELO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03.6.  RIZO PATRON DE LA PIEDRA, MARCELO</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03.7.  RIZO PATRON DE LA PIEDRA, MARIA ELENA</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03.8.  RIZO PATRON DE LA PIEDRA, RICARDO CESAR</w:t>
            </w:r>
          </w:p>
        </w:tc>
        <w:tc>
          <w:tcPr>
            <w:tcW w:type="dxa" w:w="3175"/>
            <w:shd w:val="clear" w:fill="F7F9FA"/>
          </w:tcPr>
          <w:p>
            <w:pPr>
              <w:jc w:val="center"/>
            </w:pPr>
            <w:r>
              <w:rPr>
                <w:color w:val="1E2E6E"/>
                <w:sz w:val="16"/>
              </w:rPr>
              <w:t>Abstencion</w:t>
            </w:r>
          </w:p>
        </w:tc>
      </w:tr>
      <w:tr>
        <w:tc>
          <w:tcPr>
            <w:tcW w:type="dxa" w:w="6350"/>
            <w:shd w:val="clear" w:fill="E8EDF0"/>
          </w:tcPr>
          <w:p>
            <w:r>
              <w:rPr>
                <w:color w:val="1E2E6E"/>
                <w:sz w:val="16"/>
              </w:rPr>
              <w:t>03.9.  SOTOMAYOR BERNOS, JAIME FERNANDO</w:t>
            </w:r>
          </w:p>
        </w:tc>
        <w:tc>
          <w:tcPr>
            <w:tcW w:type="dxa" w:w="3175"/>
            <w:shd w:val="clear" w:fill="E8EDF0"/>
          </w:tcPr>
          <w:p>
            <w:pPr>
              <w:jc w:val="center"/>
            </w:pPr>
            <w:r>
              <w:rPr>
                <w:color w:val="1E2E6E"/>
                <w:sz w:val="16"/>
              </w:rPr>
              <w:t>Abstencion</w:t>
            </w:r>
          </w:p>
        </w:tc>
      </w:tr>
      <w:tr>
        <w:tc>
          <w:tcPr>
            <w:tcW w:type="dxa" w:w="6350"/>
            <w:shd w:val="clear" w:fill="F7F9FA"/>
          </w:tcPr>
          <w:p>
            <w:r>
              <w:rPr>
                <w:color w:val="1E2E6E"/>
                <w:sz w:val="16"/>
              </w:rPr>
              <w:t>04.  Delegación en el Directorio de la Designación de Auditores Externos.</w:t>
            </w:r>
          </w:p>
        </w:tc>
        <w:tc>
          <w:tcPr>
            <w:tcW w:type="dxa" w:w="3175"/>
            <w:shd w:val="clear" w:fill="F7F9FA"/>
          </w:tcPr>
          <w:p>
            <w:pPr>
              <w:jc w:val="center"/>
            </w:pPr>
            <w:r>
              <w:rPr>
                <w:color w:val="00AECB"/>
                <w:sz w:val="16"/>
              </w:rPr>
              <w:t>En Contra. En linea con la Politica de Votacion de AFP Integra (se delega la eleccion de la firma auditora al directorio)</w:t>
            </w:r>
          </w:p>
        </w:tc>
      </w:tr>
      <w:tr>
        <w:tc>
          <w:tcPr>
            <w:tcW w:type="dxa" w:w="6350"/>
            <w:shd w:val="clear" w:fill="E3E829"/>
          </w:tcPr>
          <w:p>
            <w:r>
              <w:rPr>
                <w:b/>
                <w:color w:val="1E2E6E"/>
                <w:sz w:val="18"/>
              </w:rPr>
              <w:t>Volcan</w:t>
            </w:r>
          </w:p>
        </w:tc>
        <w:tc>
          <w:tcPr>
            <w:tcW w:type="dxa" w:w="3175"/>
            <w:shd w:val="clear" w:fill="E3E829"/>
          </w:tcPr>
          <w:p/>
        </w:tc>
      </w:tr>
      <w:tr>
        <w:tc>
          <w:tcPr>
            <w:tcW w:type="dxa" w:w="6350"/>
            <w:shd w:val="clear" w:fill="EDF29A"/>
          </w:tcPr>
          <w:p>
            <w:r>
              <w:rPr>
                <w:b/>
                <w:color w:val="1E2E6E"/>
                <w:sz w:val="18"/>
              </w:rPr>
              <w:t>27/03/2025</w:t>
            </w:r>
          </w:p>
        </w:tc>
        <w:tc>
          <w:tcPr>
            <w:tcW w:type="dxa" w:w="3175"/>
            <w:shd w:val="clear" w:fill="EDF29A"/>
          </w:tcPr>
          <w:p/>
        </w:tc>
      </w:tr>
      <w:tr>
        <w:tc>
          <w:tcPr>
            <w:tcW w:type="dxa" w:w="6350"/>
            <w:shd w:val="clear" w:fill="E8EDF0"/>
          </w:tcPr>
          <w:p>
            <w:r>
              <w:rPr>
                <w:color w:val="1E2E6E"/>
                <w:sz w:val="16"/>
              </w:rPr>
              <w:t>01.  Aprobación de la Gestión Social (EEFF Y Memoria)</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Aplicación de resultados del ejercicio 2024</w:t>
            </w:r>
          </w:p>
        </w:tc>
        <w:tc>
          <w:tcPr>
            <w:tcW w:type="dxa" w:w="3175"/>
            <w:shd w:val="clear" w:fill="F7F9FA"/>
          </w:tcPr>
          <w:p>
            <w:pPr>
              <w:jc w:val="center"/>
            </w:pPr>
            <w:r>
              <w:rPr>
                <w:color w:val="1E2E6E"/>
                <w:sz w:val="16"/>
              </w:rPr>
              <w:t>Cabecera</w:t>
            </w:r>
          </w:p>
        </w:tc>
      </w:tr>
      <w:tr>
        <w:tc>
          <w:tcPr>
            <w:tcW w:type="dxa" w:w="6350"/>
            <w:shd w:val="clear" w:fill="E8EDF0"/>
          </w:tcPr>
          <w:p>
            <w:r>
              <w:rPr>
                <w:color w:val="1E2E6E"/>
                <w:sz w:val="16"/>
              </w:rPr>
              <w:t>02.1.  Aumentar Reserva Legal</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02.2.  Saldo a Resultados Acumulados</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Designar o delegar en el directorio la designación de los auditores externos</w:t>
            </w:r>
          </w:p>
        </w:tc>
        <w:tc>
          <w:tcPr>
            <w:tcW w:type="dxa" w:w="3175"/>
            <w:shd w:val="clear" w:fill="E8EDF0"/>
          </w:tcPr>
          <w:p>
            <w:pPr>
              <w:jc w:val="center"/>
            </w:pPr>
            <w:r>
              <w:rPr>
                <w:color w:val="1E2E6E"/>
                <w:sz w:val="16"/>
              </w:rPr>
              <w:t>Informativo</w:t>
            </w:r>
          </w:p>
        </w:tc>
      </w:tr>
      <w:tr>
        <w:tc>
          <w:tcPr>
            <w:tcW w:type="dxa" w:w="6350"/>
            <w:shd w:val="clear" w:fill="F7F9FA"/>
          </w:tcPr>
          <w:p>
            <w:r>
              <w:rPr>
                <w:color w:val="1E2E6E"/>
                <w:sz w:val="16"/>
              </w:rPr>
              <w:t>04.  Otorgamiento de facultades para formalizar los acuerdos adoptados en la junta</w:t>
            </w:r>
          </w:p>
        </w:tc>
        <w:tc>
          <w:tcPr>
            <w:tcW w:type="dxa" w:w="3175"/>
            <w:shd w:val="clear" w:fill="F7F9FA"/>
          </w:tcPr>
          <w:p>
            <w:pPr>
              <w:jc w:val="center"/>
            </w:pPr>
            <w:r>
              <w:rPr>
                <w:color w:val="1E2E6E"/>
                <w:sz w:val="16"/>
              </w:rPr>
              <w:t>A Favor</w:t>
            </w:r>
          </w:p>
        </w:tc>
      </w:tr>
      <w:tr>
        <w:tc>
          <w:tcPr>
            <w:tcW w:type="dxa" w:w="6350"/>
            <w:shd w:val="clear" w:fill="EDF29A"/>
          </w:tcPr>
          <w:p>
            <w:r>
              <w:rPr>
                <w:b/>
                <w:color w:val="1E2E6E"/>
                <w:sz w:val="18"/>
              </w:rPr>
              <w:t>14/04/2026</w:t>
            </w:r>
          </w:p>
        </w:tc>
        <w:tc>
          <w:tcPr>
            <w:tcW w:type="dxa" w:w="3175"/>
            <w:shd w:val="clear" w:fill="EDF29A"/>
          </w:tcPr>
          <w:p/>
        </w:tc>
      </w:tr>
      <w:tr>
        <w:tc>
          <w:tcPr>
            <w:tcW w:type="dxa" w:w="6350"/>
            <w:shd w:val="clear" w:fill="E8EDF0"/>
          </w:tcPr>
          <w:p>
            <w:r>
              <w:rPr>
                <w:color w:val="1E2E6E"/>
                <w:sz w:val="16"/>
              </w:rPr>
              <w:t>01.  Aprobación de la Memoria Anual, Reporte sobre cumplimiento del Código de Buen Gobierno Corporativo, Reporte de Sostenibilidad y Estados Financieros Auditados, separados y consolidados, al 31 de diciembre de 2025.</w:t>
            </w:r>
          </w:p>
        </w:tc>
        <w:tc>
          <w:tcPr>
            <w:tcW w:type="dxa" w:w="3175"/>
            <w:shd w:val="clear" w:fill="E8EDF0"/>
          </w:tcPr>
          <w:p>
            <w:pPr>
              <w:jc w:val="center"/>
            </w:pPr>
            <w:r>
              <w:rPr>
                <w:color w:val="1E2E6E"/>
                <w:sz w:val="16"/>
              </w:rPr>
              <w:t>A Favor</w:t>
            </w:r>
          </w:p>
        </w:tc>
      </w:tr>
      <w:tr>
        <w:tc>
          <w:tcPr>
            <w:tcW w:type="dxa" w:w="6350"/>
            <w:shd w:val="clear" w:fill="F7F9FA"/>
          </w:tcPr>
          <w:p>
            <w:r>
              <w:rPr>
                <w:color w:val="1E2E6E"/>
                <w:sz w:val="16"/>
              </w:rPr>
              <w:t>02.  Aplicación de resultados del Ejercicio 2025.</w:t>
            </w:r>
          </w:p>
        </w:tc>
        <w:tc>
          <w:tcPr>
            <w:tcW w:type="dxa" w:w="3175"/>
            <w:shd w:val="clear" w:fill="F7F9FA"/>
          </w:tcPr>
          <w:p>
            <w:pPr>
              <w:jc w:val="center"/>
            </w:pPr>
            <w:r>
              <w:rPr>
                <w:color w:val="1E2E6E"/>
                <w:sz w:val="16"/>
              </w:rPr>
              <w:t>A Favor</w:t>
            </w:r>
          </w:p>
        </w:tc>
      </w:tr>
      <w:tr>
        <w:tc>
          <w:tcPr>
            <w:tcW w:type="dxa" w:w="6350"/>
            <w:shd w:val="clear" w:fill="E8EDF0"/>
          </w:tcPr>
          <w:p>
            <w:r>
              <w:rPr>
                <w:color w:val="1E2E6E"/>
                <w:sz w:val="16"/>
              </w:rPr>
              <w:t>03.  Designar o delegar en el directorio la designación de los auditores externos.</w:t>
            </w:r>
          </w:p>
        </w:tc>
        <w:tc>
          <w:tcPr>
            <w:tcW w:type="dxa" w:w="3175"/>
            <w:shd w:val="clear" w:fill="E8EDF0"/>
          </w:tcPr>
          <w:p>
            <w:pPr>
              <w:jc w:val="center"/>
            </w:pPr>
            <w:r>
              <w:rPr>
                <w:color w:val="00AECB"/>
                <w:sz w:val="16"/>
              </w:rPr>
              <w:t>En Contra. En linea con la Politica de Votacion de AFP Integra (se delega la eleccion de la firma auditora al directorio)</w:t>
            </w:r>
          </w:p>
        </w:tc>
      </w:tr>
      <w:tr>
        <w:tc>
          <w:tcPr>
            <w:tcW w:type="dxa" w:w="6350"/>
            <w:shd w:val="clear" w:fill="F7F9FA"/>
          </w:tcPr>
          <w:p>
            <w:r>
              <w:rPr>
                <w:color w:val="1E2E6E"/>
                <w:sz w:val="16"/>
              </w:rPr>
              <w:t>04.  Otorgamiento de facultades para formalizar los acuerdos adoptados en la Junta.</w:t>
            </w:r>
          </w:p>
        </w:tc>
        <w:tc>
          <w:tcPr>
            <w:tcW w:type="dxa" w:w="3175"/>
            <w:shd w:val="clear" w:fill="F7F9FA"/>
          </w:tcPr>
          <w:p>
            <w:pPr>
              <w:jc w:val="center"/>
            </w:pPr>
            <w:r>
              <w:rPr>
                <w:color w:val="1E2E6E"/>
                <w:sz w:val="16"/>
              </w:rPr>
              <w:t>A Favor</w:t>
            </w:r>
          </w:p>
        </w:tc>
      </w:tr>
    </w:tbl>
    <w:p>
      <w:r>
        <w:br w:type="page"/>
      </w:r>
    </w:p>
    <w:p>
      <w:pPr>
        <w:spacing w:before="120" w:after="240"/>
        <w:pBdr>
          <w:bottom w:val="single" w:sz="8" w:space="4" w:color="1E2E6E"/>
        </w:pBdr>
      </w:pPr>
      <w:r>
        <w:rPr>
          <w:b/>
          <w:color w:val="00AECB"/>
          <w:sz w:val="32"/>
        </w:rPr>
        <w:t>b. Juntas Generales de Accionistas (JGAs) - periodo completo</w:t>
      </w:r>
    </w:p>
    <w:p>
      <w:pPr>
        <w:spacing w:before="200" w:after="120"/>
        <w:ind w:left="120"/>
        <w:pBdr>
          <w:left w:val="single" w:sz="28" w:space="8" w:color="E3E829"/>
        </w:pBdr>
      </w:pPr>
      <w:r>
        <w:rPr>
          <w:b/>
          <w:color w:val="00AECB"/>
          <w:sz w:val="24"/>
        </w:rPr>
        <w:t>Total de JGAs y Distribucion por Sector</w:t>
      </w:r>
    </w:p>
    <w:p>
      <w:pPr>
        <w:spacing w:after="160" w:before="0"/>
        <w:jc w:val="both"/>
      </w:pPr>
      <w:r>
        <w:rPr>
          <w:b w:val="0"/>
          <w:color w:val="1E2E6E"/>
          <w:sz w:val="20"/>
        </w:rPr>
        <w:t>Durante el periodo completo, participamos en 1 junta general de accionistas de 1 empresa. La mayor parte de dicha junta (100%) corresponde al sector Servicios Publicos, dada la mayor cantidad de empresas de estos sectores en nuestra cartera de renta variable.</w:t>
      </w:r>
    </w:p>
    <w:p>
      <w:r>
        <w:drawing>
          <wp:inline xmlns:a="http://schemas.openxmlformats.org/drawingml/2006/main" xmlns:pic="http://schemas.openxmlformats.org/drawingml/2006/picture">
            <wp:extent cx="5760720" cy="1757578"/>
            <wp:docPr id="1006" name="Picture 100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1757578"/>
                    </a:xfrm>
                    <a:prstGeom prst="rect"/>
                  </pic:spPr>
                </pic:pic>
              </a:graphicData>
            </a:graphic>
          </wp:inline>
        </w:drawing>
      </w:r>
    </w:p>
    <w:p>
      <w:pPr>
        <w:spacing w:before="200" w:after="120"/>
        <w:ind w:left="120"/>
        <w:pBdr>
          <w:left w:val="single" w:sz="28" w:space="8" w:color="E3E829"/>
        </w:pBdr>
      </w:pPr>
      <w:r>
        <w:rPr>
          <w:b/>
          <w:color w:val="00AECB"/>
          <w:sz w:val="24"/>
        </w:rPr>
        <w:t>Votacion por Tema de Agenda en JGAs</w:t>
      </w:r>
    </w:p>
    <w:p>
      <w:pPr>
        <w:spacing w:after="160" w:before="0"/>
        <w:jc w:val="both"/>
      </w:pPr>
      <w:r>
        <w:rPr>
          <w:b w:val="0"/>
          <w:color w:val="1E2E6E"/>
          <w:sz w:val="20"/>
        </w:rPr>
        <w:t>Durante este periodo votamos respecto a 1 puntos de agenda, los cuales incluyeron temas recurrentes, asi como temas no recurrentes como Aplicacion de Utilidades (Distribucion de Dividendos).</w:t>
      </w:r>
    </w:p>
    <w:p>
      <w:r>
        <w:br w:type="page"/>
      </w:r>
    </w:p>
    <w:p>
      <w:pPr>
        <w:spacing w:before="200" w:after="120"/>
        <w:ind w:left="120"/>
        <w:pBdr>
          <w:left w:val="single" w:sz="28" w:space="8" w:color="E3E829"/>
        </w:pBdr>
      </w:pPr>
      <w:r>
        <w:rPr>
          <w:b/>
          <w:color w:val="00AECB"/>
          <w:sz w:val="26"/>
        </w:rPr>
        <w:t>Votacion por empresa en JGAs periodo completo</w:t>
      </w:r>
    </w:p>
    <w:p>
      <w:pPr>
        <w:spacing w:after="120"/>
      </w:pPr>
      <w:r>
        <w:rPr>
          <w:color w:val="00AECB"/>
          <w:sz w:val="26"/>
        </w:rPr>
        <w:t>JGA periodo completo</w:t>
      </w:r>
    </w:p>
    <w:tbl>
      <w:tblPr>
        <w:tblW w:type="auto" w:w="0"/>
        <w:tblLayout w:type="fixed"/>
        <w:tblLook w:firstColumn="1" w:firstRow="1" w:lastColumn="0" w:lastRow="0" w:noHBand="0" w:noVBand="1" w:val="04A0"/>
        <w:tblBorders>
          <w:top w:val="none" w:sz="0" w:color="FFFFFF"/>
          <w:left w:val="none" w:sz="0" w:color="FFFFFF"/>
          <w:bottom w:val="none" w:sz="0" w:color="FFFFFF"/>
          <w:right w:val="none" w:sz="0" w:color="FFFFFF"/>
          <w:insideH w:val="none" w:sz="0" w:color="FFFFFF"/>
          <w:insideV w:val="none" w:sz="0" w:color="FFFFFF"/>
        </w:tblBorders>
      </w:tblPr>
      <w:tblGrid>
        <w:gridCol w:w="4873"/>
        <w:gridCol w:w="4873"/>
      </w:tblGrid>
      <w:tr>
        <w:tc>
          <w:tcPr>
            <w:tcW w:type="dxa" w:w="6350"/>
            <w:shd w:val="clear" w:fill="E3E829"/>
          </w:tcPr>
          <w:p>
            <w:r>
              <w:rPr>
                <w:b/>
                <w:color w:val="1E2E6E"/>
                <w:sz w:val="18"/>
              </w:rPr>
              <w:t>Temas de Agenda</w:t>
            </w:r>
          </w:p>
        </w:tc>
        <w:tc>
          <w:tcPr>
            <w:tcW w:type="dxa" w:w="3175"/>
            <w:shd w:val="clear" w:fill="E3E829"/>
          </w:tcPr>
          <w:p>
            <w:r>
              <w:rPr>
                <w:b/>
                <w:color w:val="1E2E6E"/>
                <w:sz w:val="18"/>
              </w:rPr>
              <w:t>Votacion</w:t>
            </w:r>
          </w:p>
        </w:tc>
      </w:tr>
      <w:tr>
        <w:tc>
          <w:tcPr>
            <w:tcW w:type="dxa" w:w="6350"/>
            <w:shd w:val="clear" w:fill="E3E829"/>
          </w:tcPr>
          <w:p>
            <w:r>
              <w:rPr>
                <w:b/>
                <w:color w:val="1E2E6E"/>
                <w:sz w:val="18"/>
              </w:rPr>
              <w:t>Orygen</w:t>
            </w:r>
          </w:p>
        </w:tc>
        <w:tc>
          <w:tcPr>
            <w:tcW w:type="dxa" w:w="3175"/>
            <w:shd w:val="clear" w:fill="E3E829"/>
          </w:tcPr>
          <w:p/>
        </w:tc>
      </w:tr>
      <w:tr>
        <w:tc>
          <w:tcPr>
            <w:tcW w:type="dxa" w:w="6350"/>
            <w:shd w:val="clear" w:fill="EDF29A"/>
          </w:tcPr>
          <w:p>
            <w:r>
              <w:rPr>
                <w:b/>
                <w:color w:val="1E2E6E"/>
                <w:sz w:val="18"/>
              </w:rPr>
              <w:t>12/01/2026</w:t>
            </w:r>
          </w:p>
        </w:tc>
        <w:tc>
          <w:tcPr>
            <w:tcW w:type="dxa" w:w="3175"/>
            <w:shd w:val="clear" w:fill="EDF29A"/>
          </w:tcPr>
          <w:p/>
        </w:tc>
      </w:tr>
      <w:tr>
        <w:tc>
          <w:tcPr>
            <w:tcW w:type="dxa" w:w="6350"/>
            <w:shd w:val="clear" w:fill="E8EDF0"/>
          </w:tcPr>
          <w:p>
            <w:r>
              <w:rPr>
                <w:color w:val="1E2E6E"/>
                <w:sz w:val="16"/>
              </w:rPr>
              <w:t>01.  Distribución de utilidades.</w:t>
            </w:r>
          </w:p>
        </w:tc>
        <w:tc>
          <w:tcPr>
            <w:tcW w:type="dxa" w:w="3175"/>
            <w:shd w:val="clear" w:fill="E8EDF0"/>
          </w:tcPr>
          <w:p>
            <w:pPr>
              <w:jc w:val="center"/>
            </w:pPr>
            <w:r>
              <w:rPr>
                <w:color w:val="1E2E6E"/>
                <w:sz w:val="16"/>
              </w:rPr>
              <w:t>A Favor</w:t>
            </w:r>
          </w:p>
        </w:tc>
      </w:tr>
    </w:tbl>
    <w:sectPr w:rsidR="00FC693F" w:rsidRPr="0006063C" w:rsidSect="00034616">
      <w:footerReference w:type="default" r:id="rId9"/>
      <w:pgSz w:w="12240" w:h="15840"/>
      <w:pgMar w:top="1247" w:right="1247" w:bottom="1134" w:left="1247" w:header="720" w:footer="720" w:gutter="0"/>
      <w:cols w:space="720"/>
      <w:docGrid w:linePitch="360"/>
    </w:sectPr>
    <w:p xmlns:a="http://schemas.openxmlformats.org/drawingml/2006/main">
      <w:pPr>
        <w:jc w:val="center"/>
      </w:pPr>
      <w:r>
        <w:drawing>
          <wp:inline distT="0" distB="0" distL="0" distR="0">
            <wp:extent cx="5940000" cy="4348800"/>
            <wp:docPr id="1001" name="Grafico 1"/>
            <a:graphic>
              <a:graphicData uri="http://schemas.openxmlformats.org/drawingml/2006/chart">
                <c:chart xmlns:c="http://schemas.openxmlformats.org/drawingml/2006/chart" r:id="rId11"/>
              </a:graphicData>
            </a:graphic>
          </wp:inline>
        </w:drawing>
      </w:r>
    </w:p>
    <w:p xmlns:a="http://schemas.openxmlformats.org/drawingml/2006/main">
      <w:pPr>
        <w:jc w:val="center"/>
      </w:pPr>
      <w:r>
        <w:drawing>
          <wp:inline distT="0" distB="0" distL="0" distR="0">
            <wp:extent cx="5400000" cy="2700000"/>
            <wp:docPr id="1002" name="Grafico 2"/>
            <a:graphic>
              <a:graphicData uri="http://schemas.openxmlformats.org/drawingml/2006/chart">
                <c:chart xmlns:c="http://schemas.openxmlformats.org/drawingml/2006/chart" r:id="rId12"/>
              </a:graphicData>
            </a:graphic>
          </wp:inline>
        </w:drawing>
      </w:r>
    </w:p>
    <w:p xmlns:a="http://schemas.openxmlformats.org/drawingml/2006/main">
      <w:pPr>
        <w:jc w:val="center"/>
      </w:pPr>
      <w:r>
        <w:drawing>
          <wp:inline distT="0" distB="0" distL="0" distR="0">
            <wp:extent cx="5400000" cy="2700000"/>
            <wp:docPr id="1003" name="Grafico 3"/>
            <a:graphic>
              <a:graphicData uri="http://schemas.openxmlformats.org/drawingml/2006/chart">
                <c:chart xmlns:c="http://schemas.openxmlformats.org/drawingml/2006/chart" r:id="rId13"/>
              </a:graphicData>
            </a:graphic>
          </wp:inline>
        </w:drawing>
      </w:r>
    </w:p>
    <w:p xmlns:a="http://schemas.openxmlformats.org/drawingml/2006/main">
      <w:pPr>
        <w:jc w:val="center"/>
      </w:pPr>
      <w:r>
        <w:drawing>
          <wp:inline distT="0" distB="0" distL="0" distR="0">
            <wp:extent cx="5400000" cy="2700000"/>
            <wp:docPr id="1004" name="Grafico 4"/>
            <a:graphic>
              <a:graphicData uri="http://schemas.openxmlformats.org/drawingml/2006/chart">
                <c:chart xmlns:c="http://schemas.openxmlformats.org/drawingml/2006/chart" r:id="rId14"/>
              </a:graphicData>
            </a:graphic>
          </wp:inline>
        </w:drawing>
      </w:r>
    </w:p>
    <w:p xmlns:a="http://schemas.openxmlformats.org/drawingml/2006/main">
      <w:pPr>
        <w:jc w:val="center"/>
      </w:pPr>
      <w:r>
        <w:drawing>
          <wp:inline distT="0" distB="0" distL="0" distR="0">
            <wp:extent cx="5400000" cy="2700000"/>
            <wp:docPr id="1005" name="Grafico 5"/>
            <a:graphic>
              <a:graphicData uri="http://schemas.openxmlformats.org/drawingml/2006/chart">
                <c:chart xmlns:c="http://schemas.openxmlformats.org/drawingml/2006/chart" r:id="rId15"/>
              </a:graphicData>
            </a:graphic>
          </wp:inline>
        </w:drawing>
      </w:r>
    </w:p>
    <w:p xmlns:a="http://schemas.openxmlformats.org/drawingml/2006/main">
      <w:pPr>
        <w:jc w:val="center"/>
      </w:pPr>
      <w:r>
        <w:drawing>
          <wp:inline distT="0" distB="0" distL="0" distR="0">
            <wp:extent cx="5940000" cy="2340000"/>
            <wp:docPr id="1006" name="Grafico 6"/>
            <a:graphic>
              <a:graphicData uri="http://schemas.openxmlformats.org/drawingml/2006/chart">
                <c:chart xmlns:c="http://schemas.openxmlformats.org/drawingml/2006/chart" r:id="rId17"/>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color w:val="00AECB"/>
        <w:sz w:val="15"/>
      </w:rPr>
      <w:t>Contact Center: (01) 513-5050 o 0800-40110 - www.afpintegra.pe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E6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chart" Target="charts/chart1.xml"/><Relationship Id="rId12" Type="http://schemas.openxmlformats.org/officeDocument/2006/relationships/chart" Target="charts/chart2.xml"/><Relationship Id="rId13" Type="http://schemas.openxmlformats.org/officeDocument/2006/relationships/chart" Target="charts/chart3.xml"/><Relationship Id="rId14" Type="http://schemas.openxmlformats.org/officeDocument/2006/relationships/chart" Target="charts/chart4.xml"/><Relationship Id="rId15" Type="http://schemas.openxmlformats.org/officeDocument/2006/relationships/chart" Target="charts/chart5.xml"/><Relationship Id="rId16" Type="http://schemas.openxmlformats.org/officeDocument/2006/relationships/image" Target="media/image2.png"/><Relationship Id="rId17" Type="http://schemas.openxmlformats.org/officeDocument/2006/relationships/chart" Target="charts/chart6.xml"/></Relationships>
</file>

<file path=word/charts/_rels/chart1.xml.rels><?xml version='1.0' encoding='UTF-8' standalone='yes'?>
<Relationships xmlns="http://schemas.openxmlformats.org/package/2006/relationships"><Relationship Id="rId1" Type="http://schemas.openxmlformats.org/officeDocument/2006/relationships/package" Target="../embeddings/Datos_grafico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Datos_grafico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Datos_grafico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Datos_grafico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Datos_grafico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Datos_grafico6.xlsx"/></Relationships>
</file>

<file path=word/charts/chart1.xml><?xml version="1.0" encoding="utf-8"?>
<chartSpace xmlns:r="http://schemas.openxmlformats.org/officeDocument/2006/relationships" xmlns:a="http://schemas.openxmlformats.org/drawingml/2006/main" xmlns="http://schemas.openxmlformats.org/drawingml/2006/chart">
  <roundedCorners val="0"/>
  <chart>
    <autoTitleDeleted val="1"/>
    <plotArea>
      <barChart>
        <barDir val="bar"/>
        <grouping val="stacked"/>
        <ser>
          <idx val="0"/>
          <order val="0"/>
          <tx>
            <strRef>
              <f>'Datos'!B1</f>
            </strRef>
          </tx>
          <spPr>
            <a:solidFill xmlns:a="http://schemas.openxmlformats.org/drawingml/2006/main">
              <a:srgbClr val="00AECB"/>
            </a:solidFill>
            <a:ln xmlns:a="http://schemas.openxmlformats.org/drawingml/2006/main">
              <a:noFill/>
              <a:prstDash val="solid"/>
            </a:ln>
          </spPr>
          <cat>
            <numRef>
              <f>'Datos'!$A$2:$A$15</f>
            </numRef>
          </cat>
          <val>
            <numRef>
              <f>'Datos'!$B$2:$B$15</f>
            </numRef>
          </val>
        </ser>
        <ser>
          <idx val="1"/>
          <order val="1"/>
          <tx>
            <strRef>
              <f>'Datos'!C1</f>
            </strRef>
          </tx>
          <spPr>
            <a:solidFill xmlns:a="http://schemas.openxmlformats.org/drawingml/2006/main">
              <a:srgbClr val="E3E829"/>
            </a:solidFill>
            <a:ln xmlns:a="http://schemas.openxmlformats.org/drawingml/2006/main">
              <a:noFill/>
              <a:prstDash val="solid"/>
            </a:ln>
          </spPr>
          <cat>
            <numRef>
              <f>'Datos'!$A$2:$A$15</f>
            </numRef>
          </cat>
          <val>
            <numRef>
              <f>'Datos'!$C$2:$C$15</f>
            </numRef>
          </val>
        </ser>
        <ser>
          <idx val="2"/>
          <order val="2"/>
          <tx>
            <strRef>
              <f>'Datos'!D1</f>
            </strRef>
          </tx>
          <spPr>
            <a:solidFill xmlns:a="http://schemas.openxmlformats.org/drawingml/2006/main">
              <a:srgbClr val="1E2E6E"/>
            </a:solidFill>
            <a:ln xmlns:a="http://schemas.openxmlformats.org/drawingml/2006/main">
              <a:noFill/>
              <a:prstDash val="solid"/>
            </a:ln>
          </spPr>
          <cat>
            <numRef>
              <f>'Datos'!$A$2:$A$15</f>
            </numRef>
          </cat>
          <val>
            <numRef>
              <f>'Datos'!$D$2:$D$15</f>
            </numRef>
          </val>
        </ser>
        <ser>
          <idx val="3"/>
          <order val="3"/>
          <tx>
            <strRef>
              <f>'Datos'!E1</f>
            </strRef>
          </tx>
          <spPr>
            <a:solidFill xmlns:a="http://schemas.openxmlformats.org/drawingml/2006/main">
              <a:srgbClr val="5B6DAE"/>
            </a:solidFill>
            <a:ln xmlns:a="http://schemas.openxmlformats.org/drawingml/2006/main">
              <a:noFill/>
              <a:prstDash val="solid"/>
            </a:ln>
          </spPr>
          <cat>
            <numRef>
              <f>'Datos'!$A$2:$A$15</f>
            </numRef>
          </cat>
          <val>
            <numRef>
              <f>'Datos'!$E$2:$E$15</f>
            </numRef>
          </val>
        </ser>
        <dLbls>
          <txPr>
            <a:bodyPr/>
            <a:lstStyle/>
            <a:p>
              <a:pPr>
                <a:defRPr sz="850" b="1">
                  <a:solidFill>
                    <a:srgbClr val="FFFFFF"/>
                  </a:solidFill>
                  <a:latin typeface="Arial"/>
                </a:defRPr>
              </a:pPr>
              <a:endParaRPr lang="es-PE"/>
            </a:p>
          </txPr>
          <dLblPos val="ctr"/>
          <showLegendKey val="0"/>
          <showVal val="1"/>
          <showCatName val="0"/>
          <showSerName val="0"/>
          <showPercent val="0"/>
        </dLbls>
        <gapWidth val="45"/>
        <overlap val="100"/>
        <axId val="10"/>
        <axId val="100"/>
      </barChart>
      <catAx>
        <axId val="10"/>
        <scaling>
          <orientation val="minMax"/>
        </scaling>
        <delete val="0"/>
        <axPos val="l"/>
        <majorTickMark val="none"/>
        <minorTickMark val="none"/>
        <txPr>
          <a:bodyPr/>
          <a:lstStyle/>
          <a:p>
            <a:pPr>
              <a:defRPr sz="800" b="0">
                <a:solidFill>
                  <a:srgbClr val="1E2E6E"/>
                </a:solidFill>
                <a:latin typeface="Arial"/>
              </a:defRPr>
            </a:pPr>
            <a:endParaRPr lang="es-PE"/>
          </a:p>
        </txPr>
        <spPr>
          <a:ln>
            <a:noFill/>
          </a:ln>
        </spPr>
        <crossAx val="100"/>
        <lblOffset val="100"/>
      </catAx>
      <valAx>
        <axId val="100"/>
        <scaling>
          <orientation val="minMax"/>
        </scaling>
        <delete val="1"/>
        <axPos val="l"/>
        <majorTickMark val="none"/>
        <minorTickMark val="none"/>
        <txPr>
          <a:bodyPr/>
          <a:lstStyle/>
          <a:p>
            <a:pPr>
              <a:defRPr sz="800" b="0">
                <a:solidFill>
                  <a:srgbClr val="1E2E6E"/>
                </a:solidFill>
                <a:latin typeface="Arial"/>
              </a:defRPr>
            </a:pPr>
            <a:endParaRPr lang="es-PE"/>
          </a:p>
        </txPr>
        <spPr>
          <a:ln>
            <a:noFill/>
          </a:ln>
        </spPr>
        <crossAx val="10"/>
      </valAx>
    </plotArea>
    <legend>
      <legendPos val="b"/>
      <overlay val="0"/>
      <txPr>
        <a:bodyPr/>
        <a:lstStyle/>
        <a:p>
          <a:pPr>
            <a:defRPr sz="850" b="0">
              <a:solidFill>
                <a:srgbClr val="1E2E6E"/>
              </a:solidFill>
              <a:latin typeface="Arial"/>
            </a:defRPr>
          </a:pPr>
          <a:endParaRPr lang="es-PE"/>
        </a:p>
      </txPr>
    </legend>
    <plotVisOnly val="1"/>
    <dispBlanksAs val="gap"/>
  </chart>
  <spPr>
    <a:noFill/>
    <a:ln>
      <a:noFill/>
    </a:ln>
  </spPr>
  <txPr>
    <a:bodyPr/>
    <a:lstStyle/>
    <a:p>
      <a:pPr>
        <a:defRPr sz="900" b="0">
          <a:solidFill>
            <a:srgbClr val="1E2E6E"/>
          </a:solidFill>
          <a:latin typeface="Arial"/>
        </a:defRPr>
      </a:pPr>
      <a:endParaRPr lang="es-PE"/>
    </a:p>
  </txPr>
  <externalData r:id="rId1">
    <autoUpdate val="0"/>
  </externalData>
</chartSpace>
</file>

<file path=word/charts/chart2.xml><?xml version="1.0" encoding="utf-8"?>
<chartSpace xmlns:r="http://schemas.openxmlformats.org/officeDocument/2006/relationships" xmlns:a="http://schemas.openxmlformats.org/drawingml/2006/main" xmlns="http://schemas.openxmlformats.org/drawingml/2006/chart">
  <roundedCorners val="0"/>
  <chart>
    <autoTitleDeleted val="1"/>
    <plotArea>
      <pieChart>
        <varyColors val="0"/>
        <ser>
          <idx val="0"/>
          <order val="0"/>
          <tx>
            <strRef>
              <f>'Datos'!B1</f>
            </strRef>
          </tx>
          <spPr>
            <a:ln xmlns:a="http://schemas.openxmlformats.org/drawingml/2006/main">
              <a:prstDash val="solid"/>
            </a:ln>
          </spPr>
          <dPt>
            <idx val="0"/>
            <spPr>
              <a:solidFill xmlns:a="http://schemas.openxmlformats.org/drawingml/2006/main">
                <a:srgbClr val="1E2E6E"/>
              </a:solidFill>
              <a:ln xmlns:a="http://schemas.openxmlformats.org/drawingml/2006/main">
                <a:noFill/>
                <a:prstDash val="solid"/>
              </a:ln>
            </spPr>
          </dPt>
          <dPt>
            <idx val="1"/>
            <spPr>
              <a:solidFill xmlns:a="http://schemas.openxmlformats.org/drawingml/2006/main">
                <a:srgbClr val="00AECB"/>
              </a:solidFill>
              <a:ln xmlns:a="http://schemas.openxmlformats.org/drawingml/2006/main">
                <a:noFill/>
                <a:prstDash val="solid"/>
              </a:ln>
            </spPr>
          </dPt>
          <cat>
            <numRef>
              <f>'Datos'!$A$2:$A$3</f>
            </numRef>
          </cat>
          <val>
            <numRef>
              <f>'Datos'!$B$2:$B$3</f>
            </numRef>
          </val>
        </ser>
        <dLbls>
          <txPr>
            <a:bodyPr/>
            <a:lstStyle/>
            <a:p>
              <a:pPr>
                <a:defRPr sz="850" b="1">
                  <a:solidFill>
                    <a:srgbClr val="FFFFFF"/>
                  </a:solidFill>
                  <a:latin typeface="Arial"/>
                </a:defRPr>
              </a:pPr>
              <a:endParaRPr lang="es-PE"/>
            </a:p>
          </txPr>
          <showLegendKey val="0"/>
          <showVal val="0"/>
          <showCatName val="0"/>
          <showSerName val="0"/>
          <showPercent val="1"/>
        </dLbls>
        <firstSliceAng val="0"/>
      </pieChart>
    </plotArea>
    <legend>
      <legendPos val="r"/>
      <overlay val="0"/>
      <txPr>
        <a:bodyPr/>
        <a:lstStyle/>
        <a:p>
          <a:pPr>
            <a:defRPr sz="850" b="0">
              <a:solidFill>
                <a:srgbClr val="1E2E6E"/>
              </a:solidFill>
              <a:latin typeface="Arial"/>
            </a:defRPr>
          </a:pPr>
          <a:endParaRPr lang="es-PE"/>
        </a:p>
      </txPr>
    </legend>
    <plotVisOnly val="1"/>
    <dispBlanksAs val="gap"/>
  </chart>
  <spPr>
    <a:noFill/>
    <a:ln>
      <a:noFill/>
    </a:ln>
  </spPr>
  <txPr>
    <a:bodyPr/>
    <a:lstStyle/>
    <a:p>
      <a:pPr>
        <a:defRPr sz="900" b="0">
          <a:solidFill>
            <a:srgbClr val="1E2E6E"/>
          </a:solidFill>
          <a:latin typeface="Arial"/>
        </a:defRPr>
      </a:pPr>
      <a:endParaRPr lang="es-PE"/>
    </a:p>
  </txPr>
  <externalData r:id="rId1">
    <autoUpdate val="0"/>
  </externalData>
</chartSpace>
</file>

<file path=word/charts/chart3.xml><?xml version="1.0" encoding="utf-8"?>
<chartSpace xmlns:r="http://schemas.openxmlformats.org/officeDocument/2006/relationships" xmlns:a="http://schemas.openxmlformats.org/drawingml/2006/main" xmlns="http://schemas.openxmlformats.org/drawingml/2006/chart">
  <roundedCorners val="0"/>
  <chart>
    <autoTitleDeleted val="1"/>
    <plotArea>
      <doughnutChart>
        <varyColors val="0"/>
        <ser>
          <idx val="0"/>
          <order val="0"/>
          <tx>
            <strRef>
              <f>'Datos'!B1</f>
            </strRef>
          </tx>
          <spPr>
            <a:ln xmlns:a="http://schemas.openxmlformats.org/drawingml/2006/main">
              <a:prstDash val="solid"/>
            </a:ln>
          </spPr>
          <dPt>
            <idx val="0"/>
            <spPr>
              <a:solidFill xmlns:a="http://schemas.openxmlformats.org/drawingml/2006/main">
                <a:srgbClr val="1E2E6E"/>
              </a:solidFill>
              <a:ln xmlns:a="http://schemas.openxmlformats.org/drawingml/2006/main">
                <a:noFill/>
                <a:prstDash val="solid"/>
              </a:ln>
            </spPr>
          </dPt>
          <dPt>
            <idx val="1"/>
            <spPr>
              <a:solidFill xmlns:a="http://schemas.openxmlformats.org/drawingml/2006/main">
                <a:srgbClr val="00AECB"/>
              </a:solidFill>
              <a:ln xmlns:a="http://schemas.openxmlformats.org/drawingml/2006/main">
                <a:noFill/>
                <a:prstDash val="solid"/>
              </a:ln>
            </spPr>
          </dPt>
          <cat>
            <numRef>
              <f>'Datos'!$A$2:$A$3</f>
            </numRef>
          </cat>
          <val>
            <numRef>
              <f>'Datos'!$B$2:$B$3</f>
            </numRef>
          </val>
        </ser>
        <dLbls>
          <txPr>
            <a:bodyPr/>
            <a:lstStyle/>
            <a:p>
              <a:pPr>
                <a:defRPr sz="850" b="1">
                  <a:solidFill>
                    <a:srgbClr val="FFFFFF"/>
                  </a:solidFill>
                  <a:latin typeface="Arial"/>
                </a:defRPr>
              </a:pPr>
              <a:endParaRPr lang="es-PE"/>
            </a:p>
          </txPr>
          <showLegendKey val="0"/>
          <showVal val="0"/>
          <showCatName val="0"/>
          <showSerName val="0"/>
          <showPercent val="1"/>
        </dLbls>
        <firstSliceAng val="0"/>
        <holeSize val="55"/>
      </doughnutChart>
    </plotArea>
    <legend>
      <legendPos val="r"/>
      <overlay val="0"/>
      <txPr>
        <a:bodyPr/>
        <a:lstStyle/>
        <a:p>
          <a:pPr>
            <a:defRPr sz="850" b="0">
              <a:solidFill>
                <a:srgbClr val="1E2E6E"/>
              </a:solidFill>
              <a:latin typeface="Arial"/>
            </a:defRPr>
          </a:pPr>
          <a:endParaRPr lang="es-PE"/>
        </a:p>
      </txPr>
    </legend>
    <plotVisOnly val="1"/>
    <dispBlanksAs val="gap"/>
  </chart>
  <spPr>
    <a:noFill/>
    <a:ln>
      <a:noFill/>
    </a:ln>
  </spPr>
  <txPr>
    <a:bodyPr/>
    <a:lstStyle/>
    <a:p>
      <a:pPr>
        <a:defRPr sz="900" b="0">
          <a:solidFill>
            <a:srgbClr val="1E2E6E"/>
          </a:solidFill>
          <a:latin typeface="Arial"/>
        </a:defRPr>
      </a:pPr>
      <a:endParaRPr lang="es-PE"/>
    </a:p>
  </txPr>
  <externalData r:id="rId1">
    <autoUpdate val="0"/>
  </externalData>
</chartSpace>
</file>

<file path=word/charts/chart4.xml><?xml version="1.0" encoding="utf-8"?>
<chartSpace xmlns:r="http://schemas.openxmlformats.org/officeDocument/2006/relationships" xmlns:a="http://schemas.openxmlformats.org/drawingml/2006/main" xmlns="http://schemas.openxmlformats.org/drawingml/2006/chart">
  <roundedCorners val="0"/>
  <chart>
    <autoTitleDeleted val="1"/>
    <plotArea>
      <doughnutChart>
        <varyColors val="0"/>
        <ser>
          <idx val="0"/>
          <order val="0"/>
          <tx>
            <strRef>
              <f>'Datos'!B1</f>
            </strRef>
          </tx>
          <spPr>
            <a:ln xmlns:a="http://schemas.openxmlformats.org/drawingml/2006/main">
              <a:prstDash val="solid"/>
            </a:ln>
          </spPr>
          <dPt>
            <idx val="0"/>
            <spPr>
              <a:solidFill xmlns:a="http://schemas.openxmlformats.org/drawingml/2006/main">
                <a:srgbClr val="1E2E6E"/>
              </a:solidFill>
              <a:ln xmlns:a="http://schemas.openxmlformats.org/drawingml/2006/main">
                <a:noFill/>
                <a:prstDash val="solid"/>
              </a:ln>
            </spPr>
          </dPt>
          <cat>
            <numRef>
              <f>'Datos'!$A$2</f>
            </numRef>
          </cat>
          <val>
            <numRef>
              <f>'Datos'!$B$2</f>
            </numRef>
          </val>
        </ser>
        <dLbls>
          <txPr>
            <a:bodyPr/>
            <a:lstStyle/>
            <a:p>
              <a:pPr>
                <a:defRPr sz="850" b="1">
                  <a:solidFill>
                    <a:srgbClr val="FFFFFF"/>
                  </a:solidFill>
                  <a:latin typeface="Arial"/>
                </a:defRPr>
              </a:pPr>
              <a:endParaRPr lang="es-PE"/>
            </a:p>
          </txPr>
          <showLegendKey val="0"/>
          <showVal val="0"/>
          <showCatName val="0"/>
          <showSerName val="0"/>
          <showPercent val="1"/>
        </dLbls>
        <firstSliceAng val="0"/>
        <holeSize val="55"/>
      </doughnutChart>
    </plotArea>
    <legend>
      <legendPos val="r"/>
      <overlay val="0"/>
      <txPr>
        <a:bodyPr/>
        <a:lstStyle/>
        <a:p>
          <a:pPr>
            <a:defRPr sz="850" b="0">
              <a:solidFill>
                <a:srgbClr val="1E2E6E"/>
              </a:solidFill>
              <a:latin typeface="Arial"/>
            </a:defRPr>
          </a:pPr>
          <a:endParaRPr lang="es-PE"/>
        </a:p>
      </txPr>
    </legend>
    <plotVisOnly val="1"/>
    <dispBlanksAs val="gap"/>
  </chart>
  <spPr>
    <a:noFill/>
    <a:ln>
      <a:noFill/>
    </a:ln>
  </spPr>
  <txPr>
    <a:bodyPr/>
    <a:lstStyle/>
    <a:p>
      <a:pPr>
        <a:defRPr sz="900" b="0">
          <a:solidFill>
            <a:srgbClr val="1E2E6E"/>
          </a:solidFill>
          <a:latin typeface="Arial"/>
        </a:defRPr>
      </a:pPr>
      <a:endParaRPr lang="es-PE"/>
    </a:p>
  </txPr>
  <externalData r:id="rId1">
    <autoUpdate val="0"/>
  </externalData>
</chartSpace>
</file>

<file path=word/charts/chart5.xml><?xml version="1.0" encoding="utf-8"?>
<chartSpace xmlns:r="http://schemas.openxmlformats.org/officeDocument/2006/relationships" xmlns:a="http://schemas.openxmlformats.org/drawingml/2006/main" xmlns="http://schemas.openxmlformats.org/drawingml/2006/chart">
  <roundedCorners val="0"/>
  <chart>
    <autoTitleDeleted val="1"/>
    <plotArea>
      <doughnutChart>
        <varyColors val="0"/>
        <ser>
          <idx val="0"/>
          <order val="0"/>
          <tx>
            <strRef>
              <f>'Datos'!B1</f>
            </strRef>
          </tx>
          <spPr>
            <a:ln xmlns:a="http://schemas.openxmlformats.org/drawingml/2006/main">
              <a:prstDash val="solid"/>
            </a:ln>
          </spPr>
          <dPt>
            <idx val="0"/>
            <spPr>
              <a:solidFill xmlns:a="http://schemas.openxmlformats.org/drawingml/2006/main">
                <a:srgbClr val="1E2E6E"/>
              </a:solidFill>
              <a:ln xmlns:a="http://schemas.openxmlformats.org/drawingml/2006/main">
                <a:noFill/>
                <a:prstDash val="solid"/>
              </a:ln>
            </spPr>
          </dPt>
          <dPt>
            <idx val="1"/>
            <spPr>
              <a:solidFill xmlns:a="http://schemas.openxmlformats.org/drawingml/2006/main">
                <a:srgbClr val="00AECB"/>
              </a:solidFill>
              <a:ln xmlns:a="http://schemas.openxmlformats.org/drawingml/2006/main">
                <a:noFill/>
                <a:prstDash val="solid"/>
              </a:ln>
            </spPr>
          </dPt>
          <dPt>
            <idx val="2"/>
            <spPr>
              <a:solidFill xmlns:a="http://schemas.openxmlformats.org/drawingml/2006/main">
                <a:srgbClr val="5B6DAE"/>
              </a:solidFill>
              <a:ln xmlns:a="http://schemas.openxmlformats.org/drawingml/2006/main">
                <a:noFill/>
                <a:prstDash val="solid"/>
              </a:ln>
            </spPr>
          </dPt>
          <dPt>
            <idx val="3"/>
            <spPr>
              <a:solidFill xmlns:a="http://schemas.openxmlformats.org/drawingml/2006/main">
                <a:srgbClr val="3E9FBF"/>
              </a:solidFill>
              <a:ln xmlns:a="http://schemas.openxmlformats.org/drawingml/2006/main">
                <a:noFill/>
                <a:prstDash val="solid"/>
              </a:ln>
            </spPr>
          </dPt>
          <cat>
            <numRef>
              <f>'Datos'!$A$2:$A$5</f>
            </numRef>
          </cat>
          <val>
            <numRef>
              <f>'Datos'!$B$2:$B$5</f>
            </numRef>
          </val>
        </ser>
        <dLbls>
          <txPr>
            <a:bodyPr/>
            <a:lstStyle/>
            <a:p>
              <a:pPr>
                <a:defRPr sz="850" b="1">
                  <a:solidFill>
                    <a:srgbClr val="FFFFFF"/>
                  </a:solidFill>
                  <a:latin typeface="Arial"/>
                </a:defRPr>
              </a:pPr>
              <a:endParaRPr lang="es-PE"/>
            </a:p>
          </txPr>
          <showLegendKey val="0"/>
          <showVal val="0"/>
          <showCatName val="0"/>
          <showSerName val="0"/>
          <showPercent val="1"/>
        </dLbls>
        <firstSliceAng val="0"/>
        <holeSize val="55"/>
      </doughnutChart>
    </plotArea>
    <legend>
      <legendPos val="r"/>
      <overlay val="0"/>
      <txPr>
        <a:bodyPr/>
        <a:lstStyle/>
        <a:p>
          <a:pPr>
            <a:defRPr sz="850" b="0">
              <a:solidFill>
                <a:srgbClr val="1E2E6E"/>
              </a:solidFill>
              <a:latin typeface="Arial"/>
            </a:defRPr>
          </a:pPr>
          <a:endParaRPr lang="es-PE"/>
        </a:p>
      </txPr>
    </legend>
    <plotVisOnly val="1"/>
    <dispBlanksAs val="gap"/>
  </chart>
  <spPr>
    <a:noFill/>
    <a:ln>
      <a:noFill/>
    </a:ln>
  </spPr>
  <txPr>
    <a:bodyPr/>
    <a:lstStyle/>
    <a:p>
      <a:pPr>
        <a:defRPr sz="900" b="0">
          <a:solidFill>
            <a:srgbClr val="1E2E6E"/>
          </a:solidFill>
          <a:latin typeface="Arial"/>
        </a:defRPr>
      </a:pPr>
      <a:endParaRPr lang="es-PE"/>
    </a:p>
  </txPr>
  <externalData r:id="rId1">
    <autoUpdate val="0"/>
  </externalData>
</chartSpace>
</file>

<file path=word/charts/chart6.xml><?xml version="1.0" encoding="utf-8"?>
<chartSpace xmlns:r="http://schemas.openxmlformats.org/officeDocument/2006/relationships" xmlns:a="http://schemas.openxmlformats.org/drawingml/2006/main" xmlns="http://schemas.openxmlformats.org/drawingml/2006/chart">
  <roundedCorners val="0"/>
  <chart>
    <autoTitleDeleted val="1"/>
    <plotArea>
      <barChart>
        <barDir val="bar"/>
        <grouping val="stacked"/>
        <ser>
          <idx val="0"/>
          <order val="0"/>
          <tx>
            <strRef>
              <f>'Datos'!B1</f>
            </strRef>
          </tx>
          <spPr>
            <a:solidFill xmlns:a="http://schemas.openxmlformats.org/drawingml/2006/main">
              <a:srgbClr val="00AECB"/>
            </a:solidFill>
            <a:ln xmlns:a="http://schemas.openxmlformats.org/drawingml/2006/main">
              <a:noFill/>
              <a:prstDash val="solid"/>
            </a:ln>
          </spPr>
          <cat>
            <numRef>
              <f>'Datos'!$A$2</f>
            </numRef>
          </cat>
          <val>
            <numRef>
              <f>'Datos'!$B$2</f>
            </numRef>
          </val>
        </ser>
        <dLbls>
          <txPr>
            <a:bodyPr/>
            <a:lstStyle/>
            <a:p>
              <a:pPr>
                <a:defRPr sz="850" b="1">
                  <a:solidFill>
                    <a:srgbClr val="FFFFFF"/>
                  </a:solidFill>
                  <a:latin typeface="Arial"/>
                </a:defRPr>
              </a:pPr>
              <a:endParaRPr lang="es-PE"/>
            </a:p>
          </txPr>
          <dLblPos val="ctr"/>
          <showLegendKey val="0"/>
          <showVal val="1"/>
          <showCatName val="0"/>
          <showSerName val="0"/>
          <showPercent val="0"/>
        </dLbls>
        <gapWidth val="45"/>
        <overlap val="100"/>
        <axId val="10"/>
        <axId val="100"/>
      </barChart>
      <catAx>
        <axId val="10"/>
        <scaling>
          <orientation val="minMax"/>
        </scaling>
        <delete val="0"/>
        <axPos val="l"/>
        <majorTickMark val="none"/>
        <minorTickMark val="none"/>
        <txPr>
          <a:bodyPr/>
          <a:lstStyle/>
          <a:p>
            <a:pPr>
              <a:defRPr sz="800" b="0">
                <a:solidFill>
                  <a:srgbClr val="1E2E6E"/>
                </a:solidFill>
                <a:latin typeface="Arial"/>
              </a:defRPr>
            </a:pPr>
            <a:endParaRPr lang="es-PE"/>
          </a:p>
        </txPr>
        <spPr>
          <a:ln>
            <a:noFill/>
          </a:ln>
        </spPr>
        <crossAx val="100"/>
        <lblOffset val="100"/>
      </catAx>
      <valAx>
        <axId val="100"/>
        <scaling>
          <orientation val="minMax"/>
        </scaling>
        <delete val="1"/>
        <axPos val="l"/>
        <majorTickMark val="none"/>
        <minorTickMark val="none"/>
        <txPr>
          <a:bodyPr/>
          <a:lstStyle/>
          <a:p>
            <a:pPr>
              <a:defRPr sz="800" b="0">
                <a:solidFill>
                  <a:srgbClr val="1E2E6E"/>
                </a:solidFill>
                <a:latin typeface="Arial"/>
              </a:defRPr>
            </a:pPr>
            <a:endParaRPr lang="es-PE"/>
          </a:p>
        </txPr>
        <spPr>
          <a:ln>
            <a:noFill/>
          </a:ln>
        </spPr>
        <crossAx val="10"/>
      </valAx>
    </plotArea>
    <legend>
      <legendPos val="b"/>
      <overlay val="0"/>
      <txPr>
        <a:bodyPr/>
        <a:lstStyle/>
        <a:p>
          <a:pPr>
            <a:defRPr sz="850" b="0">
              <a:solidFill>
                <a:srgbClr val="1E2E6E"/>
              </a:solidFill>
              <a:latin typeface="Arial"/>
            </a:defRPr>
          </a:pPr>
          <a:endParaRPr lang="es-PE"/>
        </a:p>
      </txPr>
    </legend>
    <plotVisOnly val="1"/>
    <dispBlanksAs val="gap"/>
  </chart>
  <spPr>
    <a:noFill/>
    <a:ln>
      <a:noFill/>
    </a:ln>
  </spPr>
  <txPr>
    <a:bodyPr/>
    <a:lstStyle/>
    <a:p>
      <a:pPr>
        <a:defRPr sz="900" b="0">
          <a:solidFill>
            <a:srgbClr val="1E2E6E"/>
          </a:solidFill>
          <a:latin typeface="Arial"/>
        </a:defRPr>
      </a:pPr>
      <a:endParaRPr lang="es-PE"/>
    </a:p>
  </txPr>
  <externalData r:id="rId1">
    <autoUpdate val="0"/>
  </externalData>
</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