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D1B86" w14:textId="77777777" w:rsidR="003E5982" w:rsidRPr="00E33455" w:rsidRDefault="003E5982" w:rsidP="00DD00A8">
      <w:pPr>
        <w:pBdr>
          <w:bottom w:val="single" w:sz="12" w:space="0" w:color="1F3A5F"/>
        </w:pBdr>
        <w:rPr>
          <w:rFonts w:ascii="Sura Sans Light" w:hAnsi="Sura Sans Light"/>
        </w:rPr>
      </w:pPr>
    </w:p>
    <w:p w14:paraId="76759B46" w14:textId="77777777" w:rsidR="003E5982" w:rsidRPr="00E33455" w:rsidRDefault="003022BB" w:rsidP="00DD00A8">
      <w:pPr>
        <w:rPr>
          <w:rFonts w:ascii="Sura Sans Light" w:hAnsi="Sura Sans Light"/>
          <w:color w:val="auto"/>
        </w:rPr>
      </w:pPr>
      <w:r w:rsidRPr="00E33455">
        <w:rPr>
          <w:rFonts w:ascii="Sura Sans Light" w:hAnsi="Sura Sans Light"/>
          <w:b/>
          <w:bCs/>
          <w:color w:val="auto"/>
          <w:sz w:val="40"/>
          <w:szCs w:val="40"/>
        </w:rPr>
        <w:t>Metodología de Portafolios Temáticos</w:t>
      </w:r>
    </w:p>
    <w:p w14:paraId="18D2C418" w14:textId="5EA8DCBF" w:rsidR="003E5982" w:rsidRPr="00E33455" w:rsidRDefault="003022BB" w:rsidP="00DD00A8">
      <w:pPr>
        <w:rPr>
          <w:rFonts w:ascii="Sura Sans Light" w:hAnsi="Sura Sans Light"/>
        </w:rPr>
      </w:pPr>
      <w:r w:rsidRPr="00E33455">
        <w:rPr>
          <w:rFonts w:ascii="Sura Sans Light" w:hAnsi="Sura Sans Light"/>
          <w:color w:val="444444"/>
          <w:sz w:val="26"/>
          <w:szCs w:val="26"/>
        </w:rPr>
        <w:t>Tesis de inversión y justificación estratégica de la asignación</w:t>
      </w:r>
      <w:r w:rsidR="00E33455" w:rsidRPr="00E33455">
        <w:rPr>
          <w:rFonts w:ascii="Sura Sans Light" w:hAnsi="Sura Sans Light"/>
          <w:color w:val="444444"/>
          <w:sz w:val="26"/>
          <w:szCs w:val="26"/>
        </w:rPr>
        <w:t xml:space="preserve"> </w:t>
      </w:r>
    </w:p>
    <w:p w14:paraId="68B98357" w14:textId="7FE5EEA7" w:rsidR="003E5982" w:rsidRPr="00E33455" w:rsidRDefault="003E5982" w:rsidP="00DD00A8">
      <w:pPr>
        <w:rPr>
          <w:rFonts w:ascii="Sura Sans Light" w:hAnsi="Sura Sans Light"/>
        </w:rPr>
      </w:pPr>
    </w:p>
    <w:tbl>
      <w:tblPr>
        <w:tblW w:w="9020" w:type="dxa"/>
        <w:tblBorders>
          <w:top w:val="single" w:sz="4" w:space="0" w:color="1F3A5F"/>
          <w:left w:val="single" w:sz="24" w:space="0" w:color="1F3A5F"/>
          <w:bottom w:val="single" w:sz="4" w:space="0" w:color="1F3A5F"/>
          <w:right w:val="single" w:sz="4" w:space="0" w:color="1F3A5F"/>
        </w:tblBorders>
        <w:tblCellMar>
          <w:left w:w="10" w:type="dxa"/>
          <w:right w:w="10" w:type="dxa"/>
        </w:tblCellMar>
        <w:tblLook w:val="0000" w:firstRow="0" w:lastRow="0" w:firstColumn="0" w:lastColumn="0" w:noHBand="0" w:noVBand="0"/>
      </w:tblPr>
      <w:tblGrid>
        <w:gridCol w:w="9020"/>
      </w:tblGrid>
      <w:tr w:rsidR="003E5982" w:rsidRPr="00E33455" w14:paraId="59AEF517" w14:textId="77777777">
        <w:tc>
          <w:tcPr>
            <w:tcW w:w="9020" w:type="dxa"/>
            <w:shd w:val="clear" w:color="auto" w:fill="EEF3F7"/>
            <w:tcMar>
              <w:top w:w="120" w:type="dxa"/>
              <w:left w:w="160" w:type="dxa"/>
              <w:bottom w:w="120" w:type="dxa"/>
              <w:right w:w="160" w:type="dxa"/>
            </w:tcMar>
          </w:tcPr>
          <w:p w14:paraId="2FF08A68" w14:textId="77777777" w:rsidR="003E5982" w:rsidRPr="00E33455" w:rsidRDefault="003022BB" w:rsidP="00DD00A8">
            <w:pPr>
              <w:rPr>
                <w:rFonts w:ascii="Sura Sans Light" w:hAnsi="Sura Sans Light"/>
              </w:rPr>
            </w:pPr>
            <w:r w:rsidRPr="00E33455">
              <w:rPr>
                <w:rFonts w:ascii="Sura Sans Light" w:hAnsi="Sura Sans Light"/>
                <w:b/>
                <w:bCs/>
                <w:color w:val="1F3A5F"/>
                <w:sz w:val="20"/>
                <w:szCs w:val="20"/>
              </w:rPr>
              <w:t>Propósito y alcance</w:t>
            </w:r>
          </w:p>
          <w:p w14:paraId="39FA7D8A" w14:textId="40308E37" w:rsidR="003E5982" w:rsidRPr="00E33455" w:rsidRDefault="003022BB" w:rsidP="00DD00A8">
            <w:pPr>
              <w:jc w:val="both"/>
              <w:rPr>
                <w:rFonts w:ascii="Sura Sans Light" w:hAnsi="Sura Sans Light"/>
              </w:rPr>
            </w:pPr>
            <w:r w:rsidRPr="00E33455">
              <w:rPr>
                <w:rFonts w:ascii="Sura Sans Light" w:hAnsi="Sura Sans Light"/>
                <w:sz w:val="20"/>
                <w:szCs w:val="20"/>
              </w:rPr>
              <w:t>Este documento define (i) la tesis de inversión de los portafolios temáticos y (</w:t>
            </w:r>
            <w:proofErr w:type="spellStart"/>
            <w:r w:rsidRPr="00E33455">
              <w:rPr>
                <w:rFonts w:ascii="Sura Sans Light" w:hAnsi="Sura Sans Light"/>
                <w:sz w:val="20"/>
                <w:szCs w:val="20"/>
              </w:rPr>
              <w:t>ii</w:t>
            </w:r>
            <w:proofErr w:type="spellEnd"/>
            <w:r w:rsidRPr="00E33455">
              <w:rPr>
                <w:rFonts w:ascii="Sura Sans Light" w:hAnsi="Sura Sans Light"/>
                <w:sz w:val="20"/>
                <w:szCs w:val="20"/>
              </w:rPr>
              <w:t xml:space="preserve">) la justificación estratégica para destinar recursos del portafolio administrado a dichos portafolios, como componentes iniciales de la metodología de </w:t>
            </w:r>
            <w:r w:rsidR="00E33455">
              <w:rPr>
                <w:rFonts w:ascii="Sura Sans Light" w:hAnsi="Sura Sans Light"/>
                <w:sz w:val="20"/>
                <w:szCs w:val="20"/>
              </w:rPr>
              <w:t xml:space="preserve">SURA </w:t>
            </w:r>
            <w:proofErr w:type="spellStart"/>
            <w:r w:rsidR="00E33455">
              <w:rPr>
                <w:rFonts w:ascii="Sura Sans Light" w:hAnsi="Sura Sans Light"/>
                <w:sz w:val="20"/>
                <w:szCs w:val="20"/>
              </w:rPr>
              <w:t>Asset</w:t>
            </w:r>
            <w:proofErr w:type="spellEnd"/>
            <w:r w:rsidR="00E33455">
              <w:rPr>
                <w:rFonts w:ascii="Sura Sans Light" w:hAnsi="Sura Sans Light"/>
                <w:sz w:val="20"/>
                <w:szCs w:val="20"/>
              </w:rPr>
              <w:t xml:space="preserve"> Management</w:t>
            </w:r>
            <w:r w:rsidRPr="00E33455">
              <w:rPr>
                <w:rFonts w:ascii="Sura Sans Light" w:hAnsi="Sura Sans Light"/>
                <w:sz w:val="20"/>
                <w:szCs w:val="20"/>
              </w:rPr>
              <w:t xml:space="preserve">. Adicionalmente, revisa las cinco grandes temáticas propuestas, identifica las </w:t>
            </w:r>
            <w:proofErr w:type="spellStart"/>
            <w:r w:rsidRPr="00E33455">
              <w:rPr>
                <w:rFonts w:ascii="Sura Sans Light" w:hAnsi="Sura Sans Light"/>
                <w:sz w:val="20"/>
                <w:szCs w:val="20"/>
              </w:rPr>
              <w:t>subtemáticas</w:t>
            </w:r>
            <w:proofErr w:type="spellEnd"/>
            <w:r w:rsidRPr="00E33455">
              <w:rPr>
                <w:rFonts w:ascii="Sura Sans Light" w:hAnsi="Sura Sans Light"/>
                <w:sz w:val="20"/>
                <w:szCs w:val="20"/>
              </w:rPr>
              <w:t xml:space="preserve"> compatibles con el mandato (mejor rentabilidad ajustada por riesgo bajo las mejores prácticas de mercado) y define los indicadores que un fondo mutuo </w:t>
            </w:r>
            <w:r w:rsidR="00776A91">
              <w:rPr>
                <w:rFonts w:ascii="Sura Sans Light" w:hAnsi="Sura Sans Light"/>
                <w:sz w:val="20"/>
                <w:szCs w:val="20"/>
              </w:rPr>
              <w:t xml:space="preserve">o </w:t>
            </w:r>
            <w:r w:rsidRPr="00E33455">
              <w:rPr>
                <w:rFonts w:ascii="Sura Sans Light" w:hAnsi="Sura Sans Light"/>
                <w:sz w:val="20"/>
                <w:szCs w:val="20"/>
              </w:rPr>
              <w:t>ETF debe</w:t>
            </w:r>
            <w:r w:rsidR="00E33455">
              <w:rPr>
                <w:rFonts w:ascii="Sura Sans Light" w:hAnsi="Sura Sans Light"/>
                <w:sz w:val="20"/>
                <w:szCs w:val="20"/>
              </w:rPr>
              <w:t>n</w:t>
            </w:r>
            <w:r w:rsidRPr="00E33455">
              <w:rPr>
                <w:rFonts w:ascii="Sura Sans Light" w:hAnsi="Sura Sans Light"/>
                <w:sz w:val="20"/>
                <w:szCs w:val="20"/>
              </w:rPr>
              <w:t xml:space="preserve"> cumplir para calificar en cada </w:t>
            </w:r>
            <w:proofErr w:type="spellStart"/>
            <w:r w:rsidRPr="00E33455">
              <w:rPr>
                <w:rFonts w:ascii="Sura Sans Light" w:hAnsi="Sura Sans Light"/>
                <w:sz w:val="20"/>
                <w:szCs w:val="20"/>
              </w:rPr>
              <w:t>subtemática</w:t>
            </w:r>
            <w:proofErr w:type="spellEnd"/>
            <w:r w:rsidRPr="00E33455">
              <w:rPr>
                <w:rFonts w:ascii="Sura Sans Light" w:hAnsi="Sura Sans Light"/>
                <w:sz w:val="20"/>
                <w:szCs w:val="20"/>
              </w:rPr>
              <w:t xml:space="preserve">. El acceso se realiza exclusivamente a través de fondos mutuos y </w:t>
            </w:r>
            <w:proofErr w:type="spellStart"/>
            <w:r w:rsidRPr="00E33455">
              <w:rPr>
                <w:rFonts w:ascii="Sura Sans Light" w:hAnsi="Sura Sans Light"/>
                <w:sz w:val="20"/>
                <w:szCs w:val="20"/>
              </w:rPr>
              <w:t>ETFs</w:t>
            </w:r>
            <w:proofErr w:type="spellEnd"/>
            <w:r w:rsidRPr="00E33455">
              <w:rPr>
                <w:rFonts w:ascii="Sura Sans Light" w:hAnsi="Sura Sans Light"/>
                <w:sz w:val="20"/>
                <w:szCs w:val="20"/>
              </w:rPr>
              <w:t xml:space="preserve"> (sin selección individual de acciones).</w:t>
            </w:r>
          </w:p>
        </w:tc>
      </w:tr>
    </w:tbl>
    <w:p w14:paraId="27FD6B05" w14:textId="77777777" w:rsidR="003E5982" w:rsidRPr="00E33455" w:rsidRDefault="003E5982" w:rsidP="00DD00A8">
      <w:pPr>
        <w:rPr>
          <w:rFonts w:ascii="Sura Sans Light" w:hAnsi="Sura Sans Light"/>
        </w:rPr>
      </w:pPr>
    </w:p>
    <w:p w14:paraId="3FFF555D" w14:textId="5165FD21" w:rsidR="003E5982" w:rsidRPr="00E33455" w:rsidRDefault="00821D08" w:rsidP="00DD00A8">
      <w:pPr>
        <w:pStyle w:val="Ttulo1"/>
        <w:rPr>
          <w:rFonts w:ascii="Sura Sans Light" w:hAnsi="Sura Sans Light"/>
        </w:rPr>
      </w:pPr>
      <w:r>
        <w:rPr>
          <w:rFonts w:ascii="Sura Sans Light" w:hAnsi="Sura Sans Light"/>
          <w:b/>
          <w:bCs/>
          <w:color w:val="1F3A5F"/>
          <w:sz w:val="30"/>
          <w:szCs w:val="30"/>
        </w:rPr>
        <w:t>1</w:t>
      </w:r>
      <w:r w:rsidR="003022BB" w:rsidRPr="00E33455">
        <w:rPr>
          <w:rFonts w:ascii="Sura Sans Light" w:hAnsi="Sura Sans Light"/>
          <w:b/>
          <w:bCs/>
          <w:color w:val="1F3A5F"/>
          <w:sz w:val="30"/>
          <w:szCs w:val="30"/>
        </w:rPr>
        <w:t>.  Resumen ejecutivo</w:t>
      </w:r>
    </w:p>
    <w:p w14:paraId="417AB39E" w14:textId="77777777" w:rsidR="003E5982" w:rsidRPr="00E33455" w:rsidRDefault="003022BB" w:rsidP="00DD00A8">
      <w:pPr>
        <w:jc w:val="both"/>
        <w:rPr>
          <w:rFonts w:ascii="Sura Sans Light" w:hAnsi="Sura Sans Light"/>
        </w:rPr>
      </w:pPr>
      <w:r w:rsidRPr="00E33455">
        <w:rPr>
          <w:rFonts w:ascii="Sura Sans Light" w:hAnsi="Sura Sans Light"/>
        </w:rPr>
        <w:t>La inversión temática busca capturar el crecimiento estructural asociado a tendencias de largo plazo (</w:t>
      </w:r>
      <w:proofErr w:type="spellStart"/>
      <w:r w:rsidRPr="00E33455">
        <w:rPr>
          <w:rFonts w:ascii="Sura Sans Light" w:hAnsi="Sura Sans Light"/>
        </w:rPr>
        <w:t>megatendencias</w:t>
      </w:r>
      <w:proofErr w:type="spellEnd"/>
      <w:r w:rsidRPr="00E33455">
        <w:rPr>
          <w:rFonts w:ascii="Sura Sans Light" w:hAnsi="Sura Sans Light"/>
        </w:rPr>
        <w:t xml:space="preserve">). La evidencia académica y de mercado, sin embargo, es matizada: en promedio los fondos temáticos </w:t>
      </w:r>
      <w:r w:rsidRPr="00E33455">
        <w:rPr>
          <w:rFonts w:ascii="Sura Sans Light" w:hAnsi="Sura Sans Light"/>
          <w:b/>
          <w:bCs/>
        </w:rPr>
        <w:t>no</w:t>
      </w:r>
      <w:r w:rsidRPr="00E33455">
        <w:rPr>
          <w:rFonts w:ascii="Sura Sans Light" w:hAnsi="Sura Sans Light"/>
        </w:rPr>
        <w:t xml:space="preserve"> superan a un índice global amplio y muestran alta mortalidad. Morningstar documenta que cerca del 55% de los fondos temáticos no sobrevivió los 15 años previos a mediados de 2024 y que, en los tres años a esa fecha, apenas ~9% sobrevivió y superó al índice de referencia global (Lamont y otros, 2024). Ben-David, Franzoni, Kim y Moussawi (2023) muestran que los ETF especializados pierden cerca de 30% en términos ajustados por riesgo en sus primeros cinco años, efecto atribuible a la sobrevaloración de los subyacentes al momento del lanzamiento.</w:t>
      </w:r>
    </w:p>
    <w:p w14:paraId="2B5605E6" w14:textId="77777777" w:rsidR="00DD00A8" w:rsidRDefault="00DD00A8" w:rsidP="00DD00A8">
      <w:pPr>
        <w:jc w:val="both"/>
        <w:rPr>
          <w:rFonts w:ascii="Sura Sans Light" w:hAnsi="Sura Sans Light"/>
        </w:rPr>
      </w:pPr>
    </w:p>
    <w:p w14:paraId="1B497E48" w14:textId="2BC478AB" w:rsidR="003E5982" w:rsidRPr="00E33455" w:rsidRDefault="003022BB" w:rsidP="00DD00A8">
      <w:pPr>
        <w:jc w:val="both"/>
        <w:rPr>
          <w:rFonts w:ascii="Sura Sans Light" w:hAnsi="Sura Sans Light"/>
        </w:rPr>
      </w:pPr>
      <w:r w:rsidRPr="00E33455">
        <w:rPr>
          <w:rFonts w:ascii="Sura Sans Light" w:hAnsi="Sura Sans Light"/>
        </w:rPr>
        <w:t xml:space="preserve">Esto no invalida la asignación temática; la condiciona. La misma evidencia indica que, </w:t>
      </w:r>
      <w:r w:rsidRPr="00E33455">
        <w:rPr>
          <w:rFonts w:ascii="Sura Sans Light" w:hAnsi="Sura Sans Light"/>
          <w:b/>
          <w:bCs/>
        </w:rPr>
        <w:t>seleccionadas con disciplina de valorización, costo y diversificación</w:t>
      </w:r>
      <w:r w:rsidRPr="00E33455">
        <w:rPr>
          <w:rFonts w:ascii="Sura Sans Light" w:hAnsi="Sura Sans Light"/>
        </w:rPr>
        <w:t xml:space="preserve">, varias temáticas ofrecen retornos ajustados por riesgo al menos comparables al mercado antes de costos (Naffa y Fain, 2020), y que la orientación a la sostenibilidad no exige, a nivel de portafolio, sacrificar rentabilidad (Friede, Busch y Bassen, 2015). La tesis de </w:t>
      </w:r>
      <w:r w:rsidR="00E33455">
        <w:rPr>
          <w:rFonts w:ascii="Sura Sans Light" w:hAnsi="Sura Sans Light"/>
        </w:rPr>
        <w:t xml:space="preserve">SURA </w:t>
      </w:r>
      <w:proofErr w:type="spellStart"/>
      <w:r w:rsidR="00E33455">
        <w:rPr>
          <w:rFonts w:ascii="Sura Sans Light" w:hAnsi="Sura Sans Light"/>
        </w:rPr>
        <w:t>Asset</w:t>
      </w:r>
      <w:proofErr w:type="spellEnd"/>
      <w:r w:rsidR="00E33455">
        <w:rPr>
          <w:rFonts w:ascii="Sura Sans Light" w:hAnsi="Sura Sans Light"/>
        </w:rPr>
        <w:t xml:space="preserve"> Management</w:t>
      </w:r>
      <w:r w:rsidRPr="00E33455">
        <w:rPr>
          <w:rFonts w:ascii="Sura Sans Light" w:hAnsi="Sura Sans Light"/>
        </w:rPr>
        <w:t xml:space="preserve"> parte de este hecho: la exposición a un tema no garantiza retorno; el retorno depende de que el tema se materialice, de que el vehículo capture efectivamente a las empresas beneficiadas y de que ese beneficio no esté ya descontado en el precio.</w:t>
      </w:r>
    </w:p>
    <w:p w14:paraId="41ECACA0" w14:textId="77777777" w:rsidR="00DD00A8" w:rsidRDefault="00DD00A8" w:rsidP="00DD00A8">
      <w:pPr>
        <w:jc w:val="both"/>
        <w:rPr>
          <w:rFonts w:ascii="Sura Sans Light" w:hAnsi="Sura Sans Light"/>
        </w:rPr>
      </w:pPr>
    </w:p>
    <w:p w14:paraId="6D7E4760" w14:textId="1E2D10DD" w:rsidR="003E5982" w:rsidRPr="00E33455" w:rsidRDefault="003022BB" w:rsidP="00DD00A8">
      <w:pPr>
        <w:jc w:val="both"/>
        <w:rPr>
          <w:rFonts w:ascii="Sura Sans Light" w:hAnsi="Sura Sans Light"/>
        </w:rPr>
      </w:pPr>
      <w:r w:rsidRPr="00E33455">
        <w:rPr>
          <w:rFonts w:ascii="Sura Sans Light" w:hAnsi="Sura Sans Light"/>
        </w:rPr>
        <w:t xml:space="preserve">En consecuencia, los portafolios temáticos se conciben como una asignación </w:t>
      </w:r>
      <w:r w:rsidRPr="00E33455">
        <w:rPr>
          <w:rFonts w:ascii="Sura Sans Light" w:hAnsi="Sura Sans Light"/>
          <w:b/>
          <w:bCs/>
        </w:rPr>
        <w:t>satélite</w:t>
      </w:r>
      <w:r w:rsidRPr="00E33455">
        <w:rPr>
          <w:rFonts w:ascii="Sura Sans Light" w:hAnsi="Sura Sans Light"/>
        </w:rPr>
        <w:t xml:space="preserve">, complementaria al núcleo, dimensionada de forma acotada y sujeta a un marco de indicadores objetivos para la selección de fondos y </w:t>
      </w:r>
      <w:proofErr w:type="spellStart"/>
      <w:r w:rsidRPr="00E33455">
        <w:rPr>
          <w:rFonts w:ascii="Sura Sans Light" w:hAnsi="Sura Sans Light"/>
        </w:rPr>
        <w:t>ETFs</w:t>
      </w:r>
      <w:proofErr w:type="spellEnd"/>
      <w:r w:rsidRPr="00E33455">
        <w:rPr>
          <w:rFonts w:ascii="Sura Sans Light" w:hAnsi="Sura Sans Light"/>
        </w:rPr>
        <w:t xml:space="preserve">. La revisión de las cinco temáticas prioriza las </w:t>
      </w:r>
      <w:proofErr w:type="spellStart"/>
      <w:r w:rsidRPr="00E33455">
        <w:rPr>
          <w:rFonts w:ascii="Sura Sans Light" w:hAnsi="Sura Sans Light"/>
        </w:rPr>
        <w:t>subtemáticas</w:t>
      </w:r>
      <w:proofErr w:type="spellEnd"/>
      <w:r w:rsidRPr="00E33455">
        <w:rPr>
          <w:rFonts w:ascii="Sura Sans Light" w:hAnsi="Sura Sans Light"/>
        </w:rPr>
        <w:t xml:space="preserve"> con características de calidad, generación de caja, </w:t>
      </w:r>
      <w:r w:rsidR="00776A91" w:rsidRPr="00E33455">
        <w:rPr>
          <w:rFonts w:ascii="Sura Sans Light" w:hAnsi="Sura Sans Light"/>
        </w:rPr>
        <w:t>menor beta y dependencia</w:t>
      </w:r>
      <w:r w:rsidRPr="00E33455">
        <w:rPr>
          <w:rFonts w:ascii="Sura Sans Light" w:hAnsi="Sura Sans Light"/>
        </w:rPr>
        <w:t xml:space="preserve"> de un único catalizador (p. ej. infraestructura de red y eficiencia energética; ciberseguridad y semiconductores diversificados; salud amplia y economía plateada; cadena de valor agroindustrial; agua y gestión de residuos), y trata con cautela las de perfil especulativo, </w:t>
      </w:r>
      <w:r w:rsidR="00776A91" w:rsidRPr="00E33455">
        <w:rPr>
          <w:rFonts w:ascii="Sura Sans Light" w:hAnsi="Sura Sans Light"/>
        </w:rPr>
        <w:t>preingresos</w:t>
      </w:r>
      <w:r w:rsidRPr="00E33455">
        <w:rPr>
          <w:rFonts w:ascii="Sura Sans Light" w:hAnsi="Sura Sans Light"/>
        </w:rPr>
        <w:t xml:space="preserve"> o de nicho estrecho.</w:t>
      </w:r>
    </w:p>
    <w:p w14:paraId="416B8020" w14:textId="77777777" w:rsidR="00DD00A8" w:rsidRDefault="00DD00A8" w:rsidP="00DD00A8">
      <w:pPr>
        <w:pStyle w:val="Ttulo1"/>
        <w:rPr>
          <w:rFonts w:ascii="Sura Sans Light" w:hAnsi="Sura Sans Light"/>
          <w:b/>
          <w:bCs/>
          <w:color w:val="1F3A5F"/>
          <w:sz w:val="30"/>
          <w:szCs w:val="30"/>
        </w:rPr>
      </w:pPr>
    </w:p>
    <w:p w14:paraId="2085290F" w14:textId="2FA754C3" w:rsidR="003E5982" w:rsidRPr="00E33455" w:rsidRDefault="00821D08" w:rsidP="00DD00A8">
      <w:pPr>
        <w:pStyle w:val="Ttulo1"/>
        <w:rPr>
          <w:rFonts w:ascii="Sura Sans Light" w:hAnsi="Sura Sans Light"/>
        </w:rPr>
      </w:pPr>
      <w:r>
        <w:rPr>
          <w:rFonts w:ascii="Sura Sans Light" w:hAnsi="Sura Sans Light"/>
          <w:b/>
          <w:bCs/>
          <w:color w:val="1F3A5F"/>
          <w:sz w:val="30"/>
          <w:szCs w:val="30"/>
        </w:rPr>
        <w:t>2</w:t>
      </w:r>
      <w:r w:rsidR="003022BB" w:rsidRPr="00E33455">
        <w:rPr>
          <w:rFonts w:ascii="Sura Sans Light" w:hAnsi="Sura Sans Light"/>
          <w:b/>
          <w:bCs/>
          <w:color w:val="1F3A5F"/>
          <w:sz w:val="30"/>
          <w:szCs w:val="30"/>
        </w:rPr>
        <w:t>.  Tesis de inversión de los portafolios temáticos</w:t>
      </w:r>
    </w:p>
    <w:p w14:paraId="4A93D067" w14:textId="77777777" w:rsidR="00DD00A8" w:rsidRDefault="00DD00A8" w:rsidP="00DD00A8">
      <w:pPr>
        <w:pStyle w:val="Ttulo2"/>
        <w:rPr>
          <w:rFonts w:ascii="Sura Sans Light" w:hAnsi="Sura Sans Light"/>
          <w:b/>
          <w:bCs/>
          <w:color w:val="2E6E8E"/>
          <w:sz w:val="24"/>
          <w:szCs w:val="24"/>
        </w:rPr>
      </w:pPr>
    </w:p>
    <w:p w14:paraId="2F84EF9B" w14:textId="541F29CF" w:rsidR="003E5982" w:rsidRPr="00E33455" w:rsidRDefault="00821D08" w:rsidP="00DD00A8">
      <w:pPr>
        <w:pStyle w:val="Ttulo2"/>
        <w:rPr>
          <w:rFonts w:ascii="Sura Sans Light" w:hAnsi="Sura Sans Light"/>
        </w:rPr>
      </w:pPr>
      <w:proofErr w:type="gramStart"/>
      <w:r>
        <w:rPr>
          <w:rFonts w:ascii="Sura Sans Light" w:hAnsi="Sura Sans Light"/>
          <w:b/>
          <w:bCs/>
          <w:color w:val="2E6E8E"/>
          <w:sz w:val="24"/>
          <w:szCs w:val="24"/>
        </w:rPr>
        <w:t>2</w:t>
      </w:r>
      <w:r w:rsidR="003022BB" w:rsidRPr="00E33455">
        <w:rPr>
          <w:rFonts w:ascii="Sura Sans Light" w:hAnsi="Sura Sans Light"/>
          <w:b/>
          <w:bCs/>
          <w:color w:val="2E6E8E"/>
          <w:sz w:val="24"/>
          <w:szCs w:val="24"/>
        </w:rPr>
        <w:t>.1  Definición</w:t>
      </w:r>
      <w:proofErr w:type="gramEnd"/>
    </w:p>
    <w:p w14:paraId="046D1AB0" w14:textId="77777777" w:rsidR="00DD00A8" w:rsidRDefault="00DD00A8" w:rsidP="00DD00A8">
      <w:pPr>
        <w:jc w:val="both"/>
        <w:rPr>
          <w:rFonts w:ascii="Sura Sans Light" w:hAnsi="Sura Sans Light"/>
          <w:b/>
          <w:bCs/>
        </w:rPr>
      </w:pPr>
    </w:p>
    <w:p w14:paraId="19E8C7E8" w14:textId="23AECFF8" w:rsidR="003E5982" w:rsidRPr="00E33455" w:rsidRDefault="003022BB" w:rsidP="00DD00A8">
      <w:pPr>
        <w:jc w:val="both"/>
        <w:rPr>
          <w:rFonts w:ascii="Sura Sans Light" w:hAnsi="Sura Sans Light"/>
        </w:rPr>
      </w:pPr>
      <w:r w:rsidRPr="00E33455">
        <w:rPr>
          <w:rFonts w:ascii="Sura Sans Light" w:hAnsi="Sura Sans Light"/>
          <w:b/>
          <w:bCs/>
        </w:rPr>
        <w:t xml:space="preserve">Definición. </w:t>
      </w:r>
      <w:r w:rsidRPr="00E33455">
        <w:rPr>
          <w:rFonts w:ascii="Sura Sans Light" w:hAnsi="Sura Sans Light"/>
        </w:rPr>
        <w:t xml:space="preserve">Un portafolio temático de </w:t>
      </w:r>
      <w:r w:rsidR="00776A91">
        <w:rPr>
          <w:rFonts w:ascii="Sura Sans Light" w:hAnsi="Sura Sans Light"/>
        </w:rPr>
        <w:t xml:space="preserve">SURA </w:t>
      </w:r>
      <w:proofErr w:type="spellStart"/>
      <w:r w:rsidR="00776A91">
        <w:rPr>
          <w:rFonts w:ascii="Sura Sans Light" w:hAnsi="Sura Sans Light"/>
        </w:rPr>
        <w:t>Asset</w:t>
      </w:r>
      <w:proofErr w:type="spellEnd"/>
      <w:r w:rsidR="00776A91">
        <w:rPr>
          <w:rFonts w:ascii="Sura Sans Light" w:hAnsi="Sura Sans Light"/>
        </w:rPr>
        <w:t xml:space="preserve"> Management </w:t>
      </w:r>
      <w:r w:rsidRPr="00E33455">
        <w:rPr>
          <w:rFonts w:ascii="Sura Sans Light" w:hAnsi="Sura Sans Light"/>
        </w:rPr>
        <w:t xml:space="preserve">es una asignación satélite, implementada mediante fondos mutuos y </w:t>
      </w:r>
      <w:proofErr w:type="spellStart"/>
      <w:r w:rsidRPr="00E33455">
        <w:rPr>
          <w:rFonts w:ascii="Sura Sans Light" w:hAnsi="Sura Sans Light"/>
        </w:rPr>
        <w:t>ETFs</w:t>
      </w:r>
      <w:proofErr w:type="spellEnd"/>
      <w:r w:rsidRPr="00E33455">
        <w:rPr>
          <w:rFonts w:ascii="Sura Sans Light" w:hAnsi="Sura Sans Light"/>
        </w:rPr>
        <w:t xml:space="preserve"> diversificados, cuyo objetivo es obtener exposición a empresas, activos o sectores estructuralmente posicionados para beneficiarse —o para verse menos perjudicados— por </w:t>
      </w:r>
      <w:proofErr w:type="spellStart"/>
      <w:r w:rsidRPr="00E33455">
        <w:rPr>
          <w:rFonts w:ascii="Sura Sans Light" w:hAnsi="Sura Sans Light"/>
        </w:rPr>
        <w:t>megatendencias</w:t>
      </w:r>
      <w:proofErr w:type="spellEnd"/>
      <w:r w:rsidRPr="00E33455">
        <w:rPr>
          <w:rFonts w:ascii="Sura Sans Light" w:hAnsi="Sura Sans Light"/>
        </w:rPr>
        <w:t xml:space="preserve"> económicas, tecnológicas, demográficas, sociales y ambientales de largo plazo, con el fin de mejorar la rentabilidad ajustada por riesgo del portafolio total administrado, en forma consistente con el mandato fiduciario y las mejores prácticas de mercado.</w:t>
      </w:r>
    </w:p>
    <w:p w14:paraId="1249C469" w14:textId="77777777" w:rsidR="003E5982" w:rsidRPr="00E33455" w:rsidRDefault="003022BB" w:rsidP="00DD00A8">
      <w:pPr>
        <w:jc w:val="both"/>
        <w:rPr>
          <w:rFonts w:ascii="Sura Sans Light" w:hAnsi="Sura Sans Light"/>
        </w:rPr>
      </w:pPr>
      <w:r w:rsidRPr="00E33455">
        <w:rPr>
          <w:rFonts w:ascii="Sura Sans Light" w:hAnsi="Sura Sans Light"/>
        </w:rPr>
        <w:lastRenderedPageBreak/>
        <w:t xml:space="preserve">Una </w:t>
      </w:r>
      <w:proofErr w:type="spellStart"/>
      <w:r w:rsidRPr="00E33455">
        <w:rPr>
          <w:rFonts w:ascii="Sura Sans Light" w:hAnsi="Sura Sans Light"/>
        </w:rPr>
        <w:t>megatendencia</w:t>
      </w:r>
      <w:proofErr w:type="spellEnd"/>
      <w:r w:rsidRPr="00E33455">
        <w:rPr>
          <w:rFonts w:ascii="Sura Sans Light" w:hAnsi="Sura Sans Light"/>
        </w:rPr>
        <w:t xml:space="preserve"> se entiende como un proceso de transformación estructural, secular y transversal, que altera de manera persistente la economía, la sociedad, la tecnología o el ambiente (Naisbitt, 1982; Boesl y Bode, 2016; de Carvalho, 2024). A diferencia de una apuesta sectorial o cíclica, la premisa es que el crecimiento del tema es relativamente independiente del ciclo económico y sostenido en el tiempo, lo que puede traducirse en un crecimiento de utilidades superior al del mercado amplio a horizontes largos.</w:t>
      </w:r>
    </w:p>
    <w:p w14:paraId="32C230BF" w14:textId="77777777" w:rsidR="00DD00A8" w:rsidRDefault="00DD00A8" w:rsidP="00DD00A8">
      <w:pPr>
        <w:jc w:val="both"/>
        <w:rPr>
          <w:rFonts w:ascii="Sura Sans Light" w:hAnsi="Sura Sans Light"/>
        </w:rPr>
      </w:pPr>
    </w:p>
    <w:p w14:paraId="33009B4E" w14:textId="68A59140" w:rsidR="003E5982" w:rsidRDefault="003022BB" w:rsidP="00DD00A8">
      <w:pPr>
        <w:jc w:val="both"/>
        <w:rPr>
          <w:rFonts w:ascii="Sura Sans Light" w:hAnsi="Sura Sans Light"/>
        </w:rPr>
      </w:pPr>
      <w:r w:rsidRPr="00E33455">
        <w:rPr>
          <w:rFonts w:ascii="Sura Sans Light" w:hAnsi="Sura Sans Light"/>
        </w:rPr>
        <w:t xml:space="preserve">La tesis distingue explícitamente entre el enfoque de </w:t>
      </w:r>
      <w:r w:rsidR="00776A91">
        <w:rPr>
          <w:rFonts w:ascii="Sura Sans Light" w:hAnsi="Sura Sans Light"/>
        </w:rPr>
        <w:t xml:space="preserve">SURA </w:t>
      </w:r>
      <w:proofErr w:type="spellStart"/>
      <w:r w:rsidR="00776A91">
        <w:rPr>
          <w:rFonts w:ascii="Sura Sans Light" w:hAnsi="Sura Sans Light"/>
        </w:rPr>
        <w:t>Asset</w:t>
      </w:r>
      <w:proofErr w:type="spellEnd"/>
      <w:r w:rsidR="00776A91">
        <w:rPr>
          <w:rFonts w:ascii="Sura Sans Light" w:hAnsi="Sura Sans Light"/>
        </w:rPr>
        <w:t xml:space="preserve"> Management</w:t>
      </w:r>
      <w:r w:rsidRPr="00E33455">
        <w:rPr>
          <w:rFonts w:ascii="Sura Sans Light" w:hAnsi="Sura Sans Light"/>
        </w:rPr>
        <w:t xml:space="preserve"> —maximizar la rentabilidad ajustada por riesgo— y un enfoque de impacto. La alineación con el desarrollo sostenible es una consideración compatible, no el objetivo primario: solo califican las </w:t>
      </w:r>
      <w:proofErr w:type="spellStart"/>
      <w:r w:rsidRPr="00E33455">
        <w:rPr>
          <w:rFonts w:ascii="Sura Sans Light" w:hAnsi="Sura Sans Light"/>
        </w:rPr>
        <w:t>subtemáticas</w:t>
      </w:r>
      <w:proofErr w:type="spellEnd"/>
      <w:r w:rsidRPr="00E33455">
        <w:rPr>
          <w:rFonts w:ascii="Sura Sans Light" w:hAnsi="Sura Sans Light"/>
        </w:rPr>
        <w:t xml:space="preserve"> cuyo caso de inversión se sostiene por fundamentos financieros, con independencia de su externalidad ambiental o social.</w:t>
      </w:r>
    </w:p>
    <w:p w14:paraId="291B26B6" w14:textId="77777777" w:rsidR="00DD00A8" w:rsidRDefault="00DD00A8" w:rsidP="00DD00A8">
      <w:pPr>
        <w:jc w:val="both"/>
        <w:rPr>
          <w:rFonts w:ascii="Sura Sans Light" w:hAnsi="Sura Sans Light"/>
          <w:lang w:val="es-ES"/>
        </w:rPr>
      </w:pPr>
    </w:p>
    <w:p w14:paraId="03DBA3A1" w14:textId="5ED4E9D3" w:rsidR="00741416" w:rsidRPr="00732D7E" w:rsidRDefault="00074832" w:rsidP="00DD00A8">
      <w:pPr>
        <w:jc w:val="both"/>
        <w:rPr>
          <w:rFonts w:ascii="Sura Sans Light" w:hAnsi="Sura Sans Light"/>
          <w:lang w:val="es-ES"/>
        </w:rPr>
      </w:pPr>
      <w:r w:rsidRPr="00074832">
        <w:rPr>
          <w:rFonts w:ascii="Sura Sans Light" w:hAnsi="Sura Sans Light"/>
          <w:lang w:val="es-ES"/>
        </w:rPr>
        <w:t xml:space="preserve">SURA </w:t>
      </w:r>
      <w:proofErr w:type="spellStart"/>
      <w:r w:rsidRPr="00074832">
        <w:rPr>
          <w:rFonts w:ascii="Sura Sans Light" w:hAnsi="Sura Sans Light"/>
          <w:lang w:val="es-ES"/>
        </w:rPr>
        <w:t>Asset</w:t>
      </w:r>
      <w:proofErr w:type="spellEnd"/>
      <w:r w:rsidRPr="00074832">
        <w:rPr>
          <w:rFonts w:ascii="Sura Sans Light" w:hAnsi="Sura Sans Light"/>
          <w:lang w:val="es-ES"/>
        </w:rPr>
        <w:t xml:space="preserve"> Management no invierte en </w:t>
      </w:r>
      <w:proofErr w:type="spellStart"/>
      <w:r w:rsidRPr="00074832">
        <w:rPr>
          <w:rFonts w:ascii="Sura Sans Light" w:hAnsi="Sura Sans Light"/>
          <w:lang w:val="es-ES"/>
        </w:rPr>
        <w:t>megatendencias</w:t>
      </w:r>
      <w:proofErr w:type="spellEnd"/>
      <w:r w:rsidRPr="00074832">
        <w:rPr>
          <w:rFonts w:ascii="Sura Sans Light" w:hAnsi="Sura Sans Light"/>
          <w:lang w:val="es-ES"/>
        </w:rPr>
        <w:t xml:space="preserve"> por su atractivo narrativo, sino porque </w:t>
      </w:r>
      <w:r w:rsidR="00741416" w:rsidRPr="00732D7E">
        <w:rPr>
          <w:rFonts w:ascii="Sura Sans Light" w:hAnsi="Sura Sans Light"/>
          <w:lang w:val="es-ES"/>
        </w:rPr>
        <w:t xml:space="preserve">introducir exposiciones </w:t>
      </w:r>
      <w:proofErr w:type="gramStart"/>
      <w:r w:rsidR="00212FFD">
        <w:rPr>
          <w:rFonts w:ascii="Sura Sans Light" w:hAnsi="Sura Sans Light"/>
          <w:lang w:val="es-ES"/>
        </w:rPr>
        <w:t xml:space="preserve">estratégicas </w:t>
      </w:r>
      <w:r w:rsidR="00741416" w:rsidRPr="00732D7E">
        <w:rPr>
          <w:rFonts w:ascii="Sura Sans Light" w:hAnsi="Sura Sans Light"/>
          <w:lang w:val="es-ES"/>
        </w:rPr>
        <w:t xml:space="preserve"> </w:t>
      </w:r>
      <w:r w:rsidR="00212FFD">
        <w:rPr>
          <w:rFonts w:ascii="Sura Sans Light" w:hAnsi="Sura Sans Light"/>
          <w:lang w:val="es-ES"/>
        </w:rPr>
        <w:t>a</w:t>
      </w:r>
      <w:proofErr w:type="gramEnd"/>
      <w:r w:rsidR="00212FFD">
        <w:rPr>
          <w:rFonts w:ascii="Sura Sans Light" w:hAnsi="Sura Sans Light"/>
          <w:lang w:val="es-ES"/>
        </w:rPr>
        <w:t xml:space="preserve"> determinadas </w:t>
      </w:r>
      <w:proofErr w:type="spellStart"/>
      <w:r w:rsidR="00212FFD">
        <w:rPr>
          <w:rFonts w:ascii="Sura Sans Light" w:hAnsi="Sura Sans Light"/>
          <w:lang w:val="es-ES"/>
        </w:rPr>
        <w:t>megatendencias</w:t>
      </w:r>
      <w:proofErr w:type="spellEnd"/>
      <w:r w:rsidR="00212FFD">
        <w:rPr>
          <w:rFonts w:ascii="Sura Sans Light" w:hAnsi="Sura Sans Light"/>
          <w:lang w:val="es-ES"/>
        </w:rPr>
        <w:t xml:space="preserve"> permite </w:t>
      </w:r>
      <w:proofErr w:type="gramStart"/>
      <w:r w:rsidR="00212FFD">
        <w:rPr>
          <w:rFonts w:ascii="Sura Sans Light" w:hAnsi="Sura Sans Light"/>
          <w:lang w:val="es-ES"/>
        </w:rPr>
        <w:t xml:space="preserve">aprovechar </w:t>
      </w:r>
      <w:r w:rsidR="00741416" w:rsidRPr="00732D7E">
        <w:rPr>
          <w:rFonts w:ascii="Sura Sans Light" w:hAnsi="Sura Sans Light"/>
          <w:lang w:val="es-ES"/>
        </w:rPr>
        <w:t xml:space="preserve"> motores</w:t>
      </w:r>
      <w:proofErr w:type="gramEnd"/>
      <w:r w:rsidR="00741416" w:rsidRPr="00732D7E">
        <w:rPr>
          <w:rFonts w:ascii="Sura Sans Light" w:hAnsi="Sura Sans Light"/>
          <w:lang w:val="es-ES"/>
        </w:rPr>
        <w:t xml:space="preserve"> estructurales de crecimiento que pueden mejorar el perfil riesgo-retorno del portafolio en horizontes largo</w:t>
      </w:r>
      <w:r w:rsidR="00212FFD">
        <w:rPr>
          <w:rFonts w:ascii="Sura Sans Light" w:hAnsi="Sura Sans Light"/>
          <w:lang w:val="es-ES"/>
        </w:rPr>
        <w:t xml:space="preserve"> plazo</w:t>
      </w:r>
      <w:r w:rsidR="00741416" w:rsidRPr="00732D7E">
        <w:rPr>
          <w:rFonts w:ascii="Sura Sans Light" w:hAnsi="Sura Sans Light"/>
          <w:lang w:val="es-ES"/>
        </w:rPr>
        <w:t>.</w:t>
      </w:r>
    </w:p>
    <w:p w14:paraId="3B9A7C08" w14:textId="1C20FCBB" w:rsidR="00AD1E7A" w:rsidRPr="00161651" w:rsidRDefault="00AD1E7A" w:rsidP="00DD00A8">
      <w:pPr>
        <w:jc w:val="both"/>
        <w:rPr>
          <w:rFonts w:ascii="Sura Sans Light" w:hAnsi="Sura Sans Light"/>
          <w:lang w:val="es-ES"/>
        </w:rPr>
      </w:pPr>
    </w:p>
    <w:p w14:paraId="3952CACA" w14:textId="04340532" w:rsidR="003E5982" w:rsidRDefault="00821D08" w:rsidP="00DD00A8">
      <w:pPr>
        <w:pStyle w:val="Ttulo2"/>
        <w:rPr>
          <w:rFonts w:ascii="Sura Sans Light" w:hAnsi="Sura Sans Light"/>
          <w:b/>
          <w:bCs/>
          <w:color w:val="2E6E8E"/>
          <w:sz w:val="24"/>
          <w:szCs w:val="24"/>
        </w:rPr>
      </w:pPr>
      <w:proofErr w:type="gramStart"/>
      <w:r>
        <w:rPr>
          <w:rFonts w:ascii="Sura Sans Light" w:hAnsi="Sura Sans Light"/>
          <w:b/>
          <w:bCs/>
          <w:color w:val="2E6E8E"/>
          <w:sz w:val="24"/>
          <w:szCs w:val="24"/>
        </w:rPr>
        <w:t>2</w:t>
      </w:r>
      <w:r w:rsidR="003022BB" w:rsidRPr="00E33455">
        <w:rPr>
          <w:rFonts w:ascii="Sura Sans Light" w:hAnsi="Sura Sans Light"/>
          <w:b/>
          <w:bCs/>
          <w:color w:val="2E6E8E"/>
          <w:sz w:val="24"/>
          <w:szCs w:val="24"/>
        </w:rPr>
        <w:t>.2  Principios</w:t>
      </w:r>
      <w:proofErr w:type="gramEnd"/>
      <w:r w:rsidR="003022BB" w:rsidRPr="00E33455">
        <w:rPr>
          <w:rFonts w:ascii="Sura Sans Light" w:hAnsi="Sura Sans Light"/>
          <w:b/>
          <w:bCs/>
          <w:color w:val="2E6E8E"/>
          <w:sz w:val="24"/>
          <w:szCs w:val="24"/>
        </w:rPr>
        <w:t xml:space="preserve"> rectores</w:t>
      </w:r>
    </w:p>
    <w:p w14:paraId="13BB9B5C" w14:textId="77777777" w:rsidR="00DD00A8" w:rsidRPr="00E33455" w:rsidRDefault="00DD00A8" w:rsidP="00DD00A8">
      <w:pPr>
        <w:pStyle w:val="Ttulo2"/>
        <w:rPr>
          <w:rFonts w:ascii="Sura Sans Light" w:hAnsi="Sura Sans Light"/>
        </w:rPr>
      </w:pPr>
    </w:p>
    <w:p w14:paraId="383A7DDA" w14:textId="77777777"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Complemento, no reemplazo. </w:t>
      </w:r>
      <w:r w:rsidRPr="00E33455">
        <w:rPr>
          <w:rFonts w:ascii="Sura Sans Light" w:hAnsi="Sura Sans Light"/>
        </w:rPr>
        <w:t>Los temáticos operan como satélite alrededor de un núcleo diversificado; no sustituyen la exposición beta de bajo costo del portafolio.</w:t>
      </w:r>
    </w:p>
    <w:p w14:paraId="606B09CC" w14:textId="77777777" w:rsidR="00DD00A8" w:rsidRPr="00DD00A8" w:rsidRDefault="00DD00A8" w:rsidP="00DD00A8">
      <w:pPr>
        <w:pStyle w:val="Prrafodelista"/>
        <w:ind w:left="420"/>
        <w:jc w:val="both"/>
        <w:rPr>
          <w:rFonts w:ascii="Sura Sans Light" w:hAnsi="Sura Sans Light"/>
        </w:rPr>
      </w:pPr>
    </w:p>
    <w:p w14:paraId="36FADF33" w14:textId="14CB9049"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La exposición no es el retorno. </w:t>
      </w:r>
      <w:r w:rsidRPr="00E33455">
        <w:rPr>
          <w:rFonts w:ascii="Sura Sans Light" w:hAnsi="Sura Sans Light"/>
        </w:rPr>
        <w:t>Se reconoce que capturar un tema no garantiza alfa. El inversionista realiza en la práctica tres apuestas simultáneas (ver 1.3), y la probabilidad de acertar en las tres es baja si la selección no es disciplinada (Lamont y otros, 2024).</w:t>
      </w:r>
    </w:p>
    <w:p w14:paraId="603CC145" w14:textId="77777777" w:rsidR="00DD00A8" w:rsidRPr="00DD00A8" w:rsidRDefault="00DD00A8" w:rsidP="00DD00A8">
      <w:pPr>
        <w:pStyle w:val="Prrafodelista"/>
        <w:ind w:left="420"/>
        <w:jc w:val="both"/>
        <w:rPr>
          <w:rFonts w:ascii="Sura Sans Light" w:hAnsi="Sura Sans Light"/>
        </w:rPr>
      </w:pPr>
    </w:p>
    <w:p w14:paraId="51517A8C" w14:textId="0563C9AE"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Disciplina de valorización y de momento de entrada. </w:t>
      </w:r>
      <w:r w:rsidRPr="00E33455">
        <w:rPr>
          <w:rFonts w:ascii="Sura Sans Light" w:hAnsi="Sura Sans Light"/>
        </w:rPr>
        <w:t>Dado que los vehículos temáticos suelen lanzarse y captar flujos en el pico de popularidad del relato —cuando la valorización es más alta y el retorno prospectivo más bajo (Ben-David y otros, 2023)—, la entrada se evalúa por valorización relativa y se evita perseguir temas en euforia.</w:t>
      </w:r>
    </w:p>
    <w:p w14:paraId="5005EB42" w14:textId="77777777" w:rsidR="00DD00A8" w:rsidRPr="00DD00A8" w:rsidRDefault="00DD00A8" w:rsidP="00DD00A8">
      <w:pPr>
        <w:pStyle w:val="Prrafodelista"/>
        <w:ind w:left="420"/>
        <w:jc w:val="both"/>
        <w:rPr>
          <w:rFonts w:ascii="Sura Sans Light" w:hAnsi="Sura Sans Light"/>
        </w:rPr>
      </w:pPr>
    </w:p>
    <w:p w14:paraId="3DD73097" w14:textId="15CF6297"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Coherencia del tema. </w:t>
      </w:r>
      <w:r w:rsidRPr="00E33455">
        <w:rPr>
          <w:rFonts w:ascii="Sura Sans Light" w:hAnsi="Sura Sans Light"/>
        </w:rPr>
        <w:t>Solo se consideran temas con coherencia estadística verificable —correlación residual común entre sus componentes—; los 'temas' sin coherencia son mercadeo, no estrategia (</w:t>
      </w:r>
      <w:proofErr w:type="spellStart"/>
      <w:r w:rsidRPr="00E33455">
        <w:rPr>
          <w:rFonts w:ascii="Sura Sans Light" w:hAnsi="Sura Sans Light"/>
        </w:rPr>
        <w:t>Candès</w:t>
      </w:r>
      <w:proofErr w:type="spellEnd"/>
      <w:r w:rsidRPr="00E33455">
        <w:rPr>
          <w:rFonts w:ascii="Sura Sans Light" w:hAnsi="Sura Sans Light"/>
        </w:rPr>
        <w:t xml:space="preserve"> y otros, 2025).</w:t>
      </w:r>
    </w:p>
    <w:p w14:paraId="5C957918" w14:textId="77777777" w:rsidR="00DD00A8" w:rsidRPr="00DD00A8" w:rsidRDefault="00DD00A8" w:rsidP="00DD00A8">
      <w:pPr>
        <w:pStyle w:val="Prrafodelista"/>
        <w:ind w:left="420"/>
        <w:jc w:val="both"/>
        <w:rPr>
          <w:rFonts w:ascii="Sura Sans Light" w:hAnsi="Sura Sans Light"/>
        </w:rPr>
      </w:pPr>
    </w:p>
    <w:p w14:paraId="036FE1A2" w14:textId="0E1F29DB"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Control de costos y de supervivencia. </w:t>
      </w:r>
      <w:r w:rsidRPr="00E33455">
        <w:rPr>
          <w:rFonts w:ascii="Sura Sans Light" w:hAnsi="Sura Sans Light"/>
        </w:rPr>
        <w:t>Se privilegian vehículos de bajo TER, amplios y con escala/antigüedad suficiente, porque las comisiones elevadas y la alta mortalidad erosionan sistemáticamente el retorno neto (Lamont y otros, 2024; Naffa y Fain, 2020).</w:t>
      </w:r>
    </w:p>
    <w:p w14:paraId="356D96F7" w14:textId="77777777" w:rsidR="00DD00A8" w:rsidRPr="00DD00A8" w:rsidRDefault="00DD00A8" w:rsidP="00DD00A8">
      <w:pPr>
        <w:pStyle w:val="Prrafodelista"/>
        <w:ind w:left="420"/>
        <w:jc w:val="both"/>
        <w:rPr>
          <w:rFonts w:ascii="Sura Sans Light" w:hAnsi="Sura Sans Light"/>
        </w:rPr>
      </w:pPr>
    </w:p>
    <w:p w14:paraId="762FAFFB" w14:textId="6D5372F2"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Horizonte y paciencia. </w:t>
      </w:r>
      <w:r w:rsidRPr="00E33455">
        <w:rPr>
          <w:rFonts w:ascii="Sura Sans Light" w:hAnsi="Sura Sans Light"/>
        </w:rPr>
        <w:t>La estrategia es de comprar-y-mantener con rebalanceo por reglas, para evitar la brecha de comportamiento (comprar caro / vender barato) que reduce el retorno del inversionista frente al del fondo.</w:t>
      </w:r>
    </w:p>
    <w:p w14:paraId="065C8EF5" w14:textId="77777777" w:rsidR="00DD00A8" w:rsidRDefault="00DD00A8" w:rsidP="00DD00A8">
      <w:pPr>
        <w:pStyle w:val="Ttulo2"/>
        <w:rPr>
          <w:rFonts w:ascii="Sura Sans Light" w:hAnsi="Sura Sans Light"/>
          <w:b/>
          <w:bCs/>
          <w:color w:val="2E6E8E"/>
          <w:sz w:val="24"/>
          <w:szCs w:val="24"/>
        </w:rPr>
      </w:pPr>
    </w:p>
    <w:p w14:paraId="1E7F2FDD" w14:textId="1F43C801" w:rsidR="003E5982" w:rsidRPr="00E33455" w:rsidRDefault="00821D08" w:rsidP="00DD00A8">
      <w:pPr>
        <w:pStyle w:val="Ttulo2"/>
        <w:rPr>
          <w:rFonts w:ascii="Sura Sans Light" w:hAnsi="Sura Sans Light"/>
        </w:rPr>
      </w:pPr>
      <w:proofErr w:type="gramStart"/>
      <w:r>
        <w:rPr>
          <w:rFonts w:ascii="Sura Sans Light" w:hAnsi="Sura Sans Light"/>
          <w:b/>
          <w:bCs/>
          <w:color w:val="2E6E8E"/>
          <w:sz w:val="24"/>
          <w:szCs w:val="24"/>
        </w:rPr>
        <w:t>2</w:t>
      </w:r>
      <w:r w:rsidR="003022BB" w:rsidRPr="00E33455">
        <w:rPr>
          <w:rFonts w:ascii="Sura Sans Light" w:hAnsi="Sura Sans Light"/>
          <w:b/>
          <w:bCs/>
          <w:color w:val="2E6E8E"/>
          <w:sz w:val="24"/>
          <w:szCs w:val="24"/>
        </w:rPr>
        <w:t>.3  Condiciones</w:t>
      </w:r>
      <w:proofErr w:type="gramEnd"/>
      <w:r w:rsidR="003022BB" w:rsidRPr="00E33455">
        <w:rPr>
          <w:rFonts w:ascii="Sura Sans Light" w:hAnsi="Sura Sans Light"/>
          <w:b/>
          <w:bCs/>
          <w:color w:val="2E6E8E"/>
          <w:sz w:val="24"/>
          <w:szCs w:val="24"/>
        </w:rPr>
        <w:t xml:space="preserve"> para que la tesis genere valor (las tres apuestas)</w:t>
      </w:r>
    </w:p>
    <w:p w14:paraId="14DD9C8D" w14:textId="77777777" w:rsidR="00DD00A8" w:rsidRDefault="00DD00A8" w:rsidP="00DD00A8">
      <w:pPr>
        <w:jc w:val="both"/>
        <w:rPr>
          <w:rFonts w:ascii="Sura Sans Light" w:hAnsi="Sura Sans Light"/>
        </w:rPr>
      </w:pPr>
    </w:p>
    <w:p w14:paraId="105BF88C" w14:textId="27E4F026" w:rsidR="003E5982" w:rsidRDefault="003022BB" w:rsidP="00DD00A8">
      <w:pPr>
        <w:jc w:val="both"/>
        <w:rPr>
          <w:rFonts w:ascii="Sura Sans Light" w:hAnsi="Sura Sans Light"/>
        </w:rPr>
      </w:pPr>
      <w:r w:rsidRPr="00E33455">
        <w:rPr>
          <w:rFonts w:ascii="Sura Sans Light" w:hAnsi="Sura Sans Light"/>
        </w:rPr>
        <w:t>Para que un portafolio temático aporte rentabilidad ajustada por riesgo, deben cumplirse de manera conjunta tres condiciones. La metodología las hace explícitas porque cada una es falible:</w:t>
      </w:r>
    </w:p>
    <w:p w14:paraId="25E857F5" w14:textId="77777777" w:rsidR="00DD00A8" w:rsidRPr="00E33455" w:rsidRDefault="00DD00A8" w:rsidP="00DD00A8">
      <w:pPr>
        <w:jc w:val="both"/>
        <w:rPr>
          <w:rFonts w:ascii="Sura Sans Light" w:hAnsi="Sura Sans Light"/>
        </w:rPr>
      </w:pPr>
    </w:p>
    <w:p w14:paraId="335ABC5F" w14:textId="77777777" w:rsidR="003E5982"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Materialización del tema. </w:t>
      </w:r>
      <w:r w:rsidRPr="00E33455">
        <w:rPr>
          <w:rFonts w:ascii="Sura Sans Light" w:hAnsi="Sura Sans Light"/>
        </w:rPr>
        <w:t xml:space="preserve">La </w:t>
      </w:r>
      <w:proofErr w:type="spellStart"/>
      <w:r w:rsidRPr="00E33455">
        <w:rPr>
          <w:rFonts w:ascii="Sura Sans Light" w:hAnsi="Sura Sans Light"/>
        </w:rPr>
        <w:t>megatendencia</w:t>
      </w:r>
      <w:proofErr w:type="spellEnd"/>
      <w:r w:rsidRPr="00E33455">
        <w:rPr>
          <w:rFonts w:ascii="Sura Sans Light" w:hAnsi="Sura Sans Light"/>
        </w:rPr>
        <w:t xml:space="preserve"> debe desarrollarse en la magnitud y el plazo esperados. La historia muestra temas que no maduraron al ritmo previsto (p. ej. vehículos autónomos), penalizando a quienes entraron temprano.</w:t>
      </w:r>
    </w:p>
    <w:p w14:paraId="5F57FF42" w14:textId="77777777" w:rsidR="00DD00A8" w:rsidRPr="00E33455" w:rsidRDefault="00DD00A8" w:rsidP="00DD00A8">
      <w:pPr>
        <w:pStyle w:val="Prrafodelista"/>
        <w:ind w:left="420"/>
        <w:jc w:val="both"/>
        <w:rPr>
          <w:rFonts w:ascii="Sura Sans Light" w:hAnsi="Sura Sans Light"/>
        </w:rPr>
      </w:pPr>
    </w:p>
    <w:p w14:paraId="3AF9541D" w14:textId="77777777"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Captura por el vehículo. </w:t>
      </w:r>
      <w:r w:rsidRPr="00E33455">
        <w:rPr>
          <w:rFonts w:ascii="Sura Sans Light" w:hAnsi="Sura Sans Light"/>
        </w:rPr>
        <w:t xml:space="preserve">El fondo/ETF debe contener efectivamente a las empresas que se benefician del tema, y no compañías 'etiquetadas' sin exposición real (riesgo de </w:t>
      </w:r>
      <w:proofErr w:type="spellStart"/>
      <w:r w:rsidRPr="00E33455">
        <w:rPr>
          <w:rFonts w:ascii="Sura Sans Light" w:hAnsi="Sura Sans Light"/>
        </w:rPr>
        <w:t>window-dressing</w:t>
      </w:r>
      <w:proofErr w:type="spellEnd"/>
      <w:r w:rsidRPr="00E33455">
        <w:rPr>
          <w:rFonts w:ascii="Sura Sans Light" w:hAnsi="Sura Sans Light"/>
        </w:rPr>
        <w:t xml:space="preserve"> y de definiciones divergentes entre proveedores de índices).</w:t>
      </w:r>
    </w:p>
    <w:p w14:paraId="09223294" w14:textId="77777777" w:rsidR="00DD00A8" w:rsidRPr="00DD00A8" w:rsidRDefault="00DD00A8" w:rsidP="00DD00A8">
      <w:pPr>
        <w:pStyle w:val="Prrafodelista"/>
        <w:ind w:left="420"/>
        <w:jc w:val="both"/>
        <w:rPr>
          <w:rFonts w:ascii="Sura Sans Light" w:hAnsi="Sura Sans Light"/>
        </w:rPr>
      </w:pPr>
    </w:p>
    <w:p w14:paraId="0A1CC0F1" w14:textId="5D831750"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Traducción a caja no descontada. </w:t>
      </w:r>
      <w:r w:rsidRPr="00E33455">
        <w:rPr>
          <w:rFonts w:ascii="Sura Sans Light" w:hAnsi="Sura Sans Light"/>
        </w:rPr>
        <w:t>El beneficio del tema debe convertirse en flujos de caja y no estar ya incorporado en el precio. Cuando el tema es consenso, la valorización elevada anula el retorno futuro (Ben-David y otros, 2023).</w:t>
      </w:r>
    </w:p>
    <w:p w14:paraId="6B604F59" w14:textId="77777777" w:rsidR="00DD00A8" w:rsidRDefault="00DD00A8" w:rsidP="00DD00A8">
      <w:pPr>
        <w:rPr>
          <w:rFonts w:ascii="Sura Sans Light" w:hAnsi="Sura Sans Light"/>
        </w:rPr>
      </w:pPr>
    </w:p>
    <w:p w14:paraId="1A9056E7" w14:textId="4DE87F16" w:rsidR="00732D7E" w:rsidRDefault="00F157AE" w:rsidP="00DD00A8">
      <w:pPr>
        <w:rPr>
          <w:rFonts w:ascii="Sura Sans Light" w:hAnsi="Sura Sans Light"/>
        </w:rPr>
      </w:pPr>
      <w:r>
        <w:rPr>
          <w:rFonts w:ascii="Sura Sans Light" w:hAnsi="Sura Sans Light"/>
        </w:rPr>
        <w:t xml:space="preserve">En este </w:t>
      </w:r>
      <w:r w:rsidR="00161651">
        <w:rPr>
          <w:rFonts w:ascii="Sura Sans Light" w:hAnsi="Sura Sans Light"/>
        </w:rPr>
        <w:t>contexto</w:t>
      </w:r>
      <w:r w:rsidR="00D23110">
        <w:rPr>
          <w:rFonts w:ascii="Sura Sans Light" w:hAnsi="Sura Sans Light"/>
        </w:rPr>
        <w:t>, para que una temática particular sea invertible</w:t>
      </w:r>
      <w:r>
        <w:rPr>
          <w:rFonts w:ascii="Sura Sans Light" w:hAnsi="Sura Sans Light"/>
        </w:rPr>
        <w:t xml:space="preserve"> deberá tener persistencia, magnitud económica relevante, e </w:t>
      </w:r>
      <w:proofErr w:type="spellStart"/>
      <w:r>
        <w:rPr>
          <w:rFonts w:ascii="Sura Sans Light" w:hAnsi="Sura Sans Light"/>
        </w:rPr>
        <w:t>invertibilidad</w:t>
      </w:r>
      <w:proofErr w:type="spellEnd"/>
      <w:r>
        <w:rPr>
          <w:rFonts w:ascii="Sura Sans Light" w:hAnsi="Sura Sans Light"/>
        </w:rPr>
        <w:t xml:space="preserve">. Específicamente, se deberá acreditar que la </w:t>
      </w:r>
      <w:proofErr w:type="spellStart"/>
      <w:r>
        <w:rPr>
          <w:rFonts w:ascii="Sura Sans Light" w:hAnsi="Sura Sans Light"/>
        </w:rPr>
        <w:t>subtemática</w:t>
      </w:r>
      <w:proofErr w:type="spellEnd"/>
      <w:r>
        <w:rPr>
          <w:rFonts w:ascii="Sura Sans Light" w:hAnsi="Sura Sans Light"/>
        </w:rPr>
        <w:t xml:space="preserve"> cuente con</w:t>
      </w:r>
      <w:r w:rsidR="00D23110">
        <w:rPr>
          <w:rFonts w:ascii="Sura Sans Light" w:hAnsi="Sura Sans Light"/>
        </w:rPr>
        <w:t xml:space="preserve"> lo siguiente:</w:t>
      </w:r>
    </w:p>
    <w:p w14:paraId="04F8DF12" w14:textId="77777777" w:rsidR="00D23110" w:rsidRDefault="00D23110" w:rsidP="00DD00A8">
      <w:pPr>
        <w:rPr>
          <w:rFonts w:ascii="Sura Sans Light" w:hAnsi="Sura Sans Light"/>
        </w:rPr>
      </w:pPr>
    </w:p>
    <w:p w14:paraId="730B507F" w14:textId="5705FE2C" w:rsidR="00D23110" w:rsidRDefault="00D23110" w:rsidP="00DD00A8">
      <w:pPr>
        <w:numPr>
          <w:ilvl w:val="0"/>
          <w:numId w:val="3"/>
        </w:numPr>
        <w:jc w:val="both"/>
        <w:rPr>
          <w:rFonts w:ascii="Sura Sans Light" w:hAnsi="Sura Sans Light"/>
          <w:lang w:val="es-ES"/>
        </w:rPr>
      </w:pPr>
      <w:r>
        <w:rPr>
          <w:rFonts w:ascii="Sura Sans Light" w:hAnsi="Sura Sans Light"/>
          <w:lang w:val="es-ES"/>
        </w:rPr>
        <w:t>E</w:t>
      </w:r>
      <w:r w:rsidRPr="000A0FF0">
        <w:rPr>
          <w:rFonts w:ascii="Sura Sans Light" w:hAnsi="Sura Sans Light"/>
          <w:lang w:val="es-ES"/>
        </w:rPr>
        <w:t>videncia económica de largo plazo</w:t>
      </w:r>
      <w:r w:rsidR="00F157AE">
        <w:rPr>
          <w:rFonts w:ascii="Sura Sans Light" w:hAnsi="Sura Sans Light"/>
          <w:lang w:val="es-ES"/>
        </w:rPr>
        <w:t xml:space="preserve"> acorde con los horizontes de largo plazo de los ciclos económicos</w:t>
      </w:r>
      <w:r w:rsidRPr="000A0FF0">
        <w:rPr>
          <w:rFonts w:ascii="Sura Sans Light" w:hAnsi="Sura Sans Light"/>
          <w:lang w:val="es-ES"/>
        </w:rPr>
        <w:t>.</w:t>
      </w:r>
    </w:p>
    <w:p w14:paraId="340BF9AD" w14:textId="77777777" w:rsidR="00DD00A8" w:rsidRPr="000A0FF0" w:rsidRDefault="00DD00A8" w:rsidP="00DD00A8">
      <w:pPr>
        <w:ind w:left="720"/>
        <w:jc w:val="both"/>
        <w:rPr>
          <w:rFonts w:ascii="Sura Sans Light" w:hAnsi="Sura Sans Light"/>
          <w:lang w:val="es-ES"/>
        </w:rPr>
      </w:pPr>
    </w:p>
    <w:p w14:paraId="141BFB0C" w14:textId="1BF4BB93" w:rsidR="00D23110" w:rsidRPr="000A0FF0" w:rsidRDefault="00D23110" w:rsidP="00DD00A8">
      <w:pPr>
        <w:numPr>
          <w:ilvl w:val="0"/>
          <w:numId w:val="3"/>
        </w:numPr>
        <w:jc w:val="both"/>
        <w:rPr>
          <w:rFonts w:ascii="Sura Sans Light" w:hAnsi="Sura Sans Light"/>
          <w:lang w:val="es-ES"/>
        </w:rPr>
      </w:pPr>
      <w:r>
        <w:rPr>
          <w:rFonts w:ascii="Sura Sans Light" w:hAnsi="Sura Sans Light"/>
          <w:lang w:val="es-ES"/>
        </w:rPr>
        <w:t>U</w:t>
      </w:r>
      <w:r w:rsidRPr="000A0FF0">
        <w:rPr>
          <w:rFonts w:ascii="Sura Sans Light" w:hAnsi="Sura Sans Light"/>
          <w:lang w:val="es-ES"/>
        </w:rPr>
        <w:t>niverso invertible amplio</w:t>
      </w:r>
      <w:r>
        <w:rPr>
          <w:rFonts w:ascii="Sura Sans Light" w:hAnsi="Sura Sans Light"/>
          <w:lang w:val="es-ES"/>
        </w:rPr>
        <w:t xml:space="preserve"> con profundidad de mercado</w:t>
      </w:r>
      <w:r w:rsidRPr="000A0FF0">
        <w:rPr>
          <w:rFonts w:ascii="Sura Sans Light" w:hAnsi="Sura Sans Light"/>
          <w:lang w:val="es-ES"/>
        </w:rPr>
        <w:t>.</w:t>
      </w:r>
    </w:p>
    <w:p w14:paraId="334D1296" w14:textId="77777777" w:rsidR="00DD00A8" w:rsidRDefault="00DD00A8" w:rsidP="00DD00A8">
      <w:pPr>
        <w:ind w:left="720"/>
        <w:jc w:val="both"/>
        <w:rPr>
          <w:rFonts w:ascii="Sura Sans Light" w:hAnsi="Sura Sans Light"/>
          <w:lang w:val="es-ES"/>
        </w:rPr>
      </w:pPr>
    </w:p>
    <w:p w14:paraId="107AA5D9" w14:textId="3189E919" w:rsidR="00D23110" w:rsidRPr="000A0FF0" w:rsidRDefault="00D23110" w:rsidP="00DD00A8">
      <w:pPr>
        <w:numPr>
          <w:ilvl w:val="0"/>
          <w:numId w:val="3"/>
        </w:numPr>
        <w:jc w:val="both"/>
        <w:rPr>
          <w:rFonts w:ascii="Sura Sans Light" w:hAnsi="Sura Sans Light"/>
          <w:lang w:val="es-ES"/>
        </w:rPr>
      </w:pPr>
      <w:r>
        <w:rPr>
          <w:rFonts w:ascii="Sura Sans Light" w:hAnsi="Sura Sans Light"/>
          <w:lang w:val="es-ES"/>
        </w:rPr>
        <w:t>Posibilidad de i</w:t>
      </w:r>
      <w:r w:rsidRPr="000A0FF0">
        <w:rPr>
          <w:rFonts w:ascii="Sura Sans Light" w:hAnsi="Sura Sans Light"/>
          <w:lang w:val="es-ES"/>
        </w:rPr>
        <w:t xml:space="preserve">mplementarse mediante </w:t>
      </w:r>
      <w:proofErr w:type="spellStart"/>
      <w:r w:rsidRPr="000A0FF0">
        <w:rPr>
          <w:rFonts w:ascii="Sura Sans Light" w:hAnsi="Sura Sans Light"/>
          <w:lang w:val="es-ES"/>
        </w:rPr>
        <w:t>ETFs</w:t>
      </w:r>
      <w:proofErr w:type="spellEnd"/>
      <w:r w:rsidRPr="000A0FF0">
        <w:rPr>
          <w:rFonts w:ascii="Sura Sans Light" w:hAnsi="Sura Sans Light"/>
          <w:lang w:val="es-ES"/>
        </w:rPr>
        <w:t xml:space="preserve"> o fondos líquidos.</w:t>
      </w:r>
    </w:p>
    <w:p w14:paraId="50BE59DA" w14:textId="77777777" w:rsidR="00DD00A8" w:rsidRDefault="00DD00A8" w:rsidP="00DD00A8">
      <w:pPr>
        <w:ind w:left="720"/>
        <w:jc w:val="both"/>
        <w:rPr>
          <w:rFonts w:ascii="Sura Sans Light" w:hAnsi="Sura Sans Light"/>
          <w:lang w:val="es-ES"/>
        </w:rPr>
      </w:pPr>
    </w:p>
    <w:p w14:paraId="4C3928EF" w14:textId="2ECEDB43" w:rsidR="00D23110" w:rsidRDefault="00D23110" w:rsidP="00DD00A8">
      <w:pPr>
        <w:numPr>
          <w:ilvl w:val="0"/>
          <w:numId w:val="3"/>
        </w:numPr>
        <w:jc w:val="both"/>
        <w:rPr>
          <w:rFonts w:ascii="Sura Sans Light" w:hAnsi="Sura Sans Light"/>
          <w:lang w:val="es-ES"/>
        </w:rPr>
      </w:pPr>
      <w:r w:rsidRPr="000A0FF0">
        <w:rPr>
          <w:rFonts w:ascii="Sura Sans Light" w:hAnsi="Sura Sans Light"/>
          <w:lang w:val="es-ES"/>
        </w:rPr>
        <w:t>T</w:t>
      </w:r>
      <w:r>
        <w:rPr>
          <w:rFonts w:ascii="Sura Sans Light" w:hAnsi="Sura Sans Light"/>
          <w:lang w:val="es-ES"/>
        </w:rPr>
        <w:t>ener</w:t>
      </w:r>
      <w:r w:rsidRPr="000A0FF0">
        <w:rPr>
          <w:rFonts w:ascii="Sura Sans Light" w:hAnsi="Sura Sans Light"/>
          <w:lang w:val="es-ES"/>
        </w:rPr>
        <w:t xml:space="preserve"> </w:t>
      </w:r>
      <w:r>
        <w:rPr>
          <w:rFonts w:ascii="Sura Sans Light" w:hAnsi="Sura Sans Light"/>
          <w:lang w:val="es-ES"/>
        </w:rPr>
        <w:t xml:space="preserve">la </w:t>
      </w:r>
      <w:r w:rsidRPr="000A0FF0">
        <w:rPr>
          <w:rFonts w:ascii="Sura Sans Light" w:hAnsi="Sura Sans Light"/>
          <w:lang w:val="es-ES"/>
        </w:rPr>
        <w:t xml:space="preserve">capacidad de generar beneficios empresariales </w:t>
      </w:r>
      <w:r w:rsidR="00161651">
        <w:rPr>
          <w:rFonts w:ascii="Sura Sans Light" w:hAnsi="Sura Sans Light"/>
          <w:lang w:val="es-ES"/>
        </w:rPr>
        <w:t xml:space="preserve">futuros </w:t>
      </w:r>
      <w:r w:rsidRPr="000A0FF0">
        <w:rPr>
          <w:rFonts w:ascii="Sura Sans Light" w:hAnsi="Sura Sans Light"/>
          <w:lang w:val="es-ES"/>
        </w:rPr>
        <w:t>identificables</w:t>
      </w:r>
      <w:r w:rsidR="00161651">
        <w:rPr>
          <w:rFonts w:ascii="Sura Sans Light" w:hAnsi="Sura Sans Light"/>
          <w:lang w:val="es-ES"/>
        </w:rPr>
        <w:t>, por ejemplo, el aumento de utilidades de un sector</w:t>
      </w:r>
      <w:r w:rsidRPr="000A0FF0">
        <w:rPr>
          <w:rFonts w:ascii="Sura Sans Light" w:hAnsi="Sura Sans Light"/>
          <w:lang w:val="es-ES"/>
        </w:rPr>
        <w:t>.</w:t>
      </w:r>
    </w:p>
    <w:p w14:paraId="700986F6" w14:textId="77777777" w:rsidR="00DD00A8" w:rsidRDefault="00DD00A8" w:rsidP="00DD00A8">
      <w:pPr>
        <w:jc w:val="both"/>
        <w:rPr>
          <w:rFonts w:ascii="Sura Sans Light" w:hAnsi="Sura Sans Light"/>
          <w:lang w:val="es-ES"/>
        </w:rPr>
      </w:pPr>
    </w:p>
    <w:p w14:paraId="276CF0D6" w14:textId="4963987E" w:rsidR="003E5982" w:rsidRPr="00E33455" w:rsidRDefault="00821D08" w:rsidP="00DD00A8">
      <w:pPr>
        <w:rPr>
          <w:rFonts w:ascii="Sura Sans Light" w:hAnsi="Sura Sans Light"/>
        </w:rPr>
      </w:pPr>
      <w:r>
        <w:rPr>
          <w:rFonts w:ascii="Sura Sans Light" w:hAnsi="Sura Sans Light"/>
          <w:b/>
          <w:bCs/>
          <w:color w:val="1F3A5F"/>
          <w:sz w:val="30"/>
          <w:szCs w:val="30"/>
        </w:rPr>
        <w:t>3</w:t>
      </w:r>
      <w:r w:rsidR="003022BB" w:rsidRPr="00E33455">
        <w:rPr>
          <w:rFonts w:ascii="Sura Sans Light" w:hAnsi="Sura Sans Light"/>
          <w:b/>
          <w:bCs/>
          <w:color w:val="1F3A5F"/>
          <w:sz w:val="30"/>
          <w:szCs w:val="30"/>
        </w:rPr>
        <w:t>.  Justificación estratégica de la asignación</w:t>
      </w:r>
    </w:p>
    <w:p w14:paraId="4984D367" w14:textId="77777777" w:rsidR="00DD00A8" w:rsidRDefault="00DD00A8" w:rsidP="00DD00A8">
      <w:pPr>
        <w:pStyle w:val="Ttulo2"/>
        <w:rPr>
          <w:rFonts w:ascii="Sura Sans Light" w:hAnsi="Sura Sans Light"/>
          <w:b/>
          <w:bCs/>
          <w:color w:val="2E6E8E"/>
          <w:sz w:val="24"/>
          <w:szCs w:val="24"/>
        </w:rPr>
      </w:pPr>
    </w:p>
    <w:p w14:paraId="195FF811" w14:textId="5A82084A" w:rsidR="003E5982" w:rsidRPr="00E33455" w:rsidRDefault="00821D08" w:rsidP="00DD00A8">
      <w:pPr>
        <w:pStyle w:val="Ttulo2"/>
        <w:rPr>
          <w:rFonts w:ascii="Sura Sans Light" w:hAnsi="Sura Sans Light"/>
        </w:rPr>
      </w:pPr>
      <w:proofErr w:type="gramStart"/>
      <w:r>
        <w:rPr>
          <w:rFonts w:ascii="Sura Sans Light" w:hAnsi="Sura Sans Light"/>
          <w:b/>
          <w:bCs/>
          <w:color w:val="2E6E8E"/>
          <w:sz w:val="24"/>
          <w:szCs w:val="24"/>
        </w:rPr>
        <w:t>3</w:t>
      </w:r>
      <w:r w:rsidR="003022BB" w:rsidRPr="00E33455">
        <w:rPr>
          <w:rFonts w:ascii="Sura Sans Light" w:hAnsi="Sura Sans Light"/>
          <w:b/>
          <w:bCs/>
          <w:color w:val="2E6E8E"/>
          <w:sz w:val="24"/>
          <w:szCs w:val="24"/>
        </w:rPr>
        <w:t>.1  Consistencia</w:t>
      </w:r>
      <w:proofErr w:type="gramEnd"/>
      <w:r w:rsidR="003022BB" w:rsidRPr="00E33455">
        <w:rPr>
          <w:rFonts w:ascii="Sura Sans Light" w:hAnsi="Sura Sans Light"/>
          <w:b/>
          <w:bCs/>
          <w:color w:val="2E6E8E"/>
          <w:sz w:val="24"/>
          <w:szCs w:val="24"/>
        </w:rPr>
        <w:t xml:space="preserve"> con el mandato fiduciario</w:t>
      </w:r>
    </w:p>
    <w:p w14:paraId="5CA2ECE4" w14:textId="77777777" w:rsidR="00DD00A8" w:rsidRDefault="00DD00A8" w:rsidP="00DD00A8">
      <w:pPr>
        <w:jc w:val="both"/>
        <w:rPr>
          <w:rFonts w:ascii="Sura Sans Light" w:hAnsi="Sura Sans Light"/>
        </w:rPr>
      </w:pPr>
    </w:p>
    <w:p w14:paraId="11BC721B" w14:textId="07AEEC11" w:rsidR="003E5982" w:rsidRPr="00E33455" w:rsidRDefault="003022BB" w:rsidP="00DD00A8">
      <w:pPr>
        <w:jc w:val="both"/>
        <w:rPr>
          <w:rFonts w:ascii="Sura Sans Light" w:hAnsi="Sura Sans Light"/>
        </w:rPr>
      </w:pPr>
      <w:r w:rsidRPr="00E33455">
        <w:rPr>
          <w:rFonts w:ascii="Sura Sans Light" w:hAnsi="Sura Sans Light"/>
        </w:rPr>
        <w:t xml:space="preserve">El mandato de </w:t>
      </w:r>
      <w:r w:rsidR="00776A91">
        <w:rPr>
          <w:rFonts w:ascii="Sura Sans Light" w:hAnsi="Sura Sans Light"/>
        </w:rPr>
        <w:t xml:space="preserve">SURA </w:t>
      </w:r>
      <w:proofErr w:type="spellStart"/>
      <w:r w:rsidR="00776A91">
        <w:rPr>
          <w:rFonts w:ascii="Sura Sans Light" w:hAnsi="Sura Sans Light"/>
        </w:rPr>
        <w:t>Asset</w:t>
      </w:r>
      <w:proofErr w:type="spellEnd"/>
      <w:r w:rsidR="00776A91">
        <w:rPr>
          <w:rFonts w:ascii="Sura Sans Light" w:hAnsi="Sura Sans Light"/>
        </w:rPr>
        <w:t xml:space="preserve"> Management</w:t>
      </w:r>
      <w:r w:rsidRPr="00E33455">
        <w:rPr>
          <w:rFonts w:ascii="Sura Sans Light" w:hAnsi="Sura Sans Light"/>
        </w:rPr>
        <w:t xml:space="preserve"> es obtener la mejor rentabilidad a un nivel de riesgo adecuado bajo las mejores prácticas de mercado. La asignación temática es compatible con ese mandato en la medida en que se estructure como una fuente adicional de retorno y de diversificación, y no como una apuesta concentrada. La literatura sugiere que el tamaño apropiado es el de una posición satélite: los propios estudios que documentan el bajo desempeño promedio recomiendan usar temáticos como complemento acotado del núcleo, precisamente por su concentración, sus costos y su baja supervivencia (Lamont y otros, 2024).</w:t>
      </w:r>
    </w:p>
    <w:p w14:paraId="0DFFF18A" w14:textId="77777777" w:rsidR="00DD00A8" w:rsidRDefault="00DD00A8" w:rsidP="00DD00A8">
      <w:pPr>
        <w:pStyle w:val="Ttulo2"/>
        <w:rPr>
          <w:rFonts w:ascii="Sura Sans Light" w:hAnsi="Sura Sans Light"/>
          <w:b/>
          <w:bCs/>
          <w:color w:val="2E6E8E"/>
          <w:sz w:val="24"/>
          <w:szCs w:val="24"/>
        </w:rPr>
      </w:pPr>
    </w:p>
    <w:p w14:paraId="057225B1" w14:textId="7166C0D0" w:rsidR="003E5982" w:rsidRPr="00E33455" w:rsidRDefault="00821D08" w:rsidP="00DD00A8">
      <w:pPr>
        <w:pStyle w:val="Ttulo2"/>
        <w:rPr>
          <w:rFonts w:ascii="Sura Sans Light" w:hAnsi="Sura Sans Light"/>
        </w:rPr>
      </w:pPr>
      <w:proofErr w:type="gramStart"/>
      <w:r>
        <w:rPr>
          <w:rFonts w:ascii="Sura Sans Light" w:hAnsi="Sura Sans Light"/>
          <w:b/>
          <w:bCs/>
          <w:color w:val="2E6E8E"/>
          <w:sz w:val="24"/>
          <w:szCs w:val="24"/>
        </w:rPr>
        <w:t>3</w:t>
      </w:r>
      <w:r w:rsidR="003022BB" w:rsidRPr="00E33455">
        <w:rPr>
          <w:rFonts w:ascii="Sura Sans Light" w:hAnsi="Sura Sans Light"/>
          <w:b/>
          <w:bCs/>
          <w:color w:val="2E6E8E"/>
          <w:sz w:val="24"/>
          <w:szCs w:val="24"/>
        </w:rPr>
        <w:t>.2  Horizonte</w:t>
      </w:r>
      <w:proofErr w:type="gramEnd"/>
      <w:r w:rsidR="003022BB" w:rsidRPr="00E33455">
        <w:rPr>
          <w:rFonts w:ascii="Sura Sans Light" w:hAnsi="Sura Sans Light"/>
          <w:b/>
          <w:bCs/>
          <w:color w:val="2E6E8E"/>
          <w:sz w:val="24"/>
          <w:szCs w:val="24"/>
        </w:rPr>
        <w:t xml:space="preserve"> de largo plazo y diversificación de fuentes de retorno</w:t>
      </w:r>
    </w:p>
    <w:p w14:paraId="2B3E3759" w14:textId="77777777" w:rsidR="00DD00A8" w:rsidRPr="00DD00A8" w:rsidRDefault="00DD00A8" w:rsidP="00DD00A8">
      <w:pPr>
        <w:pStyle w:val="Prrafodelista"/>
        <w:ind w:left="420"/>
        <w:jc w:val="both"/>
        <w:rPr>
          <w:rFonts w:ascii="Sura Sans Light" w:hAnsi="Sura Sans Light"/>
        </w:rPr>
      </w:pPr>
    </w:p>
    <w:p w14:paraId="071CAD67" w14:textId="2EE1E5EB"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Calce de horizonte. </w:t>
      </w:r>
      <w:r w:rsidRPr="00E33455">
        <w:rPr>
          <w:rFonts w:ascii="Sura Sans Light" w:hAnsi="Sura Sans Light"/>
        </w:rPr>
        <w:t>Un fondo de pensiones tiene pasivos de muy largo plazo; ese horizonte permite tolerar la volatilidad transitoria de los temas y capturar crecimiento secular que estrategias de corto plazo no pueden sostener.</w:t>
      </w:r>
      <w:r w:rsidR="00BD171D">
        <w:rPr>
          <w:rFonts w:ascii="Sura Sans Light" w:hAnsi="Sura Sans Light"/>
        </w:rPr>
        <w:t xml:space="preserve"> En el caso de la operadora de fondos, el horizonte podría ser considerado aplicable específicamente en los mandatos de largo plazo, como fondos de pensiones o aseguradoras y respetando las condiciones de los reglamentos asociados.  </w:t>
      </w:r>
    </w:p>
    <w:p w14:paraId="3F006D20" w14:textId="77777777" w:rsidR="00DD00A8" w:rsidRPr="00DD00A8" w:rsidRDefault="00DD00A8" w:rsidP="00DD00A8">
      <w:pPr>
        <w:pStyle w:val="Prrafodelista"/>
        <w:ind w:left="420"/>
        <w:jc w:val="both"/>
        <w:rPr>
          <w:rFonts w:ascii="Sura Sans Light" w:hAnsi="Sura Sans Light"/>
        </w:rPr>
      </w:pPr>
    </w:p>
    <w:p w14:paraId="72350170" w14:textId="0CDE160B"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Diversificación y acceso a crecimiento estructural. </w:t>
      </w:r>
      <w:r w:rsidRPr="00E33455">
        <w:rPr>
          <w:rFonts w:ascii="Sura Sans Light" w:hAnsi="Sura Sans Light"/>
        </w:rPr>
        <w:t xml:space="preserve">Los temáticos dan acceso a fuentes de crecimiento (p. ej. electrificación, digitalización, envejecimiento) </w:t>
      </w:r>
      <w:proofErr w:type="spellStart"/>
      <w:r w:rsidRPr="00E33455">
        <w:rPr>
          <w:rFonts w:ascii="Sura Sans Light" w:hAnsi="Sura Sans Light"/>
        </w:rPr>
        <w:t>sub-representadas</w:t>
      </w:r>
      <w:proofErr w:type="spellEnd"/>
      <w:r w:rsidRPr="00E33455">
        <w:rPr>
          <w:rFonts w:ascii="Sura Sans Light" w:hAnsi="Sura Sans Light"/>
        </w:rPr>
        <w:t xml:space="preserve"> en un núcleo ponderado por capitalización o en un portafolio con sesgo regional. Ofrecen diversificación cuando el tema es coherente y su correlación con la cartera existente es baja (de Carvalho, 2024; </w:t>
      </w:r>
      <w:proofErr w:type="spellStart"/>
      <w:r w:rsidRPr="00E33455">
        <w:rPr>
          <w:rFonts w:ascii="Sura Sans Light" w:hAnsi="Sura Sans Light"/>
        </w:rPr>
        <w:t>Candès</w:t>
      </w:r>
      <w:proofErr w:type="spellEnd"/>
      <w:r w:rsidRPr="00E33455">
        <w:rPr>
          <w:rFonts w:ascii="Sura Sans Light" w:hAnsi="Sura Sans Light"/>
        </w:rPr>
        <w:t xml:space="preserve"> y otros, 2025).</w:t>
      </w:r>
    </w:p>
    <w:p w14:paraId="2B721A48" w14:textId="77777777" w:rsidR="00DD00A8" w:rsidRPr="00DD00A8" w:rsidRDefault="00DD00A8" w:rsidP="00DD00A8">
      <w:pPr>
        <w:pStyle w:val="Prrafodelista"/>
        <w:ind w:left="420"/>
        <w:jc w:val="both"/>
        <w:rPr>
          <w:rFonts w:ascii="Sura Sans Light" w:hAnsi="Sura Sans Light"/>
        </w:rPr>
      </w:pPr>
    </w:p>
    <w:p w14:paraId="7685084A" w14:textId="0E674942"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lastRenderedPageBreak/>
        <w:t xml:space="preserve">Cobertura frente a riesgos estructurales. </w:t>
      </w:r>
      <w:r w:rsidRPr="00E33455">
        <w:rPr>
          <w:rFonts w:ascii="Sura Sans Light" w:hAnsi="Sura Sans Light"/>
        </w:rPr>
        <w:t>Al invertir en actores que se benefician —o se ven menos perjudicados— por las transiciones (energética, alimentaria, de recursos), el portafolio reduce su exposición a modelos de negocio en declive estructural.</w:t>
      </w:r>
    </w:p>
    <w:p w14:paraId="32008920" w14:textId="77777777" w:rsidR="00DD00A8" w:rsidRDefault="00DD00A8" w:rsidP="00DD00A8">
      <w:pPr>
        <w:pStyle w:val="Ttulo2"/>
        <w:rPr>
          <w:rFonts w:ascii="Sura Sans Light" w:hAnsi="Sura Sans Light"/>
          <w:b/>
          <w:bCs/>
          <w:color w:val="2E6E8E"/>
          <w:sz w:val="24"/>
          <w:szCs w:val="24"/>
        </w:rPr>
      </w:pPr>
    </w:p>
    <w:p w14:paraId="689C0095" w14:textId="53670390" w:rsidR="003E5982" w:rsidRPr="00161651" w:rsidRDefault="00821D08" w:rsidP="00DD00A8">
      <w:pPr>
        <w:pStyle w:val="Ttulo2"/>
        <w:rPr>
          <w:rFonts w:ascii="Sura Sans Light" w:hAnsi="Sura Sans Light"/>
          <w:b/>
          <w:bCs/>
          <w:color w:val="2E6E8E"/>
          <w:sz w:val="24"/>
          <w:szCs w:val="24"/>
        </w:rPr>
      </w:pPr>
      <w:r>
        <w:rPr>
          <w:rFonts w:ascii="Sura Sans Light" w:hAnsi="Sura Sans Light"/>
          <w:b/>
          <w:bCs/>
          <w:color w:val="2E6E8E"/>
          <w:sz w:val="24"/>
          <w:szCs w:val="24"/>
        </w:rPr>
        <w:t>3</w:t>
      </w:r>
      <w:r w:rsidR="003022BB" w:rsidRPr="00E33455">
        <w:rPr>
          <w:rFonts w:ascii="Sura Sans Light" w:hAnsi="Sura Sans Light"/>
          <w:b/>
          <w:bCs/>
          <w:color w:val="2E6E8E"/>
          <w:sz w:val="24"/>
          <w:szCs w:val="24"/>
        </w:rPr>
        <w:t>.3 Evidencia empírica: a favor y en contra</w:t>
      </w:r>
    </w:p>
    <w:p w14:paraId="6A37CFB3" w14:textId="77777777" w:rsidR="00DD00A8" w:rsidRDefault="00DD00A8" w:rsidP="00DD00A8">
      <w:pPr>
        <w:jc w:val="both"/>
        <w:rPr>
          <w:rFonts w:ascii="Sura Sans Light" w:hAnsi="Sura Sans Light"/>
          <w:b/>
          <w:bCs/>
        </w:rPr>
      </w:pPr>
    </w:p>
    <w:p w14:paraId="43CF3E27" w14:textId="599953FC" w:rsidR="003E5982" w:rsidRPr="00E33455" w:rsidRDefault="003022BB" w:rsidP="00DD00A8">
      <w:pPr>
        <w:jc w:val="both"/>
        <w:rPr>
          <w:rFonts w:ascii="Sura Sans Light" w:hAnsi="Sura Sans Light"/>
        </w:rPr>
      </w:pPr>
      <w:r w:rsidRPr="00E33455">
        <w:rPr>
          <w:rFonts w:ascii="Sura Sans Light" w:hAnsi="Sura Sans Light"/>
          <w:b/>
          <w:bCs/>
        </w:rPr>
        <w:t xml:space="preserve">Evidencia favorable. </w:t>
      </w:r>
      <w:r w:rsidRPr="00E33455">
        <w:rPr>
          <w:rFonts w:ascii="Sura Sans Light" w:hAnsi="Sura Sans Light"/>
        </w:rPr>
        <w:t xml:space="preserve">Naffa y Fain (2020), usando portafolios de factores puros sobre nueve </w:t>
      </w:r>
      <w:proofErr w:type="spellStart"/>
      <w:r w:rsidRPr="00E33455">
        <w:rPr>
          <w:rFonts w:ascii="Sura Sans Light" w:hAnsi="Sura Sans Light"/>
        </w:rPr>
        <w:t>megatendencias</w:t>
      </w:r>
      <w:proofErr w:type="spellEnd"/>
      <w:r w:rsidRPr="00E33455">
        <w:rPr>
          <w:rFonts w:ascii="Sura Sans Light" w:hAnsi="Sura Sans Light"/>
        </w:rPr>
        <w:t xml:space="preserve"> (2015–2019), encuentran que la mayoría generó </w:t>
      </w:r>
      <w:proofErr w:type="gramStart"/>
      <w:r w:rsidRPr="00161651">
        <w:rPr>
          <w:rFonts w:ascii="Sura Sans Light" w:hAnsi="Sura Sans Light"/>
        </w:rPr>
        <w:t>alfas no negativos</w:t>
      </w:r>
      <w:proofErr w:type="gramEnd"/>
      <w:r w:rsidRPr="00E33455">
        <w:rPr>
          <w:rFonts w:ascii="Sura Sans Light" w:hAnsi="Sura Sans Light"/>
        </w:rPr>
        <w:t xml:space="preserve"> frente al MSCI ACWI antes de costos; las tres </w:t>
      </w:r>
      <w:proofErr w:type="spellStart"/>
      <w:r w:rsidRPr="00E33455">
        <w:rPr>
          <w:rFonts w:ascii="Sura Sans Light" w:hAnsi="Sura Sans Light"/>
        </w:rPr>
        <w:t>megatendencias</w:t>
      </w:r>
      <w:proofErr w:type="spellEnd"/>
      <w:r w:rsidRPr="00E33455">
        <w:rPr>
          <w:rFonts w:ascii="Sura Sans Light" w:hAnsi="Sura Sans Light"/>
        </w:rPr>
        <w:t xml:space="preserve"> ambientales (eficiencia energética, seguridad alimentaria, escasez de agua) y las tecnologías disruptivas superaron significativamente a la estrategia pasiva bajo CAPM. Tres temas —escasez de agua, urbanización y tecnologías disruptivas— mostraron </w:t>
      </w:r>
      <w:proofErr w:type="gramStart"/>
      <w:r w:rsidRPr="00E33455">
        <w:rPr>
          <w:rFonts w:ascii="Sura Sans Light" w:hAnsi="Sura Sans Light"/>
        </w:rPr>
        <w:t>alfa positivo</w:t>
      </w:r>
      <w:proofErr w:type="gramEnd"/>
      <w:r w:rsidRPr="00E33455">
        <w:rPr>
          <w:rFonts w:ascii="Sura Sans Light" w:hAnsi="Sura Sans Light"/>
        </w:rPr>
        <w:t xml:space="preserve"> en todas las especificaciones. Friede, Busch y Bassen (2015), en un metaanálisis de más de 2,000 estudios, hallan que ~90% reporta una relación no negativa entre criterios ESG y desempeño financiero corporativo, lo que respalda que la orientación sostenible no obliga, en principio, a resignar retorno.</w:t>
      </w:r>
    </w:p>
    <w:p w14:paraId="68004B18" w14:textId="77777777" w:rsidR="00DD00A8" w:rsidRDefault="00DD00A8" w:rsidP="00DD00A8">
      <w:pPr>
        <w:jc w:val="both"/>
        <w:rPr>
          <w:rFonts w:ascii="Sura Sans Light" w:hAnsi="Sura Sans Light"/>
          <w:b/>
          <w:bCs/>
        </w:rPr>
      </w:pPr>
    </w:p>
    <w:p w14:paraId="009038D6" w14:textId="7A27E81B" w:rsidR="003E5982" w:rsidRPr="00E33455" w:rsidRDefault="003022BB" w:rsidP="00DD00A8">
      <w:pPr>
        <w:jc w:val="both"/>
        <w:rPr>
          <w:rFonts w:ascii="Sura Sans Light" w:hAnsi="Sura Sans Light"/>
        </w:rPr>
      </w:pPr>
      <w:r w:rsidRPr="00E33455">
        <w:rPr>
          <w:rFonts w:ascii="Sura Sans Light" w:hAnsi="Sura Sans Light"/>
          <w:b/>
          <w:bCs/>
        </w:rPr>
        <w:t xml:space="preserve">Evidencia en contra / de cautela. </w:t>
      </w:r>
      <w:r w:rsidRPr="00E33455">
        <w:rPr>
          <w:rFonts w:ascii="Sura Sans Light" w:hAnsi="Sura Sans Light"/>
        </w:rPr>
        <w:t xml:space="preserve">El mismo Naffa y Fain (2020) advierte que la ventaja se torna estadísticamente insignificante bajo el modelo de cinco factores y que, tras costos de ~50 pb anuales, temas como seguridad alimentaria, envejecimiento y ciberseguridad arrojan </w:t>
      </w:r>
      <w:proofErr w:type="gramStart"/>
      <w:r w:rsidRPr="00E33455">
        <w:rPr>
          <w:rFonts w:ascii="Sura Sans Light" w:hAnsi="Sura Sans Light"/>
        </w:rPr>
        <w:t>alfas significativamente negativos</w:t>
      </w:r>
      <w:proofErr w:type="gramEnd"/>
      <w:r w:rsidRPr="00E33455">
        <w:rPr>
          <w:rFonts w:ascii="Sura Sans Light" w:hAnsi="Sura Sans Light"/>
        </w:rPr>
        <w:t xml:space="preserve">; su conclusión es que las </w:t>
      </w:r>
      <w:proofErr w:type="spellStart"/>
      <w:r w:rsidRPr="00E33455">
        <w:rPr>
          <w:rFonts w:ascii="Sura Sans Light" w:hAnsi="Sura Sans Light"/>
        </w:rPr>
        <w:t>megatendencias</w:t>
      </w:r>
      <w:proofErr w:type="spellEnd"/>
      <w:r w:rsidRPr="00E33455">
        <w:rPr>
          <w:rFonts w:ascii="Sura Sans Light" w:hAnsi="Sura Sans Light"/>
        </w:rPr>
        <w:t xml:space="preserve"> no son, por sí solas, una receta de </w:t>
      </w:r>
      <w:proofErr w:type="spellStart"/>
      <w:r w:rsidRPr="00E33455">
        <w:rPr>
          <w:rFonts w:ascii="Sura Sans Light" w:hAnsi="Sura Sans Light"/>
        </w:rPr>
        <w:t>sobre-desempeño</w:t>
      </w:r>
      <w:proofErr w:type="spellEnd"/>
      <w:r w:rsidRPr="00E33455">
        <w:rPr>
          <w:rFonts w:ascii="Sura Sans Light" w:hAnsi="Sura Sans Light"/>
        </w:rPr>
        <w:t>. Ben-David y otros (2023) documentan la pérdida de ~30% ajustada por riesgo en los primeros cinco años de los ETF especializados, por sobrevaloración al lanzamiento. Morningstar (Lamont y otros, 2024) reporta baja supervivencia (~55% de mortalidad a 15 años a mediados de 2024) y que más de dos tercios de los fondos temáticos quedaron por debajo del índice global; además, la brecha de comportamiento hace que el retorno del inversionista sea muy inferior al del propio fondo. de Carvalho (2024) subraya el alto tracking error de los temáticos por sesgos de beta, sector, región y estilo.</w:t>
      </w:r>
    </w:p>
    <w:p w14:paraId="369E813E" w14:textId="77777777" w:rsidR="00DD00A8" w:rsidRDefault="00DD00A8" w:rsidP="00DD00A8">
      <w:pPr>
        <w:jc w:val="both"/>
        <w:rPr>
          <w:rFonts w:ascii="Sura Sans Light" w:hAnsi="Sura Sans Light"/>
          <w:b/>
          <w:bCs/>
        </w:rPr>
      </w:pPr>
    </w:p>
    <w:p w14:paraId="37E114FA" w14:textId="6E4DB826" w:rsidR="003E5982" w:rsidRPr="00E33455" w:rsidRDefault="003022BB" w:rsidP="00DD00A8">
      <w:pPr>
        <w:jc w:val="both"/>
        <w:rPr>
          <w:rFonts w:ascii="Sura Sans Light" w:hAnsi="Sura Sans Light"/>
        </w:rPr>
      </w:pPr>
      <w:r w:rsidRPr="00E33455">
        <w:rPr>
          <w:rFonts w:ascii="Sura Sans Light" w:hAnsi="Sura Sans Light"/>
          <w:b/>
          <w:bCs/>
        </w:rPr>
        <w:t xml:space="preserve">Lectura para la metodología. </w:t>
      </w:r>
      <w:r w:rsidRPr="00E33455">
        <w:rPr>
          <w:rFonts w:ascii="Sura Sans Light" w:hAnsi="Sura Sans Light"/>
        </w:rPr>
        <w:t xml:space="preserve">La evidencia converge en una conclusión operativa: el retorno esperado de la asignación temática depende críticamente de la disciplina de implementación —selección por calidad y coherencia, sensibilidad a la valorización de entrada, control de costos, diversificación y tamaño satélite— más que de la 'bondad' del relato. La sección 3 traduce esto en </w:t>
      </w:r>
      <w:proofErr w:type="spellStart"/>
      <w:r w:rsidRPr="00E33455">
        <w:rPr>
          <w:rFonts w:ascii="Sura Sans Light" w:hAnsi="Sura Sans Light"/>
        </w:rPr>
        <w:t>subtemáticas</w:t>
      </w:r>
      <w:proofErr w:type="spellEnd"/>
      <w:r w:rsidRPr="00E33455">
        <w:rPr>
          <w:rFonts w:ascii="Sura Sans Light" w:hAnsi="Sura Sans Light"/>
        </w:rPr>
        <w:t xml:space="preserve"> e indicadores.</w:t>
      </w:r>
    </w:p>
    <w:p w14:paraId="5F87BCFA" w14:textId="77777777" w:rsidR="00DD00A8" w:rsidRDefault="00DD00A8" w:rsidP="00DD00A8">
      <w:pPr>
        <w:pStyle w:val="Ttulo2"/>
        <w:rPr>
          <w:rFonts w:ascii="Sura Sans Light" w:hAnsi="Sura Sans Light"/>
          <w:b/>
          <w:bCs/>
          <w:color w:val="2E6E8E"/>
          <w:sz w:val="24"/>
          <w:szCs w:val="24"/>
        </w:rPr>
      </w:pPr>
    </w:p>
    <w:p w14:paraId="50EE8D3E" w14:textId="79D0EFAD" w:rsidR="003E5982" w:rsidRDefault="00821D08" w:rsidP="00DD00A8">
      <w:pPr>
        <w:pStyle w:val="Ttulo2"/>
        <w:rPr>
          <w:rFonts w:ascii="Sura Sans Light" w:hAnsi="Sura Sans Light"/>
          <w:b/>
          <w:bCs/>
          <w:color w:val="2E6E8E"/>
          <w:sz w:val="24"/>
          <w:szCs w:val="24"/>
        </w:rPr>
      </w:pPr>
      <w:proofErr w:type="gramStart"/>
      <w:r>
        <w:rPr>
          <w:rFonts w:ascii="Sura Sans Light" w:hAnsi="Sura Sans Light"/>
          <w:b/>
          <w:bCs/>
          <w:color w:val="2E6E8E"/>
          <w:sz w:val="24"/>
          <w:szCs w:val="24"/>
        </w:rPr>
        <w:t>3</w:t>
      </w:r>
      <w:r w:rsidR="003022BB" w:rsidRPr="00E33455">
        <w:rPr>
          <w:rFonts w:ascii="Sura Sans Light" w:hAnsi="Sura Sans Light"/>
          <w:b/>
          <w:bCs/>
          <w:color w:val="2E6E8E"/>
          <w:sz w:val="24"/>
          <w:szCs w:val="24"/>
        </w:rPr>
        <w:t>.4  Riesgos</w:t>
      </w:r>
      <w:proofErr w:type="gramEnd"/>
      <w:r w:rsidR="003022BB" w:rsidRPr="00E33455">
        <w:rPr>
          <w:rFonts w:ascii="Sura Sans Light" w:hAnsi="Sura Sans Light"/>
          <w:b/>
          <w:bCs/>
          <w:color w:val="2E6E8E"/>
          <w:sz w:val="24"/>
          <w:szCs w:val="24"/>
        </w:rPr>
        <w:t xml:space="preserve"> y mitigantes</w:t>
      </w:r>
    </w:p>
    <w:p w14:paraId="71A5BA4D" w14:textId="77777777" w:rsidR="00DD00A8" w:rsidRPr="00E33455" w:rsidRDefault="00DD00A8" w:rsidP="00DD00A8">
      <w:pPr>
        <w:pStyle w:val="Ttulo2"/>
        <w:rPr>
          <w:rFonts w:ascii="Sura Sans Light" w:hAnsi="Sura Sans Light"/>
        </w:rPr>
      </w:pPr>
    </w:p>
    <w:tbl>
      <w:tblPr>
        <w:tblW w:w="9020" w:type="dxa"/>
        <w:tblBorders>
          <w:top w:val="single" w:sz="4" w:space="0" w:color="BBBBBB"/>
          <w:left w:val="single" w:sz="4" w:space="0" w:color="BBBBBB"/>
          <w:bottom w:val="single" w:sz="4" w:space="0" w:color="BBBBBB"/>
          <w:right w:val="single" w:sz="4" w:space="0" w:color="BBBBBB"/>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600"/>
        <w:gridCol w:w="3400"/>
        <w:gridCol w:w="3020"/>
      </w:tblGrid>
      <w:tr w:rsidR="003E5982" w:rsidRPr="00E33455" w14:paraId="5AF45129" w14:textId="77777777" w:rsidTr="00DD00A8">
        <w:trPr>
          <w:tblHeader/>
        </w:trPr>
        <w:tc>
          <w:tcPr>
            <w:tcW w:w="2600" w:type="dxa"/>
            <w:shd w:val="clear" w:color="auto" w:fill="4C94D8" w:themeFill="text2" w:themeFillTint="80"/>
            <w:tcMar>
              <w:top w:w="60" w:type="dxa"/>
              <w:left w:w="90" w:type="dxa"/>
              <w:bottom w:w="60" w:type="dxa"/>
              <w:right w:w="90" w:type="dxa"/>
            </w:tcMar>
          </w:tcPr>
          <w:p w14:paraId="6AAD6155" w14:textId="77777777" w:rsidR="003E5982" w:rsidRPr="00E33455" w:rsidRDefault="003022BB" w:rsidP="00DD00A8">
            <w:pPr>
              <w:jc w:val="center"/>
              <w:rPr>
                <w:rFonts w:ascii="Sura Sans Light" w:hAnsi="Sura Sans Light"/>
              </w:rPr>
            </w:pPr>
            <w:r w:rsidRPr="00E33455">
              <w:rPr>
                <w:rFonts w:ascii="Sura Sans Light" w:hAnsi="Sura Sans Light"/>
                <w:b/>
                <w:bCs/>
                <w:color w:val="FFFFFF"/>
                <w:sz w:val="19"/>
                <w:szCs w:val="19"/>
              </w:rPr>
              <w:t>Riesgo</w:t>
            </w:r>
          </w:p>
        </w:tc>
        <w:tc>
          <w:tcPr>
            <w:tcW w:w="3400" w:type="dxa"/>
            <w:shd w:val="clear" w:color="auto" w:fill="4C94D8" w:themeFill="text2" w:themeFillTint="80"/>
            <w:tcMar>
              <w:top w:w="60" w:type="dxa"/>
              <w:left w:w="90" w:type="dxa"/>
              <w:bottom w:w="60" w:type="dxa"/>
              <w:right w:w="90" w:type="dxa"/>
            </w:tcMar>
          </w:tcPr>
          <w:p w14:paraId="187BE39B" w14:textId="77777777" w:rsidR="003E5982" w:rsidRPr="00E33455" w:rsidRDefault="003022BB" w:rsidP="00DD00A8">
            <w:pPr>
              <w:jc w:val="center"/>
              <w:rPr>
                <w:rFonts w:ascii="Sura Sans Light" w:hAnsi="Sura Sans Light"/>
              </w:rPr>
            </w:pPr>
            <w:r w:rsidRPr="00E33455">
              <w:rPr>
                <w:rFonts w:ascii="Sura Sans Light" w:hAnsi="Sura Sans Light"/>
                <w:b/>
                <w:bCs/>
                <w:color w:val="FFFFFF"/>
                <w:sz w:val="19"/>
                <w:szCs w:val="19"/>
              </w:rPr>
              <w:t>Sustento</w:t>
            </w:r>
          </w:p>
        </w:tc>
        <w:tc>
          <w:tcPr>
            <w:tcW w:w="3020" w:type="dxa"/>
            <w:shd w:val="clear" w:color="auto" w:fill="4C94D8" w:themeFill="text2" w:themeFillTint="80"/>
            <w:tcMar>
              <w:top w:w="60" w:type="dxa"/>
              <w:left w:w="90" w:type="dxa"/>
              <w:bottom w:w="60" w:type="dxa"/>
              <w:right w:w="90" w:type="dxa"/>
            </w:tcMar>
          </w:tcPr>
          <w:p w14:paraId="63D77019" w14:textId="77777777" w:rsidR="003E5982" w:rsidRPr="00E33455" w:rsidRDefault="003022BB" w:rsidP="00DD00A8">
            <w:pPr>
              <w:jc w:val="center"/>
              <w:rPr>
                <w:rFonts w:ascii="Sura Sans Light" w:hAnsi="Sura Sans Light"/>
              </w:rPr>
            </w:pPr>
            <w:r w:rsidRPr="00E33455">
              <w:rPr>
                <w:rFonts w:ascii="Sura Sans Light" w:hAnsi="Sura Sans Light"/>
                <w:b/>
                <w:bCs/>
                <w:color w:val="FFFFFF"/>
                <w:sz w:val="19"/>
                <w:szCs w:val="19"/>
              </w:rPr>
              <w:t>Mitigante en la metodología</w:t>
            </w:r>
          </w:p>
        </w:tc>
      </w:tr>
      <w:tr w:rsidR="003E5982" w:rsidRPr="00E33455" w14:paraId="37B7561C" w14:textId="77777777" w:rsidTr="00DD00A8">
        <w:tc>
          <w:tcPr>
            <w:tcW w:w="2600" w:type="dxa"/>
            <w:tcMar>
              <w:top w:w="60" w:type="dxa"/>
              <w:left w:w="90" w:type="dxa"/>
              <w:bottom w:w="60" w:type="dxa"/>
              <w:right w:w="90" w:type="dxa"/>
            </w:tcMar>
          </w:tcPr>
          <w:p w14:paraId="69DA892E" w14:textId="77777777" w:rsidR="003E5982" w:rsidRPr="00DD00A8" w:rsidRDefault="003022BB" w:rsidP="00DD00A8">
            <w:pPr>
              <w:rPr>
                <w:rFonts w:ascii="Sura Sans Light" w:hAnsi="Sura Sans Light"/>
              </w:rPr>
            </w:pPr>
            <w:r w:rsidRPr="00DD00A8">
              <w:rPr>
                <w:rFonts w:ascii="Sura Sans Light" w:hAnsi="Sura Sans Light"/>
                <w:color w:val="000000"/>
                <w:sz w:val="19"/>
                <w:szCs w:val="19"/>
              </w:rPr>
              <w:t>Sobrevaloración al lanzamiento / entrada en euforia</w:t>
            </w:r>
          </w:p>
        </w:tc>
        <w:tc>
          <w:tcPr>
            <w:tcW w:w="3400" w:type="dxa"/>
            <w:tcMar>
              <w:top w:w="60" w:type="dxa"/>
              <w:left w:w="90" w:type="dxa"/>
              <w:bottom w:w="60" w:type="dxa"/>
              <w:right w:w="90" w:type="dxa"/>
            </w:tcMar>
          </w:tcPr>
          <w:p w14:paraId="7FCD8A24" w14:textId="77777777" w:rsidR="003E5982" w:rsidRPr="00DD00A8" w:rsidRDefault="003022BB" w:rsidP="00DD00A8">
            <w:pPr>
              <w:rPr>
                <w:rFonts w:ascii="Sura Sans Light" w:hAnsi="Sura Sans Light"/>
              </w:rPr>
            </w:pPr>
            <w:r w:rsidRPr="00DD00A8">
              <w:rPr>
                <w:rFonts w:ascii="Sura Sans Light" w:hAnsi="Sura Sans Light"/>
                <w:color w:val="000000"/>
                <w:sz w:val="19"/>
                <w:szCs w:val="19"/>
              </w:rPr>
              <w:t>ETF especializados pierden ~30% ajustado por riesgo a 5 años (Ben-David y otros, 2023)</w:t>
            </w:r>
          </w:p>
        </w:tc>
        <w:tc>
          <w:tcPr>
            <w:tcW w:w="3020" w:type="dxa"/>
            <w:tcMar>
              <w:top w:w="60" w:type="dxa"/>
              <w:left w:w="90" w:type="dxa"/>
              <w:bottom w:w="60" w:type="dxa"/>
              <w:right w:w="90" w:type="dxa"/>
            </w:tcMar>
          </w:tcPr>
          <w:p w14:paraId="0B397E84" w14:textId="77777777" w:rsidR="003E5982" w:rsidRPr="00DD00A8" w:rsidRDefault="003022BB" w:rsidP="00DD00A8">
            <w:pPr>
              <w:rPr>
                <w:rFonts w:ascii="Sura Sans Light" w:hAnsi="Sura Sans Light"/>
              </w:rPr>
            </w:pPr>
            <w:r w:rsidRPr="00DD00A8">
              <w:rPr>
                <w:rFonts w:ascii="Sura Sans Light" w:hAnsi="Sura Sans Light"/>
                <w:color w:val="000000"/>
                <w:sz w:val="19"/>
                <w:szCs w:val="19"/>
              </w:rPr>
              <w:t>Filtro de valorización relativa; evitar lanzamientos recientes en pico de flujos; exigir antigüedad mínima</w:t>
            </w:r>
          </w:p>
        </w:tc>
      </w:tr>
      <w:tr w:rsidR="003E5982" w:rsidRPr="00E33455" w14:paraId="326C2D59" w14:textId="77777777" w:rsidTr="00DD00A8">
        <w:tc>
          <w:tcPr>
            <w:tcW w:w="2600" w:type="dxa"/>
            <w:tcMar>
              <w:top w:w="60" w:type="dxa"/>
              <w:left w:w="90" w:type="dxa"/>
              <w:bottom w:w="60" w:type="dxa"/>
              <w:right w:w="90" w:type="dxa"/>
            </w:tcMar>
          </w:tcPr>
          <w:p w14:paraId="0F6F46F1" w14:textId="77777777" w:rsidR="003E5982" w:rsidRPr="00DD00A8" w:rsidRDefault="003022BB" w:rsidP="00DD00A8">
            <w:pPr>
              <w:rPr>
                <w:rFonts w:ascii="Sura Sans Light" w:hAnsi="Sura Sans Light"/>
              </w:rPr>
            </w:pPr>
            <w:r w:rsidRPr="00DD00A8">
              <w:rPr>
                <w:rFonts w:ascii="Sura Sans Light" w:hAnsi="Sura Sans Light"/>
                <w:color w:val="000000"/>
                <w:sz w:val="19"/>
                <w:szCs w:val="19"/>
              </w:rPr>
              <w:t>Concentración e idiosincrasia no diversificada</w:t>
            </w:r>
          </w:p>
        </w:tc>
        <w:tc>
          <w:tcPr>
            <w:tcW w:w="3400" w:type="dxa"/>
            <w:tcMar>
              <w:top w:w="60" w:type="dxa"/>
              <w:left w:w="90" w:type="dxa"/>
              <w:bottom w:w="60" w:type="dxa"/>
              <w:right w:w="90" w:type="dxa"/>
            </w:tcMar>
          </w:tcPr>
          <w:p w14:paraId="3B014C11" w14:textId="77777777" w:rsidR="003E5982" w:rsidRPr="00DD00A8" w:rsidRDefault="003022BB" w:rsidP="00DD00A8">
            <w:pPr>
              <w:rPr>
                <w:rFonts w:ascii="Sura Sans Light" w:hAnsi="Sura Sans Light"/>
              </w:rPr>
            </w:pPr>
            <w:r w:rsidRPr="00DD00A8">
              <w:rPr>
                <w:rFonts w:ascii="Sura Sans Light" w:hAnsi="Sura Sans Light"/>
                <w:color w:val="000000"/>
                <w:sz w:val="19"/>
                <w:szCs w:val="19"/>
              </w:rPr>
              <w:t>Carteras estrechas reintroducen riesgo específico (Lamont y otros, 2024)</w:t>
            </w:r>
          </w:p>
        </w:tc>
        <w:tc>
          <w:tcPr>
            <w:tcW w:w="3020" w:type="dxa"/>
            <w:tcMar>
              <w:top w:w="60" w:type="dxa"/>
              <w:left w:w="90" w:type="dxa"/>
              <w:bottom w:w="60" w:type="dxa"/>
              <w:right w:w="90" w:type="dxa"/>
            </w:tcMar>
          </w:tcPr>
          <w:p w14:paraId="3BCFEAB6" w14:textId="77777777" w:rsidR="003E5982" w:rsidRPr="00DD00A8" w:rsidRDefault="003022BB" w:rsidP="00DD00A8">
            <w:pPr>
              <w:rPr>
                <w:rFonts w:ascii="Sura Sans Light" w:hAnsi="Sura Sans Light"/>
              </w:rPr>
            </w:pPr>
            <w:r w:rsidRPr="00DD00A8">
              <w:rPr>
                <w:rFonts w:ascii="Sura Sans Light" w:hAnsi="Sura Sans Light"/>
                <w:color w:val="000000"/>
                <w:sz w:val="19"/>
                <w:szCs w:val="19"/>
              </w:rPr>
              <w:t>Topes de peso por nombre y top-10; mínimo de posiciones; preferir índices amplios</w:t>
            </w:r>
          </w:p>
        </w:tc>
      </w:tr>
      <w:tr w:rsidR="003E5982" w:rsidRPr="00E33455" w14:paraId="6CE85AAC" w14:textId="77777777" w:rsidTr="00DD00A8">
        <w:tc>
          <w:tcPr>
            <w:tcW w:w="2600" w:type="dxa"/>
            <w:tcMar>
              <w:top w:w="60" w:type="dxa"/>
              <w:left w:w="90" w:type="dxa"/>
              <w:bottom w:w="60" w:type="dxa"/>
              <w:right w:w="90" w:type="dxa"/>
            </w:tcMar>
          </w:tcPr>
          <w:p w14:paraId="7B147204" w14:textId="77777777" w:rsidR="003E5982" w:rsidRPr="00DD00A8" w:rsidRDefault="003022BB" w:rsidP="00DD00A8">
            <w:pPr>
              <w:rPr>
                <w:rFonts w:ascii="Sura Sans Light" w:hAnsi="Sura Sans Light"/>
              </w:rPr>
            </w:pPr>
            <w:r w:rsidRPr="00DD00A8">
              <w:rPr>
                <w:rFonts w:ascii="Sura Sans Light" w:hAnsi="Sura Sans Light"/>
                <w:color w:val="000000"/>
                <w:sz w:val="19"/>
                <w:szCs w:val="19"/>
              </w:rPr>
              <w:t>Comisiones elevadas</w:t>
            </w:r>
          </w:p>
        </w:tc>
        <w:tc>
          <w:tcPr>
            <w:tcW w:w="3400" w:type="dxa"/>
            <w:tcMar>
              <w:top w:w="60" w:type="dxa"/>
              <w:left w:w="90" w:type="dxa"/>
              <w:bottom w:w="60" w:type="dxa"/>
              <w:right w:w="90" w:type="dxa"/>
            </w:tcMar>
          </w:tcPr>
          <w:p w14:paraId="5A66F69E" w14:textId="77777777" w:rsidR="003E5982" w:rsidRPr="00DD00A8" w:rsidRDefault="003022BB" w:rsidP="00DD00A8">
            <w:pPr>
              <w:rPr>
                <w:rFonts w:ascii="Sura Sans Light" w:hAnsi="Sura Sans Light"/>
              </w:rPr>
            </w:pPr>
            <w:r w:rsidRPr="00DD00A8">
              <w:rPr>
                <w:rFonts w:ascii="Sura Sans Light" w:hAnsi="Sura Sans Light"/>
                <w:color w:val="000000"/>
                <w:sz w:val="19"/>
                <w:szCs w:val="19"/>
              </w:rPr>
              <w:t>Temáticos cobran múltiplos del fondo pasivo amplio (Lamont y otros, 2024)</w:t>
            </w:r>
          </w:p>
        </w:tc>
        <w:tc>
          <w:tcPr>
            <w:tcW w:w="3020" w:type="dxa"/>
            <w:tcMar>
              <w:top w:w="60" w:type="dxa"/>
              <w:left w:w="90" w:type="dxa"/>
              <w:bottom w:w="60" w:type="dxa"/>
              <w:right w:w="90" w:type="dxa"/>
            </w:tcMar>
          </w:tcPr>
          <w:p w14:paraId="3B0FEC48" w14:textId="77777777" w:rsidR="003E5982" w:rsidRPr="00DD00A8" w:rsidRDefault="003022BB" w:rsidP="00DD00A8">
            <w:pPr>
              <w:rPr>
                <w:rFonts w:ascii="Sura Sans Light" w:hAnsi="Sura Sans Light"/>
              </w:rPr>
            </w:pPr>
            <w:r w:rsidRPr="00DD00A8">
              <w:rPr>
                <w:rFonts w:ascii="Sura Sans Light" w:hAnsi="Sura Sans Light"/>
                <w:color w:val="000000"/>
                <w:sz w:val="19"/>
                <w:szCs w:val="19"/>
              </w:rPr>
              <w:t>Umbral de TER; preferencia por réplica física de bajo costo</w:t>
            </w:r>
          </w:p>
        </w:tc>
      </w:tr>
      <w:tr w:rsidR="003E5982" w:rsidRPr="00E33455" w14:paraId="07B4F5BA" w14:textId="77777777" w:rsidTr="00DD00A8">
        <w:tc>
          <w:tcPr>
            <w:tcW w:w="2600" w:type="dxa"/>
            <w:tcMar>
              <w:top w:w="60" w:type="dxa"/>
              <w:left w:w="90" w:type="dxa"/>
              <w:bottom w:w="60" w:type="dxa"/>
              <w:right w:w="90" w:type="dxa"/>
            </w:tcMar>
          </w:tcPr>
          <w:p w14:paraId="28EB747E" w14:textId="77777777" w:rsidR="003E5982" w:rsidRPr="00DD00A8" w:rsidRDefault="003022BB" w:rsidP="00DD00A8">
            <w:pPr>
              <w:rPr>
                <w:rFonts w:ascii="Sura Sans Light" w:hAnsi="Sura Sans Light"/>
              </w:rPr>
            </w:pPr>
            <w:r w:rsidRPr="00DD00A8">
              <w:rPr>
                <w:rFonts w:ascii="Sura Sans Light" w:hAnsi="Sura Sans Light"/>
                <w:color w:val="000000"/>
                <w:sz w:val="19"/>
                <w:szCs w:val="19"/>
              </w:rPr>
              <w:t>Baja supervivencia / cierre del fondo</w:t>
            </w:r>
          </w:p>
        </w:tc>
        <w:tc>
          <w:tcPr>
            <w:tcW w:w="3400" w:type="dxa"/>
            <w:tcMar>
              <w:top w:w="60" w:type="dxa"/>
              <w:left w:w="90" w:type="dxa"/>
              <w:bottom w:w="60" w:type="dxa"/>
              <w:right w:w="90" w:type="dxa"/>
            </w:tcMar>
          </w:tcPr>
          <w:p w14:paraId="6BE0D0ED" w14:textId="77777777" w:rsidR="003E5982" w:rsidRPr="00DD00A8" w:rsidRDefault="003022BB" w:rsidP="00DD00A8">
            <w:pPr>
              <w:rPr>
                <w:rFonts w:ascii="Sura Sans Light" w:hAnsi="Sura Sans Light"/>
              </w:rPr>
            </w:pPr>
            <w:r w:rsidRPr="00DD00A8">
              <w:rPr>
                <w:rFonts w:ascii="Sura Sans Light" w:hAnsi="Sura Sans Light"/>
                <w:color w:val="000000"/>
                <w:sz w:val="19"/>
                <w:szCs w:val="19"/>
              </w:rPr>
              <w:t>~55% mortalidad a 15 años a mediados de 2024 (Lamont y otros, 2024)</w:t>
            </w:r>
          </w:p>
        </w:tc>
        <w:tc>
          <w:tcPr>
            <w:tcW w:w="3020" w:type="dxa"/>
            <w:tcMar>
              <w:top w:w="60" w:type="dxa"/>
              <w:left w:w="90" w:type="dxa"/>
              <w:bottom w:w="60" w:type="dxa"/>
              <w:right w:w="90" w:type="dxa"/>
            </w:tcMar>
          </w:tcPr>
          <w:p w14:paraId="2ABBF50E" w14:textId="77777777" w:rsidR="003E5982" w:rsidRPr="00DD00A8" w:rsidRDefault="003022BB" w:rsidP="00DD00A8">
            <w:pPr>
              <w:rPr>
                <w:rFonts w:ascii="Sura Sans Light" w:hAnsi="Sura Sans Light"/>
              </w:rPr>
            </w:pPr>
            <w:r w:rsidRPr="00DD00A8">
              <w:rPr>
                <w:rFonts w:ascii="Sura Sans Light" w:hAnsi="Sura Sans Light"/>
                <w:color w:val="000000"/>
                <w:sz w:val="19"/>
                <w:szCs w:val="19"/>
              </w:rPr>
              <w:t xml:space="preserve">AUM mínimo (referencia ≥ USD 50 mm); </w:t>
            </w:r>
            <w:proofErr w:type="spellStart"/>
            <w:r w:rsidRPr="00DD00A8">
              <w:rPr>
                <w:rFonts w:ascii="Sura Sans Light" w:hAnsi="Sura Sans Light"/>
                <w:color w:val="000000"/>
                <w:sz w:val="19"/>
                <w:szCs w:val="19"/>
              </w:rPr>
              <w:t>track</w:t>
            </w:r>
            <w:proofErr w:type="spellEnd"/>
            <w:r w:rsidRPr="00DD00A8">
              <w:rPr>
                <w:rFonts w:ascii="Sura Sans Light" w:hAnsi="Sura Sans Light"/>
                <w:color w:val="000000"/>
                <w:sz w:val="19"/>
                <w:szCs w:val="19"/>
              </w:rPr>
              <w:t xml:space="preserve"> </w:t>
            </w:r>
            <w:proofErr w:type="spellStart"/>
            <w:r w:rsidRPr="00DD00A8">
              <w:rPr>
                <w:rFonts w:ascii="Sura Sans Light" w:hAnsi="Sura Sans Light"/>
                <w:color w:val="000000"/>
                <w:sz w:val="19"/>
                <w:szCs w:val="19"/>
              </w:rPr>
              <w:t>record</w:t>
            </w:r>
            <w:proofErr w:type="spellEnd"/>
            <w:r w:rsidRPr="00DD00A8">
              <w:rPr>
                <w:rFonts w:ascii="Sura Sans Light" w:hAnsi="Sura Sans Light"/>
                <w:color w:val="000000"/>
                <w:sz w:val="19"/>
                <w:szCs w:val="19"/>
              </w:rPr>
              <w:t>; liquidez del vehículo</w:t>
            </w:r>
          </w:p>
        </w:tc>
      </w:tr>
      <w:tr w:rsidR="003E5982" w:rsidRPr="00E33455" w14:paraId="0467FF0C" w14:textId="77777777" w:rsidTr="00DD00A8">
        <w:tc>
          <w:tcPr>
            <w:tcW w:w="2600" w:type="dxa"/>
            <w:tcMar>
              <w:top w:w="60" w:type="dxa"/>
              <w:left w:w="90" w:type="dxa"/>
              <w:bottom w:w="60" w:type="dxa"/>
              <w:right w:w="90" w:type="dxa"/>
            </w:tcMar>
          </w:tcPr>
          <w:p w14:paraId="444399AA" w14:textId="77777777" w:rsidR="003E5982" w:rsidRPr="00DD00A8" w:rsidRDefault="003022BB" w:rsidP="00DD00A8">
            <w:pPr>
              <w:rPr>
                <w:rFonts w:ascii="Sura Sans Light" w:hAnsi="Sura Sans Light"/>
              </w:rPr>
            </w:pPr>
            <w:r w:rsidRPr="00DD00A8">
              <w:rPr>
                <w:rFonts w:ascii="Sura Sans Light" w:hAnsi="Sura Sans Light"/>
                <w:color w:val="000000"/>
                <w:sz w:val="19"/>
                <w:szCs w:val="19"/>
              </w:rPr>
              <w:lastRenderedPageBreak/>
              <w:t>Alto tracking error / sesgos de estilo</w:t>
            </w:r>
          </w:p>
        </w:tc>
        <w:tc>
          <w:tcPr>
            <w:tcW w:w="3400" w:type="dxa"/>
            <w:tcMar>
              <w:top w:w="60" w:type="dxa"/>
              <w:left w:w="90" w:type="dxa"/>
              <w:bottom w:w="60" w:type="dxa"/>
              <w:right w:w="90" w:type="dxa"/>
            </w:tcMar>
          </w:tcPr>
          <w:p w14:paraId="706AF854" w14:textId="77777777" w:rsidR="003E5982" w:rsidRPr="00DD00A8" w:rsidRDefault="003022BB" w:rsidP="00DD00A8">
            <w:pPr>
              <w:rPr>
                <w:rFonts w:ascii="Sura Sans Light" w:hAnsi="Sura Sans Light"/>
              </w:rPr>
            </w:pPr>
            <w:r w:rsidRPr="00DD00A8">
              <w:rPr>
                <w:rFonts w:ascii="Sura Sans Light" w:hAnsi="Sura Sans Light"/>
                <w:color w:val="000000"/>
                <w:sz w:val="19"/>
                <w:szCs w:val="19"/>
              </w:rPr>
              <w:t>Sesgos de beta, sector, región, estilo (de Carvalho, 2024)</w:t>
            </w:r>
          </w:p>
        </w:tc>
        <w:tc>
          <w:tcPr>
            <w:tcW w:w="3020" w:type="dxa"/>
            <w:tcMar>
              <w:top w:w="60" w:type="dxa"/>
              <w:left w:w="90" w:type="dxa"/>
              <w:bottom w:w="60" w:type="dxa"/>
              <w:right w:w="90" w:type="dxa"/>
            </w:tcMar>
          </w:tcPr>
          <w:p w14:paraId="52C5AC18" w14:textId="77777777" w:rsidR="003E5982" w:rsidRPr="00DD00A8" w:rsidRDefault="003022BB" w:rsidP="00DD00A8">
            <w:pPr>
              <w:rPr>
                <w:rFonts w:ascii="Sura Sans Light" w:hAnsi="Sura Sans Light"/>
              </w:rPr>
            </w:pPr>
            <w:r w:rsidRPr="00DD00A8">
              <w:rPr>
                <w:rFonts w:ascii="Sura Sans Light" w:hAnsi="Sura Sans Light"/>
                <w:color w:val="000000"/>
                <w:sz w:val="19"/>
                <w:szCs w:val="19"/>
              </w:rPr>
              <w:t>Medir tracking error vs. renta variable global; controlar solapamiento con el núcleo</w:t>
            </w:r>
          </w:p>
        </w:tc>
      </w:tr>
      <w:tr w:rsidR="003E5982" w:rsidRPr="00E33455" w14:paraId="3DC2AFA0" w14:textId="77777777" w:rsidTr="00DD00A8">
        <w:tc>
          <w:tcPr>
            <w:tcW w:w="2600" w:type="dxa"/>
            <w:tcMar>
              <w:top w:w="60" w:type="dxa"/>
              <w:left w:w="90" w:type="dxa"/>
              <w:bottom w:w="60" w:type="dxa"/>
              <w:right w:w="90" w:type="dxa"/>
            </w:tcMar>
          </w:tcPr>
          <w:p w14:paraId="24B0192C" w14:textId="77777777" w:rsidR="003E5982" w:rsidRPr="00DD00A8" w:rsidRDefault="003022BB" w:rsidP="00DD00A8">
            <w:pPr>
              <w:rPr>
                <w:rFonts w:ascii="Sura Sans Light" w:hAnsi="Sura Sans Light"/>
              </w:rPr>
            </w:pPr>
            <w:r w:rsidRPr="00DD00A8">
              <w:rPr>
                <w:rFonts w:ascii="Sura Sans Light" w:hAnsi="Sura Sans Light"/>
                <w:color w:val="000000"/>
                <w:sz w:val="19"/>
                <w:szCs w:val="19"/>
              </w:rPr>
              <w:t>Tema incoherente (relato sin sustancia)</w:t>
            </w:r>
          </w:p>
        </w:tc>
        <w:tc>
          <w:tcPr>
            <w:tcW w:w="3400" w:type="dxa"/>
            <w:tcMar>
              <w:top w:w="60" w:type="dxa"/>
              <w:left w:w="90" w:type="dxa"/>
              <w:bottom w:w="60" w:type="dxa"/>
              <w:right w:w="90" w:type="dxa"/>
            </w:tcMar>
          </w:tcPr>
          <w:p w14:paraId="12C26E1A" w14:textId="77777777" w:rsidR="003E5982" w:rsidRPr="00DD00A8" w:rsidRDefault="003022BB" w:rsidP="00DD00A8">
            <w:pPr>
              <w:rPr>
                <w:rFonts w:ascii="Sura Sans Light" w:hAnsi="Sura Sans Light"/>
              </w:rPr>
            </w:pPr>
            <w:proofErr w:type="spellStart"/>
            <w:r w:rsidRPr="00DD00A8">
              <w:rPr>
                <w:rFonts w:ascii="Sura Sans Light" w:hAnsi="Sura Sans Light"/>
                <w:color w:val="000000"/>
                <w:sz w:val="19"/>
                <w:szCs w:val="19"/>
              </w:rPr>
              <w:t>Baskets</w:t>
            </w:r>
            <w:proofErr w:type="spellEnd"/>
            <w:r w:rsidRPr="00DD00A8">
              <w:rPr>
                <w:rFonts w:ascii="Sura Sans Light" w:hAnsi="Sura Sans Light"/>
                <w:color w:val="000000"/>
                <w:sz w:val="19"/>
                <w:szCs w:val="19"/>
              </w:rPr>
              <w:t xml:space="preserve"> sin correlación residual común no tienen coherencia (</w:t>
            </w:r>
            <w:proofErr w:type="spellStart"/>
            <w:r w:rsidRPr="00DD00A8">
              <w:rPr>
                <w:rFonts w:ascii="Sura Sans Light" w:hAnsi="Sura Sans Light"/>
                <w:color w:val="000000"/>
                <w:sz w:val="19"/>
                <w:szCs w:val="19"/>
              </w:rPr>
              <w:t>Candès</w:t>
            </w:r>
            <w:proofErr w:type="spellEnd"/>
            <w:r w:rsidRPr="00DD00A8">
              <w:rPr>
                <w:rFonts w:ascii="Sura Sans Light" w:hAnsi="Sura Sans Light"/>
                <w:color w:val="000000"/>
                <w:sz w:val="19"/>
                <w:szCs w:val="19"/>
              </w:rPr>
              <w:t xml:space="preserve"> y otros, 2025)</w:t>
            </w:r>
          </w:p>
        </w:tc>
        <w:tc>
          <w:tcPr>
            <w:tcW w:w="3020" w:type="dxa"/>
            <w:tcMar>
              <w:top w:w="60" w:type="dxa"/>
              <w:left w:w="90" w:type="dxa"/>
              <w:bottom w:w="60" w:type="dxa"/>
              <w:right w:w="90" w:type="dxa"/>
            </w:tcMar>
          </w:tcPr>
          <w:p w14:paraId="48068900" w14:textId="77777777" w:rsidR="003E5982" w:rsidRPr="00DD00A8" w:rsidRDefault="003022BB" w:rsidP="00DD00A8">
            <w:pPr>
              <w:rPr>
                <w:rFonts w:ascii="Sura Sans Light" w:hAnsi="Sura Sans Light"/>
              </w:rPr>
            </w:pPr>
            <w:r w:rsidRPr="00DD00A8">
              <w:rPr>
                <w:rFonts w:ascii="Sura Sans Light" w:hAnsi="Sura Sans Light"/>
                <w:color w:val="000000"/>
                <w:sz w:val="19"/>
                <w:szCs w:val="19"/>
              </w:rPr>
              <w:t>Test de coherencia y pureza temática; metodología de índice transparente</w:t>
            </w:r>
          </w:p>
        </w:tc>
      </w:tr>
      <w:tr w:rsidR="003E5982" w:rsidRPr="00E33455" w14:paraId="153FCFC1" w14:textId="77777777" w:rsidTr="00DD00A8">
        <w:tc>
          <w:tcPr>
            <w:tcW w:w="2600" w:type="dxa"/>
            <w:tcMar>
              <w:top w:w="60" w:type="dxa"/>
              <w:left w:w="90" w:type="dxa"/>
              <w:bottom w:w="60" w:type="dxa"/>
              <w:right w:w="90" w:type="dxa"/>
            </w:tcMar>
          </w:tcPr>
          <w:p w14:paraId="70D852CE" w14:textId="77777777" w:rsidR="003E5982" w:rsidRPr="00DD00A8" w:rsidRDefault="003022BB" w:rsidP="00DD00A8">
            <w:pPr>
              <w:rPr>
                <w:rFonts w:ascii="Sura Sans Light" w:hAnsi="Sura Sans Light"/>
              </w:rPr>
            </w:pPr>
            <w:r w:rsidRPr="00DD00A8">
              <w:rPr>
                <w:rFonts w:ascii="Sura Sans Light" w:hAnsi="Sura Sans Light"/>
                <w:color w:val="000000"/>
                <w:sz w:val="19"/>
                <w:szCs w:val="19"/>
              </w:rPr>
              <w:t>Brecha de comportamiento</w:t>
            </w:r>
          </w:p>
        </w:tc>
        <w:tc>
          <w:tcPr>
            <w:tcW w:w="3400" w:type="dxa"/>
            <w:tcMar>
              <w:top w:w="60" w:type="dxa"/>
              <w:left w:w="90" w:type="dxa"/>
              <w:bottom w:w="60" w:type="dxa"/>
              <w:right w:w="90" w:type="dxa"/>
            </w:tcMar>
          </w:tcPr>
          <w:p w14:paraId="35EDA631" w14:textId="77777777" w:rsidR="003E5982" w:rsidRPr="00DD00A8" w:rsidRDefault="003022BB" w:rsidP="00DD00A8">
            <w:pPr>
              <w:rPr>
                <w:rFonts w:ascii="Sura Sans Light" w:hAnsi="Sura Sans Light"/>
              </w:rPr>
            </w:pPr>
            <w:r w:rsidRPr="00DD00A8">
              <w:rPr>
                <w:rFonts w:ascii="Sura Sans Light" w:hAnsi="Sura Sans Light"/>
                <w:color w:val="000000"/>
                <w:sz w:val="19"/>
                <w:szCs w:val="19"/>
              </w:rPr>
              <w:t>Retorno del inversionista &lt; retorno del fondo (Morningstar)</w:t>
            </w:r>
          </w:p>
        </w:tc>
        <w:tc>
          <w:tcPr>
            <w:tcW w:w="3020" w:type="dxa"/>
            <w:tcMar>
              <w:top w:w="60" w:type="dxa"/>
              <w:left w:w="90" w:type="dxa"/>
              <w:bottom w:w="60" w:type="dxa"/>
              <w:right w:w="90" w:type="dxa"/>
            </w:tcMar>
          </w:tcPr>
          <w:p w14:paraId="790D7B4A" w14:textId="77777777" w:rsidR="003E5982" w:rsidRPr="00DD00A8" w:rsidRDefault="003022BB" w:rsidP="00DD00A8">
            <w:pPr>
              <w:rPr>
                <w:rFonts w:ascii="Sura Sans Light" w:hAnsi="Sura Sans Light"/>
              </w:rPr>
            </w:pPr>
            <w:r w:rsidRPr="00DD00A8">
              <w:rPr>
                <w:rFonts w:ascii="Sura Sans Light" w:hAnsi="Sura Sans Light"/>
                <w:color w:val="000000"/>
                <w:sz w:val="19"/>
                <w:szCs w:val="19"/>
              </w:rPr>
              <w:t>Comprar-y-mantener; rebalanceo por reglas; gobernanza de decisiones</w:t>
            </w:r>
          </w:p>
        </w:tc>
      </w:tr>
    </w:tbl>
    <w:p w14:paraId="2D8D80C8" w14:textId="77777777" w:rsidR="00DD00A8" w:rsidRDefault="00DD00A8" w:rsidP="00DD00A8">
      <w:pPr>
        <w:rPr>
          <w:rFonts w:ascii="Sura Sans Light" w:hAnsi="Sura Sans Light"/>
        </w:rPr>
      </w:pPr>
    </w:p>
    <w:p w14:paraId="640AAE0A" w14:textId="0A02EEBD" w:rsidR="003E5982" w:rsidRPr="00DD00A8" w:rsidRDefault="00821D08" w:rsidP="00DD00A8">
      <w:pPr>
        <w:rPr>
          <w:rFonts w:ascii="Sura Sans Light" w:hAnsi="Sura Sans Light"/>
        </w:rPr>
      </w:pPr>
      <w:r>
        <w:rPr>
          <w:rFonts w:ascii="Sura Sans Light" w:hAnsi="Sura Sans Light"/>
          <w:b/>
          <w:bCs/>
          <w:color w:val="2E6E8E"/>
          <w:sz w:val="30"/>
          <w:szCs w:val="30"/>
        </w:rPr>
        <w:t>4</w:t>
      </w:r>
      <w:r w:rsidR="003022BB" w:rsidRPr="00821D08">
        <w:rPr>
          <w:rFonts w:ascii="Sura Sans Light" w:hAnsi="Sura Sans Light"/>
          <w:b/>
          <w:bCs/>
          <w:color w:val="2E6E8E"/>
          <w:sz w:val="30"/>
          <w:szCs w:val="30"/>
        </w:rPr>
        <w:t xml:space="preserve">.  Revisión de las cinco temáticas y </w:t>
      </w:r>
      <w:proofErr w:type="spellStart"/>
      <w:r w:rsidR="003022BB" w:rsidRPr="00821D08">
        <w:rPr>
          <w:rFonts w:ascii="Sura Sans Light" w:hAnsi="Sura Sans Light"/>
          <w:b/>
          <w:bCs/>
          <w:color w:val="2E6E8E"/>
          <w:sz w:val="30"/>
          <w:szCs w:val="30"/>
        </w:rPr>
        <w:t>subtemáticas</w:t>
      </w:r>
      <w:proofErr w:type="spellEnd"/>
      <w:r w:rsidR="003022BB" w:rsidRPr="00821D08">
        <w:rPr>
          <w:rFonts w:ascii="Sura Sans Light" w:hAnsi="Sura Sans Light"/>
          <w:b/>
          <w:bCs/>
          <w:color w:val="2E6E8E"/>
          <w:sz w:val="30"/>
          <w:szCs w:val="30"/>
        </w:rPr>
        <w:t xml:space="preserve"> alineadas al mandato</w:t>
      </w:r>
    </w:p>
    <w:p w14:paraId="10BB8094" w14:textId="77777777" w:rsidR="00DD00A8" w:rsidRDefault="00DD00A8" w:rsidP="00DD00A8">
      <w:pPr>
        <w:jc w:val="both"/>
        <w:rPr>
          <w:rFonts w:ascii="Sura Sans Light" w:hAnsi="Sura Sans Light"/>
        </w:rPr>
      </w:pPr>
    </w:p>
    <w:p w14:paraId="08C3B431" w14:textId="2892545F" w:rsidR="003E5982" w:rsidRDefault="003022BB" w:rsidP="00DD00A8">
      <w:pPr>
        <w:jc w:val="both"/>
        <w:rPr>
          <w:rFonts w:ascii="Sura Sans Light" w:hAnsi="Sura Sans Light"/>
        </w:rPr>
      </w:pPr>
      <w:r w:rsidRPr="00E33455">
        <w:rPr>
          <w:rFonts w:ascii="Sura Sans Light" w:hAnsi="Sura Sans Light"/>
        </w:rPr>
        <w:t xml:space="preserve">Para cada temática se distinguen las </w:t>
      </w:r>
      <w:proofErr w:type="spellStart"/>
      <w:r w:rsidRPr="00E33455">
        <w:rPr>
          <w:rFonts w:ascii="Sura Sans Light" w:hAnsi="Sura Sans Light"/>
        </w:rPr>
        <w:t>subtemáticas</w:t>
      </w:r>
      <w:proofErr w:type="spellEnd"/>
      <w:r w:rsidRPr="00E33455">
        <w:rPr>
          <w:rFonts w:ascii="Sura Sans Light" w:hAnsi="Sura Sans Light"/>
        </w:rPr>
        <w:t xml:space="preserve"> </w:t>
      </w:r>
      <w:r w:rsidRPr="00E33455">
        <w:rPr>
          <w:rFonts w:ascii="Sura Sans Light" w:hAnsi="Sura Sans Light"/>
          <w:b/>
          <w:bCs/>
          <w:color w:val="2E7D32"/>
        </w:rPr>
        <w:t>alineadas</w:t>
      </w:r>
      <w:r w:rsidRPr="00E33455">
        <w:rPr>
          <w:rFonts w:ascii="Sura Sans Light" w:hAnsi="Sura Sans Light"/>
        </w:rPr>
        <w:t xml:space="preserve"> con el mandato (mejor rentabilidad ajustada por riesgo, no impacto) de aquellas que se tratan con </w:t>
      </w:r>
      <w:r w:rsidRPr="00E33455">
        <w:rPr>
          <w:rFonts w:ascii="Sura Sans Light" w:hAnsi="Sura Sans Light"/>
          <w:b/>
          <w:bCs/>
          <w:color w:val="B23A3A"/>
        </w:rPr>
        <w:t>cautela</w:t>
      </w:r>
      <w:r w:rsidRPr="00E33455">
        <w:rPr>
          <w:rFonts w:ascii="Sura Sans Light" w:hAnsi="Sura Sans Light"/>
        </w:rPr>
        <w:t xml:space="preserve"> por su perfil especulativo o de nicho. Al invertir vía fondos y </w:t>
      </w:r>
      <w:proofErr w:type="spellStart"/>
      <w:r w:rsidRPr="00E33455">
        <w:rPr>
          <w:rFonts w:ascii="Sura Sans Light" w:hAnsi="Sura Sans Light"/>
        </w:rPr>
        <w:t>ETFs</w:t>
      </w:r>
      <w:proofErr w:type="spellEnd"/>
      <w:r w:rsidRPr="00E33455">
        <w:rPr>
          <w:rFonts w:ascii="Sura Sans Light" w:hAnsi="Sura Sans Light"/>
        </w:rPr>
        <w:t xml:space="preserve"> (sin selección de acciones), los indicadores se definen a nivel de vehículo/índice, no de empresa.</w:t>
      </w:r>
      <w:r w:rsidR="00F157AE">
        <w:rPr>
          <w:rFonts w:ascii="Sura Sans Light" w:hAnsi="Sura Sans Light"/>
        </w:rPr>
        <w:t xml:space="preserve"> Cabe resaltar que para ejecutar alguna inversión en esta </w:t>
      </w:r>
      <w:proofErr w:type="spellStart"/>
      <w:r w:rsidR="00F157AE">
        <w:rPr>
          <w:rFonts w:ascii="Sura Sans Light" w:hAnsi="Sura Sans Light"/>
        </w:rPr>
        <w:t>subtemáticas</w:t>
      </w:r>
      <w:proofErr w:type="spellEnd"/>
      <w:r w:rsidR="00F157AE">
        <w:rPr>
          <w:rFonts w:ascii="Sura Sans Light" w:hAnsi="Sura Sans Light"/>
        </w:rPr>
        <w:t xml:space="preserve"> se deberá cumplir con las condiciones detalladas en la sección 1.3 de este documento.</w:t>
      </w:r>
    </w:p>
    <w:p w14:paraId="42B7A1FA" w14:textId="77777777" w:rsidR="00DD00A8" w:rsidRDefault="00DD00A8" w:rsidP="00DD00A8">
      <w:pPr>
        <w:pStyle w:val="Ttulo2"/>
        <w:rPr>
          <w:rFonts w:ascii="Sura Sans Light" w:hAnsi="Sura Sans Light"/>
          <w:b/>
          <w:bCs/>
          <w:color w:val="2E6E8E"/>
          <w:sz w:val="24"/>
          <w:szCs w:val="24"/>
        </w:rPr>
      </w:pPr>
    </w:p>
    <w:p w14:paraId="56E46742" w14:textId="43B64666" w:rsidR="003E5982" w:rsidRPr="00E33455" w:rsidRDefault="00821D08" w:rsidP="00DD00A8">
      <w:pPr>
        <w:pStyle w:val="Ttulo2"/>
        <w:rPr>
          <w:rFonts w:ascii="Sura Sans Light" w:hAnsi="Sura Sans Light"/>
        </w:rPr>
      </w:pPr>
      <w:r>
        <w:rPr>
          <w:rFonts w:ascii="Sura Sans Light" w:hAnsi="Sura Sans Light"/>
          <w:b/>
          <w:bCs/>
          <w:color w:val="2E6E8E"/>
          <w:sz w:val="24"/>
          <w:szCs w:val="24"/>
        </w:rPr>
        <w:t>a)</w:t>
      </w:r>
      <w:r w:rsidR="003022BB" w:rsidRPr="00E33455">
        <w:rPr>
          <w:rFonts w:ascii="Sura Sans Light" w:hAnsi="Sura Sans Light"/>
          <w:b/>
          <w:bCs/>
          <w:color w:val="2E6E8E"/>
          <w:sz w:val="24"/>
          <w:szCs w:val="24"/>
        </w:rPr>
        <w:t xml:space="preserve"> Transición Energética y Descarbonización</w:t>
      </w:r>
    </w:p>
    <w:p w14:paraId="135A364E" w14:textId="77777777" w:rsidR="003E5982" w:rsidRDefault="003022BB" w:rsidP="00DD00A8">
      <w:pPr>
        <w:jc w:val="both"/>
        <w:rPr>
          <w:rFonts w:ascii="Sura Sans Light" w:hAnsi="Sura Sans Light"/>
        </w:rPr>
      </w:pPr>
      <w:r w:rsidRPr="00E33455">
        <w:rPr>
          <w:rFonts w:ascii="Sura Sans Light" w:hAnsi="Sura Sans Light"/>
        </w:rPr>
        <w:t>El caso de inversión más robusto no es la generación renovable pura —capital-intensiva, muy sensible a tasas y dependiente de política—, sino los 'picos y palas' de la transición: la infraestructura y los habilitadores con demanda estructural y flujos más estables.</w:t>
      </w:r>
    </w:p>
    <w:p w14:paraId="087FB0C0" w14:textId="77777777" w:rsidR="00DD00A8" w:rsidRPr="00E33455" w:rsidRDefault="00DD00A8" w:rsidP="00DD00A8">
      <w:pPr>
        <w:jc w:val="both"/>
        <w:rPr>
          <w:rFonts w:ascii="Sura Sans Light" w:hAnsi="Sura Sans Light"/>
        </w:rPr>
      </w:pPr>
    </w:p>
    <w:tbl>
      <w:tblPr>
        <w:tblW w:w="9020" w:type="dxa"/>
        <w:tblBorders>
          <w:top w:val="single" w:sz="4" w:space="0" w:color="BBBBBB"/>
          <w:left w:val="single" w:sz="4" w:space="0" w:color="BBBBBB"/>
          <w:bottom w:val="single" w:sz="4" w:space="0" w:color="BBBBBB"/>
          <w:right w:val="single" w:sz="4" w:space="0" w:color="BBBBBB"/>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510"/>
        <w:gridCol w:w="4510"/>
      </w:tblGrid>
      <w:tr w:rsidR="003E5982" w:rsidRPr="00E33455" w14:paraId="68BEB42E" w14:textId="77777777">
        <w:trPr>
          <w:tblHeader/>
        </w:trPr>
        <w:tc>
          <w:tcPr>
            <w:tcW w:w="4510" w:type="dxa"/>
            <w:shd w:val="clear" w:color="auto" w:fill="2E7D32"/>
            <w:tcMar>
              <w:top w:w="60" w:type="dxa"/>
              <w:left w:w="90" w:type="dxa"/>
              <w:bottom w:w="60" w:type="dxa"/>
              <w:right w:w="90" w:type="dxa"/>
            </w:tcMar>
          </w:tcPr>
          <w:p w14:paraId="06E21453" w14:textId="77777777" w:rsidR="003E5982" w:rsidRPr="00E33455" w:rsidRDefault="003022BB" w:rsidP="00DD00A8">
            <w:pPr>
              <w:rPr>
                <w:rFonts w:ascii="Sura Sans Light" w:hAnsi="Sura Sans Light"/>
              </w:rPr>
            </w:pPr>
            <w:proofErr w:type="spellStart"/>
            <w:r w:rsidRPr="00E33455">
              <w:rPr>
                <w:rFonts w:ascii="Sura Sans Light" w:hAnsi="Sura Sans Light"/>
                <w:b/>
                <w:bCs/>
                <w:color w:val="FFFFFF"/>
                <w:sz w:val="19"/>
                <w:szCs w:val="19"/>
              </w:rPr>
              <w:t>Subtemáticas</w:t>
            </w:r>
            <w:proofErr w:type="spellEnd"/>
            <w:r w:rsidRPr="00E33455">
              <w:rPr>
                <w:rFonts w:ascii="Sura Sans Light" w:hAnsi="Sura Sans Light"/>
                <w:b/>
                <w:bCs/>
                <w:color w:val="FFFFFF"/>
                <w:sz w:val="19"/>
                <w:szCs w:val="19"/>
              </w:rPr>
              <w:t xml:space="preserve"> ALINEADAS con el mandato</w:t>
            </w:r>
          </w:p>
        </w:tc>
        <w:tc>
          <w:tcPr>
            <w:tcW w:w="4510" w:type="dxa"/>
            <w:shd w:val="clear" w:color="auto" w:fill="B23A3A"/>
            <w:tcMar>
              <w:top w:w="60" w:type="dxa"/>
              <w:left w:w="90" w:type="dxa"/>
              <w:bottom w:w="60" w:type="dxa"/>
              <w:right w:w="90" w:type="dxa"/>
            </w:tcMar>
          </w:tcPr>
          <w:p w14:paraId="2A325A4B" w14:textId="77777777" w:rsidR="003E5982" w:rsidRPr="00E33455" w:rsidRDefault="003022BB" w:rsidP="00DD00A8">
            <w:pPr>
              <w:rPr>
                <w:rFonts w:ascii="Sura Sans Light" w:hAnsi="Sura Sans Light"/>
              </w:rPr>
            </w:pPr>
            <w:proofErr w:type="spellStart"/>
            <w:r w:rsidRPr="00E33455">
              <w:rPr>
                <w:rFonts w:ascii="Sura Sans Light" w:hAnsi="Sura Sans Light"/>
                <w:b/>
                <w:bCs/>
                <w:color w:val="FFFFFF"/>
                <w:sz w:val="19"/>
                <w:szCs w:val="19"/>
              </w:rPr>
              <w:t>Subtemáticas</w:t>
            </w:r>
            <w:proofErr w:type="spellEnd"/>
            <w:r w:rsidRPr="00E33455">
              <w:rPr>
                <w:rFonts w:ascii="Sura Sans Light" w:hAnsi="Sura Sans Light"/>
                <w:b/>
                <w:bCs/>
                <w:color w:val="FFFFFF"/>
                <w:sz w:val="19"/>
                <w:szCs w:val="19"/>
              </w:rPr>
              <w:t xml:space="preserve"> de CAUTELA / no priorizadas</w:t>
            </w:r>
          </w:p>
        </w:tc>
      </w:tr>
      <w:tr w:rsidR="003E5982" w:rsidRPr="00E33455" w14:paraId="4C2C495F" w14:textId="77777777">
        <w:tc>
          <w:tcPr>
            <w:tcW w:w="4510" w:type="dxa"/>
            <w:shd w:val="clear" w:color="auto" w:fill="E7F1E9"/>
            <w:tcMar>
              <w:top w:w="60" w:type="dxa"/>
              <w:left w:w="90" w:type="dxa"/>
              <w:bottom w:w="60" w:type="dxa"/>
              <w:right w:w="90" w:type="dxa"/>
            </w:tcMar>
          </w:tcPr>
          <w:p w14:paraId="771326BE"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Electrificación e infraestructura de red (transmisión, distribución, equipamiento eléctrico, cables).</w:t>
            </w:r>
          </w:p>
          <w:p w14:paraId="34C245A7"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Eficiencia energética (edificaciones, industria, semiconductores de potencia).</w:t>
            </w:r>
          </w:p>
          <w:p w14:paraId="1BF6F09C"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Energía nuclear / uranio como base de carga baja en carbono (con control de volatilidad).</w:t>
            </w:r>
          </w:p>
          <w:p w14:paraId="6B795B73"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 xml:space="preserve">Fondos amplios y diversificados de 'transición energética' o infraestructura energética que incluyan </w:t>
            </w:r>
            <w:proofErr w:type="spellStart"/>
            <w:r w:rsidRPr="00E33455">
              <w:rPr>
                <w:rFonts w:ascii="Sura Sans Light" w:hAnsi="Sura Sans Light"/>
                <w:color w:val="000000"/>
                <w:sz w:val="19"/>
                <w:szCs w:val="19"/>
              </w:rPr>
              <w:t>utilities</w:t>
            </w:r>
            <w:proofErr w:type="spellEnd"/>
            <w:r w:rsidRPr="00E33455">
              <w:rPr>
                <w:rFonts w:ascii="Sura Sans Light" w:hAnsi="Sura Sans Light"/>
                <w:color w:val="000000"/>
                <w:sz w:val="19"/>
                <w:szCs w:val="19"/>
              </w:rPr>
              <w:t xml:space="preserve"> con ingresos contratados/regulados.</w:t>
            </w:r>
          </w:p>
        </w:tc>
        <w:tc>
          <w:tcPr>
            <w:tcW w:w="4510" w:type="dxa"/>
            <w:shd w:val="clear" w:color="auto" w:fill="F6EAEA"/>
            <w:tcMar>
              <w:top w:w="60" w:type="dxa"/>
              <w:left w:w="90" w:type="dxa"/>
              <w:bottom w:w="60" w:type="dxa"/>
              <w:right w:w="90" w:type="dxa"/>
            </w:tcMar>
          </w:tcPr>
          <w:p w14:paraId="29B62F42"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 xml:space="preserve">Fabricantes puros de solar/eólica y </w:t>
            </w:r>
            <w:proofErr w:type="spellStart"/>
            <w:r w:rsidRPr="00E33455">
              <w:rPr>
                <w:rFonts w:ascii="Sura Sans Light" w:hAnsi="Sura Sans Light"/>
                <w:color w:val="000000"/>
                <w:sz w:val="19"/>
                <w:szCs w:val="19"/>
              </w:rPr>
              <w:t>ETFs</w:t>
            </w:r>
            <w:proofErr w:type="spellEnd"/>
            <w:r w:rsidRPr="00E33455">
              <w:rPr>
                <w:rFonts w:ascii="Sura Sans Light" w:hAnsi="Sura Sans Light"/>
                <w:color w:val="000000"/>
                <w:sz w:val="19"/>
                <w:szCs w:val="19"/>
              </w:rPr>
              <w:t xml:space="preserve"> </w:t>
            </w:r>
            <w:proofErr w:type="spellStart"/>
            <w:r w:rsidRPr="00E33455">
              <w:rPr>
                <w:rFonts w:ascii="Sura Sans Light" w:hAnsi="Sura Sans Light"/>
                <w:color w:val="000000"/>
                <w:sz w:val="19"/>
                <w:szCs w:val="19"/>
              </w:rPr>
              <w:t>mono-tecnología</w:t>
            </w:r>
            <w:proofErr w:type="spellEnd"/>
            <w:r w:rsidRPr="00E33455">
              <w:rPr>
                <w:rFonts w:ascii="Sura Sans Light" w:hAnsi="Sura Sans Light"/>
                <w:color w:val="000000"/>
                <w:sz w:val="19"/>
                <w:szCs w:val="19"/>
              </w:rPr>
              <w:t xml:space="preserve"> (alta volatilidad; QCLN ~32% de desviación estándar a 3 años, beta ~1.34).</w:t>
            </w:r>
          </w:p>
          <w:p w14:paraId="4D3FC0C8"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Hidrógeno, '</w:t>
            </w:r>
            <w:proofErr w:type="spellStart"/>
            <w:r w:rsidRPr="00E33455">
              <w:rPr>
                <w:rFonts w:ascii="Sura Sans Light" w:hAnsi="Sura Sans Light"/>
                <w:color w:val="000000"/>
                <w:sz w:val="19"/>
                <w:szCs w:val="19"/>
              </w:rPr>
              <w:t>clean-tech</w:t>
            </w:r>
            <w:proofErr w:type="spellEnd"/>
            <w:r w:rsidRPr="00E33455">
              <w:rPr>
                <w:rFonts w:ascii="Sura Sans Light" w:hAnsi="Sura Sans Light"/>
                <w:color w:val="000000"/>
                <w:sz w:val="19"/>
                <w:szCs w:val="19"/>
              </w:rPr>
              <w:t xml:space="preserve">' de pequeña capitalización y compañías </w:t>
            </w:r>
            <w:proofErr w:type="spellStart"/>
            <w:r w:rsidRPr="00E33455">
              <w:rPr>
                <w:rFonts w:ascii="Sura Sans Light" w:hAnsi="Sura Sans Light"/>
                <w:color w:val="000000"/>
                <w:sz w:val="19"/>
                <w:szCs w:val="19"/>
              </w:rPr>
              <w:t>pre-ingresos</w:t>
            </w:r>
            <w:proofErr w:type="spellEnd"/>
            <w:r w:rsidRPr="00E33455">
              <w:rPr>
                <w:rFonts w:ascii="Sura Sans Light" w:hAnsi="Sura Sans Light"/>
                <w:color w:val="000000"/>
                <w:sz w:val="19"/>
                <w:szCs w:val="19"/>
              </w:rPr>
              <w:t>.</w:t>
            </w:r>
          </w:p>
          <w:p w14:paraId="21D38F47" w14:textId="77777777" w:rsidR="003E5982" w:rsidRPr="00E33455" w:rsidRDefault="003022BB" w:rsidP="00DD00A8">
            <w:pPr>
              <w:rPr>
                <w:rFonts w:ascii="Sura Sans Light" w:hAnsi="Sura Sans Light"/>
              </w:rPr>
            </w:pPr>
            <w:proofErr w:type="spellStart"/>
            <w:r w:rsidRPr="00E33455">
              <w:rPr>
                <w:rFonts w:ascii="Sura Sans Light" w:hAnsi="Sura Sans Light"/>
                <w:color w:val="000000"/>
                <w:sz w:val="19"/>
                <w:szCs w:val="19"/>
              </w:rPr>
              <w:t>Baskets</w:t>
            </w:r>
            <w:proofErr w:type="spellEnd"/>
            <w:r w:rsidRPr="00E33455">
              <w:rPr>
                <w:rFonts w:ascii="Sura Sans Light" w:hAnsi="Sura Sans Light"/>
                <w:color w:val="000000"/>
                <w:sz w:val="19"/>
                <w:szCs w:val="19"/>
              </w:rPr>
              <w:t xml:space="preserve"> estrechos dependientes de un único subsidio o catalizador de política.</w:t>
            </w:r>
          </w:p>
        </w:tc>
      </w:tr>
    </w:tbl>
    <w:p w14:paraId="5A078C4A" w14:textId="77777777" w:rsidR="003E5982" w:rsidRPr="00E33455" w:rsidRDefault="003E5982" w:rsidP="00DD00A8">
      <w:pPr>
        <w:rPr>
          <w:rFonts w:ascii="Sura Sans Light" w:hAnsi="Sura Sans Light"/>
        </w:rPr>
      </w:pPr>
    </w:p>
    <w:p w14:paraId="6E9DD75C" w14:textId="77777777" w:rsidR="003E5982" w:rsidRPr="00E33455" w:rsidRDefault="003022BB" w:rsidP="00DD00A8">
      <w:pPr>
        <w:pStyle w:val="Ttulo3"/>
        <w:rPr>
          <w:rFonts w:ascii="Sura Sans Light" w:hAnsi="Sura Sans Light"/>
        </w:rPr>
      </w:pPr>
      <w:r w:rsidRPr="00E33455">
        <w:rPr>
          <w:rFonts w:ascii="Sura Sans Light" w:hAnsi="Sura Sans Light"/>
          <w:b/>
          <w:bCs/>
          <w:color w:val="444444"/>
          <w:sz w:val="21"/>
          <w:szCs w:val="21"/>
        </w:rPr>
        <w:t>Por qué (evidencia)</w:t>
      </w:r>
    </w:p>
    <w:p w14:paraId="61DD8CC9" w14:textId="77777777" w:rsidR="00DD00A8" w:rsidRDefault="00DD00A8" w:rsidP="00DD00A8">
      <w:pPr>
        <w:jc w:val="both"/>
        <w:rPr>
          <w:rFonts w:ascii="Sura Sans Light" w:hAnsi="Sura Sans Light"/>
        </w:rPr>
      </w:pPr>
    </w:p>
    <w:p w14:paraId="385BD484" w14:textId="25AC664E" w:rsidR="003E5982" w:rsidRDefault="003022BB" w:rsidP="00DD00A8">
      <w:pPr>
        <w:jc w:val="both"/>
        <w:rPr>
          <w:rFonts w:ascii="Sura Sans Light" w:hAnsi="Sura Sans Light"/>
        </w:rPr>
      </w:pPr>
      <w:r w:rsidRPr="00E33455">
        <w:rPr>
          <w:rFonts w:ascii="Sura Sans Light" w:hAnsi="Sura Sans Light"/>
        </w:rPr>
        <w:t xml:space="preserve">La generación limpia es intensiva en capital y de larga duración, por lo que es muy sensible a las tasas de interés: alzas de tasas encarecen el costo de capital, comprimen valorizaciones y explican caídas pronunciadas del sector pese a fuertes volúmenes de instalación (evidencia econométrica sobre </w:t>
      </w:r>
      <w:proofErr w:type="spellStart"/>
      <w:r w:rsidRPr="00E33455">
        <w:rPr>
          <w:rFonts w:ascii="Sura Sans Light" w:hAnsi="Sura Sans Light"/>
        </w:rPr>
        <w:t>ETFs</w:t>
      </w:r>
      <w:proofErr w:type="spellEnd"/>
      <w:r w:rsidRPr="00E33455">
        <w:rPr>
          <w:rFonts w:ascii="Sura Sans Light" w:hAnsi="Sura Sans Light"/>
        </w:rPr>
        <w:t xml:space="preserve"> de energía limpia y tradicional, </w:t>
      </w:r>
      <w:proofErr w:type="spellStart"/>
      <w:r w:rsidRPr="00E33455">
        <w:rPr>
          <w:rFonts w:ascii="Sura Sans Light" w:hAnsi="Sura Sans Light"/>
        </w:rPr>
        <w:t>ScienceDirect</w:t>
      </w:r>
      <w:proofErr w:type="spellEnd"/>
      <w:r w:rsidRPr="00E33455">
        <w:rPr>
          <w:rFonts w:ascii="Sura Sans Light" w:hAnsi="Sura Sans Light"/>
        </w:rPr>
        <w:t xml:space="preserve">, 2026). En contraste, Naffa y Fain (2020) hallan que la </w:t>
      </w:r>
      <w:proofErr w:type="spellStart"/>
      <w:r w:rsidRPr="00E33455">
        <w:rPr>
          <w:rFonts w:ascii="Sura Sans Light" w:hAnsi="Sura Sans Light"/>
        </w:rPr>
        <w:t>subtemática</w:t>
      </w:r>
      <w:proofErr w:type="spellEnd"/>
      <w:r w:rsidRPr="00E33455">
        <w:rPr>
          <w:rFonts w:ascii="Sura Sans Light" w:hAnsi="Sura Sans Light"/>
        </w:rPr>
        <w:t xml:space="preserve"> de eficiencia energética superó al mercado antes de costos, y la infraestructura de red/regulada ofrece flujos más estables e indexación a inflación. La orientación hacia habilitadores diversificados reduce la dependencia de una sola tecnología o subsidio.</w:t>
      </w:r>
    </w:p>
    <w:p w14:paraId="36EE61D3" w14:textId="77777777" w:rsidR="00DD00A8" w:rsidRPr="00E33455" w:rsidRDefault="00DD00A8" w:rsidP="00DD00A8">
      <w:pPr>
        <w:jc w:val="both"/>
        <w:rPr>
          <w:rFonts w:ascii="Sura Sans Light" w:hAnsi="Sura Sans Light"/>
        </w:rPr>
      </w:pPr>
    </w:p>
    <w:p w14:paraId="35F49B9A" w14:textId="77777777" w:rsidR="003E5982" w:rsidRDefault="003022BB" w:rsidP="00DD00A8">
      <w:pPr>
        <w:pStyle w:val="Ttulo3"/>
        <w:rPr>
          <w:rFonts w:ascii="Sura Sans Light" w:hAnsi="Sura Sans Light"/>
          <w:b/>
          <w:bCs/>
          <w:color w:val="444444"/>
          <w:sz w:val="21"/>
          <w:szCs w:val="21"/>
        </w:rPr>
      </w:pPr>
      <w:r w:rsidRPr="00E33455">
        <w:rPr>
          <w:rFonts w:ascii="Sura Sans Light" w:hAnsi="Sura Sans Light"/>
          <w:b/>
          <w:bCs/>
          <w:color w:val="444444"/>
          <w:sz w:val="21"/>
          <w:szCs w:val="21"/>
        </w:rPr>
        <w:t>Indicadores para que un fondo/ETF califique en esta temática</w:t>
      </w:r>
    </w:p>
    <w:p w14:paraId="1317C65A" w14:textId="77777777" w:rsidR="00DD00A8" w:rsidRPr="00E33455" w:rsidRDefault="00DD00A8" w:rsidP="00DD00A8">
      <w:pPr>
        <w:pStyle w:val="Ttulo3"/>
        <w:rPr>
          <w:rFonts w:ascii="Sura Sans Light" w:hAnsi="Sura Sans Light"/>
        </w:rPr>
      </w:pPr>
    </w:p>
    <w:p w14:paraId="04024003" w14:textId="77777777" w:rsidR="003E5982" w:rsidRDefault="003022BB" w:rsidP="00DD00A8">
      <w:pPr>
        <w:pStyle w:val="Prrafodelista"/>
        <w:numPr>
          <w:ilvl w:val="0"/>
          <w:numId w:val="2"/>
        </w:numPr>
        <w:jc w:val="both"/>
        <w:rPr>
          <w:rFonts w:ascii="Sura Sans Light" w:hAnsi="Sura Sans Light"/>
        </w:rPr>
      </w:pPr>
      <w:r w:rsidRPr="00E33455">
        <w:rPr>
          <w:rFonts w:ascii="Sura Sans Light" w:hAnsi="Sura Sans Light"/>
          <w:b/>
          <w:bCs/>
        </w:rPr>
        <w:lastRenderedPageBreak/>
        <w:t xml:space="preserve">Pureza temática moderada: </w:t>
      </w:r>
      <w:r w:rsidRPr="00E33455">
        <w:rPr>
          <w:rFonts w:ascii="Sura Sans Light" w:hAnsi="Sura Sans Light"/>
        </w:rPr>
        <w:t>exposición del índice a la transición vía cadena amplia (red, eficiencia, equipos), evitando concentración en un solo eslabón/tecnología.</w:t>
      </w:r>
    </w:p>
    <w:p w14:paraId="1D2D3D09" w14:textId="77777777" w:rsidR="00DD00A8" w:rsidRPr="00E33455" w:rsidRDefault="00DD00A8" w:rsidP="00DD00A8">
      <w:pPr>
        <w:pStyle w:val="Prrafodelista"/>
        <w:ind w:left="420"/>
        <w:jc w:val="both"/>
        <w:rPr>
          <w:rFonts w:ascii="Sura Sans Light" w:hAnsi="Sura Sans Light"/>
        </w:rPr>
      </w:pPr>
    </w:p>
    <w:p w14:paraId="655E5721" w14:textId="77777777"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Diversificación: </w:t>
      </w:r>
      <w:r w:rsidRPr="00E33455">
        <w:rPr>
          <w:rFonts w:ascii="Sura Sans Light" w:hAnsi="Sura Sans Light"/>
        </w:rPr>
        <w:t>≥ 40 posiciones; peso máximo por nombre ≤ 10%; tope de concentración top-10.</w:t>
      </w:r>
    </w:p>
    <w:p w14:paraId="59964FA8" w14:textId="77777777" w:rsidR="00DD00A8" w:rsidRPr="00DD00A8" w:rsidRDefault="00DD00A8" w:rsidP="00DD00A8">
      <w:pPr>
        <w:pStyle w:val="Prrafodelista"/>
        <w:ind w:left="420"/>
        <w:jc w:val="both"/>
        <w:rPr>
          <w:rFonts w:ascii="Sura Sans Light" w:hAnsi="Sura Sans Light"/>
        </w:rPr>
      </w:pPr>
    </w:p>
    <w:p w14:paraId="6F4174FC" w14:textId="6B8B49AD"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Sensibilidad a tasas y beta: </w:t>
      </w:r>
      <w:r w:rsidRPr="00E33455">
        <w:rPr>
          <w:rFonts w:ascii="Sura Sans Light" w:hAnsi="Sura Sans Light"/>
        </w:rPr>
        <w:t>beta y volatilidad del vehículo dentro de límites; evaluar exposición a duración de tasas frente a generación pura.</w:t>
      </w:r>
    </w:p>
    <w:p w14:paraId="5F9AD644" w14:textId="77777777" w:rsidR="00DD00A8" w:rsidRPr="00DD00A8" w:rsidRDefault="00DD00A8" w:rsidP="00DD00A8">
      <w:pPr>
        <w:pStyle w:val="Prrafodelista"/>
        <w:ind w:left="420"/>
        <w:jc w:val="both"/>
        <w:rPr>
          <w:rFonts w:ascii="Sura Sans Light" w:hAnsi="Sura Sans Light"/>
        </w:rPr>
      </w:pPr>
    </w:p>
    <w:p w14:paraId="3D31EC3F" w14:textId="767AC9C1"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Calidad y caja: </w:t>
      </w:r>
      <w:r w:rsidRPr="00E33455">
        <w:rPr>
          <w:rFonts w:ascii="Sura Sans Light" w:hAnsi="Sura Sans Light"/>
        </w:rPr>
        <w:t xml:space="preserve">participación mayoritaria de emisores con utilidades/flujo de caja positivos; límite a nombres </w:t>
      </w:r>
      <w:proofErr w:type="spellStart"/>
      <w:r w:rsidRPr="00E33455">
        <w:rPr>
          <w:rFonts w:ascii="Sura Sans Light" w:hAnsi="Sura Sans Light"/>
        </w:rPr>
        <w:t>pre-ingresos</w:t>
      </w:r>
      <w:proofErr w:type="spellEnd"/>
      <w:r w:rsidRPr="00E33455">
        <w:rPr>
          <w:rFonts w:ascii="Sura Sans Light" w:hAnsi="Sura Sans Light"/>
        </w:rPr>
        <w:t>.</w:t>
      </w:r>
    </w:p>
    <w:p w14:paraId="69CE3FAE" w14:textId="77777777" w:rsidR="00DD00A8" w:rsidRPr="00DD00A8" w:rsidRDefault="00DD00A8" w:rsidP="00DD00A8">
      <w:pPr>
        <w:pStyle w:val="Prrafodelista"/>
        <w:ind w:left="420"/>
        <w:jc w:val="both"/>
        <w:rPr>
          <w:rFonts w:ascii="Sura Sans Light" w:hAnsi="Sura Sans Light"/>
        </w:rPr>
      </w:pPr>
    </w:p>
    <w:p w14:paraId="3F40FABD" w14:textId="521AD0EF"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Costo, liquidez y viabilidad: </w:t>
      </w:r>
      <w:r w:rsidRPr="00E33455">
        <w:rPr>
          <w:rFonts w:ascii="Sura Sans Light" w:hAnsi="Sura Sans Light"/>
        </w:rPr>
        <w:t xml:space="preserve">TER razonable; AUM y </w:t>
      </w:r>
      <w:proofErr w:type="gramStart"/>
      <w:r w:rsidRPr="00E33455">
        <w:rPr>
          <w:rFonts w:ascii="Sura Sans Light" w:hAnsi="Sura Sans Light"/>
        </w:rPr>
        <w:t>volumen suficientes</w:t>
      </w:r>
      <w:proofErr w:type="gramEnd"/>
      <w:r w:rsidRPr="00E33455">
        <w:rPr>
          <w:rFonts w:ascii="Sura Sans Light" w:hAnsi="Sura Sans Light"/>
        </w:rPr>
        <w:t>; antigüedad ≥ 3 años; réplica física preferente.</w:t>
      </w:r>
    </w:p>
    <w:p w14:paraId="1D53D507" w14:textId="77777777" w:rsidR="00DD00A8" w:rsidRDefault="00DD00A8" w:rsidP="00DD00A8">
      <w:pPr>
        <w:pStyle w:val="Ttulo2"/>
        <w:rPr>
          <w:rFonts w:ascii="Sura Sans Light" w:hAnsi="Sura Sans Light"/>
          <w:b/>
          <w:bCs/>
          <w:color w:val="2E6E8E"/>
          <w:sz w:val="24"/>
          <w:szCs w:val="24"/>
        </w:rPr>
      </w:pPr>
    </w:p>
    <w:p w14:paraId="3ADFF3EF" w14:textId="286DF4C4" w:rsidR="003E5982" w:rsidRPr="00E33455" w:rsidRDefault="00821D08" w:rsidP="00DD00A8">
      <w:pPr>
        <w:pStyle w:val="Ttulo2"/>
        <w:rPr>
          <w:rFonts w:ascii="Sura Sans Light" w:hAnsi="Sura Sans Light"/>
        </w:rPr>
      </w:pPr>
      <w:r>
        <w:rPr>
          <w:rFonts w:ascii="Sura Sans Light" w:hAnsi="Sura Sans Light"/>
          <w:b/>
          <w:bCs/>
          <w:color w:val="2E6E8E"/>
          <w:sz w:val="24"/>
          <w:szCs w:val="24"/>
        </w:rPr>
        <w:t>b)</w:t>
      </w:r>
      <w:r w:rsidR="003022BB" w:rsidRPr="00E33455">
        <w:rPr>
          <w:rFonts w:ascii="Sura Sans Light" w:hAnsi="Sura Sans Light"/>
          <w:b/>
          <w:bCs/>
          <w:color w:val="2E6E8E"/>
          <w:sz w:val="24"/>
          <w:szCs w:val="24"/>
        </w:rPr>
        <w:t xml:space="preserve">  Revolución Tecnológica y Digitalización</w:t>
      </w:r>
    </w:p>
    <w:p w14:paraId="51A4F735" w14:textId="77777777" w:rsidR="00DD00A8" w:rsidRDefault="00DD00A8" w:rsidP="00DD00A8">
      <w:pPr>
        <w:jc w:val="both"/>
        <w:rPr>
          <w:rFonts w:ascii="Sura Sans Light" w:hAnsi="Sura Sans Light"/>
        </w:rPr>
      </w:pPr>
    </w:p>
    <w:p w14:paraId="3C9DF868" w14:textId="34202E82" w:rsidR="003E5982" w:rsidRDefault="003022BB" w:rsidP="00DD00A8">
      <w:pPr>
        <w:jc w:val="both"/>
        <w:rPr>
          <w:rFonts w:ascii="Sura Sans Light" w:hAnsi="Sura Sans Light"/>
        </w:rPr>
      </w:pPr>
      <w:r w:rsidRPr="00E33455">
        <w:rPr>
          <w:rFonts w:ascii="Sura Sans Light" w:hAnsi="Sura Sans Light"/>
        </w:rPr>
        <w:t>Es la temática con mayor evidencia de desempeño estructural, pero también con mayor riesgo de concentración y de valorización elevada. Se priorizan los pilares diversificados y rentables sobre los relatos de nicho.</w:t>
      </w:r>
    </w:p>
    <w:p w14:paraId="39612D32" w14:textId="77777777" w:rsidR="00DD00A8" w:rsidRPr="00E33455" w:rsidRDefault="00DD00A8" w:rsidP="00DD00A8">
      <w:pPr>
        <w:jc w:val="both"/>
        <w:rPr>
          <w:rFonts w:ascii="Sura Sans Light" w:hAnsi="Sura Sans Light"/>
        </w:rPr>
      </w:pPr>
    </w:p>
    <w:tbl>
      <w:tblPr>
        <w:tblW w:w="9020" w:type="dxa"/>
        <w:tblBorders>
          <w:top w:val="single" w:sz="4" w:space="0" w:color="BBBBBB"/>
          <w:left w:val="single" w:sz="4" w:space="0" w:color="BBBBBB"/>
          <w:bottom w:val="single" w:sz="4" w:space="0" w:color="BBBBBB"/>
          <w:right w:val="single" w:sz="4" w:space="0" w:color="BBBBBB"/>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510"/>
        <w:gridCol w:w="4510"/>
      </w:tblGrid>
      <w:tr w:rsidR="003E5982" w:rsidRPr="00E33455" w14:paraId="3A01F62C" w14:textId="77777777">
        <w:trPr>
          <w:tblHeader/>
        </w:trPr>
        <w:tc>
          <w:tcPr>
            <w:tcW w:w="4510" w:type="dxa"/>
            <w:shd w:val="clear" w:color="auto" w:fill="2E7D32"/>
            <w:tcMar>
              <w:top w:w="60" w:type="dxa"/>
              <w:left w:w="90" w:type="dxa"/>
              <w:bottom w:w="60" w:type="dxa"/>
              <w:right w:w="90" w:type="dxa"/>
            </w:tcMar>
          </w:tcPr>
          <w:p w14:paraId="134F8CCB" w14:textId="77777777" w:rsidR="003E5982" w:rsidRPr="00E33455" w:rsidRDefault="003022BB" w:rsidP="00DD00A8">
            <w:pPr>
              <w:rPr>
                <w:rFonts w:ascii="Sura Sans Light" w:hAnsi="Sura Sans Light"/>
              </w:rPr>
            </w:pPr>
            <w:proofErr w:type="spellStart"/>
            <w:r w:rsidRPr="00E33455">
              <w:rPr>
                <w:rFonts w:ascii="Sura Sans Light" w:hAnsi="Sura Sans Light"/>
                <w:b/>
                <w:bCs/>
                <w:color w:val="FFFFFF"/>
                <w:sz w:val="19"/>
                <w:szCs w:val="19"/>
              </w:rPr>
              <w:t>Subtemáticas</w:t>
            </w:r>
            <w:proofErr w:type="spellEnd"/>
            <w:r w:rsidRPr="00E33455">
              <w:rPr>
                <w:rFonts w:ascii="Sura Sans Light" w:hAnsi="Sura Sans Light"/>
                <w:b/>
                <w:bCs/>
                <w:color w:val="FFFFFF"/>
                <w:sz w:val="19"/>
                <w:szCs w:val="19"/>
              </w:rPr>
              <w:t xml:space="preserve"> ALINEADAS con el mandato</w:t>
            </w:r>
          </w:p>
        </w:tc>
        <w:tc>
          <w:tcPr>
            <w:tcW w:w="4510" w:type="dxa"/>
            <w:shd w:val="clear" w:color="auto" w:fill="B23A3A"/>
            <w:tcMar>
              <w:top w:w="60" w:type="dxa"/>
              <w:left w:w="90" w:type="dxa"/>
              <w:bottom w:w="60" w:type="dxa"/>
              <w:right w:w="90" w:type="dxa"/>
            </w:tcMar>
          </w:tcPr>
          <w:p w14:paraId="6DD90782" w14:textId="77777777" w:rsidR="003E5982" w:rsidRPr="00E33455" w:rsidRDefault="003022BB" w:rsidP="00DD00A8">
            <w:pPr>
              <w:rPr>
                <w:rFonts w:ascii="Sura Sans Light" w:hAnsi="Sura Sans Light"/>
              </w:rPr>
            </w:pPr>
            <w:proofErr w:type="spellStart"/>
            <w:r w:rsidRPr="00E33455">
              <w:rPr>
                <w:rFonts w:ascii="Sura Sans Light" w:hAnsi="Sura Sans Light"/>
                <w:b/>
                <w:bCs/>
                <w:color w:val="FFFFFF"/>
                <w:sz w:val="19"/>
                <w:szCs w:val="19"/>
              </w:rPr>
              <w:t>Subtemáticas</w:t>
            </w:r>
            <w:proofErr w:type="spellEnd"/>
            <w:r w:rsidRPr="00E33455">
              <w:rPr>
                <w:rFonts w:ascii="Sura Sans Light" w:hAnsi="Sura Sans Light"/>
                <w:b/>
                <w:bCs/>
                <w:color w:val="FFFFFF"/>
                <w:sz w:val="19"/>
                <w:szCs w:val="19"/>
              </w:rPr>
              <w:t xml:space="preserve"> de CAUTELA / no priorizadas</w:t>
            </w:r>
          </w:p>
        </w:tc>
      </w:tr>
      <w:tr w:rsidR="003E5982" w:rsidRPr="00E33455" w14:paraId="2D28B523" w14:textId="77777777">
        <w:tc>
          <w:tcPr>
            <w:tcW w:w="4510" w:type="dxa"/>
            <w:shd w:val="clear" w:color="auto" w:fill="E7F1E9"/>
            <w:tcMar>
              <w:top w:w="60" w:type="dxa"/>
              <w:left w:w="90" w:type="dxa"/>
              <w:bottom w:w="60" w:type="dxa"/>
              <w:right w:w="90" w:type="dxa"/>
            </w:tcMar>
          </w:tcPr>
          <w:p w14:paraId="784DB7D8"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 xml:space="preserve">Inteligencia artificial y </w:t>
            </w:r>
            <w:proofErr w:type="spellStart"/>
            <w:r w:rsidRPr="00E33455">
              <w:rPr>
                <w:rFonts w:ascii="Sura Sans Light" w:hAnsi="Sura Sans Light"/>
                <w:color w:val="000000"/>
                <w:sz w:val="19"/>
                <w:szCs w:val="19"/>
              </w:rPr>
              <w:t>big</w:t>
            </w:r>
            <w:proofErr w:type="spellEnd"/>
            <w:r w:rsidRPr="00E33455">
              <w:rPr>
                <w:rFonts w:ascii="Sura Sans Light" w:hAnsi="Sura Sans Light"/>
                <w:color w:val="000000"/>
                <w:sz w:val="19"/>
                <w:szCs w:val="19"/>
              </w:rPr>
              <w:t xml:space="preserve"> data (índices amplios de infraestructura y aplicación de IA).</w:t>
            </w:r>
          </w:p>
          <w:p w14:paraId="5892CCB5"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Semiconductores (vehículos amplios y rentables), con control de concentración.</w:t>
            </w:r>
          </w:p>
          <w:p w14:paraId="12C423AF"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Ciberseguridad (gasto no discrecional y estructural; preferir metodologías equiponderadas).</w:t>
            </w:r>
          </w:p>
          <w:p w14:paraId="0999A195"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Software empresarial / nube.</w:t>
            </w:r>
          </w:p>
        </w:tc>
        <w:tc>
          <w:tcPr>
            <w:tcW w:w="4510" w:type="dxa"/>
            <w:shd w:val="clear" w:color="auto" w:fill="F6EAEA"/>
            <w:tcMar>
              <w:top w:w="60" w:type="dxa"/>
              <w:left w:w="90" w:type="dxa"/>
              <w:bottom w:w="60" w:type="dxa"/>
              <w:right w:w="90" w:type="dxa"/>
            </w:tcMar>
          </w:tcPr>
          <w:p w14:paraId="65D87CA9"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 xml:space="preserve">Nichos de un solo relato: metaverso, </w:t>
            </w:r>
            <w:proofErr w:type="spellStart"/>
            <w:r w:rsidRPr="00E33455">
              <w:rPr>
                <w:rFonts w:ascii="Sura Sans Light" w:hAnsi="Sura Sans Light"/>
                <w:color w:val="000000"/>
                <w:sz w:val="19"/>
                <w:szCs w:val="19"/>
              </w:rPr>
              <w:t>blockchain</w:t>
            </w:r>
            <w:proofErr w:type="spellEnd"/>
            <w:r w:rsidRPr="00E33455">
              <w:rPr>
                <w:rFonts w:ascii="Sura Sans Light" w:hAnsi="Sura Sans Light"/>
                <w:color w:val="000000"/>
                <w:sz w:val="19"/>
                <w:szCs w:val="19"/>
              </w:rPr>
              <w:t>/cripto-</w:t>
            </w:r>
            <w:proofErr w:type="spellStart"/>
            <w:r w:rsidRPr="00E33455">
              <w:rPr>
                <w:rFonts w:ascii="Sura Sans Light" w:hAnsi="Sura Sans Light"/>
                <w:color w:val="000000"/>
                <w:sz w:val="19"/>
                <w:szCs w:val="19"/>
              </w:rPr>
              <w:t>equity</w:t>
            </w:r>
            <w:proofErr w:type="spellEnd"/>
            <w:r w:rsidRPr="00E33455">
              <w:rPr>
                <w:rFonts w:ascii="Sura Sans Light" w:hAnsi="Sura Sans Light"/>
                <w:color w:val="000000"/>
                <w:sz w:val="19"/>
                <w:szCs w:val="19"/>
              </w:rPr>
              <w:t>, computación cuántica, 'disruptivo' de definición vaga.</w:t>
            </w:r>
          </w:p>
          <w:p w14:paraId="3D334DB1"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Fondos lanzados en el pico de euforia del relato.</w:t>
            </w:r>
          </w:p>
          <w:p w14:paraId="74384129" w14:textId="77777777" w:rsidR="003E5982" w:rsidRPr="00E33455" w:rsidRDefault="003022BB" w:rsidP="00DD00A8">
            <w:pPr>
              <w:rPr>
                <w:rFonts w:ascii="Sura Sans Light" w:hAnsi="Sura Sans Light"/>
              </w:rPr>
            </w:pPr>
            <w:proofErr w:type="spellStart"/>
            <w:r w:rsidRPr="00E33455">
              <w:rPr>
                <w:rFonts w:ascii="Sura Sans Light" w:hAnsi="Sura Sans Light"/>
                <w:color w:val="000000"/>
                <w:sz w:val="19"/>
                <w:szCs w:val="19"/>
              </w:rPr>
              <w:t>ETFs</w:t>
            </w:r>
            <w:proofErr w:type="spellEnd"/>
            <w:r w:rsidRPr="00E33455">
              <w:rPr>
                <w:rFonts w:ascii="Sura Sans Light" w:hAnsi="Sura Sans Light"/>
                <w:color w:val="000000"/>
                <w:sz w:val="19"/>
                <w:szCs w:val="19"/>
              </w:rPr>
              <w:t xml:space="preserve"> de semiconductores con top-10 muy concentrado (p. ej. &gt;70% del activo).</w:t>
            </w:r>
          </w:p>
        </w:tc>
      </w:tr>
    </w:tbl>
    <w:p w14:paraId="0DB9C148" w14:textId="77777777" w:rsidR="003E5982" w:rsidRPr="00E33455" w:rsidRDefault="003E5982" w:rsidP="00DD00A8">
      <w:pPr>
        <w:rPr>
          <w:rFonts w:ascii="Sura Sans Light" w:hAnsi="Sura Sans Light"/>
        </w:rPr>
      </w:pPr>
    </w:p>
    <w:p w14:paraId="2A389829" w14:textId="77777777" w:rsidR="003E5982" w:rsidRPr="00E33455" w:rsidRDefault="003022BB" w:rsidP="00DD00A8">
      <w:pPr>
        <w:pStyle w:val="Ttulo3"/>
        <w:rPr>
          <w:rFonts w:ascii="Sura Sans Light" w:hAnsi="Sura Sans Light"/>
        </w:rPr>
      </w:pPr>
      <w:r w:rsidRPr="00E33455">
        <w:rPr>
          <w:rFonts w:ascii="Sura Sans Light" w:hAnsi="Sura Sans Light"/>
          <w:b/>
          <w:bCs/>
          <w:color w:val="444444"/>
          <w:sz w:val="21"/>
          <w:szCs w:val="21"/>
        </w:rPr>
        <w:t>Por qué (evidencia)</w:t>
      </w:r>
    </w:p>
    <w:p w14:paraId="55A73DCB" w14:textId="77777777" w:rsidR="00DD00A8" w:rsidRDefault="00DD00A8" w:rsidP="00DD00A8">
      <w:pPr>
        <w:jc w:val="both"/>
        <w:rPr>
          <w:rFonts w:ascii="Sura Sans Light" w:hAnsi="Sura Sans Light"/>
        </w:rPr>
      </w:pPr>
    </w:p>
    <w:p w14:paraId="58322ECA" w14:textId="600FB533" w:rsidR="003E5982" w:rsidRPr="00E33455" w:rsidRDefault="003022BB" w:rsidP="00DD00A8">
      <w:pPr>
        <w:jc w:val="both"/>
        <w:rPr>
          <w:rFonts w:ascii="Sura Sans Light" w:hAnsi="Sura Sans Light"/>
        </w:rPr>
      </w:pPr>
      <w:r w:rsidRPr="00E33455">
        <w:rPr>
          <w:rFonts w:ascii="Sura Sans Light" w:hAnsi="Sura Sans Light"/>
        </w:rPr>
        <w:t xml:space="preserve">Naffa y Fain (2020) encuentran que 'tecnologías disruptivas' superó significativamente al mercado y mantuvo </w:t>
      </w:r>
      <w:proofErr w:type="gramStart"/>
      <w:r w:rsidRPr="00E33455">
        <w:rPr>
          <w:rFonts w:ascii="Sura Sans Light" w:hAnsi="Sura Sans Light"/>
        </w:rPr>
        <w:t>alfa positivo</w:t>
      </w:r>
      <w:proofErr w:type="gramEnd"/>
      <w:r w:rsidRPr="00E33455">
        <w:rPr>
          <w:rFonts w:ascii="Sura Sans Light" w:hAnsi="Sura Sans Light"/>
        </w:rPr>
        <w:t xml:space="preserve"> en todas las especificaciones, mientras que ciberseguridad y robótica no mostraron </w:t>
      </w:r>
      <w:proofErr w:type="gramStart"/>
      <w:r w:rsidRPr="00E33455">
        <w:rPr>
          <w:rFonts w:ascii="Sura Sans Light" w:hAnsi="Sura Sans Light"/>
        </w:rPr>
        <w:t>alfa significativo</w:t>
      </w:r>
      <w:proofErr w:type="gramEnd"/>
      <w:r w:rsidRPr="00E33455">
        <w:rPr>
          <w:rFonts w:ascii="Sura Sans Light" w:hAnsi="Sura Sans Light"/>
        </w:rPr>
        <w:t xml:space="preserve"> en su muestra, lo que aconseja privilegiar amplitud y calidad sobre nichos. El riesgo dominante es la concentración: algunos vehículos de semiconductores concentran gran parte del activo en pocos nombres, y ciertos </w:t>
      </w:r>
      <w:proofErr w:type="spellStart"/>
      <w:r w:rsidRPr="00E33455">
        <w:rPr>
          <w:rFonts w:ascii="Sura Sans Light" w:hAnsi="Sura Sans Light"/>
        </w:rPr>
        <w:t>ETFs</w:t>
      </w:r>
      <w:proofErr w:type="spellEnd"/>
      <w:r w:rsidRPr="00E33455">
        <w:rPr>
          <w:rFonts w:ascii="Sura Sans Light" w:hAnsi="Sura Sans Light"/>
        </w:rPr>
        <w:t xml:space="preserve"> tecnológicos amplios llegan a pesos de dos dígitos en un solo emisor, elevando la volatilidad idiosincrática (análisis de mercado, 2026). La definición de 'exposición a IA' varía entre proveedores de índices, por lo que la coherencia del índice es decisiva (</w:t>
      </w:r>
      <w:proofErr w:type="spellStart"/>
      <w:r w:rsidRPr="00E33455">
        <w:rPr>
          <w:rFonts w:ascii="Sura Sans Light" w:hAnsi="Sura Sans Light"/>
        </w:rPr>
        <w:t>Candès</w:t>
      </w:r>
      <w:proofErr w:type="spellEnd"/>
      <w:r w:rsidRPr="00E33455">
        <w:rPr>
          <w:rFonts w:ascii="Sura Sans Light" w:hAnsi="Sura Sans Light"/>
        </w:rPr>
        <w:t xml:space="preserve"> y otros, 2025).</w:t>
      </w:r>
    </w:p>
    <w:p w14:paraId="214903FA" w14:textId="77777777" w:rsidR="00DD00A8" w:rsidRDefault="00DD00A8" w:rsidP="00DD00A8">
      <w:pPr>
        <w:pStyle w:val="Ttulo3"/>
        <w:rPr>
          <w:rFonts w:ascii="Sura Sans Light" w:hAnsi="Sura Sans Light"/>
          <w:b/>
          <w:bCs/>
          <w:color w:val="444444"/>
          <w:sz w:val="21"/>
          <w:szCs w:val="21"/>
        </w:rPr>
      </w:pPr>
    </w:p>
    <w:p w14:paraId="1839E9AE" w14:textId="0BFA6D8A" w:rsidR="003E5982" w:rsidRPr="00E33455" w:rsidRDefault="003022BB" w:rsidP="00DD00A8">
      <w:pPr>
        <w:pStyle w:val="Ttulo3"/>
        <w:rPr>
          <w:rFonts w:ascii="Sura Sans Light" w:hAnsi="Sura Sans Light"/>
        </w:rPr>
      </w:pPr>
      <w:r w:rsidRPr="00E33455">
        <w:rPr>
          <w:rFonts w:ascii="Sura Sans Light" w:hAnsi="Sura Sans Light"/>
          <w:b/>
          <w:bCs/>
          <w:color w:val="444444"/>
          <w:sz w:val="21"/>
          <w:szCs w:val="21"/>
        </w:rPr>
        <w:t>Indicadores para que un fondo/ETF califique en esta temática</w:t>
      </w:r>
    </w:p>
    <w:p w14:paraId="37EC31B1" w14:textId="77777777" w:rsidR="00DD00A8" w:rsidRPr="00DD00A8" w:rsidRDefault="00DD00A8" w:rsidP="00DD00A8">
      <w:pPr>
        <w:pStyle w:val="Prrafodelista"/>
        <w:ind w:left="420"/>
        <w:jc w:val="both"/>
        <w:rPr>
          <w:rFonts w:ascii="Sura Sans Light" w:hAnsi="Sura Sans Light"/>
        </w:rPr>
      </w:pPr>
    </w:p>
    <w:p w14:paraId="00C67A14" w14:textId="092A542F"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Control de concentración: </w:t>
      </w:r>
      <w:r w:rsidRPr="00E33455">
        <w:rPr>
          <w:rFonts w:ascii="Sura Sans Light" w:hAnsi="Sura Sans Light"/>
        </w:rPr>
        <w:t>tope top-10 y por nombre; en semiconductores, preferir esquemas que limiten el peso del mayor emisor o equiponderados.</w:t>
      </w:r>
    </w:p>
    <w:p w14:paraId="27C6D52F" w14:textId="77777777" w:rsidR="00DD00A8" w:rsidRPr="00DD00A8" w:rsidRDefault="00DD00A8" w:rsidP="00DD00A8">
      <w:pPr>
        <w:pStyle w:val="Prrafodelista"/>
        <w:ind w:left="420"/>
        <w:jc w:val="both"/>
        <w:rPr>
          <w:rFonts w:ascii="Sura Sans Light" w:hAnsi="Sura Sans Light"/>
        </w:rPr>
      </w:pPr>
    </w:p>
    <w:p w14:paraId="5945F7C7" w14:textId="7B3B29FD"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Solapamiento con el núcleo: </w:t>
      </w:r>
      <w:r w:rsidRPr="00E33455">
        <w:rPr>
          <w:rFonts w:ascii="Sura Sans Light" w:hAnsi="Sura Sans Light"/>
        </w:rPr>
        <w:t xml:space="preserve">medir duplicación con </w:t>
      </w:r>
      <w:proofErr w:type="spellStart"/>
      <w:r w:rsidRPr="00E33455">
        <w:rPr>
          <w:rFonts w:ascii="Sura Sans Light" w:hAnsi="Sura Sans Light"/>
        </w:rPr>
        <w:t>megacaps</w:t>
      </w:r>
      <w:proofErr w:type="spellEnd"/>
      <w:r w:rsidRPr="00E33455">
        <w:rPr>
          <w:rFonts w:ascii="Sura Sans Light" w:hAnsi="Sura Sans Light"/>
        </w:rPr>
        <w:t xml:space="preserve"> tecnológicas ya presentes en la cartera para evitar doble conteo de riesgo.</w:t>
      </w:r>
    </w:p>
    <w:p w14:paraId="53C014C9" w14:textId="77777777" w:rsidR="00DD00A8" w:rsidRPr="00DD00A8" w:rsidRDefault="00DD00A8" w:rsidP="00DD00A8">
      <w:pPr>
        <w:pStyle w:val="Prrafodelista"/>
        <w:ind w:left="420"/>
        <w:jc w:val="both"/>
        <w:rPr>
          <w:rFonts w:ascii="Sura Sans Light" w:hAnsi="Sura Sans Light"/>
        </w:rPr>
      </w:pPr>
    </w:p>
    <w:p w14:paraId="6C3F7511" w14:textId="11ED32BC"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Calidad/valorización: </w:t>
      </w:r>
      <w:r w:rsidRPr="00E33455">
        <w:rPr>
          <w:rFonts w:ascii="Sura Sans Light" w:hAnsi="Sura Sans Light"/>
        </w:rPr>
        <w:t>predominio de compañías rentables y generadoras de caja; monitorear múltiplos frente al historial y al mercado amplio.</w:t>
      </w:r>
    </w:p>
    <w:p w14:paraId="59FC3543" w14:textId="77777777" w:rsidR="00DD00A8" w:rsidRPr="00DD00A8" w:rsidRDefault="00DD00A8" w:rsidP="00DD00A8">
      <w:pPr>
        <w:pStyle w:val="Prrafodelista"/>
        <w:ind w:left="420"/>
        <w:jc w:val="both"/>
        <w:rPr>
          <w:rFonts w:ascii="Sura Sans Light" w:hAnsi="Sura Sans Light"/>
        </w:rPr>
      </w:pPr>
    </w:p>
    <w:p w14:paraId="597B086E" w14:textId="0AEA4F98"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lastRenderedPageBreak/>
        <w:t xml:space="preserve">Coherencia del índice: </w:t>
      </w:r>
      <w:r w:rsidRPr="00E33455">
        <w:rPr>
          <w:rFonts w:ascii="Sura Sans Light" w:hAnsi="Sura Sans Light"/>
        </w:rPr>
        <w:t>metodología transparente; umbral de ingresos ligados al tema, sin degenerar en proxy de un solo nombre.</w:t>
      </w:r>
    </w:p>
    <w:p w14:paraId="3E269E97" w14:textId="77777777" w:rsidR="00DD00A8" w:rsidRPr="00DD00A8" w:rsidRDefault="00DD00A8" w:rsidP="00DD00A8">
      <w:pPr>
        <w:pStyle w:val="Prrafodelista"/>
        <w:ind w:left="420"/>
        <w:jc w:val="both"/>
        <w:rPr>
          <w:rFonts w:ascii="Sura Sans Light" w:hAnsi="Sura Sans Light"/>
        </w:rPr>
      </w:pPr>
    </w:p>
    <w:p w14:paraId="5FFF5C85" w14:textId="3B942A46"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Costo, liquidez, antigüedad: </w:t>
      </w:r>
      <w:r w:rsidRPr="00E33455">
        <w:rPr>
          <w:rFonts w:ascii="Sura Sans Light" w:hAnsi="Sura Sans Light"/>
        </w:rPr>
        <w:t xml:space="preserve">TER competitivo; liquidez alta; </w:t>
      </w:r>
      <w:proofErr w:type="spellStart"/>
      <w:r w:rsidRPr="00E33455">
        <w:rPr>
          <w:rFonts w:ascii="Sura Sans Light" w:hAnsi="Sura Sans Light"/>
        </w:rPr>
        <w:t>track</w:t>
      </w:r>
      <w:proofErr w:type="spellEnd"/>
      <w:r w:rsidRPr="00E33455">
        <w:rPr>
          <w:rFonts w:ascii="Sura Sans Light" w:hAnsi="Sura Sans Light"/>
        </w:rPr>
        <w:t xml:space="preserve"> </w:t>
      </w:r>
      <w:proofErr w:type="spellStart"/>
      <w:r w:rsidRPr="00E33455">
        <w:rPr>
          <w:rFonts w:ascii="Sura Sans Light" w:hAnsi="Sura Sans Light"/>
        </w:rPr>
        <w:t>record</w:t>
      </w:r>
      <w:proofErr w:type="spellEnd"/>
      <w:r w:rsidRPr="00E33455">
        <w:rPr>
          <w:rFonts w:ascii="Sura Sans Light" w:hAnsi="Sura Sans Light"/>
        </w:rPr>
        <w:t xml:space="preserve"> ≥ 3 años.</w:t>
      </w:r>
    </w:p>
    <w:p w14:paraId="6A4D3349" w14:textId="77777777" w:rsidR="00DD00A8" w:rsidRDefault="00DD00A8" w:rsidP="00DD00A8">
      <w:pPr>
        <w:pStyle w:val="Ttulo2"/>
        <w:rPr>
          <w:rFonts w:ascii="Sura Sans Light" w:hAnsi="Sura Sans Light"/>
          <w:b/>
          <w:bCs/>
          <w:color w:val="2E6E8E"/>
          <w:sz w:val="24"/>
          <w:szCs w:val="24"/>
        </w:rPr>
      </w:pPr>
    </w:p>
    <w:p w14:paraId="628D3E1E" w14:textId="6A9ED48E" w:rsidR="003E5982" w:rsidRPr="00E33455" w:rsidRDefault="00821D08" w:rsidP="00DD00A8">
      <w:pPr>
        <w:pStyle w:val="Ttulo2"/>
        <w:rPr>
          <w:rFonts w:ascii="Sura Sans Light" w:hAnsi="Sura Sans Light"/>
        </w:rPr>
      </w:pPr>
      <w:r>
        <w:rPr>
          <w:rFonts w:ascii="Sura Sans Light" w:hAnsi="Sura Sans Light"/>
          <w:b/>
          <w:bCs/>
          <w:color w:val="2E6E8E"/>
          <w:sz w:val="24"/>
          <w:szCs w:val="24"/>
        </w:rPr>
        <w:t>c)</w:t>
      </w:r>
      <w:r w:rsidR="003022BB" w:rsidRPr="00E33455">
        <w:rPr>
          <w:rFonts w:ascii="Sura Sans Light" w:hAnsi="Sura Sans Light"/>
          <w:b/>
          <w:bCs/>
          <w:color w:val="2E6E8E"/>
          <w:sz w:val="24"/>
          <w:szCs w:val="24"/>
        </w:rPr>
        <w:t xml:space="preserve">  Salud y Longevidad</w:t>
      </w:r>
    </w:p>
    <w:p w14:paraId="7F3DEE3A" w14:textId="77777777" w:rsidR="00DD00A8" w:rsidRDefault="00DD00A8" w:rsidP="00DD00A8">
      <w:pPr>
        <w:jc w:val="both"/>
        <w:rPr>
          <w:rFonts w:ascii="Sura Sans Light" w:hAnsi="Sura Sans Light"/>
        </w:rPr>
      </w:pPr>
    </w:p>
    <w:p w14:paraId="5F950300" w14:textId="2EB56058" w:rsidR="003E5982" w:rsidRDefault="003022BB" w:rsidP="00DD00A8">
      <w:pPr>
        <w:jc w:val="both"/>
        <w:rPr>
          <w:rFonts w:ascii="Sura Sans Light" w:hAnsi="Sura Sans Light"/>
        </w:rPr>
      </w:pPr>
      <w:r w:rsidRPr="00E33455">
        <w:rPr>
          <w:rFonts w:ascii="Sura Sans Light" w:hAnsi="Sura Sans Light"/>
        </w:rPr>
        <w:t>Probablemente la temática más compatible con el mandato por su combinación de demanda estructural (envejecimiento) y carácter defensivo (beta menor que el mercado, ingresos recurrentes e inelásticos).</w:t>
      </w:r>
    </w:p>
    <w:p w14:paraId="59BA5B06" w14:textId="77777777" w:rsidR="00DD00A8" w:rsidRPr="00E33455" w:rsidRDefault="00DD00A8" w:rsidP="00DD00A8">
      <w:pPr>
        <w:jc w:val="both"/>
        <w:rPr>
          <w:rFonts w:ascii="Sura Sans Light" w:hAnsi="Sura Sans Light"/>
        </w:rPr>
      </w:pPr>
    </w:p>
    <w:tbl>
      <w:tblPr>
        <w:tblW w:w="9020" w:type="dxa"/>
        <w:tblBorders>
          <w:top w:val="single" w:sz="4" w:space="0" w:color="BBBBBB"/>
          <w:left w:val="single" w:sz="4" w:space="0" w:color="BBBBBB"/>
          <w:bottom w:val="single" w:sz="4" w:space="0" w:color="BBBBBB"/>
          <w:right w:val="single" w:sz="4" w:space="0" w:color="BBBBBB"/>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510"/>
        <w:gridCol w:w="4510"/>
      </w:tblGrid>
      <w:tr w:rsidR="003E5982" w:rsidRPr="00E33455" w14:paraId="3027DF82" w14:textId="77777777">
        <w:trPr>
          <w:tblHeader/>
        </w:trPr>
        <w:tc>
          <w:tcPr>
            <w:tcW w:w="4510" w:type="dxa"/>
            <w:shd w:val="clear" w:color="auto" w:fill="2E7D32"/>
            <w:tcMar>
              <w:top w:w="60" w:type="dxa"/>
              <w:left w:w="90" w:type="dxa"/>
              <w:bottom w:w="60" w:type="dxa"/>
              <w:right w:w="90" w:type="dxa"/>
            </w:tcMar>
          </w:tcPr>
          <w:p w14:paraId="72A10BBC" w14:textId="77777777" w:rsidR="003E5982" w:rsidRPr="00E33455" w:rsidRDefault="003022BB" w:rsidP="00DD00A8">
            <w:pPr>
              <w:rPr>
                <w:rFonts w:ascii="Sura Sans Light" w:hAnsi="Sura Sans Light"/>
              </w:rPr>
            </w:pPr>
            <w:proofErr w:type="spellStart"/>
            <w:r w:rsidRPr="00E33455">
              <w:rPr>
                <w:rFonts w:ascii="Sura Sans Light" w:hAnsi="Sura Sans Light"/>
                <w:b/>
                <w:bCs/>
                <w:color w:val="FFFFFF"/>
                <w:sz w:val="19"/>
                <w:szCs w:val="19"/>
              </w:rPr>
              <w:t>Subtemáticas</w:t>
            </w:r>
            <w:proofErr w:type="spellEnd"/>
            <w:r w:rsidRPr="00E33455">
              <w:rPr>
                <w:rFonts w:ascii="Sura Sans Light" w:hAnsi="Sura Sans Light"/>
                <w:b/>
                <w:bCs/>
                <w:color w:val="FFFFFF"/>
                <w:sz w:val="19"/>
                <w:szCs w:val="19"/>
              </w:rPr>
              <w:t xml:space="preserve"> ALINEADAS con el mandato</w:t>
            </w:r>
          </w:p>
        </w:tc>
        <w:tc>
          <w:tcPr>
            <w:tcW w:w="4510" w:type="dxa"/>
            <w:shd w:val="clear" w:color="auto" w:fill="B23A3A"/>
            <w:tcMar>
              <w:top w:w="60" w:type="dxa"/>
              <w:left w:w="90" w:type="dxa"/>
              <w:bottom w:w="60" w:type="dxa"/>
              <w:right w:w="90" w:type="dxa"/>
            </w:tcMar>
          </w:tcPr>
          <w:p w14:paraId="274C2B5A" w14:textId="77777777" w:rsidR="003E5982" w:rsidRPr="00E33455" w:rsidRDefault="003022BB" w:rsidP="00DD00A8">
            <w:pPr>
              <w:rPr>
                <w:rFonts w:ascii="Sura Sans Light" w:hAnsi="Sura Sans Light"/>
              </w:rPr>
            </w:pPr>
            <w:proofErr w:type="spellStart"/>
            <w:r w:rsidRPr="00E33455">
              <w:rPr>
                <w:rFonts w:ascii="Sura Sans Light" w:hAnsi="Sura Sans Light"/>
                <w:b/>
                <w:bCs/>
                <w:color w:val="FFFFFF"/>
                <w:sz w:val="19"/>
                <w:szCs w:val="19"/>
              </w:rPr>
              <w:t>Subtemáticas</w:t>
            </w:r>
            <w:proofErr w:type="spellEnd"/>
            <w:r w:rsidRPr="00E33455">
              <w:rPr>
                <w:rFonts w:ascii="Sura Sans Light" w:hAnsi="Sura Sans Light"/>
                <w:b/>
                <w:bCs/>
                <w:color w:val="FFFFFF"/>
                <w:sz w:val="19"/>
                <w:szCs w:val="19"/>
              </w:rPr>
              <w:t xml:space="preserve"> de CAUTELA / no priorizadas</w:t>
            </w:r>
          </w:p>
        </w:tc>
      </w:tr>
      <w:tr w:rsidR="003E5982" w:rsidRPr="00E33455" w14:paraId="2533CD78" w14:textId="77777777">
        <w:tc>
          <w:tcPr>
            <w:tcW w:w="4510" w:type="dxa"/>
            <w:shd w:val="clear" w:color="auto" w:fill="E7F1E9"/>
            <w:tcMar>
              <w:top w:w="60" w:type="dxa"/>
              <w:left w:w="90" w:type="dxa"/>
              <w:bottom w:w="60" w:type="dxa"/>
              <w:right w:w="90" w:type="dxa"/>
            </w:tcMar>
          </w:tcPr>
          <w:p w14:paraId="04B64078"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Salud amplia y diversificada (farmacéutica, dispositivos médicos, servicios).</w:t>
            </w:r>
          </w:p>
          <w:p w14:paraId="5ED3DE95"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'Economía plateada' / envejecimiento con filtro de calidad (dispositivos, cuidado del adulto mayor, salud crónica).</w:t>
            </w:r>
          </w:p>
          <w:p w14:paraId="010EF3AB"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Dispositivos médicos y diagnósticos con flujos recurrentes.</w:t>
            </w:r>
          </w:p>
        </w:tc>
        <w:tc>
          <w:tcPr>
            <w:tcW w:w="4510" w:type="dxa"/>
            <w:shd w:val="clear" w:color="auto" w:fill="F6EAEA"/>
            <w:tcMar>
              <w:top w:w="60" w:type="dxa"/>
              <w:left w:w="90" w:type="dxa"/>
              <w:bottom w:w="60" w:type="dxa"/>
              <w:right w:w="90" w:type="dxa"/>
            </w:tcMar>
          </w:tcPr>
          <w:p w14:paraId="35A68C10"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Biotecnología especulativa y de etapa clínica (</w:t>
            </w:r>
            <w:proofErr w:type="spellStart"/>
            <w:r w:rsidRPr="00E33455">
              <w:rPr>
                <w:rFonts w:ascii="Sura Sans Light" w:hAnsi="Sura Sans Light"/>
                <w:color w:val="000000"/>
                <w:sz w:val="19"/>
                <w:szCs w:val="19"/>
              </w:rPr>
              <w:t>pre-ingresos</w:t>
            </w:r>
            <w:proofErr w:type="spellEnd"/>
            <w:r w:rsidRPr="00E33455">
              <w:rPr>
                <w:rFonts w:ascii="Sura Sans Light" w:hAnsi="Sura Sans Light"/>
                <w:color w:val="000000"/>
                <w:sz w:val="19"/>
                <w:szCs w:val="19"/>
              </w:rPr>
              <w:t>, resultados binarios, alta volatilidad).</w:t>
            </w:r>
          </w:p>
          <w:p w14:paraId="51580A58"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Genómica / terapias de un solo padecimiento en formato de nicho.</w:t>
            </w:r>
          </w:p>
          <w:p w14:paraId="3991B0AE" w14:textId="77777777" w:rsidR="003E5982" w:rsidRPr="00E33455" w:rsidRDefault="003022BB" w:rsidP="00DD00A8">
            <w:pPr>
              <w:rPr>
                <w:rFonts w:ascii="Sura Sans Light" w:hAnsi="Sura Sans Light"/>
              </w:rPr>
            </w:pPr>
            <w:proofErr w:type="spellStart"/>
            <w:r w:rsidRPr="00E33455">
              <w:rPr>
                <w:rFonts w:ascii="Sura Sans Light" w:hAnsi="Sura Sans Light"/>
                <w:color w:val="000000"/>
                <w:sz w:val="19"/>
                <w:szCs w:val="19"/>
              </w:rPr>
              <w:t>ETFs</w:t>
            </w:r>
            <w:proofErr w:type="spellEnd"/>
            <w:r w:rsidRPr="00E33455">
              <w:rPr>
                <w:rFonts w:ascii="Sura Sans Light" w:hAnsi="Sura Sans Light"/>
                <w:color w:val="000000"/>
                <w:sz w:val="19"/>
                <w:szCs w:val="19"/>
              </w:rPr>
              <w:t xml:space="preserve"> de 'longevidad' que, sin filtro de rentabilidad, capturen nombres especulativos.</w:t>
            </w:r>
          </w:p>
        </w:tc>
      </w:tr>
    </w:tbl>
    <w:p w14:paraId="4F5E284B" w14:textId="77777777" w:rsidR="003E5982" w:rsidRPr="00E33455" w:rsidRDefault="003E5982" w:rsidP="00DD00A8">
      <w:pPr>
        <w:rPr>
          <w:rFonts w:ascii="Sura Sans Light" w:hAnsi="Sura Sans Light"/>
        </w:rPr>
      </w:pPr>
    </w:p>
    <w:p w14:paraId="6A3CABD2" w14:textId="77777777" w:rsidR="003E5982" w:rsidRPr="00E33455" w:rsidRDefault="003022BB" w:rsidP="00DD00A8">
      <w:pPr>
        <w:pStyle w:val="Ttulo3"/>
        <w:rPr>
          <w:rFonts w:ascii="Sura Sans Light" w:hAnsi="Sura Sans Light"/>
        </w:rPr>
      </w:pPr>
      <w:r w:rsidRPr="00E33455">
        <w:rPr>
          <w:rFonts w:ascii="Sura Sans Light" w:hAnsi="Sura Sans Light"/>
          <w:b/>
          <w:bCs/>
          <w:color w:val="444444"/>
          <w:sz w:val="21"/>
          <w:szCs w:val="21"/>
        </w:rPr>
        <w:t>Por qué (evidencia)</w:t>
      </w:r>
    </w:p>
    <w:p w14:paraId="69AA865A" w14:textId="77777777" w:rsidR="00DD00A8" w:rsidRDefault="00DD00A8" w:rsidP="00DD00A8">
      <w:pPr>
        <w:jc w:val="both"/>
        <w:rPr>
          <w:rFonts w:ascii="Sura Sans Light" w:hAnsi="Sura Sans Light"/>
        </w:rPr>
      </w:pPr>
    </w:p>
    <w:p w14:paraId="34988AAE" w14:textId="5D42E07A" w:rsidR="003E5982" w:rsidRPr="00E33455" w:rsidRDefault="003022BB" w:rsidP="00DD00A8">
      <w:pPr>
        <w:jc w:val="both"/>
        <w:rPr>
          <w:rFonts w:ascii="Sura Sans Light" w:hAnsi="Sura Sans Light"/>
        </w:rPr>
      </w:pPr>
      <w:r w:rsidRPr="00E33455">
        <w:rPr>
          <w:rFonts w:ascii="Sura Sans Light" w:hAnsi="Sura Sans Light"/>
        </w:rPr>
        <w:t>El sector salud exhibe rasgos defensivos: beta inferior a 1, demanda no discrecional y utilidades estables (previo a 2023 encadenó más de dos décadas de crecimiento anual positivo de utilidades, según análisis de mercado), con crecimiento estructural por envejecimiento poblacional. Martí-Ballester (2020) analiza el desempeño financiero de fondos alineados a ODS en biotecnología y salud, confirmando que el segmento admite estrategias con desempeño competitivo. La cautela recae en la biotecnología especulativa, subsegmento de mayor volatilidad y peores fundamentos; por ello se prioriza salud amplia y de calidad sobre la apuesta demográfica estrecha (en Naffa y Fain, 2020, 'envejecimiento' no mostró alfa significativo e incluso negativo neto de costos).</w:t>
      </w:r>
    </w:p>
    <w:p w14:paraId="37CB2DF1" w14:textId="77777777" w:rsidR="00DD00A8" w:rsidRDefault="00DD00A8" w:rsidP="00DD00A8">
      <w:pPr>
        <w:pStyle w:val="Ttulo3"/>
        <w:rPr>
          <w:rFonts w:ascii="Sura Sans Light" w:hAnsi="Sura Sans Light"/>
          <w:b/>
          <w:bCs/>
          <w:color w:val="444444"/>
          <w:sz w:val="21"/>
          <w:szCs w:val="21"/>
        </w:rPr>
      </w:pPr>
    </w:p>
    <w:p w14:paraId="5B0D048F" w14:textId="4DF12953" w:rsidR="003E5982" w:rsidRPr="00E33455" w:rsidRDefault="003022BB" w:rsidP="00DD00A8">
      <w:pPr>
        <w:pStyle w:val="Ttulo3"/>
        <w:rPr>
          <w:rFonts w:ascii="Sura Sans Light" w:hAnsi="Sura Sans Light"/>
        </w:rPr>
      </w:pPr>
      <w:r w:rsidRPr="00E33455">
        <w:rPr>
          <w:rFonts w:ascii="Sura Sans Light" w:hAnsi="Sura Sans Light"/>
          <w:b/>
          <w:bCs/>
          <w:color w:val="444444"/>
          <w:sz w:val="21"/>
          <w:szCs w:val="21"/>
        </w:rPr>
        <w:t>Indicadores para que un fondo/ETF califique en esta temática</w:t>
      </w:r>
    </w:p>
    <w:p w14:paraId="23B62DD6" w14:textId="77777777" w:rsidR="00DD00A8" w:rsidRPr="00DD00A8" w:rsidRDefault="00DD00A8" w:rsidP="00DD00A8">
      <w:pPr>
        <w:pStyle w:val="Prrafodelista"/>
        <w:ind w:left="420"/>
        <w:jc w:val="both"/>
        <w:rPr>
          <w:rFonts w:ascii="Sura Sans Light" w:hAnsi="Sura Sans Light"/>
        </w:rPr>
      </w:pPr>
    </w:p>
    <w:p w14:paraId="1D74C981" w14:textId="08AE59C2"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Perfil defensivo: </w:t>
      </w:r>
      <w:r w:rsidRPr="00E33455">
        <w:rPr>
          <w:rFonts w:ascii="Sura Sans Light" w:hAnsi="Sura Sans Light"/>
        </w:rPr>
        <w:t>beta del vehículo ≤ ~0.9; volatilidad moderada; dividendos/flujo de caja.</w:t>
      </w:r>
    </w:p>
    <w:p w14:paraId="3F1216E6" w14:textId="77777777" w:rsidR="00DD00A8" w:rsidRPr="00DD00A8" w:rsidRDefault="00DD00A8" w:rsidP="00DD00A8">
      <w:pPr>
        <w:pStyle w:val="Prrafodelista"/>
        <w:ind w:left="420"/>
        <w:jc w:val="both"/>
        <w:rPr>
          <w:rFonts w:ascii="Sura Sans Light" w:hAnsi="Sura Sans Light"/>
        </w:rPr>
      </w:pPr>
    </w:p>
    <w:p w14:paraId="24630E64" w14:textId="1F0933BA"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Filtro de calidad: </w:t>
      </w:r>
      <w:r w:rsidRPr="00E33455">
        <w:rPr>
          <w:rFonts w:ascii="Sura Sans Light" w:hAnsi="Sura Sans Light"/>
        </w:rPr>
        <w:t xml:space="preserve">límite a la participación de biotecnología </w:t>
      </w:r>
      <w:proofErr w:type="spellStart"/>
      <w:r w:rsidRPr="00E33455">
        <w:rPr>
          <w:rFonts w:ascii="Sura Sans Light" w:hAnsi="Sura Sans Light"/>
        </w:rPr>
        <w:t>pre-ingresos</w:t>
      </w:r>
      <w:proofErr w:type="spellEnd"/>
      <w:r w:rsidRPr="00E33455">
        <w:rPr>
          <w:rFonts w:ascii="Sura Sans Light" w:hAnsi="Sura Sans Light"/>
        </w:rPr>
        <w:t>; predominio de emisores rentables.</w:t>
      </w:r>
    </w:p>
    <w:p w14:paraId="4BAC7CE3" w14:textId="77777777" w:rsidR="00DD00A8" w:rsidRPr="00DD00A8" w:rsidRDefault="00DD00A8" w:rsidP="00DD00A8">
      <w:pPr>
        <w:pStyle w:val="Prrafodelista"/>
        <w:ind w:left="420"/>
        <w:jc w:val="both"/>
        <w:rPr>
          <w:rFonts w:ascii="Sura Sans Light" w:hAnsi="Sura Sans Light"/>
        </w:rPr>
      </w:pPr>
    </w:p>
    <w:p w14:paraId="072BD278" w14:textId="34055577"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Diversificación por subsector: </w:t>
      </w:r>
      <w:r w:rsidRPr="00E33455">
        <w:rPr>
          <w:rFonts w:ascii="Sura Sans Light" w:hAnsi="Sura Sans Light"/>
        </w:rPr>
        <w:t>reparto entre farmacéutica, dispositivos y servicios; topes de concentración.</w:t>
      </w:r>
    </w:p>
    <w:p w14:paraId="37B310FF" w14:textId="77777777" w:rsidR="00DD00A8" w:rsidRPr="00DD00A8" w:rsidRDefault="00DD00A8" w:rsidP="00DD00A8">
      <w:pPr>
        <w:pStyle w:val="Prrafodelista"/>
        <w:ind w:left="420"/>
        <w:jc w:val="both"/>
        <w:rPr>
          <w:rFonts w:ascii="Sura Sans Light" w:hAnsi="Sura Sans Light"/>
        </w:rPr>
      </w:pPr>
    </w:p>
    <w:p w14:paraId="37360BA7" w14:textId="333FF552"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Exposición demográfica real: </w:t>
      </w:r>
      <w:r w:rsidRPr="00E33455">
        <w:rPr>
          <w:rFonts w:ascii="Sura Sans Light" w:hAnsi="Sura Sans Light"/>
        </w:rPr>
        <w:t>para fondos de 'longevidad', umbral de ingresos ligados al tema junto con el filtro de rentabilidad.</w:t>
      </w:r>
    </w:p>
    <w:p w14:paraId="7095CCED" w14:textId="77777777" w:rsidR="00DD00A8" w:rsidRPr="00DD00A8" w:rsidRDefault="00DD00A8" w:rsidP="00DD00A8">
      <w:pPr>
        <w:pStyle w:val="Prrafodelista"/>
        <w:ind w:left="420"/>
        <w:jc w:val="both"/>
        <w:rPr>
          <w:rFonts w:ascii="Sura Sans Light" w:hAnsi="Sura Sans Light"/>
        </w:rPr>
      </w:pPr>
    </w:p>
    <w:p w14:paraId="2F69D924" w14:textId="6B9FE80B"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Costo, liquidez, antigüedad: </w:t>
      </w:r>
      <w:r w:rsidRPr="00E33455">
        <w:rPr>
          <w:rFonts w:ascii="Sura Sans Light" w:hAnsi="Sura Sans Light"/>
        </w:rPr>
        <w:t xml:space="preserve">TER competitivo; AUM y </w:t>
      </w:r>
      <w:proofErr w:type="gramStart"/>
      <w:r w:rsidRPr="00E33455">
        <w:rPr>
          <w:rFonts w:ascii="Sura Sans Light" w:hAnsi="Sura Sans Light"/>
        </w:rPr>
        <w:t>liquidez suficientes</w:t>
      </w:r>
      <w:proofErr w:type="gramEnd"/>
      <w:r w:rsidRPr="00E33455">
        <w:rPr>
          <w:rFonts w:ascii="Sura Sans Light" w:hAnsi="Sura Sans Light"/>
        </w:rPr>
        <w:t xml:space="preserve">; </w:t>
      </w:r>
      <w:proofErr w:type="spellStart"/>
      <w:r w:rsidRPr="00E33455">
        <w:rPr>
          <w:rFonts w:ascii="Sura Sans Light" w:hAnsi="Sura Sans Light"/>
        </w:rPr>
        <w:t>track</w:t>
      </w:r>
      <w:proofErr w:type="spellEnd"/>
      <w:r w:rsidRPr="00E33455">
        <w:rPr>
          <w:rFonts w:ascii="Sura Sans Light" w:hAnsi="Sura Sans Light"/>
        </w:rPr>
        <w:t xml:space="preserve"> </w:t>
      </w:r>
      <w:proofErr w:type="spellStart"/>
      <w:r w:rsidRPr="00E33455">
        <w:rPr>
          <w:rFonts w:ascii="Sura Sans Light" w:hAnsi="Sura Sans Light"/>
        </w:rPr>
        <w:t>record</w:t>
      </w:r>
      <w:proofErr w:type="spellEnd"/>
      <w:r w:rsidRPr="00E33455">
        <w:rPr>
          <w:rFonts w:ascii="Sura Sans Light" w:hAnsi="Sura Sans Light"/>
        </w:rPr>
        <w:t xml:space="preserve"> ≥ 3 años.</w:t>
      </w:r>
    </w:p>
    <w:p w14:paraId="61587268" w14:textId="77777777" w:rsidR="00DD00A8" w:rsidRDefault="00DD00A8" w:rsidP="00DD00A8">
      <w:pPr>
        <w:pStyle w:val="Ttulo2"/>
        <w:rPr>
          <w:rFonts w:ascii="Sura Sans Light" w:hAnsi="Sura Sans Light"/>
          <w:b/>
          <w:bCs/>
          <w:color w:val="2E6E8E"/>
          <w:sz w:val="24"/>
          <w:szCs w:val="24"/>
        </w:rPr>
      </w:pPr>
    </w:p>
    <w:p w14:paraId="0ABBFAE5" w14:textId="3DE3A5B2" w:rsidR="003E5982" w:rsidRPr="00E33455" w:rsidRDefault="00821D08" w:rsidP="00DD00A8">
      <w:pPr>
        <w:pStyle w:val="Ttulo2"/>
        <w:rPr>
          <w:rFonts w:ascii="Sura Sans Light" w:hAnsi="Sura Sans Light"/>
        </w:rPr>
      </w:pPr>
      <w:r>
        <w:rPr>
          <w:rFonts w:ascii="Sura Sans Light" w:hAnsi="Sura Sans Light"/>
          <w:b/>
          <w:bCs/>
          <w:color w:val="2E6E8E"/>
          <w:sz w:val="24"/>
          <w:szCs w:val="24"/>
        </w:rPr>
        <w:t>d)</w:t>
      </w:r>
      <w:r w:rsidR="003022BB" w:rsidRPr="00E33455">
        <w:rPr>
          <w:rFonts w:ascii="Sura Sans Light" w:hAnsi="Sura Sans Light"/>
          <w:b/>
          <w:bCs/>
          <w:color w:val="2E6E8E"/>
          <w:sz w:val="24"/>
          <w:szCs w:val="24"/>
        </w:rPr>
        <w:t xml:space="preserve">  Seguridad Alimentaria y Agricultura Sostenible</w:t>
      </w:r>
    </w:p>
    <w:p w14:paraId="780F7D97" w14:textId="77777777" w:rsidR="00DD00A8" w:rsidRDefault="00DD00A8" w:rsidP="00DD00A8">
      <w:pPr>
        <w:jc w:val="both"/>
        <w:rPr>
          <w:rFonts w:ascii="Sura Sans Light" w:hAnsi="Sura Sans Light"/>
        </w:rPr>
      </w:pPr>
    </w:p>
    <w:p w14:paraId="6894DB3C" w14:textId="1929EA55" w:rsidR="003E5982" w:rsidRDefault="003022BB" w:rsidP="00DD00A8">
      <w:pPr>
        <w:jc w:val="both"/>
        <w:rPr>
          <w:rFonts w:ascii="Sura Sans Light" w:hAnsi="Sura Sans Light"/>
        </w:rPr>
      </w:pPr>
      <w:r w:rsidRPr="00E33455">
        <w:rPr>
          <w:rFonts w:ascii="Sura Sans Light" w:hAnsi="Sura Sans Light"/>
        </w:rPr>
        <w:t>Se prioriza la exposición a la cadena de valor agroindustrial vía acciones (no vía futuros de materias primas), por sus flujos, dividendos y sensibilidad a inflación.</w:t>
      </w:r>
    </w:p>
    <w:p w14:paraId="3F117957" w14:textId="77777777" w:rsidR="00DD00A8" w:rsidRPr="00E33455" w:rsidRDefault="00DD00A8" w:rsidP="00DD00A8">
      <w:pPr>
        <w:jc w:val="both"/>
        <w:rPr>
          <w:rFonts w:ascii="Sura Sans Light" w:hAnsi="Sura Sans Light"/>
        </w:rPr>
      </w:pPr>
    </w:p>
    <w:tbl>
      <w:tblPr>
        <w:tblW w:w="9020" w:type="dxa"/>
        <w:tblBorders>
          <w:top w:val="single" w:sz="4" w:space="0" w:color="BBBBBB"/>
          <w:left w:val="single" w:sz="4" w:space="0" w:color="BBBBBB"/>
          <w:bottom w:val="single" w:sz="4" w:space="0" w:color="BBBBBB"/>
          <w:right w:val="single" w:sz="4" w:space="0" w:color="BBBBBB"/>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510"/>
        <w:gridCol w:w="4510"/>
      </w:tblGrid>
      <w:tr w:rsidR="003E5982" w:rsidRPr="00E33455" w14:paraId="64EB214F" w14:textId="77777777">
        <w:trPr>
          <w:tblHeader/>
        </w:trPr>
        <w:tc>
          <w:tcPr>
            <w:tcW w:w="4510" w:type="dxa"/>
            <w:shd w:val="clear" w:color="auto" w:fill="2E7D32"/>
            <w:tcMar>
              <w:top w:w="60" w:type="dxa"/>
              <w:left w:w="90" w:type="dxa"/>
              <w:bottom w:w="60" w:type="dxa"/>
              <w:right w:w="90" w:type="dxa"/>
            </w:tcMar>
          </w:tcPr>
          <w:p w14:paraId="31AB87E8" w14:textId="77777777" w:rsidR="003E5982" w:rsidRPr="00E33455" w:rsidRDefault="003022BB" w:rsidP="00DD00A8">
            <w:pPr>
              <w:rPr>
                <w:rFonts w:ascii="Sura Sans Light" w:hAnsi="Sura Sans Light"/>
              </w:rPr>
            </w:pPr>
            <w:proofErr w:type="spellStart"/>
            <w:r w:rsidRPr="00E33455">
              <w:rPr>
                <w:rFonts w:ascii="Sura Sans Light" w:hAnsi="Sura Sans Light"/>
                <w:b/>
                <w:bCs/>
                <w:color w:val="FFFFFF"/>
                <w:sz w:val="19"/>
                <w:szCs w:val="19"/>
              </w:rPr>
              <w:lastRenderedPageBreak/>
              <w:t>Subtemáticas</w:t>
            </w:r>
            <w:proofErr w:type="spellEnd"/>
            <w:r w:rsidRPr="00E33455">
              <w:rPr>
                <w:rFonts w:ascii="Sura Sans Light" w:hAnsi="Sura Sans Light"/>
                <w:b/>
                <w:bCs/>
                <w:color w:val="FFFFFF"/>
                <w:sz w:val="19"/>
                <w:szCs w:val="19"/>
              </w:rPr>
              <w:t xml:space="preserve"> ALINEADAS con el mandato</w:t>
            </w:r>
          </w:p>
        </w:tc>
        <w:tc>
          <w:tcPr>
            <w:tcW w:w="4510" w:type="dxa"/>
            <w:shd w:val="clear" w:color="auto" w:fill="B23A3A"/>
            <w:tcMar>
              <w:top w:w="60" w:type="dxa"/>
              <w:left w:w="90" w:type="dxa"/>
              <w:bottom w:w="60" w:type="dxa"/>
              <w:right w:w="90" w:type="dxa"/>
            </w:tcMar>
          </w:tcPr>
          <w:p w14:paraId="1C899378" w14:textId="77777777" w:rsidR="003E5982" w:rsidRPr="00E33455" w:rsidRDefault="003022BB" w:rsidP="00DD00A8">
            <w:pPr>
              <w:rPr>
                <w:rFonts w:ascii="Sura Sans Light" w:hAnsi="Sura Sans Light"/>
              </w:rPr>
            </w:pPr>
            <w:proofErr w:type="spellStart"/>
            <w:r w:rsidRPr="00E33455">
              <w:rPr>
                <w:rFonts w:ascii="Sura Sans Light" w:hAnsi="Sura Sans Light"/>
                <w:b/>
                <w:bCs/>
                <w:color w:val="FFFFFF"/>
                <w:sz w:val="19"/>
                <w:szCs w:val="19"/>
              </w:rPr>
              <w:t>Subtemáticas</w:t>
            </w:r>
            <w:proofErr w:type="spellEnd"/>
            <w:r w:rsidRPr="00E33455">
              <w:rPr>
                <w:rFonts w:ascii="Sura Sans Light" w:hAnsi="Sura Sans Light"/>
                <w:b/>
                <w:bCs/>
                <w:color w:val="FFFFFF"/>
                <w:sz w:val="19"/>
                <w:szCs w:val="19"/>
              </w:rPr>
              <w:t xml:space="preserve"> de CAUTELA / no priorizadas</w:t>
            </w:r>
          </w:p>
        </w:tc>
      </w:tr>
      <w:tr w:rsidR="003E5982" w:rsidRPr="00E33455" w14:paraId="01812730" w14:textId="77777777">
        <w:tc>
          <w:tcPr>
            <w:tcW w:w="4510" w:type="dxa"/>
            <w:shd w:val="clear" w:color="auto" w:fill="E7F1E9"/>
            <w:tcMar>
              <w:top w:w="60" w:type="dxa"/>
              <w:left w:w="90" w:type="dxa"/>
              <w:bottom w:w="60" w:type="dxa"/>
              <w:right w:w="90" w:type="dxa"/>
            </w:tcMar>
          </w:tcPr>
          <w:p w14:paraId="2B69AED0"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Cadena de valor agroindustrial en acciones: insumos (fertilizantes, semillas, protección de cultivos), maquinaria y equipos, procesamiento y logística.</w:t>
            </w:r>
          </w:p>
          <w:p w14:paraId="1064369C"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 xml:space="preserve">Agua (puente con economía circular): </w:t>
            </w:r>
            <w:proofErr w:type="spellStart"/>
            <w:r w:rsidRPr="00E33455">
              <w:rPr>
                <w:rFonts w:ascii="Sura Sans Light" w:hAnsi="Sura Sans Light"/>
                <w:color w:val="000000"/>
                <w:sz w:val="19"/>
                <w:szCs w:val="19"/>
              </w:rPr>
              <w:t>utilities</w:t>
            </w:r>
            <w:proofErr w:type="spellEnd"/>
            <w:r w:rsidRPr="00E33455">
              <w:rPr>
                <w:rFonts w:ascii="Sura Sans Light" w:hAnsi="Sura Sans Light"/>
                <w:color w:val="000000"/>
                <w:sz w:val="19"/>
                <w:szCs w:val="19"/>
              </w:rPr>
              <w:t xml:space="preserve"> e infraestructura hídrica.</w:t>
            </w:r>
          </w:p>
          <w:p w14:paraId="6F8FB85D"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Agricultura de precisión dentro de fondos diversificados de agronegocios.</w:t>
            </w:r>
          </w:p>
        </w:tc>
        <w:tc>
          <w:tcPr>
            <w:tcW w:w="4510" w:type="dxa"/>
            <w:shd w:val="clear" w:color="auto" w:fill="F6EAEA"/>
            <w:tcMar>
              <w:top w:w="60" w:type="dxa"/>
              <w:left w:w="90" w:type="dxa"/>
              <w:bottom w:w="60" w:type="dxa"/>
              <w:right w:w="90" w:type="dxa"/>
            </w:tcMar>
          </w:tcPr>
          <w:p w14:paraId="77A0C2BD" w14:textId="77777777" w:rsidR="003E5982" w:rsidRPr="00E33455" w:rsidRDefault="003022BB" w:rsidP="00DD00A8">
            <w:pPr>
              <w:rPr>
                <w:rFonts w:ascii="Sura Sans Light" w:hAnsi="Sura Sans Light"/>
              </w:rPr>
            </w:pPr>
            <w:proofErr w:type="spellStart"/>
            <w:r w:rsidRPr="00E33455">
              <w:rPr>
                <w:rFonts w:ascii="Sura Sans Light" w:hAnsi="Sura Sans Light"/>
                <w:color w:val="000000"/>
                <w:sz w:val="19"/>
                <w:szCs w:val="19"/>
              </w:rPr>
              <w:t>ETFs</w:t>
            </w:r>
            <w:proofErr w:type="spellEnd"/>
            <w:r w:rsidRPr="00E33455">
              <w:rPr>
                <w:rFonts w:ascii="Sura Sans Light" w:hAnsi="Sura Sans Light"/>
                <w:color w:val="000000"/>
                <w:sz w:val="19"/>
                <w:szCs w:val="19"/>
              </w:rPr>
              <w:t xml:space="preserve"> de materias primas agrícolas basados en futuros (arrastre por roll/</w:t>
            </w:r>
            <w:proofErr w:type="spellStart"/>
            <w:r w:rsidRPr="00E33455">
              <w:rPr>
                <w:rFonts w:ascii="Sura Sans Light" w:hAnsi="Sura Sans Light"/>
                <w:color w:val="000000"/>
                <w:sz w:val="19"/>
                <w:szCs w:val="19"/>
              </w:rPr>
              <w:t>contango</w:t>
            </w:r>
            <w:proofErr w:type="spellEnd"/>
            <w:r w:rsidRPr="00E33455">
              <w:rPr>
                <w:rFonts w:ascii="Sura Sans Light" w:hAnsi="Sura Sans Light"/>
                <w:color w:val="000000"/>
                <w:sz w:val="19"/>
                <w:szCs w:val="19"/>
              </w:rPr>
              <w:t>, volatilidad climática, sin flujos de caja).</w:t>
            </w:r>
          </w:p>
          <w:p w14:paraId="6D5BCFB5"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Proteínas alternativas / '</w:t>
            </w:r>
            <w:proofErr w:type="spellStart"/>
            <w:r w:rsidRPr="00E33455">
              <w:rPr>
                <w:rFonts w:ascii="Sura Sans Light" w:hAnsi="Sura Sans Light"/>
                <w:color w:val="000000"/>
                <w:sz w:val="19"/>
                <w:szCs w:val="19"/>
              </w:rPr>
              <w:t>plant-based</w:t>
            </w:r>
            <w:proofErr w:type="spellEnd"/>
            <w:r w:rsidRPr="00E33455">
              <w:rPr>
                <w:rFonts w:ascii="Sura Sans Light" w:hAnsi="Sura Sans Light"/>
                <w:color w:val="000000"/>
                <w:sz w:val="19"/>
                <w:szCs w:val="19"/>
              </w:rPr>
              <w:t xml:space="preserve">' de nicho y </w:t>
            </w:r>
            <w:proofErr w:type="spellStart"/>
            <w:r w:rsidRPr="00E33455">
              <w:rPr>
                <w:rFonts w:ascii="Sura Sans Light" w:hAnsi="Sura Sans Light"/>
                <w:color w:val="000000"/>
                <w:sz w:val="19"/>
                <w:szCs w:val="19"/>
              </w:rPr>
              <w:t>pre-rentabilidad</w:t>
            </w:r>
            <w:proofErr w:type="spellEnd"/>
            <w:r w:rsidRPr="00E33455">
              <w:rPr>
                <w:rFonts w:ascii="Sura Sans Light" w:hAnsi="Sura Sans Light"/>
                <w:color w:val="000000"/>
                <w:sz w:val="19"/>
                <w:szCs w:val="19"/>
              </w:rPr>
              <w:t>.</w:t>
            </w:r>
          </w:p>
          <w:p w14:paraId="763C471D"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Apuestas a una sola materia prima.</w:t>
            </w:r>
          </w:p>
        </w:tc>
      </w:tr>
    </w:tbl>
    <w:p w14:paraId="52C91575" w14:textId="77777777" w:rsidR="003E5982" w:rsidRPr="00E33455" w:rsidRDefault="003E5982" w:rsidP="00DD00A8">
      <w:pPr>
        <w:rPr>
          <w:rFonts w:ascii="Sura Sans Light" w:hAnsi="Sura Sans Light"/>
        </w:rPr>
      </w:pPr>
    </w:p>
    <w:p w14:paraId="07490C1D" w14:textId="77777777" w:rsidR="003E5982" w:rsidRPr="00E33455" w:rsidRDefault="003022BB" w:rsidP="00DD00A8">
      <w:pPr>
        <w:pStyle w:val="Ttulo3"/>
        <w:rPr>
          <w:rFonts w:ascii="Sura Sans Light" w:hAnsi="Sura Sans Light"/>
        </w:rPr>
      </w:pPr>
      <w:r w:rsidRPr="00E33455">
        <w:rPr>
          <w:rFonts w:ascii="Sura Sans Light" w:hAnsi="Sura Sans Light"/>
          <w:b/>
          <w:bCs/>
          <w:color w:val="444444"/>
          <w:sz w:val="21"/>
          <w:szCs w:val="21"/>
        </w:rPr>
        <w:t>Por qué (evidencia)</w:t>
      </w:r>
    </w:p>
    <w:p w14:paraId="378990EC" w14:textId="77777777" w:rsidR="00DD00A8" w:rsidRDefault="00DD00A8" w:rsidP="00DD00A8">
      <w:pPr>
        <w:jc w:val="both"/>
        <w:rPr>
          <w:rFonts w:ascii="Sura Sans Light" w:hAnsi="Sura Sans Light"/>
        </w:rPr>
      </w:pPr>
    </w:p>
    <w:p w14:paraId="186274FA" w14:textId="05520B56" w:rsidR="003E5982" w:rsidRPr="00E33455" w:rsidRDefault="003022BB" w:rsidP="00DD00A8">
      <w:pPr>
        <w:jc w:val="both"/>
        <w:rPr>
          <w:rFonts w:ascii="Sura Sans Light" w:hAnsi="Sura Sans Light"/>
        </w:rPr>
      </w:pPr>
      <w:r w:rsidRPr="00E33455">
        <w:rPr>
          <w:rFonts w:ascii="Sura Sans Light" w:hAnsi="Sura Sans Light"/>
        </w:rPr>
        <w:t xml:space="preserve">Naffa y Fain (2020) reportan que 'seguridad alimentaria' superó al mercado antes de costos, pero su ventaja se vuelve negativa y significativa tras ~50 pb de costos, lo que refuerza la disciplina de costos. La literatura distingue con claridad las acciones agroindustriales —que aportan apalancamiento operativo, márgenes, dividendos y ejecución— de las materias primas, que ofrecen exposición más limpia al </w:t>
      </w:r>
      <w:proofErr w:type="gramStart"/>
      <w:r w:rsidRPr="00E33455">
        <w:rPr>
          <w:rFonts w:ascii="Sura Sans Light" w:hAnsi="Sura Sans Light"/>
        </w:rPr>
        <w:t>precio</w:t>
      </w:r>
      <w:proofErr w:type="gramEnd"/>
      <w:r w:rsidRPr="00E33455">
        <w:rPr>
          <w:rFonts w:ascii="Sura Sans Light" w:hAnsi="Sura Sans Light"/>
        </w:rPr>
        <w:t xml:space="preserve"> pero con volatilidad y arrastre por roll (comentario de mercado, LPL, 2026). Adicionalmente, las empresas de fertilizantes/insumos muestran sensibilidad a la inflación de alimentos, útil como cobertura parcial para pasivos de largo plazo (</w:t>
      </w:r>
      <w:proofErr w:type="spellStart"/>
      <w:r w:rsidRPr="00E33455">
        <w:rPr>
          <w:rFonts w:ascii="Sura Sans Light" w:hAnsi="Sura Sans Light"/>
        </w:rPr>
        <w:t>Resources</w:t>
      </w:r>
      <w:proofErr w:type="spellEnd"/>
      <w:r w:rsidRPr="00E33455">
        <w:rPr>
          <w:rFonts w:ascii="Sura Sans Light" w:hAnsi="Sura Sans Light"/>
        </w:rPr>
        <w:t xml:space="preserve"> Policy, 2013). Por ello se privilegia el formato de acciones sobre el de futuros.</w:t>
      </w:r>
    </w:p>
    <w:p w14:paraId="7DAEBA4C" w14:textId="77777777" w:rsidR="00DD00A8" w:rsidRDefault="00DD00A8" w:rsidP="00DD00A8">
      <w:pPr>
        <w:pStyle w:val="Ttulo3"/>
        <w:rPr>
          <w:rFonts w:ascii="Sura Sans Light" w:hAnsi="Sura Sans Light"/>
          <w:b/>
          <w:bCs/>
          <w:color w:val="444444"/>
          <w:sz w:val="21"/>
          <w:szCs w:val="21"/>
        </w:rPr>
      </w:pPr>
    </w:p>
    <w:p w14:paraId="142E5664" w14:textId="1C68DB38" w:rsidR="003E5982" w:rsidRPr="00E33455" w:rsidRDefault="003022BB" w:rsidP="00DD00A8">
      <w:pPr>
        <w:pStyle w:val="Ttulo3"/>
        <w:rPr>
          <w:rFonts w:ascii="Sura Sans Light" w:hAnsi="Sura Sans Light"/>
        </w:rPr>
      </w:pPr>
      <w:r w:rsidRPr="00E33455">
        <w:rPr>
          <w:rFonts w:ascii="Sura Sans Light" w:hAnsi="Sura Sans Light"/>
          <w:b/>
          <w:bCs/>
          <w:color w:val="444444"/>
          <w:sz w:val="21"/>
          <w:szCs w:val="21"/>
        </w:rPr>
        <w:t>Indicadores para que un fondo/ETF califique en esta temática</w:t>
      </w:r>
    </w:p>
    <w:p w14:paraId="05501D7C" w14:textId="77777777" w:rsidR="00DD00A8" w:rsidRPr="00DD00A8" w:rsidRDefault="00DD00A8" w:rsidP="00DD00A8">
      <w:pPr>
        <w:pStyle w:val="Prrafodelista"/>
        <w:ind w:left="420"/>
        <w:jc w:val="both"/>
        <w:rPr>
          <w:rFonts w:ascii="Sura Sans Light" w:hAnsi="Sura Sans Light"/>
        </w:rPr>
      </w:pPr>
    </w:p>
    <w:p w14:paraId="50B4FD50" w14:textId="332DF656"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Estructura del vehículo: </w:t>
      </w:r>
      <w:r w:rsidRPr="00E33455">
        <w:rPr>
          <w:rFonts w:ascii="Sura Sans Light" w:hAnsi="Sura Sans Light"/>
        </w:rPr>
        <w:t xml:space="preserve">basado en acciones de la cadena de valor, no en futuros; evitar estructuras expuestas a </w:t>
      </w:r>
      <w:proofErr w:type="spellStart"/>
      <w:r w:rsidRPr="00E33455">
        <w:rPr>
          <w:rFonts w:ascii="Sura Sans Light" w:hAnsi="Sura Sans Light"/>
        </w:rPr>
        <w:t>contango</w:t>
      </w:r>
      <w:proofErr w:type="spellEnd"/>
      <w:r w:rsidRPr="00E33455">
        <w:rPr>
          <w:rFonts w:ascii="Sura Sans Light" w:hAnsi="Sura Sans Light"/>
        </w:rPr>
        <w:t>.</w:t>
      </w:r>
    </w:p>
    <w:p w14:paraId="0C308DDE" w14:textId="77777777" w:rsidR="00DD00A8" w:rsidRPr="00DD00A8" w:rsidRDefault="00DD00A8" w:rsidP="00DD00A8">
      <w:pPr>
        <w:pStyle w:val="Prrafodelista"/>
        <w:ind w:left="420"/>
        <w:jc w:val="both"/>
        <w:rPr>
          <w:rFonts w:ascii="Sura Sans Light" w:hAnsi="Sura Sans Light"/>
        </w:rPr>
      </w:pPr>
    </w:p>
    <w:p w14:paraId="4A66CEBD" w14:textId="6D87C229"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Diversificación de la cadena: </w:t>
      </w:r>
      <w:r w:rsidRPr="00E33455">
        <w:rPr>
          <w:rFonts w:ascii="Sura Sans Light" w:hAnsi="Sura Sans Light"/>
        </w:rPr>
        <w:t>reparto entre insumos, maquinaria, procesamiento y logística; topes de concentración.</w:t>
      </w:r>
    </w:p>
    <w:p w14:paraId="6ADDA985" w14:textId="77777777" w:rsidR="00DD00A8" w:rsidRPr="00DD00A8" w:rsidRDefault="00DD00A8" w:rsidP="00DD00A8">
      <w:pPr>
        <w:pStyle w:val="Prrafodelista"/>
        <w:ind w:left="420"/>
        <w:jc w:val="both"/>
        <w:rPr>
          <w:rFonts w:ascii="Sura Sans Light" w:hAnsi="Sura Sans Light"/>
        </w:rPr>
      </w:pPr>
    </w:p>
    <w:p w14:paraId="6515F8FB" w14:textId="3DBF3193"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Calidad y caja: </w:t>
      </w:r>
      <w:r w:rsidRPr="00E33455">
        <w:rPr>
          <w:rFonts w:ascii="Sura Sans Light" w:hAnsi="Sura Sans Light"/>
        </w:rPr>
        <w:t>predominio de emisores rentables y con dividendos; límite a nombres especulativos.</w:t>
      </w:r>
    </w:p>
    <w:p w14:paraId="7A741283" w14:textId="77777777" w:rsidR="00DD00A8" w:rsidRPr="00DD00A8" w:rsidRDefault="00DD00A8" w:rsidP="00DD00A8">
      <w:pPr>
        <w:pStyle w:val="Prrafodelista"/>
        <w:ind w:left="420"/>
        <w:jc w:val="both"/>
        <w:rPr>
          <w:rFonts w:ascii="Sura Sans Light" w:hAnsi="Sura Sans Light"/>
        </w:rPr>
      </w:pPr>
    </w:p>
    <w:p w14:paraId="16FDAA99" w14:textId="54BD3A58"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Sensibilidad a inflación / </w:t>
      </w:r>
      <w:proofErr w:type="spellStart"/>
      <w:r w:rsidRPr="00E33455">
        <w:rPr>
          <w:rFonts w:ascii="Sura Sans Light" w:hAnsi="Sura Sans Light"/>
          <w:b/>
          <w:bCs/>
        </w:rPr>
        <w:t>commodity</w:t>
      </w:r>
      <w:proofErr w:type="spellEnd"/>
      <w:r w:rsidRPr="00E33455">
        <w:rPr>
          <w:rFonts w:ascii="Sura Sans Light" w:hAnsi="Sura Sans Light"/>
          <w:b/>
          <w:bCs/>
        </w:rPr>
        <w:t xml:space="preserve">: </w:t>
      </w:r>
      <w:r w:rsidRPr="00E33455">
        <w:rPr>
          <w:rFonts w:ascii="Sura Sans Light" w:hAnsi="Sura Sans Light"/>
        </w:rPr>
        <w:t>divulgada y consistente con el rol de cobertura; monitorear beta a precios agrícolas.</w:t>
      </w:r>
    </w:p>
    <w:p w14:paraId="13DBEB1D" w14:textId="77777777" w:rsidR="00DD00A8" w:rsidRPr="00DD00A8" w:rsidRDefault="00DD00A8" w:rsidP="00DD00A8">
      <w:pPr>
        <w:pStyle w:val="Prrafodelista"/>
        <w:ind w:left="420"/>
        <w:jc w:val="both"/>
        <w:rPr>
          <w:rFonts w:ascii="Sura Sans Light" w:hAnsi="Sura Sans Light"/>
        </w:rPr>
      </w:pPr>
    </w:p>
    <w:p w14:paraId="1C867B43" w14:textId="51F735E8"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Costo, liquidez, antigüedad: </w:t>
      </w:r>
      <w:r w:rsidRPr="00E33455">
        <w:rPr>
          <w:rFonts w:ascii="Sura Sans Light" w:hAnsi="Sura Sans Light"/>
        </w:rPr>
        <w:t xml:space="preserve">TER acotado (la ventaja es frágil a costos); liquidez y </w:t>
      </w:r>
      <w:proofErr w:type="spellStart"/>
      <w:r w:rsidRPr="00E33455">
        <w:rPr>
          <w:rFonts w:ascii="Sura Sans Light" w:hAnsi="Sura Sans Light"/>
        </w:rPr>
        <w:t>track</w:t>
      </w:r>
      <w:proofErr w:type="spellEnd"/>
      <w:r w:rsidRPr="00E33455">
        <w:rPr>
          <w:rFonts w:ascii="Sura Sans Light" w:hAnsi="Sura Sans Light"/>
        </w:rPr>
        <w:t xml:space="preserve"> </w:t>
      </w:r>
      <w:proofErr w:type="spellStart"/>
      <w:r w:rsidRPr="00E33455">
        <w:rPr>
          <w:rFonts w:ascii="Sura Sans Light" w:hAnsi="Sura Sans Light"/>
        </w:rPr>
        <w:t>record</w:t>
      </w:r>
      <w:proofErr w:type="spellEnd"/>
      <w:r w:rsidRPr="00E33455">
        <w:rPr>
          <w:rFonts w:ascii="Sura Sans Light" w:hAnsi="Sura Sans Light"/>
        </w:rPr>
        <w:t xml:space="preserve"> ≥ 3 años.</w:t>
      </w:r>
    </w:p>
    <w:p w14:paraId="4053CDB8" w14:textId="77777777" w:rsidR="00DD00A8" w:rsidRDefault="00DD00A8" w:rsidP="00DD00A8">
      <w:pPr>
        <w:pStyle w:val="Ttulo2"/>
        <w:rPr>
          <w:rFonts w:ascii="Sura Sans Light" w:hAnsi="Sura Sans Light"/>
          <w:b/>
          <w:bCs/>
          <w:color w:val="2E6E8E"/>
          <w:sz w:val="24"/>
          <w:szCs w:val="24"/>
        </w:rPr>
      </w:pPr>
    </w:p>
    <w:p w14:paraId="6E337E59" w14:textId="76D7653D" w:rsidR="003E5982" w:rsidRPr="00E33455" w:rsidRDefault="00821D08" w:rsidP="00DD00A8">
      <w:pPr>
        <w:pStyle w:val="Ttulo2"/>
        <w:rPr>
          <w:rFonts w:ascii="Sura Sans Light" w:hAnsi="Sura Sans Light"/>
        </w:rPr>
      </w:pPr>
      <w:r>
        <w:rPr>
          <w:rFonts w:ascii="Sura Sans Light" w:hAnsi="Sura Sans Light"/>
          <w:b/>
          <w:bCs/>
          <w:color w:val="2E6E8E"/>
          <w:sz w:val="24"/>
          <w:szCs w:val="24"/>
        </w:rPr>
        <w:t>e)</w:t>
      </w:r>
      <w:r w:rsidR="003022BB" w:rsidRPr="00E33455">
        <w:rPr>
          <w:rFonts w:ascii="Sura Sans Light" w:hAnsi="Sura Sans Light"/>
          <w:b/>
          <w:bCs/>
          <w:color w:val="2E6E8E"/>
          <w:sz w:val="24"/>
          <w:szCs w:val="24"/>
        </w:rPr>
        <w:t xml:space="preserve">  Economía Circular y Gestión de Recursos</w:t>
      </w:r>
    </w:p>
    <w:p w14:paraId="4D846AEA" w14:textId="77777777" w:rsidR="00DD00A8" w:rsidRDefault="00DD00A8" w:rsidP="00DD00A8">
      <w:pPr>
        <w:jc w:val="both"/>
        <w:rPr>
          <w:rFonts w:ascii="Sura Sans Light" w:hAnsi="Sura Sans Light"/>
        </w:rPr>
      </w:pPr>
    </w:p>
    <w:p w14:paraId="48830156" w14:textId="6A07EFB9" w:rsidR="003E5982" w:rsidRDefault="003022BB" w:rsidP="00DD00A8">
      <w:pPr>
        <w:jc w:val="both"/>
        <w:rPr>
          <w:rFonts w:ascii="Sura Sans Light" w:hAnsi="Sura Sans Light"/>
        </w:rPr>
      </w:pPr>
      <w:r w:rsidRPr="00E33455">
        <w:rPr>
          <w:rFonts w:ascii="Sura Sans Light" w:hAnsi="Sura Sans Light"/>
        </w:rPr>
        <w:t xml:space="preserve">Junto con salud, la temática de perfil más defensivo: gestión de residuos, reciclaje y agua tienden a comportarse como </w:t>
      </w:r>
      <w:proofErr w:type="spellStart"/>
      <w:r w:rsidRPr="00E33455">
        <w:rPr>
          <w:rFonts w:ascii="Sura Sans Light" w:hAnsi="Sura Sans Light"/>
        </w:rPr>
        <w:t>cuasi-utilities</w:t>
      </w:r>
      <w:proofErr w:type="spellEnd"/>
      <w:r w:rsidRPr="00E33455">
        <w:rPr>
          <w:rFonts w:ascii="Sura Sans Light" w:hAnsi="Sura Sans Light"/>
        </w:rPr>
        <w:t>, con ingresos contratados/regulados, poder de fijación de precios y vínculo con inflación.</w:t>
      </w:r>
    </w:p>
    <w:p w14:paraId="50F46B30" w14:textId="77777777" w:rsidR="00DD00A8" w:rsidRPr="00E33455" w:rsidRDefault="00DD00A8" w:rsidP="00DD00A8">
      <w:pPr>
        <w:jc w:val="both"/>
        <w:rPr>
          <w:rFonts w:ascii="Sura Sans Light" w:hAnsi="Sura Sans Light"/>
        </w:rPr>
      </w:pPr>
    </w:p>
    <w:tbl>
      <w:tblPr>
        <w:tblW w:w="9020" w:type="dxa"/>
        <w:tblBorders>
          <w:top w:val="single" w:sz="4" w:space="0" w:color="BBBBBB"/>
          <w:left w:val="single" w:sz="4" w:space="0" w:color="BBBBBB"/>
          <w:bottom w:val="single" w:sz="4" w:space="0" w:color="BBBBBB"/>
          <w:right w:val="single" w:sz="4" w:space="0" w:color="BBBBBB"/>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510"/>
        <w:gridCol w:w="4510"/>
      </w:tblGrid>
      <w:tr w:rsidR="003E5982" w:rsidRPr="00E33455" w14:paraId="72BD18AB" w14:textId="77777777">
        <w:trPr>
          <w:tblHeader/>
        </w:trPr>
        <w:tc>
          <w:tcPr>
            <w:tcW w:w="4510" w:type="dxa"/>
            <w:shd w:val="clear" w:color="auto" w:fill="2E7D32"/>
            <w:tcMar>
              <w:top w:w="60" w:type="dxa"/>
              <w:left w:w="90" w:type="dxa"/>
              <w:bottom w:w="60" w:type="dxa"/>
              <w:right w:w="90" w:type="dxa"/>
            </w:tcMar>
          </w:tcPr>
          <w:p w14:paraId="64D71462" w14:textId="77777777" w:rsidR="003E5982" w:rsidRPr="00E33455" w:rsidRDefault="003022BB" w:rsidP="00DD00A8">
            <w:pPr>
              <w:rPr>
                <w:rFonts w:ascii="Sura Sans Light" w:hAnsi="Sura Sans Light"/>
              </w:rPr>
            </w:pPr>
            <w:proofErr w:type="spellStart"/>
            <w:r w:rsidRPr="00E33455">
              <w:rPr>
                <w:rFonts w:ascii="Sura Sans Light" w:hAnsi="Sura Sans Light"/>
                <w:b/>
                <w:bCs/>
                <w:color w:val="FFFFFF"/>
                <w:sz w:val="19"/>
                <w:szCs w:val="19"/>
              </w:rPr>
              <w:t>Subtemáticas</w:t>
            </w:r>
            <w:proofErr w:type="spellEnd"/>
            <w:r w:rsidRPr="00E33455">
              <w:rPr>
                <w:rFonts w:ascii="Sura Sans Light" w:hAnsi="Sura Sans Light"/>
                <w:b/>
                <w:bCs/>
                <w:color w:val="FFFFFF"/>
                <w:sz w:val="19"/>
                <w:szCs w:val="19"/>
              </w:rPr>
              <w:t xml:space="preserve"> ALINEADAS con el mandato</w:t>
            </w:r>
          </w:p>
        </w:tc>
        <w:tc>
          <w:tcPr>
            <w:tcW w:w="4510" w:type="dxa"/>
            <w:shd w:val="clear" w:color="auto" w:fill="B23A3A"/>
            <w:tcMar>
              <w:top w:w="60" w:type="dxa"/>
              <w:left w:w="90" w:type="dxa"/>
              <w:bottom w:w="60" w:type="dxa"/>
              <w:right w:w="90" w:type="dxa"/>
            </w:tcMar>
          </w:tcPr>
          <w:p w14:paraId="2A35F322" w14:textId="77777777" w:rsidR="003E5982" w:rsidRPr="00E33455" w:rsidRDefault="003022BB" w:rsidP="00DD00A8">
            <w:pPr>
              <w:rPr>
                <w:rFonts w:ascii="Sura Sans Light" w:hAnsi="Sura Sans Light"/>
              </w:rPr>
            </w:pPr>
            <w:proofErr w:type="spellStart"/>
            <w:r w:rsidRPr="00E33455">
              <w:rPr>
                <w:rFonts w:ascii="Sura Sans Light" w:hAnsi="Sura Sans Light"/>
                <w:b/>
                <w:bCs/>
                <w:color w:val="FFFFFF"/>
                <w:sz w:val="19"/>
                <w:szCs w:val="19"/>
              </w:rPr>
              <w:t>Subtemáticas</w:t>
            </w:r>
            <w:proofErr w:type="spellEnd"/>
            <w:r w:rsidRPr="00E33455">
              <w:rPr>
                <w:rFonts w:ascii="Sura Sans Light" w:hAnsi="Sura Sans Light"/>
                <w:b/>
                <w:bCs/>
                <w:color w:val="FFFFFF"/>
                <w:sz w:val="19"/>
                <w:szCs w:val="19"/>
              </w:rPr>
              <w:t xml:space="preserve"> de CAUTELA / no priorizadas</w:t>
            </w:r>
          </w:p>
        </w:tc>
      </w:tr>
      <w:tr w:rsidR="003E5982" w:rsidRPr="00E33455" w14:paraId="5908D4CC" w14:textId="77777777">
        <w:tc>
          <w:tcPr>
            <w:tcW w:w="4510" w:type="dxa"/>
            <w:shd w:val="clear" w:color="auto" w:fill="E7F1E9"/>
            <w:tcMar>
              <w:top w:w="60" w:type="dxa"/>
              <w:left w:w="90" w:type="dxa"/>
              <w:bottom w:w="60" w:type="dxa"/>
              <w:right w:w="90" w:type="dxa"/>
            </w:tcMar>
          </w:tcPr>
          <w:p w14:paraId="5B685699"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Gestión de residuos y reciclaje (flujos contratados, poder de precios, generación de caja).</w:t>
            </w:r>
          </w:p>
          <w:p w14:paraId="4CCF1CCC"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 xml:space="preserve">Agua: </w:t>
            </w:r>
            <w:proofErr w:type="spellStart"/>
            <w:r w:rsidRPr="00E33455">
              <w:rPr>
                <w:rFonts w:ascii="Sura Sans Light" w:hAnsi="Sura Sans Light"/>
                <w:color w:val="000000"/>
                <w:sz w:val="19"/>
                <w:szCs w:val="19"/>
              </w:rPr>
              <w:t>utilities</w:t>
            </w:r>
            <w:proofErr w:type="spellEnd"/>
            <w:r w:rsidRPr="00E33455">
              <w:rPr>
                <w:rFonts w:ascii="Sura Sans Light" w:hAnsi="Sura Sans Light"/>
                <w:color w:val="000000"/>
                <w:sz w:val="19"/>
                <w:szCs w:val="19"/>
              </w:rPr>
              <w:t xml:space="preserve"> reguladas e infraestructura hídrica (beta ~0.4–0.6, cobertura de inflación).</w:t>
            </w:r>
          </w:p>
          <w:p w14:paraId="4090A98F"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Servicios ambientales diversificados.</w:t>
            </w:r>
          </w:p>
        </w:tc>
        <w:tc>
          <w:tcPr>
            <w:tcW w:w="4510" w:type="dxa"/>
            <w:shd w:val="clear" w:color="auto" w:fill="F6EAEA"/>
            <w:tcMar>
              <w:top w:w="60" w:type="dxa"/>
              <w:left w:w="90" w:type="dxa"/>
              <w:bottom w:w="60" w:type="dxa"/>
              <w:right w:w="90" w:type="dxa"/>
            </w:tcMar>
          </w:tcPr>
          <w:p w14:paraId="08C59890" w14:textId="77777777" w:rsidR="003E5982" w:rsidRPr="00E33455" w:rsidRDefault="003022BB" w:rsidP="00DD00A8">
            <w:pPr>
              <w:rPr>
                <w:rFonts w:ascii="Sura Sans Light" w:hAnsi="Sura Sans Light"/>
              </w:rPr>
            </w:pPr>
            <w:proofErr w:type="spellStart"/>
            <w:r w:rsidRPr="00E33455">
              <w:rPr>
                <w:rFonts w:ascii="Sura Sans Light" w:hAnsi="Sura Sans Light"/>
                <w:color w:val="000000"/>
                <w:sz w:val="19"/>
                <w:szCs w:val="19"/>
              </w:rPr>
              <w:t>Baskets</w:t>
            </w:r>
            <w:proofErr w:type="spellEnd"/>
            <w:r w:rsidRPr="00E33455">
              <w:rPr>
                <w:rFonts w:ascii="Sura Sans Light" w:hAnsi="Sura Sans Light"/>
                <w:color w:val="000000"/>
                <w:sz w:val="19"/>
                <w:szCs w:val="19"/>
              </w:rPr>
              <w:t xml:space="preserve"> estrechos de 'economía circular' que </w:t>
            </w:r>
            <w:proofErr w:type="spellStart"/>
            <w:r w:rsidRPr="00E33455">
              <w:rPr>
                <w:rFonts w:ascii="Sura Sans Light" w:hAnsi="Sura Sans Light"/>
                <w:color w:val="000000"/>
                <w:sz w:val="19"/>
                <w:szCs w:val="19"/>
              </w:rPr>
              <w:t>reempaquetan</w:t>
            </w:r>
            <w:proofErr w:type="spellEnd"/>
            <w:r w:rsidRPr="00E33455">
              <w:rPr>
                <w:rFonts w:ascii="Sura Sans Light" w:hAnsi="Sura Sans Light"/>
                <w:color w:val="000000"/>
                <w:sz w:val="19"/>
                <w:szCs w:val="19"/>
              </w:rPr>
              <w:t xml:space="preserve"> industriales diversificados sin coherencia temática.</w:t>
            </w:r>
          </w:p>
          <w:p w14:paraId="1F7A75FA"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 xml:space="preserve">Tecnología de reciclaje de pequeña capitalización y reciclaje de baterías </w:t>
            </w:r>
            <w:proofErr w:type="spellStart"/>
            <w:r w:rsidRPr="00E33455">
              <w:rPr>
                <w:rFonts w:ascii="Sura Sans Light" w:hAnsi="Sura Sans Light"/>
                <w:color w:val="000000"/>
                <w:sz w:val="19"/>
                <w:szCs w:val="19"/>
              </w:rPr>
              <w:t>pre-rentabilidad</w:t>
            </w:r>
            <w:proofErr w:type="spellEnd"/>
            <w:r w:rsidRPr="00E33455">
              <w:rPr>
                <w:rFonts w:ascii="Sura Sans Light" w:hAnsi="Sura Sans Light"/>
                <w:color w:val="000000"/>
                <w:sz w:val="19"/>
                <w:szCs w:val="19"/>
              </w:rPr>
              <w:t>.</w:t>
            </w:r>
          </w:p>
          <w:p w14:paraId="380CAAFF"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Nichos de un solo relato con alta volatilidad.</w:t>
            </w:r>
          </w:p>
        </w:tc>
      </w:tr>
    </w:tbl>
    <w:p w14:paraId="42D87FFC" w14:textId="77777777" w:rsidR="003E5982" w:rsidRPr="00E33455" w:rsidRDefault="003E5982" w:rsidP="00DD00A8">
      <w:pPr>
        <w:rPr>
          <w:rFonts w:ascii="Sura Sans Light" w:hAnsi="Sura Sans Light"/>
        </w:rPr>
      </w:pPr>
    </w:p>
    <w:p w14:paraId="06B2B347" w14:textId="77777777" w:rsidR="003E5982" w:rsidRPr="00E33455" w:rsidRDefault="003022BB" w:rsidP="00DD00A8">
      <w:pPr>
        <w:pStyle w:val="Ttulo3"/>
        <w:rPr>
          <w:rFonts w:ascii="Sura Sans Light" w:hAnsi="Sura Sans Light"/>
        </w:rPr>
      </w:pPr>
      <w:r w:rsidRPr="00E33455">
        <w:rPr>
          <w:rFonts w:ascii="Sura Sans Light" w:hAnsi="Sura Sans Light"/>
          <w:b/>
          <w:bCs/>
          <w:color w:val="444444"/>
          <w:sz w:val="21"/>
          <w:szCs w:val="21"/>
        </w:rPr>
        <w:lastRenderedPageBreak/>
        <w:t>Por qué (evidencia)</w:t>
      </w:r>
    </w:p>
    <w:p w14:paraId="215AFB34" w14:textId="77777777" w:rsidR="00DD00A8" w:rsidRDefault="00DD00A8" w:rsidP="00DD00A8">
      <w:pPr>
        <w:jc w:val="both"/>
        <w:rPr>
          <w:rFonts w:ascii="Sura Sans Light" w:hAnsi="Sura Sans Light"/>
        </w:rPr>
      </w:pPr>
    </w:p>
    <w:p w14:paraId="10945E46" w14:textId="3353651E" w:rsidR="003E5982" w:rsidRPr="00E33455" w:rsidRDefault="003022BB" w:rsidP="00DD00A8">
      <w:pPr>
        <w:jc w:val="both"/>
        <w:rPr>
          <w:rFonts w:ascii="Sura Sans Light" w:hAnsi="Sura Sans Light"/>
        </w:rPr>
      </w:pPr>
      <w:r w:rsidRPr="00E33455">
        <w:rPr>
          <w:rFonts w:ascii="Sura Sans Light" w:hAnsi="Sura Sans Light"/>
        </w:rPr>
        <w:t xml:space="preserve">En Naffa y Fain (2020) la </w:t>
      </w:r>
      <w:proofErr w:type="spellStart"/>
      <w:r w:rsidRPr="00E33455">
        <w:rPr>
          <w:rFonts w:ascii="Sura Sans Light" w:hAnsi="Sura Sans Light"/>
        </w:rPr>
        <w:t>subtemática</w:t>
      </w:r>
      <w:proofErr w:type="spellEnd"/>
      <w:r w:rsidRPr="00E33455">
        <w:rPr>
          <w:rFonts w:ascii="Sura Sans Light" w:hAnsi="Sura Sans Light"/>
        </w:rPr>
        <w:t xml:space="preserve"> de 'escasez de agua' fue la de mayor retorno relativo entre las ambientales y una de las tres con alfa positivo en todas las especificaciones. Las </w:t>
      </w:r>
      <w:proofErr w:type="spellStart"/>
      <w:r w:rsidRPr="00E33455">
        <w:rPr>
          <w:rFonts w:ascii="Sura Sans Light" w:hAnsi="Sura Sans Light"/>
        </w:rPr>
        <w:t>utilities</w:t>
      </w:r>
      <w:proofErr w:type="spellEnd"/>
      <w:r w:rsidRPr="00E33455">
        <w:rPr>
          <w:rFonts w:ascii="Sura Sans Light" w:hAnsi="Sura Sans Light"/>
        </w:rPr>
        <w:t xml:space="preserve"> de agua operan en entornos regulados, con flujos estables, baja volatilidad (beta ~0.4–0.6) y características de cobertura de inflación por su vínculo con activos reales (análisis de mercado; y evidencia académica sobre fondos relacionados con agua en </w:t>
      </w:r>
      <w:proofErr w:type="spellStart"/>
      <w:r w:rsidRPr="00E33455">
        <w:rPr>
          <w:rFonts w:ascii="Sura Sans Light" w:hAnsi="Sura Sans Light"/>
        </w:rPr>
        <w:t>Alvarez</w:t>
      </w:r>
      <w:proofErr w:type="spellEnd"/>
      <w:r w:rsidRPr="00E33455">
        <w:rPr>
          <w:rFonts w:ascii="Sura Sans Light" w:hAnsi="Sura Sans Light"/>
        </w:rPr>
        <w:t xml:space="preserve"> y Rodríguez, 2015). La gestión de residuos comparte el perfil de </w:t>
      </w:r>
      <w:proofErr w:type="spellStart"/>
      <w:r w:rsidRPr="00E33455">
        <w:rPr>
          <w:rFonts w:ascii="Sura Sans Light" w:hAnsi="Sura Sans Light"/>
        </w:rPr>
        <w:t>cuasi-utility</w:t>
      </w:r>
      <w:proofErr w:type="spellEnd"/>
      <w:r w:rsidRPr="00E33455">
        <w:rPr>
          <w:rFonts w:ascii="Sura Sans Light" w:hAnsi="Sura Sans Light"/>
        </w:rPr>
        <w:t xml:space="preserve"> con caja recurrente. El riesgo principal es la incoherencia: muchos '</w:t>
      </w:r>
      <w:proofErr w:type="spellStart"/>
      <w:r w:rsidRPr="00E33455">
        <w:rPr>
          <w:rFonts w:ascii="Sura Sans Light" w:hAnsi="Sura Sans Light"/>
        </w:rPr>
        <w:t>baskets</w:t>
      </w:r>
      <w:proofErr w:type="spellEnd"/>
      <w:r w:rsidRPr="00E33455">
        <w:rPr>
          <w:rFonts w:ascii="Sura Sans Light" w:hAnsi="Sura Sans Light"/>
        </w:rPr>
        <w:t xml:space="preserve"> circulares' carecen de correlación residual común y son mercadeo más que estrategia (</w:t>
      </w:r>
      <w:proofErr w:type="spellStart"/>
      <w:r w:rsidRPr="00E33455">
        <w:rPr>
          <w:rFonts w:ascii="Sura Sans Light" w:hAnsi="Sura Sans Light"/>
        </w:rPr>
        <w:t>Candès</w:t>
      </w:r>
      <w:proofErr w:type="spellEnd"/>
      <w:r w:rsidRPr="00E33455">
        <w:rPr>
          <w:rFonts w:ascii="Sura Sans Light" w:hAnsi="Sura Sans Light"/>
        </w:rPr>
        <w:t xml:space="preserve"> y otros, 2025).</w:t>
      </w:r>
    </w:p>
    <w:p w14:paraId="44D6E139" w14:textId="77777777" w:rsidR="00DD00A8" w:rsidRDefault="00DD00A8" w:rsidP="00DD00A8">
      <w:pPr>
        <w:pStyle w:val="Ttulo3"/>
        <w:rPr>
          <w:rFonts w:ascii="Sura Sans Light" w:hAnsi="Sura Sans Light"/>
          <w:b/>
          <w:bCs/>
          <w:color w:val="444444"/>
          <w:sz w:val="21"/>
          <w:szCs w:val="21"/>
        </w:rPr>
      </w:pPr>
    </w:p>
    <w:p w14:paraId="26F14EBD" w14:textId="4BC0F72A" w:rsidR="003E5982" w:rsidRPr="00E33455" w:rsidRDefault="003022BB" w:rsidP="00DD00A8">
      <w:pPr>
        <w:pStyle w:val="Ttulo3"/>
        <w:rPr>
          <w:rFonts w:ascii="Sura Sans Light" w:hAnsi="Sura Sans Light"/>
        </w:rPr>
      </w:pPr>
      <w:r w:rsidRPr="00E33455">
        <w:rPr>
          <w:rFonts w:ascii="Sura Sans Light" w:hAnsi="Sura Sans Light"/>
          <w:b/>
          <w:bCs/>
          <w:color w:val="444444"/>
          <w:sz w:val="21"/>
          <w:szCs w:val="21"/>
        </w:rPr>
        <w:t>Indicadores para que un fondo/ETF califique en esta temática</w:t>
      </w:r>
    </w:p>
    <w:p w14:paraId="2BC429DD" w14:textId="77777777" w:rsidR="00DD00A8" w:rsidRPr="00DD00A8" w:rsidRDefault="00DD00A8" w:rsidP="00DD00A8">
      <w:pPr>
        <w:pStyle w:val="Prrafodelista"/>
        <w:ind w:left="420"/>
        <w:jc w:val="both"/>
        <w:rPr>
          <w:rFonts w:ascii="Sura Sans Light" w:hAnsi="Sura Sans Light"/>
        </w:rPr>
      </w:pPr>
    </w:p>
    <w:p w14:paraId="1266820D" w14:textId="028B0ED1"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Perfil defensivo y de caja: </w:t>
      </w:r>
      <w:r w:rsidRPr="00E33455">
        <w:rPr>
          <w:rFonts w:ascii="Sura Sans Light" w:hAnsi="Sura Sans Light"/>
        </w:rPr>
        <w:t>beta del vehículo ≤ ~0.8; participación de ingresos regulados/contratados; dividendos/flujo de caja.</w:t>
      </w:r>
    </w:p>
    <w:p w14:paraId="12F807A6" w14:textId="77777777" w:rsidR="00DD00A8" w:rsidRPr="00DD00A8" w:rsidRDefault="00DD00A8" w:rsidP="00DD00A8">
      <w:pPr>
        <w:pStyle w:val="Prrafodelista"/>
        <w:ind w:left="420"/>
        <w:jc w:val="both"/>
        <w:rPr>
          <w:rFonts w:ascii="Sura Sans Light" w:hAnsi="Sura Sans Light"/>
        </w:rPr>
      </w:pPr>
    </w:p>
    <w:p w14:paraId="0197FAF4" w14:textId="1F86D722"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Coherencia temática: </w:t>
      </w:r>
      <w:r w:rsidRPr="00E33455">
        <w:rPr>
          <w:rFonts w:ascii="Sura Sans Light" w:hAnsi="Sura Sans Light"/>
        </w:rPr>
        <w:t xml:space="preserve">test de correlación residual; evitar </w:t>
      </w:r>
      <w:proofErr w:type="spellStart"/>
      <w:r w:rsidRPr="00E33455">
        <w:rPr>
          <w:rFonts w:ascii="Sura Sans Light" w:hAnsi="Sura Sans Light"/>
        </w:rPr>
        <w:t>baskets</w:t>
      </w:r>
      <w:proofErr w:type="spellEnd"/>
      <w:r w:rsidRPr="00E33455">
        <w:rPr>
          <w:rFonts w:ascii="Sura Sans Light" w:hAnsi="Sura Sans Light"/>
        </w:rPr>
        <w:t xml:space="preserve"> de industriales genéricos </w:t>
      </w:r>
      <w:proofErr w:type="spellStart"/>
      <w:r w:rsidRPr="00E33455">
        <w:rPr>
          <w:rFonts w:ascii="Sura Sans Light" w:hAnsi="Sura Sans Light"/>
        </w:rPr>
        <w:t>reetiquetados</w:t>
      </w:r>
      <w:proofErr w:type="spellEnd"/>
      <w:r w:rsidRPr="00E33455">
        <w:rPr>
          <w:rFonts w:ascii="Sura Sans Light" w:hAnsi="Sura Sans Light"/>
        </w:rPr>
        <w:t>.</w:t>
      </w:r>
    </w:p>
    <w:p w14:paraId="48887970" w14:textId="77777777" w:rsidR="00DD00A8" w:rsidRPr="00DD00A8" w:rsidRDefault="00DD00A8" w:rsidP="00DD00A8">
      <w:pPr>
        <w:pStyle w:val="Prrafodelista"/>
        <w:ind w:left="420"/>
        <w:jc w:val="both"/>
        <w:rPr>
          <w:rFonts w:ascii="Sura Sans Light" w:hAnsi="Sura Sans Light"/>
        </w:rPr>
      </w:pPr>
    </w:p>
    <w:p w14:paraId="3E830808" w14:textId="504A2C0B"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Vínculo con inflación: </w:t>
      </w:r>
      <w:r w:rsidRPr="00E33455">
        <w:rPr>
          <w:rFonts w:ascii="Sura Sans Light" w:hAnsi="Sura Sans Light"/>
        </w:rPr>
        <w:t>exposición a activos reales/</w:t>
      </w:r>
      <w:proofErr w:type="spellStart"/>
      <w:r w:rsidRPr="00E33455">
        <w:rPr>
          <w:rFonts w:ascii="Sura Sans Light" w:hAnsi="Sura Sans Light"/>
        </w:rPr>
        <w:t>utilities</w:t>
      </w:r>
      <w:proofErr w:type="spellEnd"/>
      <w:r w:rsidRPr="00E33455">
        <w:rPr>
          <w:rFonts w:ascii="Sura Sans Light" w:hAnsi="Sura Sans Light"/>
        </w:rPr>
        <w:t xml:space="preserve"> con indexación, consistente con el rol de cobertura.</w:t>
      </w:r>
    </w:p>
    <w:p w14:paraId="56478965" w14:textId="77777777" w:rsidR="00DD00A8" w:rsidRPr="00DD00A8" w:rsidRDefault="00DD00A8" w:rsidP="00DD00A8">
      <w:pPr>
        <w:pStyle w:val="Prrafodelista"/>
        <w:ind w:left="420"/>
        <w:jc w:val="both"/>
        <w:rPr>
          <w:rFonts w:ascii="Sura Sans Light" w:hAnsi="Sura Sans Light"/>
        </w:rPr>
      </w:pPr>
    </w:p>
    <w:p w14:paraId="43D7E6E3" w14:textId="36A7968E"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Diversificación: </w:t>
      </w:r>
      <w:r w:rsidRPr="00E33455">
        <w:rPr>
          <w:rFonts w:ascii="Sura Sans Light" w:hAnsi="Sura Sans Light"/>
        </w:rPr>
        <w:t>topes por nombre y top-10; mínimo de posiciones.</w:t>
      </w:r>
    </w:p>
    <w:p w14:paraId="63399699" w14:textId="77777777" w:rsidR="00DD00A8" w:rsidRPr="00DD00A8" w:rsidRDefault="00DD00A8" w:rsidP="00DD00A8">
      <w:pPr>
        <w:pStyle w:val="Prrafodelista"/>
        <w:ind w:left="420"/>
        <w:jc w:val="both"/>
        <w:rPr>
          <w:rFonts w:ascii="Sura Sans Light" w:hAnsi="Sura Sans Light"/>
        </w:rPr>
      </w:pPr>
    </w:p>
    <w:p w14:paraId="4CC15873" w14:textId="116ED04B"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Costo, liquidez, antigüedad: </w:t>
      </w:r>
      <w:r w:rsidRPr="00E33455">
        <w:rPr>
          <w:rFonts w:ascii="Sura Sans Light" w:hAnsi="Sura Sans Light"/>
        </w:rPr>
        <w:t xml:space="preserve">TER acotado; liquidez suficiente; </w:t>
      </w:r>
      <w:proofErr w:type="spellStart"/>
      <w:r w:rsidRPr="00E33455">
        <w:rPr>
          <w:rFonts w:ascii="Sura Sans Light" w:hAnsi="Sura Sans Light"/>
        </w:rPr>
        <w:t>track</w:t>
      </w:r>
      <w:proofErr w:type="spellEnd"/>
      <w:r w:rsidRPr="00E33455">
        <w:rPr>
          <w:rFonts w:ascii="Sura Sans Light" w:hAnsi="Sura Sans Light"/>
        </w:rPr>
        <w:t xml:space="preserve"> </w:t>
      </w:r>
      <w:proofErr w:type="spellStart"/>
      <w:r w:rsidRPr="00E33455">
        <w:rPr>
          <w:rFonts w:ascii="Sura Sans Light" w:hAnsi="Sura Sans Light"/>
        </w:rPr>
        <w:t>record</w:t>
      </w:r>
      <w:proofErr w:type="spellEnd"/>
      <w:r w:rsidRPr="00E33455">
        <w:rPr>
          <w:rFonts w:ascii="Sura Sans Light" w:hAnsi="Sura Sans Light"/>
        </w:rPr>
        <w:t xml:space="preserve"> ≥ 3 años.</w:t>
      </w:r>
    </w:p>
    <w:p w14:paraId="406E05E7" w14:textId="77777777" w:rsidR="00DD00A8" w:rsidRDefault="00DD00A8" w:rsidP="00DD00A8">
      <w:pPr>
        <w:rPr>
          <w:rFonts w:ascii="Sura Sans Light" w:hAnsi="Sura Sans Light"/>
          <w:b/>
          <w:bCs/>
          <w:color w:val="1F3A5F"/>
          <w:sz w:val="30"/>
          <w:szCs w:val="30"/>
        </w:rPr>
      </w:pPr>
    </w:p>
    <w:p w14:paraId="13F68F18" w14:textId="1A260A83" w:rsidR="003E5982" w:rsidRPr="00E33455" w:rsidRDefault="00821D08" w:rsidP="00DD00A8">
      <w:pPr>
        <w:rPr>
          <w:rFonts w:ascii="Sura Sans Light" w:hAnsi="Sura Sans Light"/>
        </w:rPr>
      </w:pPr>
      <w:r>
        <w:rPr>
          <w:rFonts w:ascii="Sura Sans Light" w:hAnsi="Sura Sans Light"/>
          <w:b/>
          <w:bCs/>
          <w:color w:val="1F3A5F"/>
          <w:sz w:val="30"/>
          <w:szCs w:val="30"/>
        </w:rPr>
        <w:t>5</w:t>
      </w:r>
      <w:r w:rsidR="003022BB" w:rsidRPr="00E33455">
        <w:rPr>
          <w:rFonts w:ascii="Sura Sans Light" w:hAnsi="Sura Sans Light"/>
          <w:b/>
          <w:bCs/>
          <w:color w:val="1F3A5F"/>
          <w:sz w:val="30"/>
          <w:szCs w:val="30"/>
        </w:rPr>
        <w:t xml:space="preserve">.  Marco consolidado de indicadores para calificar fondos y </w:t>
      </w:r>
      <w:proofErr w:type="spellStart"/>
      <w:r w:rsidR="003022BB" w:rsidRPr="00E33455">
        <w:rPr>
          <w:rFonts w:ascii="Sura Sans Light" w:hAnsi="Sura Sans Light"/>
          <w:b/>
          <w:bCs/>
          <w:color w:val="1F3A5F"/>
          <w:sz w:val="30"/>
          <w:szCs w:val="30"/>
        </w:rPr>
        <w:t>ETFs</w:t>
      </w:r>
      <w:proofErr w:type="spellEnd"/>
    </w:p>
    <w:p w14:paraId="44B6213D" w14:textId="77777777" w:rsidR="00DD00A8" w:rsidRDefault="00DD00A8" w:rsidP="00DD00A8">
      <w:pPr>
        <w:jc w:val="both"/>
        <w:rPr>
          <w:rFonts w:ascii="Sura Sans Light" w:hAnsi="Sura Sans Light"/>
        </w:rPr>
      </w:pPr>
    </w:p>
    <w:p w14:paraId="74DC4363" w14:textId="3C0FC99B" w:rsidR="003E5982" w:rsidRDefault="003022BB" w:rsidP="00DD00A8">
      <w:pPr>
        <w:jc w:val="both"/>
        <w:rPr>
          <w:rFonts w:ascii="Sura Sans Light" w:hAnsi="Sura Sans Light"/>
        </w:rPr>
      </w:pPr>
      <w:r w:rsidRPr="00E33455">
        <w:rPr>
          <w:rFonts w:ascii="Sura Sans Light" w:hAnsi="Sura Sans Light"/>
        </w:rPr>
        <w:t xml:space="preserve">Dado que la implementación es exclusivamente vía fondos mutuos y </w:t>
      </w:r>
      <w:proofErr w:type="spellStart"/>
      <w:r w:rsidRPr="00E33455">
        <w:rPr>
          <w:rFonts w:ascii="Sura Sans Light" w:hAnsi="Sura Sans Light"/>
        </w:rPr>
        <w:t>ETFs</w:t>
      </w:r>
      <w:proofErr w:type="spellEnd"/>
      <w:r w:rsidRPr="00E33455">
        <w:rPr>
          <w:rFonts w:ascii="Sura Sans Light" w:hAnsi="Sura Sans Light"/>
        </w:rPr>
        <w:t xml:space="preserve">, el filtro se aplica a nivel de vehículo e índice. Un fondo califica para una </w:t>
      </w:r>
      <w:proofErr w:type="spellStart"/>
      <w:r w:rsidRPr="00E33455">
        <w:rPr>
          <w:rFonts w:ascii="Sura Sans Light" w:hAnsi="Sura Sans Light"/>
        </w:rPr>
        <w:t>subtemática</w:t>
      </w:r>
      <w:proofErr w:type="spellEnd"/>
      <w:r w:rsidRPr="00E33455">
        <w:rPr>
          <w:rFonts w:ascii="Sura Sans Light" w:hAnsi="Sura Sans Light"/>
        </w:rPr>
        <w:t xml:space="preserve"> si satisface, además del ajuste temático específico de la sección 3, el siguiente marco transversal. Los umbrales se presentan como referencia inicial calibrable por el Comité de Inversiones.</w:t>
      </w:r>
    </w:p>
    <w:p w14:paraId="20267C7B" w14:textId="77777777" w:rsidR="00DD00A8" w:rsidRPr="00E33455" w:rsidRDefault="00DD00A8" w:rsidP="00DD00A8">
      <w:pPr>
        <w:jc w:val="both"/>
        <w:rPr>
          <w:rFonts w:ascii="Sura Sans Light" w:hAnsi="Sura Sans Light"/>
        </w:rPr>
      </w:pPr>
    </w:p>
    <w:tbl>
      <w:tblPr>
        <w:tblW w:w="9020" w:type="dxa"/>
        <w:tblBorders>
          <w:top w:val="single" w:sz="4" w:space="0" w:color="BBBBBB"/>
          <w:left w:val="single" w:sz="4" w:space="0" w:color="BBBBBB"/>
          <w:bottom w:val="single" w:sz="4" w:space="0" w:color="BBBBBB"/>
          <w:right w:val="single" w:sz="4" w:space="0" w:color="BBBBBB"/>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3600"/>
        <w:gridCol w:w="3220"/>
      </w:tblGrid>
      <w:tr w:rsidR="003E5982" w:rsidRPr="00E33455" w14:paraId="248CF51D" w14:textId="77777777">
        <w:trPr>
          <w:tblHeader/>
        </w:trPr>
        <w:tc>
          <w:tcPr>
            <w:tcW w:w="2200" w:type="dxa"/>
            <w:shd w:val="clear" w:color="auto" w:fill="1F3A5F"/>
            <w:tcMar>
              <w:top w:w="60" w:type="dxa"/>
              <w:left w:w="90" w:type="dxa"/>
              <w:bottom w:w="60" w:type="dxa"/>
              <w:right w:w="90" w:type="dxa"/>
            </w:tcMar>
          </w:tcPr>
          <w:p w14:paraId="41122B98" w14:textId="77777777" w:rsidR="003E5982" w:rsidRPr="00E33455" w:rsidRDefault="003022BB" w:rsidP="00DD00A8">
            <w:pPr>
              <w:rPr>
                <w:rFonts w:ascii="Sura Sans Light" w:hAnsi="Sura Sans Light"/>
              </w:rPr>
            </w:pPr>
            <w:r w:rsidRPr="00E33455">
              <w:rPr>
                <w:rFonts w:ascii="Sura Sans Light" w:hAnsi="Sura Sans Light"/>
                <w:b/>
                <w:bCs/>
                <w:color w:val="FFFFFF"/>
                <w:sz w:val="19"/>
                <w:szCs w:val="19"/>
              </w:rPr>
              <w:t>Dimensión</w:t>
            </w:r>
          </w:p>
        </w:tc>
        <w:tc>
          <w:tcPr>
            <w:tcW w:w="3600" w:type="dxa"/>
            <w:shd w:val="clear" w:color="auto" w:fill="1F3A5F"/>
            <w:tcMar>
              <w:top w:w="60" w:type="dxa"/>
              <w:left w:w="90" w:type="dxa"/>
              <w:bottom w:w="60" w:type="dxa"/>
              <w:right w:w="90" w:type="dxa"/>
            </w:tcMar>
          </w:tcPr>
          <w:p w14:paraId="711F3F28" w14:textId="77777777" w:rsidR="003E5982" w:rsidRPr="00E33455" w:rsidRDefault="003022BB" w:rsidP="00DD00A8">
            <w:pPr>
              <w:rPr>
                <w:rFonts w:ascii="Sura Sans Light" w:hAnsi="Sura Sans Light"/>
              </w:rPr>
            </w:pPr>
            <w:r w:rsidRPr="00E33455">
              <w:rPr>
                <w:rFonts w:ascii="Sura Sans Light" w:hAnsi="Sura Sans Light"/>
                <w:b/>
                <w:bCs/>
                <w:color w:val="FFFFFF"/>
                <w:sz w:val="19"/>
                <w:szCs w:val="19"/>
              </w:rPr>
              <w:t>Qué mide / por qué</w:t>
            </w:r>
          </w:p>
        </w:tc>
        <w:tc>
          <w:tcPr>
            <w:tcW w:w="3220" w:type="dxa"/>
            <w:shd w:val="clear" w:color="auto" w:fill="1F3A5F"/>
            <w:tcMar>
              <w:top w:w="60" w:type="dxa"/>
              <w:left w:w="90" w:type="dxa"/>
              <w:bottom w:w="60" w:type="dxa"/>
              <w:right w:w="90" w:type="dxa"/>
            </w:tcMar>
          </w:tcPr>
          <w:p w14:paraId="56C6D2AC" w14:textId="77777777" w:rsidR="003E5982" w:rsidRPr="00E33455" w:rsidRDefault="003022BB" w:rsidP="00DD00A8">
            <w:pPr>
              <w:rPr>
                <w:rFonts w:ascii="Sura Sans Light" w:hAnsi="Sura Sans Light"/>
              </w:rPr>
            </w:pPr>
            <w:r w:rsidRPr="00E33455">
              <w:rPr>
                <w:rFonts w:ascii="Sura Sans Light" w:hAnsi="Sura Sans Light"/>
                <w:b/>
                <w:bCs/>
                <w:color w:val="FFFFFF"/>
                <w:sz w:val="19"/>
                <w:szCs w:val="19"/>
              </w:rPr>
              <w:t>Indicador y referencia inicial</w:t>
            </w:r>
          </w:p>
        </w:tc>
      </w:tr>
      <w:tr w:rsidR="003E5982" w:rsidRPr="00E33455" w14:paraId="20002699" w14:textId="77777777">
        <w:tc>
          <w:tcPr>
            <w:tcW w:w="2200" w:type="dxa"/>
            <w:tcMar>
              <w:top w:w="60" w:type="dxa"/>
              <w:left w:w="90" w:type="dxa"/>
              <w:bottom w:w="60" w:type="dxa"/>
              <w:right w:w="90" w:type="dxa"/>
            </w:tcMar>
          </w:tcPr>
          <w:p w14:paraId="4EA43133" w14:textId="77777777" w:rsidR="003E5982" w:rsidRPr="00E33455" w:rsidRDefault="003022BB" w:rsidP="00DD00A8">
            <w:pPr>
              <w:rPr>
                <w:rFonts w:ascii="Sura Sans Light" w:hAnsi="Sura Sans Light"/>
              </w:rPr>
            </w:pPr>
            <w:r w:rsidRPr="00E33455">
              <w:rPr>
                <w:rFonts w:ascii="Sura Sans Light" w:hAnsi="Sura Sans Light"/>
                <w:b/>
                <w:bCs/>
                <w:color w:val="000000"/>
                <w:sz w:val="19"/>
                <w:szCs w:val="19"/>
              </w:rPr>
              <w:t>1. Ajuste y pureza temática</w:t>
            </w:r>
          </w:p>
        </w:tc>
        <w:tc>
          <w:tcPr>
            <w:tcW w:w="3600" w:type="dxa"/>
            <w:tcMar>
              <w:top w:w="60" w:type="dxa"/>
              <w:left w:w="90" w:type="dxa"/>
              <w:bottom w:w="60" w:type="dxa"/>
              <w:right w:w="90" w:type="dxa"/>
            </w:tcMar>
          </w:tcPr>
          <w:p w14:paraId="0C005F4D"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Que el índice capture realmente el tema y no empresas 'etiquetadas' (riesgo de captura)</w:t>
            </w:r>
          </w:p>
        </w:tc>
        <w:tc>
          <w:tcPr>
            <w:tcW w:w="3220" w:type="dxa"/>
            <w:tcMar>
              <w:top w:w="60" w:type="dxa"/>
              <w:left w:w="90" w:type="dxa"/>
              <w:bottom w:w="60" w:type="dxa"/>
              <w:right w:w="90" w:type="dxa"/>
            </w:tcMar>
          </w:tcPr>
          <w:p w14:paraId="0554C46C"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Umbral de ingresos ligados al tema (referencia ≥ 50%); metodología de índice pública y replicable</w:t>
            </w:r>
          </w:p>
        </w:tc>
      </w:tr>
      <w:tr w:rsidR="003E5982" w:rsidRPr="00E33455" w14:paraId="087C6D84" w14:textId="77777777">
        <w:tc>
          <w:tcPr>
            <w:tcW w:w="2200" w:type="dxa"/>
            <w:shd w:val="clear" w:color="auto" w:fill="EEF3F7"/>
            <w:tcMar>
              <w:top w:w="60" w:type="dxa"/>
              <w:left w:w="90" w:type="dxa"/>
              <w:bottom w:w="60" w:type="dxa"/>
              <w:right w:w="90" w:type="dxa"/>
            </w:tcMar>
          </w:tcPr>
          <w:p w14:paraId="40D57A5F" w14:textId="77777777" w:rsidR="003E5982" w:rsidRPr="00E33455" w:rsidRDefault="003022BB" w:rsidP="00DD00A8">
            <w:pPr>
              <w:rPr>
                <w:rFonts w:ascii="Sura Sans Light" w:hAnsi="Sura Sans Light"/>
              </w:rPr>
            </w:pPr>
            <w:r w:rsidRPr="00E33455">
              <w:rPr>
                <w:rFonts w:ascii="Sura Sans Light" w:hAnsi="Sura Sans Light"/>
                <w:b/>
                <w:bCs/>
                <w:color w:val="000000"/>
                <w:sz w:val="19"/>
                <w:szCs w:val="19"/>
              </w:rPr>
              <w:t>2. Coherencia del tema</w:t>
            </w:r>
          </w:p>
        </w:tc>
        <w:tc>
          <w:tcPr>
            <w:tcW w:w="3600" w:type="dxa"/>
            <w:shd w:val="clear" w:color="auto" w:fill="EEF3F7"/>
            <w:tcMar>
              <w:top w:w="60" w:type="dxa"/>
              <w:left w:w="90" w:type="dxa"/>
              <w:bottom w:w="60" w:type="dxa"/>
              <w:right w:w="90" w:type="dxa"/>
            </w:tcMar>
          </w:tcPr>
          <w:p w14:paraId="58C47097"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Correlación residual común entre componentes; separa estrategia de mercadeo (</w:t>
            </w:r>
            <w:proofErr w:type="spellStart"/>
            <w:r w:rsidRPr="00E33455">
              <w:rPr>
                <w:rFonts w:ascii="Sura Sans Light" w:hAnsi="Sura Sans Light"/>
                <w:color w:val="000000"/>
                <w:sz w:val="19"/>
                <w:szCs w:val="19"/>
              </w:rPr>
              <w:t>Candès</w:t>
            </w:r>
            <w:proofErr w:type="spellEnd"/>
            <w:r w:rsidRPr="00E33455">
              <w:rPr>
                <w:rFonts w:ascii="Sura Sans Light" w:hAnsi="Sura Sans Light"/>
                <w:color w:val="000000"/>
                <w:sz w:val="19"/>
                <w:szCs w:val="19"/>
              </w:rPr>
              <w:t xml:space="preserve"> y otros, 2025)</w:t>
            </w:r>
          </w:p>
        </w:tc>
        <w:tc>
          <w:tcPr>
            <w:tcW w:w="3220" w:type="dxa"/>
            <w:shd w:val="clear" w:color="auto" w:fill="EEF3F7"/>
            <w:tcMar>
              <w:top w:w="60" w:type="dxa"/>
              <w:left w:w="90" w:type="dxa"/>
              <w:bottom w:w="60" w:type="dxa"/>
              <w:right w:w="90" w:type="dxa"/>
            </w:tcMar>
          </w:tcPr>
          <w:p w14:paraId="03204825"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 xml:space="preserve">Evidencia de correlación residual significativa; rechazar </w:t>
            </w:r>
            <w:proofErr w:type="spellStart"/>
            <w:r w:rsidRPr="00E33455">
              <w:rPr>
                <w:rFonts w:ascii="Sura Sans Light" w:hAnsi="Sura Sans Light"/>
                <w:color w:val="000000"/>
                <w:sz w:val="19"/>
                <w:szCs w:val="19"/>
              </w:rPr>
              <w:t>baskets</w:t>
            </w:r>
            <w:proofErr w:type="spellEnd"/>
            <w:r w:rsidRPr="00E33455">
              <w:rPr>
                <w:rFonts w:ascii="Sura Sans Light" w:hAnsi="Sura Sans Light"/>
                <w:color w:val="000000"/>
                <w:sz w:val="19"/>
                <w:szCs w:val="19"/>
              </w:rPr>
              <w:t xml:space="preserve"> incoherentes</w:t>
            </w:r>
          </w:p>
        </w:tc>
      </w:tr>
      <w:tr w:rsidR="003E5982" w:rsidRPr="00E33455" w14:paraId="6E1F7534" w14:textId="77777777">
        <w:tc>
          <w:tcPr>
            <w:tcW w:w="2200" w:type="dxa"/>
            <w:tcMar>
              <w:top w:w="60" w:type="dxa"/>
              <w:left w:w="90" w:type="dxa"/>
              <w:bottom w:w="60" w:type="dxa"/>
              <w:right w:w="90" w:type="dxa"/>
            </w:tcMar>
          </w:tcPr>
          <w:p w14:paraId="28820BAB" w14:textId="77777777" w:rsidR="003E5982" w:rsidRPr="00E33455" w:rsidRDefault="003022BB" w:rsidP="00DD00A8">
            <w:pPr>
              <w:rPr>
                <w:rFonts w:ascii="Sura Sans Light" w:hAnsi="Sura Sans Light"/>
              </w:rPr>
            </w:pPr>
            <w:r w:rsidRPr="00E33455">
              <w:rPr>
                <w:rFonts w:ascii="Sura Sans Light" w:hAnsi="Sura Sans Light"/>
                <w:b/>
                <w:bCs/>
                <w:color w:val="000000"/>
                <w:sz w:val="19"/>
                <w:szCs w:val="19"/>
              </w:rPr>
              <w:t>3. Diversificación</w:t>
            </w:r>
          </w:p>
        </w:tc>
        <w:tc>
          <w:tcPr>
            <w:tcW w:w="3600" w:type="dxa"/>
            <w:tcMar>
              <w:top w:w="60" w:type="dxa"/>
              <w:left w:w="90" w:type="dxa"/>
              <w:bottom w:w="60" w:type="dxa"/>
              <w:right w:w="90" w:type="dxa"/>
            </w:tcMar>
          </w:tcPr>
          <w:p w14:paraId="200657C3"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Limitar riesgo idiosincrático no compensado (Lamont y otros, 2024)</w:t>
            </w:r>
          </w:p>
        </w:tc>
        <w:tc>
          <w:tcPr>
            <w:tcW w:w="3220" w:type="dxa"/>
            <w:tcMar>
              <w:top w:w="60" w:type="dxa"/>
              <w:left w:w="90" w:type="dxa"/>
              <w:bottom w:w="60" w:type="dxa"/>
              <w:right w:w="90" w:type="dxa"/>
            </w:tcMar>
          </w:tcPr>
          <w:p w14:paraId="2E61845B"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 40 posiciones; peso por nombre ≤ 10%; tope top-10; dispersión país/subsector</w:t>
            </w:r>
          </w:p>
        </w:tc>
      </w:tr>
      <w:tr w:rsidR="003E5982" w:rsidRPr="00E33455" w14:paraId="026F9924" w14:textId="77777777">
        <w:tc>
          <w:tcPr>
            <w:tcW w:w="2200" w:type="dxa"/>
            <w:shd w:val="clear" w:color="auto" w:fill="EEF3F7"/>
            <w:tcMar>
              <w:top w:w="60" w:type="dxa"/>
              <w:left w:w="90" w:type="dxa"/>
              <w:bottom w:w="60" w:type="dxa"/>
              <w:right w:w="90" w:type="dxa"/>
            </w:tcMar>
          </w:tcPr>
          <w:p w14:paraId="47E041CA" w14:textId="77777777" w:rsidR="003E5982" w:rsidRPr="00E33455" w:rsidRDefault="003022BB" w:rsidP="00DD00A8">
            <w:pPr>
              <w:rPr>
                <w:rFonts w:ascii="Sura Sans Light" w:hAnsi="Sura Sans Light"/>
              </w:rPr>
            </w:pPr>
            <w:r w:rsidRPr="00E33455">
              <w:rPr>
                <w:rFonts w:ascii="Sura Sans Light" w:hAnsi="Sura Sans Light"/>
                <w:b/>
                <w:bCs/>
                <w:color w:val="000000"/>
                <w:sz w:val="19"/>
                <w:szCs w:val="19"/>
              </w:rPr>
              <w:t>4. Calidad / rentabilidad</w:t>
            </w:r>
          </w:p>
        </w:tc>
        <w:tc>
          <w:tcPr>
            <w:tcW w:w="3600" w:type="dxa"/>
            <w:shd w:val="clear" w:color="auto" w:fill="EEF3F7"/>
            <w:tcMar>
              <w:top w:w="60" w:type="dxa"/>
              <w:left w:w="90" w:type="dxa"/>
              <w:bottom w:w="60" w:type="dxa"/>
              <w:right w:w="90" w:type="dxa"/>
            </w:tcMar>
          </w:tcPr>
          <w:p w14:paraId="0148C837"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 xml:space="preserve">Preferir emisores con caja frente a apuestas </w:t>
            </w:r>
            <w:proofErr w:type="spellStart"/>
            <w:r w:rsidRPr="00E33455">
              <w:rPr>
                <w:rFonts w:ascii="Sura Sans Light" w:hAnsi="Sura Sans Light"/>
                <w:color w:val="000000"/>
                <w:sz w:val="19"/>
                <w:szCs w:val="19"/>
              </w:rPr>
              <w:t>pre-ingresos</w:t>
            </w:r>
            <w:proofErr w:type="spellEnd"/>
          </w:p>
        </w:tc>
        <w:tc>
          <w:tcPr>
            <w:tcW w:w="3220" w:type="dxa"/>
            <w:shd w:val="clear" w:color="auto" w:fill="EEF3F7"/>
            <w:tcMar>
              <w:top w:w="60" w:type="dxa"/>
              <w:left w:w="90" w:type="dxa"/>
              <w:bottom w:w="60" w:type="dxa"/>
              <w:right w:w="90" w:type="dxa"/>
            </w:tcMar>
          </w:tcPr>
          <w:p w14:paraId="603593AF"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Mayoría de la cartera con utilidades/</w:t>
            </w:r>
            <w:proofErr w:type="gramStart"/>
            <w:r w:rsidRPr="00E33455">
              <w:rPr>
                <w:rFonts w:ascii="Sura Sans Light" w:hAnsi="Sura Sans Light"/>
                <w:color w:val="000000"/>
                <w:sz w:val="19"/>
                <w:szCs w:val="19"/>
              </w:rPr>
              <w:t>flujo positivos</w:t>
            </w:r>
            <w:proofErr w:type="gramEnd"/>
            <w:r w:rsidRPr="00E33455">
              <w:rPr>
                <w:rFonts w:ascii="Sura Sans Light" w:hAnsi="Sura Sans Light"/>
                <w:color w:val="000000"/>
                <w:sz w:val="19"/>
                <w:szCs w:val="19"/>
              </w:rPr>
              <w:t xml:space="preserve">; límite a nombres </w:t>
            </w:r>
            <w:proofErr w:type="spellStart"/>
            <w:r w:rsidRPr="00E33455">
              <w:rPr>
                <w:rFonts w:ascii="Sura Sans Light" w:hAnsi="Sura Sans Light"/>
                <w:color w:val="000000"/>
                <w:sz w:val="19"/>
                <w:szCs w:val="19"/>
              </w:rPr>
              <w:t>pre-ingresos</w:t>
            </w:r>
            <w:proofErr w:type="spellEnd"/>
          </w:p>
        </w:tc>
      </w:tr>
      <w:tr w:rsidR="003E5982" w:rsidRPr="00E33455" w14:paraId="037F39D9" w14:textId="77777777">
        <w:tc>
          <w:tcPr>
            <w:tcW w:w="2200" w:type="dxa"/>
            <w:tcMar>
              <w:top w:w="60" w:type="dxa"/>
              <w:left w:w="90" w:type="dxa"/>
              <w:bottom w:w="60" w:type="dxa"/>
              <w:right w:w="90" w:type="dxa"/>
            </w:tcMar>
          </w:tcPr>
          <w:p w14:paraId="0E529CA0" w14:textId="77777777" w:rsidR="003E5982" w:rsidRPr="00E33455" w:rsidRDefault="003022BB" w:rsidP="00DD00A8">
            <w:pPr>
              <w:rPr>
                <w:rFonts w:ascii="Sura Sans Light" w:hAnsi="Sura Sans Light"/>
              </w:rPr>
            </w:pPr>
            <w:r w:rsidRPr="00E33455">
              <w:rPr>
                <w:rFonts w:ascii="Sura Sans Light" w:hAnsi="Sura Sans Light"/>
                <w:b/>
                <w:bCs/>
                <w:color w:val="000000"/>
                <w:sz w:val="19"/>
                <w:szCs w:val="19"/>
              </w:rPr>
              <w:t>5. Valorización / entrada</w:t>
            </w:r>
          </w:p>
        </w:tc>
        <w:tc>
          <w:tcPr>
            <w:tcW w:w="3600" w:type="dxa"/>
            <w:tcMar>
              <w:top w:w="60" w:type="dxa"/>
              <w:left w:w="90" w:type="dxa"/>
              <w:bottom w:w="60" w:type="dxa"/>
              <w:right w:w="90" w:type="dxa"/>
            </w:tcMar>
          </w:tcPr>
          <w:p w14:paraId="124F4F7E"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Evitar comprar el pico del relato (Ben-David y otros, 2023)</w:t>
            </w:r>
          </w:p>
        </w:tc>
        <w:tc>
          <w:tcPr>
            <w:tcW w:w="3220" w:type="dxa"/>
            <w:tcMar>
              <w:top w:w="60" w:type="dxa"/>
              <w:left w:w="90" w:type="dxa"/>
              <w:bottom w:w="60" w:type="dxa"/>
              <w:right w:w="90" w:type="dxa"/>
            </w:tcMar>
          </w:tcPr>
          <w:p w14:paraId="07A94315"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Múltiplos vs. historial y mercado amplio; evitar lanzamientos recientes en euforia de flujos</w:t>
            </w:r>
          </w:p>
        </w:tc>
      </w:tr>
      <w:tr w:rsidR="003E5982" w:rsidRPr="00E33455" w14:paraId="1E12CFB6" w14:textId="77777777">
        <w:tc>
          <w:tcPr>
            <w:tcW w:w="2200" w:type="dxa"/>
            <w:shd w:val="clear" w:color="auto" w:fill="EEF3F7"/>
            <w:tcMar>
              <w:top w:w="60" w:type="dxa"/>
              <w:left w:w="90" w:type="dxa"/>
              <w:bottom w:w="60" w:type="dxa"/>
              <w:right w:w="90" w:type="dxa"/>
            </w:tcMar>
          </w:tcPr>
          <w:p w14:paraId="42DAFCAB" w14:textId="77777777" w:rsidR="003E5982" w:rsidRPr="00E33455" w:rsidRDefault="003022BB" w:rsidP="00DD00A8">
            <w:pPr>
              <w:rPr>
                <w:rFonts w:ascii="Sura Sans Light" w:hAnsi="Sura Sans Light"/>
              </w:rPr>
            </w:pPr>
            <w:r w:rsidRPr="00E33455">
              <w:rPr>
                <w:rFonts w:ascii="Sura Sans Light" w:hAnsi="Sura Sans Light"/>
                <w:b/>
                <w:bCs/>
                <w:color w:val="000000"/>
                <w:sz w:val="19"/>
                <w:szCs w:val="19"/>
              </w:rPr>
              <w:lastRenderedPageBreak/>
              <w:t>6. Riesgo</w:t>
            </w:r>
          </w:p>
        </w:tc>
        <w:tc>
          <w:tcPr>
            <w:tcW w:w="3600" w:type="dxa"/>
            <w:shd w:val="clear" w:color="auto" w:fill="EEF3F7"/>
            <w:tcMar>
              <w:top w:w="60" w:type="dxa"/>
              <w:left w:w="90" w:type="dxa"/>
              <w:bottom w:w="60" w:type="dxa"/>
              <w:right w:w="90" w:type="dxa"/>
            </w:tcMar>
          </w:tcPr>
          <w:p w14:paraId="661C06DB"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 xml:space="preserve">Beta, volatilidad, sensibilidad a tasas, </w:t>
            </w:r>
            <w:proofErr w:type="spellStart"/>
            <w:r w:rsidRPr="00E33455">
              <w:rPr>
                <w:rFonts w:ascii="Sura Sans Light" w:hAnsi="Sura Sans Light"/>
                <w:color w:val="000000"/>
                <w:sz w:val="19"/>
                <w:szCs w:val="19"/>
              </w:rPr>
              <w:t>drawdown</w:t>
            </w:r>
            <w:proofErr w:type="spellEnd"/>
            <w:r w:rsidRPr="00E33455">
              <w:rPr>
                <w:rFonts w:ascii="Sura Sans Light" w:hAnsi="Sura Sans Light"/>
                <w:color w:val="000000"/>
                <w:sz w:val="19"/>
                <w:szCs w:val="19"/>
              </w:rPr>
              <w:t>, tracking error (de Carvalho, 2024)</w:t>
            </w:r>
          </w:p>
        </w:tc>
        <w:tc>
          <w:tcPr>
            <w:tcW w:w="3220" w:type="dxa"/>
            <w:shd w:val="clear" w:color="auto" w:fill="EEF3F7"/>
            <w:tcMar>
              <w:top w:w="60" w:type="dxa"/>
              <w:left w:w="90" w:type="dxa"/>
              <w:bottom w:w="60" w:type="dxa"/>
              <w:right w:w="90" w:type="dxa"/>
            </w:tcMar>
          </w:tcPr>
          <w:p w14:paraId="5C3FFE7C"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 xml:space="preserve">Límites por </w:t>
            </w:r>
            <w:proofErr w:type="spellStart"/>
            <w:r w:rsidRPr="00E33455">
              <w:rPr>
                <w:rFonts w:ascii="Sura Sans Light" w:hAnsi="Sura Sans Light"/>
                <w:color w:val="000000"/>
                <w:sz w:val="19"/>
                <w:szCs w:val="19"/>
              </w:rPr>
              <w:t>subtemática</w:t>
            </w:r>
            <w:proofErr w:type="spellEnd"/>
            <w:r w:rsidRPr="00E33455">
              <w:rPr>
                <w:rFonts w:ascii="Sura Sans Light" w:hAnsi="Sura Sans Light"/>
                <w:color w:val="000000"/>
                <w:sz w:val="19"/>
                <w:szCs w:val="19"/>
              </w:rPr>
              <w:t>; tracking error vs. renta variable global monitoreado</w:t>
            </w:r>
          </w:p>
        </w:tc>
      </w:tr>
      <w:tr w:rsidR="003E5982" w:rsidRPr="00E33455" w14:paraId="4F2E7F1F" w14:textId="77777777">
        <w:tc>
          <w:tcPr>
            <w:tcW w:w="2200" w:type="dxa"/>
            <w:tcMar>
              <w:top w:w="60" w:type="dxa"/>
              <w:left w:w="90" w:type="dxa"/>
              <w:bottom w:w="60" w:type="dxa"/>
              <w:right w:w="90" w:type="dxa"/>
            </w:tcMar>
          </w:tcPr>
          <w:p w14:paraId="52B74BD6" w14:textId="77777777" w:rsidR="003E5982" w:rsidRPr="00E33455" w:rsidRDefault="003022BB" w:rsidP="00DD00A8">
            <w:pPr>
              <w:rPr>
                <w:rFonts w:ascii="Sura Sans Light" w:hAnsi="Sura Sans Light"/>
              </w:rPr>
            </w:pPr>
            <w:r w:rsidRPr="00E33455">
              <w:rPr>
                <w:rFonts w:ascii="Sura Sans Light" w:hAnsi="Sura Sans Light"/>
                <w:b/>
                <w:bCs/>
                <w:color w:val="000000"/>
                <w:sz w:val="19"/>
                <w:szCs w:val="19"/>
              </w:rPr>
              <w:t>7. Costo</w:t>
            </w:r>
          </w:p>
        </w:tc>
        <w:tc>
          <w:tcPr>
            <w:tcW w:w="3600" w:type="dxa"/>
            <w:tcMar>
              <w:top w:w="60" w:type="dxa"/>
              <w:left w:w="90" w:type="dxa"/>
              <w:bottom w:w="60" w:type="dxa"/>
              <w:right w:w="90" w:type="dxa"/>
            </w:tcMar>
          </w:tcPr>
          <w:p w14:paraId="5CE53EF6"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Las comisiones altas erosionan el retorno neto (Lamont y otros; Naffa y Fain)</w:t>
            </w:r>
          </w:p>
        </w:tc>
        <w:tc>
          <w:tcPr>
            <w:tcW w:w="3220" w:type="dxa"/>
            <w:tcMar>
              <w:top w:w="60" w:type="dxa"/>
              <w:left w:w="90" w:type="dxa"/>
              <w:bottom w:w="60" w:type="dxa"/>
              <w:right w:w="90" w:type="dxa"/>
            </w:tcMar>
          </w:tcPr>
          <w:p w14:paraId="61AD449F"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Umbral de TER (referencia ≤ 0.5–0.6%); preferir réplica física</w:t>
            </w:r>
          </w:p>
        </w:tc>
      </w:tr>
      <w:tr w:rsidR="003E5982" w:rsidRPr="00E33455" w14:paraId="12426AD0" w14:textId="77777777">
        <w:tc>
          <w:tcPr>
            <w:tcW w:w="2200" w:type="dxa"/>
            <w:shd w:val="clear" w:color="auto" w:fill="EEF3F7"/>
            <w:tcMar>
              <w:top w:w="60" w:type="dxa"/>
              <w:left w:w="90" w:type="dxa"/>
              <w:bottom w:w="60" w:type="dxa"/>
              <w:right w:w="90" w:type="dxa"/>
            </w:tcMar>
          </w:tcPr>
          <w:p w14:paraId="45CFAFAA" w14:textId="77777777" w:rsidR="003E5982" w:rsidRPr="00E33455" w:rsidRDefault="003022BB" w:rsidP="00DD00A8">
            <w:pPr>
              <w:rPr>
                <w:rFonts w:ascii="Sura Sans Light" w:hAnsi="Sura Sans Light"/>
              </w:rPr>
            </w:pPr>
            <w:r w:rsidRPr="00E33455">
              <w:rPr>
                <w:rFonts w:ascii="Sura Sans Light" w:hAnsi="Sura Sans Light"/>
                <w:b/>
                <w:bCs/>
                <w:color w:val="000000"/>
                <w:sz w:val="19"/>
                <w:szCs w:val="19"/>
              </w:rPr>
              <w:t>8. Liquidez y viabilidad</w:t>
            </w:r>
          </w:p>
        </w:tc>
        <w:tc>
          <w:tcPr>
            <w:tcW w:w="3600" w:type="dxa"/>
            <w:shd w:val="clear" w:color="auto" w:fill="EEF3F7"/>
            <w:tcMar>
              <w:top w:w="60" w:type="dxa"/>
              <w:left w:w="90" w:type="dxa"/>
              <w:bottom w:w="60" w:type="dxa"/>
              <w:right w:w="90" w:type="dxa"/>
            </w:tcMar>
          </w:tcPr>
          <w:p w14:paraId="4B92D9B5"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Baja supervivencia y riesgo de cierre (Lamont y otros, 2024)</w:t>
            </w:r>
          </w:p>
        </w:tc>
        <w:tc>
          <w:tcPr>
            <w:tcW w:w="3220" w:type="dxa"/>
            <w:shd w:val="clear" w:color="auto" w:fill="EEF3F7"/>
            <w:tcMar>
              <w:top w:w="60" w:type="dxa"/>
              <w:left w:w="90" w:type="dxa"/>
              <w:bottom w:w="60" w:type="dxa"/>
              <w:right w:w="90" w:type="dxa"/>
            </w:tcMar>
          </w:tcPr>
          <w:p w14:paraId="5BB6E37F"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AUM ≥ USD 50 mm; volumen y spread adecuados; antigüedad ≥ 3 años</w:t>
            </w:r>
          </w:p>
        </w:tc>
      </w:tr>
      <w:tr w:rsidR="003E5982" w:rsidRPr="00E33455" w14:paraId="7013C2C5" w14:textId="77777777">
        <w:tc>
          <w:tcPr>
            <w:tcW w:w="2200" w:type="dxa"/>
            <w:tcMar>
              <w:top w:w="60" w:type="dxa"/>
              <w:left w:w="90" w:type="dxa"/>
              <w:bottom w:w="60" w:type="dxa"/>
              <w:right w:w="90" w:type="dxa"/>
            </w:tcMar>
          </w:tcPr>
          <w:p w14:paraId="190861B7" w14:textId="77777777" w:rsidR="003E5982" w:rsidRPr="00E33455" w:rsidRDefault="003022BB" w:rsidP="00DD00A8">
            <w:pPr>
              <w:rPr>
                <w:rFonts w:ascii="Sura Sans Light" w:hAnsi="Sura Sans Light"/>
              </w:rPr>
            </w:pPr>
            <w:r w:rsidRPr="00E33455">
              <w:rPr>
                <w:rFonts w:ascii="Sura Sans Light" w:hAnsi="Sura Sans Light"/>
                <w:b/>
                <w:bCs/>
                <w:color w:val="000000"/>
                <w:sz w:val="19"/>
                <w:szCs w:val="19"/>
              </w:rPr>
              <w:t>9. Solapamiento con el núcleo</w:t>
            </w:r>
          </w:p>
        </w:tc>
        <w:tc>
          <w:tcPr>
            <w:tcW w:w="3600" w:type="dxa"/>
            <w:tcMar>
              <w:top w:w="60" w:type="dxa"/>
              <w:left w:w="90" w:type="dxa"/>
              <w:bottom w:w="60" w:type="dxa"/>
              <w:right w:w="90" w:type="dxa"/>
            </w:tcMar>
          </w:tcPr>
          <w:p w14:paraId="71996D23"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Evitar duplicar exposición ya presente en la cartera</w:t>
            </w:r>
          </w:p>
        </w:tc>
        <w:tc>
          <w:tcPr>
            <w:tcW w:w="3220" w:type="dxa"/>
            <w:tcMar>
              <w:top w:w="60" w:type="dxa"/>
              <w:left w:w="90" w:type="dxa"/>
              <w:bottom w:w="60" w:type="dxa"/>
              <w:right w:w="90" w:type="dxa"/>
            </w:tcMar>
          </w:tcPr>
          <w:p w14:paraId="25FCD8BE"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Análisis de superposición de tenencias con el portafolio actual</w:t>
            </w:r>
          </w:p>
        </w:tc>
      </w:tr>
      <w:tr w:rsidR="003E5982" w:rsidRPr="00E33455" w14:paraId="29EDD00E" w14:textId="77777777">
        <w:tc>
          <w:tcPr>
            <w:tcW w:w="2200" w:type="dxa"/>
            <w:shd w:val="clear" w:color="auto" w:fill="EEF3F7"/>
            <w:tcMar>
              <w:top w:w="60" w:type="dxa"/>
              <w:left w:w="90" w:type="dxa"/>
              <w:bottom w:w="60" w:type="dxa"/>
              <w:right w:w="90" w:type="dxa"/>
            </w:tcMar>
          </w:tcPr>
          <w:p w14:paraId="4123DFED" w14:textId="77777777" w:rsidR="003E5982" w:rsidRPr="00E33455" w:rsidRDefault="003022BB" w:rsidP="00DD00A8">
            <w:pPr>
              <w:rPr>
                <w:rFonts w:ascii="Sura Sans Light" w:hAnsi="Sura Sans Light"/>
              </w:rPr>
            </w:pPr>
            <w:r w:rsidRPr="00E33455">
              <w:rPr>
                <w:rFonts w:ascii="Sura Sans Light" w:hAnsi="Sura Sans Light"/>
                <w:b/>
                <w:bCs/>
                <w:color w:val="000000"/>
                <w:sz w:val="19"/>
                <w:szCs w:val="19"/>
              </w:rPr>
              <w:t>10. Estructura y disciplina</w:t>
            </w:r>
          </w:p>
        </w:tc>
        <w:tc>
          <w:tcPr>
            <w:tcW w:w="3600" w:type="dxa"/>
            <w:shd w:val="clear" w:color="auto" w:fill="EEF3F7"/>
            <w:tcMar>
              <w:top w:w="60" w:type="dxa"/>
              <w:left w:w="90" w:type="dxa"/>
              <w:bottom w:w="60" w:type="dxa"/>
              <w:right w:w="90" w:type="dxa"/>
            </w:tcMar>
          </w:tcPr>
          <w:p w14:paraId="1852515B"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Evitar apalancamiento/sintéticos y la brecha de comportamiento</w:t>
            </w:r>
          </w:p>
        </w:tc>
        <w:tc>
          <w:tcPr>
            <w:tcW w:w="3220" w:type="dxa"/>
            <w:shd w:val="clear" w:color="auto" w:fill="EEF3F7"/>
            <w:tcMar>
              <w:top w:w="60" w:type="dxa"/>
              <w:left w:w="90" w:type="dxa"/>
              <w:bottom w:w="60" w:type="dxa"/>
              <w:right w:w="90" w:type="dxa"/>
            </w:tcMar>
          </w:tcPr>
          <w:p w14:paraId="2907C3C3" w14:textId="77777777" w:rsidR="003E5982" w:rsidRPr="00E33455" w:rsidRDefault="003022BB" w:rsidP="00DD00A8">
            <w:pPr>
              <w:rPr>
                <w:rFonts w:ascii="Sura Sans Light" w:hAnsi="Sura Sans Light"/>
              </w:rPr>
            </w:pPr>
            <w:r w:rsidRPr="00E33455">
              <w:rPr>
                <w:rFonts w:ascii="Sura Sans Light" w:hAnsi="Sura Sans Light"/>
                <w:color w:val="000000"/>
                <w:sz w:val="19"/>
                <w:szCs w:val="19"/>
              </w:rPr>
              <w:t>Réplica física; sin apalancamiento; reglas de rebalanceo y comprar-y-mantener</w:t>
            </w:r>
          </w:p>
        </w:tc>
      </w:tr>
    </w:tbl>
    <w:p w14:paraId="44CF176A" w14:textId="77777777" w:rsidR="00DD00A8" w:rsidRDefault="00DD00A8" w:rsidP="00DD00A8">
      <w:pPr>
        <w:pStyle w:val="Ttulo1"/>
        <w:rPr>
          <w:rFonts w:ascii="Sura Sans Light" w:hAnsi="Sura Sans Light"/>
          <w:b/>
          <w:bCs/>
          <w:color w:val="1F3A5F"/>
          <w:sz w:val="30"/>
          <w:szCs w:val="30"/>
        </w:rPr>
      </w:pPr>
    </w:p>
    <w:p w14:paraId="2353761D" w14:textId="7F824CF4" w:rsidR="003E5982" w:rsidRPr="00E33455" w:rsidRDefault="00821D08" w:rsidP="00DD00A8">
      <w:pPr>
        <w:pStyle w:val="Ttulo1"/>
        <w:rPr>
          <w:rFonts w:ascii="Sura Sans Light" w:hAnsi="Sura Sans Light"/>
        </w:rPr>
      </w:pPr>
      <w:r>
        <w:rPr>
          <w:rFonts w:ascii="Sura Sans Light" w:hAnsi="Sura Sans Light"/>
          <w:b/>
          <w:bCs/>
          <w:color w:val="1F3A5F"/>
          <w:sz w:val="30"/>
          <w:szCs w:val="30"/>
        </w:rPr>
        <w:t>6</w:t>
      </w:r>
      <w:r w:rsidR="003022BB" w:rsidRPr="00E33455">
        <w:rPr>
          <w:rFonts w:ascii="Sura Sans Light" w:hAnsi="Sura Sans Light"/>
          <w:b/>
          <w:bCs/>
          <w:color w:val="1F3A5F"/>
          <w:sz w:val="30"/>
          <w:szCs w:val="30"/>
        </w:rPr>
        <w:t>.  Conclusiones y lineamientos de implementación</w:t>
      </w:r>
    </w:p>
    <w:p w14:paraId="4B1ACD9C" w14:textId="77777777" w:rsidR="00DD00A8" w:rsidRPr="00DD00A8" w:rsidRDefault="00DD00A8" w:rsidP="00DD00A8">
      <w:pPr>
        <w:pStyle w:val="Prrafodelista"/>
        <w:ind w:left="420"/>
        <w:jc w:val="both"/>
        <w:rPr>
          <w:rFonts w:ascii="Sura Sans Light" w:hAnsi="Sura Sans Light"/>
        </w:rPr>
      </w:pPr>
    </w:p>
    <w:p w14:paraId="53E705E2" w14:textId="57C21134"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Asignación satélite y acotada. </w:t>
      </w:r>
      <w:r w:rsidRPr="00E33455">
        <w:rPr>
          <w:rFonts w:ascii="Sura Sans Light" w:hAnsi="Sura Sans Light"/>
        </w:rPr>
        <w:t>Los temáticos complementan —no reemplazan— el núcleo diversificado de bajo costo; su tamaño debe ser consistente con su perfil de concentración y su desempeño promedio.</w:t>
      </w:r>
    </w:p>
    <w:p w14:paraId="0B1E87B7" w14:textId="77777777" w:rsidR="00DD00A8" w:rsidRPr="00DD00A8" w:rsidRDefault="00DD00A8" w:rsidP="00DD00A8">
      <w:pPr>
        <w:pStyle w:val="Prrafodelista"/>
        <w:ind w:left="420"/>
        <w:jc w:val="both"/>
        <w:rPr>
          <w:rFonts w:ascii="Sura Sans Light" w:hAnsi="Sura Sans Light"/>
        </w:rPr>
      </w:pPr>
    </w:p>
    <w:p w14:paraId="60D996A7" w14:textId="5E4EABB8"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Selección disciplinada por encima del relato. </w:t>
      </w:r>
      <w:r w:rsidRPr="00E33455">
        <w:rPr>
          <w:rFonts w:ascii="Sura Sans Light" w:hAnsi="Sura Sans Light"/>
        </w:rPr>
        <w:t xml:space="preserve">La evidencia indica que el retorno depende de la calidad de la implementación (coherencia, valorización, costo, diversificación) más que de la atractividad de la </w:t>
      </w:r>
      <w:proofErr w:type="spellStart"/>
      <w:r w:rsidRPr="00E33455">
        <w:rPr>
          <w:rFonts w:ascii="Sura Sans Light" w:hAnsi="Sura Sans Light"/>
        </w:rPr>
        <w:t>megatendencia</w:t>
      </w:r>
      <w:proofErr w:type="spellEnd"/>
      <w:r w:rsidRPr="00E33455">
        <w:rPr>
          <w:rFonts w:ascii="Sura Sans Light" w:hAnsi="Sura Sans Light"/>
        </w:rPr>
        <w:t>.</w:t>
      </w:r>
    </w:p>
    <w:p w14:paraId="6BED8012" w14:textId="77777777" w:rsidR="00DD00A8" w:rsidRPr="00DD00A8" w:rsidRDefault="00DD00A8" w:rsidP="00DD00A8">
      <w:pPr>
        <w:pStyle w:val="Prrafodelista"/>
        <w:ind w:left="420"/>
        <w:jc w:val="both"/>
        <w:rPr>
          <w:rFonts w:ascii="Sura Sans Light" w:hAnsi="Sura Sans Light"/>
        </w:rPr>
      </w:pPr>
    </w:p>
    <w:p w14:paraId="16755F8F" w14:textId="2D49311A"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Prioridad a </w:t>
      </w:r>
      <w:proofErr w:type="spellStart"/>
      <w:r w:rsidRPr="00E33455">
        <w:rPr>
          <w:rFonts w:ascii="Sura Sans Light" w:hAnsi="Sura Sans Light"/>
          <w:b/>
          <w:bCs/>
        </w:rPr>
        <w:t>subtemáticas</w:t>
      </w:r>
      <w:proofErr w:type="spellEnd"/>
      <w:r w:rsidRPr="00E33455">
        <w:rPr>
          <w:rFonts w:ascii="Sura Sans Light" w:hAnsi="Sura Sans Light"/>
          <w:b/>
          <w:bCs/>
        </w:rPr>
        <w:t xml:space="preserve"> de calidad y perfil defensivo. </w:t>
      </w:r>
      <w:r w:rsidRPr="00E33455">
        <w:rPr>
          <w:rFonts w:ascii="Sura Sans Light" w:hAnsi="Sura Sans Light"/>
        </w:rPr>
        <w:t xml:space="preserve">Salud amplia, agua y gestión de residuos, infraestructura/eficiencia energética, y pilares tecnológicos diversificados presentan el mejor calce con el mandato; los nichos especulativos y </w:t>
      </w:r>
      <w:proofErr w:type="spellStart"/>
      <w:r w:rsidRPr="00E33455">
        <w:rPr>
          <w:rFonts w:ascii="Sura Sans Light" w:hAnsi="Sura Sans Light"/>
        </w:rPr>
        <w:t>pre-ingresos</w:t>
      </w:r>
      <w:proofErr w:type="spellEnd"/>
      <w:r w:rsidRPr="00E33455">
        <w:rPr>
          <w:rFonts w:ascii="Sura Sans Light" w:hAnsi="Sura Sans Light"/>
        </w:rPr>
        <w:t xml:space="preserve"> se posponen o excluyen.</w:t>
      </w:r>
    </w:p>
    <w:p w14:paraId="548B2B16" w14:textId="77777777" w:rsidR="00DD00A8" w:rsidRPr="00DD00A8" w:rsidRDefault="00DD00A8" w:rsidP="00DD00A8">
      <w:pPr>
        <w:pStyle w:val="Prrafodelista"/>
        <w:ind w:left="420"/>
        <w:jc w:val="both"/>
        <w:rPr>
          <w:rFonts w:ascii="Sura Sans Light" w:hAnsi="Sura Sans Light"/>
        </w:rPr>
      </w:pPr>
    </w:p>
    <w:p w14:paraId="2FDFB117" w14:textId="11571346"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Sostenibilidad compatible, no condicionante. </w:t>
      </w:r>
      <w:r w:rsidRPr="00E33455">
        <w:rPr>
          <w:rFonts w:ascii="Sura Sans Light" w:hAnsi="Sura Sans Light"/>
        </w:rPr>
        <w:t xml:space="preserve">La orientación al desarrollo sostenible se materializa como coincidencia con </w:t>
      </w:r>
      <w:proofErr w:type="spellStart"/>
      <w:r w:rsidRPr="00E33455">
        <w:rPr>
          <w:rFonts w:ascii="Sura Sans Light" w:hAnsi="Sura Sans Light"/>
        </w:rPr>
        <w:t>subtemáticas</w:t>
      </w:r>
      <w:proofErr w:type="spellEnd"/>
      <w:r w:rsidRPr="00E33455">
        <w:rPr>
          <w:rFonts w:ascii="Sura Sans Light" w:hAnsi="Sura Sans Light"/>
        </w:rPr>
        <w:t xml:space="preserve"> financieramente sólidas; no se sacrifica rentabilidad ajustada por riesgo para lograr impacto (Friede y otros, 2015).</w:t>
      </w:r>
    </w:p>
    <w:p w14:paraId="0C327E0B" w14:textId="77777777" w:rsidR="00DD00A8" w:rsidRPr="00DD00A8" w:rsidRDefault="00DD00A8" w:rsidP="00DD00A8">
      <w:pPr>
        <w:pStyle w:val="Prrafodelista"/>
        <w:ind w:left="420"/>
        <w:jc w:val="both"/>
        <w:rPr>
          <w:rFonts w:ascii="Sura Sans Light" w:hAnsi="Sura Sans Light"/>
        </w:rPr>
      </w:pPr>
    </w:p>
    <w:p w14:paraId="3399856A" w14:textId="7A00CFD8" w:rsidR="003E5982" w:rsidRPr="00E33455" w:rsidRDefault="003022BB" w:rsidP="00DD00A8">
      <w:pPr>
        <w:pStyle w:val="Prrafodelista"/>
        <w:numPr>
          <w:ilvl w:val="0"/>
          <w:numId w:val="2"/>
        </w:numPr>
        <w:jc w:val="both"/>
        <w:rPr>
          <w:rFonts w:ascii="Sura Sans Light" w:hAnsi="Sura Sans Light"/>
        </w:rPr>
      </w:pPr>
      <w:r w:rsidRPr="00E33455">
        <w:rPr>
          <w:rFonts w:ascii="Sura Sans Light" w:hAnsi="Sura Sans Light"/>
          <w:b/>
          <w:bCs/>
        </w:rPr>
        <w:t xml:space="preserve">Gobernanza y monitoreo. </w:t>
      </w:r>
      <w:r w:rsidRPr="00E33455">
        <w:rPr>
          <w:rFonts w:ascii="Sura Sans Light" w:hAnsi="Sura Sans Light"/>
        </w:rPr>
        <w:t>El marco de indicadores de la sección 4 debe integrarse a los procesos de selección, límites de riesgo y revisión periódica del Comité de Inversiones, con reglas de entrada por valorización y de rebalanceo.</w:t>
      </w:r>
    </w:p>
    <w:p w14:paraId="6E5B696F" w14:textId="77777777" w:rsidR="00DD00A8" w:rsidRDefault="00DD00A8" w:rsidP="00DD00A8">
      <w:pPr>
        <w:ind w:left="200"/>
        <w:rPr>
          <w:rFonts w:ascii="Segoe UI" w:eastAsia="Times New Roman" w:hAnsi="Segoe UI" w:cs="Segoe UI"/>
          <w:color w:val="auto"/>
          <w:lang w:val="es-ES" w:eastAsia="es-ES"/>
        </w:rPr>
      </w:pPr>
    </w:p>
    <w:p w14:paraId="41B277A0" w14:textId="081A271E" w:rsidR="0024735B" w:rsidRPr="00161651" w:rsidRDefault="0024735B" w:rsidP="00DD00A8">
      <w:pPr>
        <w:ind w:left="200"/>
        <w:rPr>
          <w:rFonts w:ascii="Segoe UI" w:eastAsia="Times New Roman" w:hAnsi="Segoe UI" w:cs="Segoe UI"/>
          <w:color w:val="auto"/>
          <w:lang w:val="es-ES" w:eastAsia="es-ES"/>
        </w:rPr>
      </w:pPr>
      <w:r w:rsidRPr="00161651">
        <w:rPr>
          <w:rFonts w:ascii="Segoe UI" w:eastAsia="Times New Roman" w:hAnsi="Segoe UI" w:cs="Segoe UI"/>
          <w:color w:val="auto"/>
          <w:lang w:val="es-ES" w:eastAsia="es-ES"/>
        </w:rPr>
        <w:t xml:space="preserve">La evidencia disponible no respalda </w:t>
      </w:r>
      <w:r>
        <w:rPr>
          <w:rFonts w:ascii="Segoe UI" w:eastAsia="Times New Roman" w:hAnsi="Segoe UI" w:cs="Segoe UI"/>
          <w:color w:val="auto"/>
          <w:lang w:val="es-ES" w:eastAsia="es-ES"/>
        </w:rPr>
        <w:t xml:space="preserve">propiamente </w:t>
      </w:r>
      <w:r w:rsidRPr="00161651">
        <w:rPr>
          <w:rFonts w:ascii="Segoe UI" w:eastAsia="Times New Roman" w:hAnsi="Segoe UI" w:cs="Segoe UI"/>
          <w:color w:val="auto"/>
          <w:lang w:val="es-ES" w:eastAsia="es-ES"/>
        </w:rPr>
        <w:t xml:space="preserve">una asignación temática indiscriminada. Sin embargo, sí respalda una implementación selectiva, diversificada y disciplinada en </w:t>
      </w:r>
      <w:proofErr w:type="spellStart"/>
      <w:r w:rsidRPr="00161651">
        <w:rPr>
          <w:rFonts w:ascii="Segoe UI" w:eastAsia="Times New Roman" w:hAnsi="Segoe UI" w:cs="Segoe UI"/>
          <w:color w:val="auto"/>
          <w:lang w:val="es-ES" w:eastAsia="es-ES"/>
        </w:rPr>
        <w:t>subtemáticas</w:t>
      </w:r>
      <w:proofErr w:type="spellEnd"/>
      <w:r w:rsidRPr="00161651">
        <w:rPr>
          <w:rFonts w:ascii="Segoe UI" w:eastAsia="Times New Roman" w:hAnsi="Segoe UI" w:cs="Segoe UI"/>
          <w:color w:val="auto"/>
          <w:lang w:val="es-ES" w:eastAsia="es-ES"/>
        </w:rPr>
        <w:t xml:space="preserve"> donde </w:t>
      </w:r>
      <w:r w:rsidR="00120505">
        <w:rPr>
          <w:rFonts w:ascii="Segoe UI" w:eastAsia="Times New Roman" w:hAnsi="Segoe UI" w:cs="Segoe UI"/>
          <w:color w:val="auto"/>
          <w:lang w:val="es-ES" w:eastAsia="es-ES"/>
        </w:rPr>
        <w:t xml:space="preserve">conviven </w:t>
      </w:r>
      <w:r w:rsidRPr="00161651">
        <w:rPr>
          <w:rFonts w:ascii="Segoe UI" w:eastAsia="Times New Roman" w:hAnsi="Segoe UI" w:cs="Segoe UI"/>
          <w:color w:val="auto"/>
          <w:lang w:val="es-ES" w:eastAsia="es-ES"/>
        </w:rPr>
        <w:t>crecimiento estructural, fundamentos financieros sólidos y valuaciones razonables. Bajo estas condiciones, una asignación satélite temática puede contribuir a diversificar las fuentes de retorno del portafolio y mejorar su perfil riesgo-retorno de largo plazo.</w:t>
      </w:r>
    </w:p>
    <w:p w14:paraId="23A006FB" w14:textId="409E8F6D" w:rsidR="003E5982" w:rsidRPr="00E33455" w:rsidRDefault="003E5982" w:rsidP="00DD00A8">
      <w:pPr>
        <w:rPr>
          <w:rFonts w:ascii="Sura Sans Light" w:hAnsi="Sura Sans Light"/>
        </w:rPr>
      </w:pPr>
    </w:p>
    <w:p w14:paraId="4D388BFF" w14:textId="2BDD52E3" w:rsidR="003E5982" w:rsidRPr="00E33455" w:rsidRDefault="00821D08" w:rsidP="00DD00A8">
      <w:pPr>
        <w:pStyle w:val="Ttulo1"/>
        <w:rPr>
          <w:rFonts w:ascii="Sura Sans Light" w:hAnsi="Sura Sans Light"/>
        </w:rPr>
      </w:pPr>
      <w:r>
        <w:rPr>
          <w:rFonts w:ascii="Sura Sans Light" w:hAnsi="Sura Sans Light"/>
          <w:b/>
          <w:bCs/>
          <w:color w:val="1F3A5F"/>
          <w:sz w:val="30"/>
          <w:szCs w:val="30"/>
        </w:rPr>
        <w:t>7</w:t>
      </w:r>
      <w:r w:rsidR="003022BB" w:rsidRPr="00E33455">
        <w:rPr>
          <w:rFonts w:ascii="Sura Sans Light" w:hAnsi="Sura Sans Light"/>
          <w:b/>
          <w:bCs/>
          <w:color w:val="1F3A5F"/>
          <w:sz w:val="30"/>
          <w:szCs w:val="30"/>
        </w:rPr>
        <w:t>.  Referencias</w:t>
      </w:r>
    </w:p>
    <w:p w14:paraId="546955B8" w14:textId="77777777" w:rsidR="00DD00A8" w:rsidRDefault="00DD00A8" w:rsidP="00DD00A8">
      <w:pPr>
        <w:ind w:left="360" w:hanging="360"/>
        <w:jc w:val="both"/>
        <w:rPr>
          <w:rFonts w:ascii="Sura Sans Light" w:hAnsi="Sura Sans Light"/>
          <w:sz w:val="19"/>
          <w:szCs w:val="19"/>
          <w:lang w:val="en-US"/>
        </w:rPr>
      </w:pPr>
    </w:p>
    <w:p w14:paraId="0D5F940D" w14:textId="43E8C8BA" w:rsidR="003E5982" w:rsidRPr="00E33455" w:rsidRDefault="003022BB" w:rsidP="00DD00A8">
      <w:pPr>
        <w:ind w:left="360" w:hanging="360"/>
        <w:jc w:val="both"/>
        <w:rPr>
          <w:rFonts w:ascii="Sura Sans Light" w:hAnsi="Sura Sans Light"/>
          <w:lang w:val="en-US"/>
        </w:rPr>
      </w:pPr>
      <w:r w:rsidRPr="00821D08">
        <w:rPr>
          <w:rFonts w:ascii="Sura Sans Light" w:hAnsi="Sura Sans Light"/>
          <w:sz w:val="19"/>
          <w:szCs w:val="19"/>
          <w:lang w:val="en-US"/>
        </w:rPr>
        <w:t xml:space="preserve">Alvarez, M., &amp; Rodríguez, J. (2015). </w:t>
      </w:r>
      <w:r w:rsidRPr="00E33455">
        <w:rPr>
          <w:rFonts w:ascii="Sura Sans Light" w:hAnsi="Sura Sans Light"/>
          <w:sz w:val="19"/>
          <w:szCs w:val="19"/>
          <w:lang w:val="en-US"/>
        </w:rPr>
        <w:t>Water-related mutual funds: investment performance and social role. Social Responsibility Journal, 11(3), 502–512. https://doi.org/10.1108/SRJ-08-2013-0104</w:t>
      </w:r>
    </w:p>
    <w:p w14:paraId="70EB065E" w14:textId="77777777" w:rsidR="00DD00A8" w:rsidRDefault="00DD00A8" w:rsidP="00DD00A8">
      <w:pPr>
        <w:ind w:left="360" w:hanging="360"/>
        <w:jc w:val="both"/>
        <w:rPr>
          <w:rFonts w:ascii="Sura Sans Light" w:hAnsi="Sura Sans Light"/>
          <w:sz w:val="19"/>
          <w:szCs w:val="19"/>
          <w:lang w:val="en-US"/>
        </w:rPr>
      </w:pPr>
    </w:p>
    <w:p w14:paraId="26BF651B" w14:textId="680A5EFD" w:rsidR="003E5982" w:rsidRPr="00E33455" w:rsidRDefault="003022BB" w:rsidP="00DD00A8">
      <w:pPr>
        <w:ind w:left="360" w:hanging="360"/>
        <w:jc w:val="both"/>
        <w:rPr>
          <w:rFonts w:ascii="Sura Sans Light" w:hAnsi="Sura Sans Light"/>
          <w:lang w:val="en-US"/>
        </w:rPr>
      </w:pPr>
      <w:r w:rsidRPr="00E33455">
        <w:rPr>
          <w:rFonts w:ascii="Sura Sans Light" w:hAnsi="Sura Sans Light"/>
          <w:sz w:val="19"/>
          <w:szCs w:val="19"/>
          <w:lang w:val="en-US"/>
        </w:rPr>
        <w:lastRenderedPageBreak/>
        <w:t xml:space="preserve">Ben-David, I., Franzoni, F., Kim, B., &amp; Moussawi, R. (2023). Competition for Attention in </w:t>
      </w:r>
      <w:proofErr w:type="gramStart"/>
      <w:r w:rsidRPr="00E33455">
        <w:rPr>
          <w:rFonts w:ascii="Sura Sans Light" w:hAnsi="Sura Sans Light"/>
          <w:sz w:val="19"/>
          <w:szCs w:val="19"/>
          <w:lang w:val="en-US"/>
        </w:rPr>
        <w:t>the ETF</w:t>
      </w:r>
      <w:proofErr w:type="gramEnd"/>
      <w:r w:rsidRPr="00E33455">
        <w:rPr>
          <w:rFonts w:ascii="Sura Sans Light" w:hAnsi="Sura Sans Light"/>
          <w:sz w:val="19"/>
          <w:szCs w:val="19"/>
          <w:lang w:val="en-US"/>
        </w:rPr>
        <w:t xml:space="preserve"> Space. The Review of Financial Studies, 36(3), 987–1042. https://doi.org/10.1093/rfs/hhac048 (</w:t>
      </w:r>
      <w:proofErr w:type="spellStart"/>
      <w:r w:rsidRPr="00E33455">
        <w:rPr>
          <w:rFonts w:ascii="Sura Sans Light" w:hAnsi="Sura Sans Light"/>
          <w:sz w:val="19"/>
          <w:szCs w:val="19"/>
          <w:lang w:val="en-US"/>
        </w:rPr>
        <w:t>documento</w:t>
      </w:r>
      <w:proofErr w:type="spellEnd"/>
      <w:r w:rsidRPr="00E33455">
        <w:rPr>
          <w:rFonts w:ascii="Sura Sans Light" w:hAnsi="Sura Sans Light"/>
          <w:sz w:val="19"/>
          <w:szCs w:val="19"/>
          <w:lang w:val="en-US"/>
        </w:rPr>
        <w:t xml:space="preserve"> de </w:t>
      </w:r>
      <w:proofErr w:type="spellStart"/>
      <w:r w:rsidRPr="00E33455">
        <w:rPr>
          <w:rFonts w:ascii="Sura Sans Light" w:hAnsi="Sura Sans Light"/>
          <w:sz w:val="19"/>
          <w:szCs w:val="19"/>
          <w:lang w:val="en-US"/>
        </w:rPr>
        <w:t>trabajo</w:t>
      </w:r>
      <w:proofErr w:type="spellEnd"/>
      <w:r w:rsidRPr="00E33455">
        <w:rPr>
          <w:rFonts w:ascii="Sura Sans Light" w:hAnsi="Sura Sans Light"/>
          <w:sz w:val="19"/>
          <w:szCs w:val="19"/>
          <w:lang w:val="en-US"/>
        </w:rPr>
        <w:t xml:space="preserve"> NBER No. 28369, 2021).</w:t>
      </w:r>
    </w:p>
    <w:p w14:paraId="202AD6DC" w14:textId="77777777" w:rsidR="00DD00A8" w:rsidRDefault="00DD00A8" w:rsidP="00DD00A8">
      <w:pPr>
        <w:ind w:left="360" w:hanging="360"/>
        <w:jc w:val="both"/>
        <w:rPr>
          <w:rFonts w:ascii="Sura Sans Light" w:hAnsi="Sura Sans Light"/>
          <w:sz w:val="19"/>
          <w:szCs w:val="19"/>
          <w:lang w:val="en-US"/>
        </w:rPr>
      </w:pPr>
    </w:p>
    <w:p w14:paraId="179680FF" w14:textId="03604B06" w:rsidR="003E5982" w:rsidRPr="00E33455" w:rsidRDefault="003022BB" w:rsidP="00DD00A8">
      <w:pPr>
        <w:ind w:left="360" w:hanging="360"/>
        <w:jc w:val="both"/>
        <w:rPr>
          <w:rFonts w:ascii="Sura Sans Light" w:hAnsi="Sura Sans Light"/>
          <w:lang w:val="en-US"/>
        </w:rPr>
      </w:pPr>
      <w:r w:rsidRPr="00E33455">
        <w:rPr>
          <w:rFonts w:ascii="Sura Sans Light" w:hAnsi="Sura Sans Light"/>
          <w:sz w:val="19"/>
          <w:szCs w:val="19"/>
          <w:lang w:val="en-US"/>
        </w:rPr>
        <w:t>Boesl, D. B. O., &amp; Bode, B. A. M. (2016). Technology Governance. IEEE International Conference on Emerging Technologies and Innovative Business Practices for the Transformation of Societies (</w:t>
      </w:r>
      <w:proofErr w:type="spellStart"/>
      <w:r w:rsidRPr="00E33455">
        <w:rPr>
          <w:rFonts w:ascii="Sura Sans Light" w:hAnsi="Sura Sans Light"/>
          <w:sz w:val="19"/>
          <w:szCs w:val="19"/>
          <w:lang w:val="en-US"/>
        </w:rPr>
        <w:t>EmergiTech</w:t>
      </w:r>
      <w:proofErr w:type="spellEnd"/>
      <w:r w:rsidRPr="00E33455">
        <w:rPr>
          <w:rFonts w:ascii="Sura Sans Light" w:hAnsi="Sura Sans Light"/>
          <w:sz w:val="19"/>
          <w:szCs w:val="19"/>
          <w:lang w:val="en-US"/>
        </w:rPr>
        <w:t>).</w:t>
      </w:r>
    </w:p>
    <w:p w14:paraId="502AC367" w14:textId="77777777" w:rsidR="00DD00A8" w:rsidRDefault="00DD00A8" w:rsidP="00DD00A8">
      <w:pPr>
        <w:ind w:left="360" w:hanging="360"/>
        <w:jc w:val="both"/>
        <w:rPr>
          <w:rFonts w:ascii="Sura Sans Light" w:hAnsi="Sura Sans Light"/>
          <w:sz w:val="19"/>
          <w:szCs w:val="19"/>
        </w:rPr>
      </w:pPr>
    </w:p>
    <w:p w14:paraId="03DF755B" w14:textId="268179CF" w:rsidR="003E5982" w:rsidRPr="00E33455" w:rsidRDefault="003022BB" w:rsidP="00DD00A8">
      <w:pPr>
        <w:ind w:left="360" w:hanging="360"/>
        <w:jc w:val="both"/>
        <w:rPr>
          <w:rFonts w:ascii="Sura Sans Light" w:hAnsi="Sura Sans Light"/>
          <w:lang w:val="en-US"/>
        </w:rPr>
      </w:pPr>
      <w:proofErr w:type="spellStart"/>
      <w:r w:rsidRPr="00E33455">
        <w:rPr>
          <w:rFonts w:ascii="Sura Sans Light" w:hAnsi="Sura Sans Light"/>
          <w:sz w:val="19"/>
          <w:szCs w:val="19"/>
        </w:rPr>
        <w:t>Candès</w:t>
      </w:r>
      <w:proofErr w:type="spellEnd"/>
      <w:r w:rsidRPr="00E33455">
        <w:rPr>
          <w:rFonts w:ascii="Sura Sans Light" w:hAnsi="Sura Sans Light"/>
          <w:sz w:val="19"/>
          <w:szCs w:val="19"/>
        </w:rPr>
        <w:t xml:space="preserve">, E., Hastie, T., Hogan, K., Kahn, R., Luo, R., &amp; Spector, A. (2025). </w:t>
      </w:r>
      <w:r w:rsidRPr="00E33455">
        <w:rPr>
          <w:rFonts w:ascii="Sura Sans Light" w:hAnsi="Sura Sans Light"/>
          <w:sz w:val="19"/>
          <w:szCs w:val="19"/>
          <w:lang w:val="en-US"/>
        </w:rPr>
        <w:t>Thematic Investing: A Risk-Based Perspective. Financial Analysts Journal. https://doi.org/10.1080/0015198X.2025.2526483 (</w:t>
      </w:r>
      <w:proofErr w:type="spellStart"/>
      <w:r w:rsidRPr="00E33455">
        <w:rPr>
          <w:rFonts w:ascii="Sura Sans Light" w:hAnsi="Sura Sans Light"/>
          <w:sz w:val="19"/>
          <w:szCs w:val="19"/>
          <w:lang w:val="en-US"/>
        </w:rPr>
        <w:t>documento</w:t>
      </w:r>
      <w:proofErr w:type="spellEnd"/>
      <w:r w:rsidRPr="00E33455">
        <w:rPr>
          <w:rFonts w:ascii="Sura Sans Light" w:hAnsi="Sura Sans Light"/>
          <w:sz w:val="19"/>
          <w:szCs w:val="19"/>
          <w:lang w:val="en-US"/>
        </w:rPr>
        <w:t xml:space="preserve"> SSRN No. 5336504).</w:t>
      </w:r>
    </w:p>
    <w:p w14:paraId="2EA5D8CF" w14:textId="77777777" w:rsidR="003E5982" w:rsidRPr="00E33455" w:rsidRDefault="003022BB" w:rsidP="00DD00A8">
      <w:pPr>
        <w:ind w:left="360" w:hanging="360"/>
        <w:jc w:val="both"/>
        <w:rPr>
          <w:rFonts w:ascii="Sura Sans Light" w:hAnsi="Sura Sans Light"/>
          <w:lang w:val="en-US"/>
        </w:rPr>
      </w:pPr>
      <w:r w:rsidRPr="00E33455">
        <w:rPr>
          <w:rFonts w:ascii="Sura Sans Light" w:hAnsi="Sura Sans Light"/>
          <w:sz w:val="19"/>
          <w:szCs w:val="19"/>
          <w:lang w:val="en-US"/>
        </w:rPr>
        <w:t>de Carvalho, R. L. (2024). Investing in Megatrends with Thematic Funds and ETFs. SSRN Working Paper No. 4923288. https://papers.ssrn.com/sol3/papers.cfm?abstract_id=4923288</w:t>
      </w:r>
    </w:p>
    <w:p w14:paraId="2A669700" w14:textId="77777777" w:rsidR="00DD00A8" w:rsidRDefault="00DD00A8" w:rsidP="00DD00A8">
      <w:pPr>
        <w:ind w:left="360" w:hanging="360"/>
        <w:jc w:val="both"/>
        <w:rPr>
          <w:rFonts w:ascii="Sura Sans Light" w:hAnsi="Sura Sans Light"/>
          <w:sz w:val="19"/>
          <w:szCs w:val="19"/>
          <w:lang w:val="en-US"/>
        </w:rPr>
      </w:pPr>
    </w:p>
    <w:p w14:paraId="2B7B523F" w14:textId="13973205" w:rsidR="003E5982" w:rsidRPr="00E33455" w:rsidRDefault="003022BB" w:rsidP="00DD00A8">
      <w:pPr>
        <w:ind w:left="360" w:hanging="360"/>
        <w:jc w:val="both"/>
        <w:rPr>
          <w:rFonts w:ascii="Sura Sans Light" w:hAnsi="Sura Sans Light"/>
          <w:lang w:val="en-US"/>
        </w:rPr>
      </w:pPr>
      <w:r w:rsidRPr="00E33455">
        <w:rPr>
          <w:rFonts w:ascii="Sura Sans Light" w:hAnsi="Sura Sans Light"/>
          <w:sz w:val="19"/>
          <w:szCs w:val="19"/>
          <w:lang w:val="en-US"/>
        </w:rPr>
        <w:t>Friede, G., Busch, T., &amp; Bassen, A. (2015). ESG and financial performance: aggregated evidence from more than 2000 empirical studies. Journal of Sustainable Finance &amp; Investment, 5(4), 210–233. https://doi.org/10.1080/20430795.2015.1118917</w:t>
      </w:r>
    </w:p>
    <w:p w14:paraId="0560ACF3" w14:textId="77777777" w:rsidR="00DD00A8" w:rsidRDefault="00DD00A8" w:rsidP="00DD00A8">
      <w:pPr>
        <w:ind w:left="360" w:hanging="360"/>
        <w:jc w:val="both"/>
        <w:rPr>
          <w:rFonts w:ascii="Sura Sans Light" w:hAnsi="Sura Sans Light"/>
          <w:sz w:val="19"/>
          <w:szCs w:val="19"/>
          <w:lang w:val="en-US"/>
        </w:rPr>
      </w:pPr>
    </w:p>
    <w:p w14:paraId="350EF495" w14:textId="3CBBA2C8" w:rsidR="003E5982" w:rsidRPr="00E33455" w:rsidRDefault="003022BB" w:rsidP="00DD00A8">
      <w:pPr>
        <w:ind w:left="360" w:hanging="360"/>
        <w:jc w:val="both"/>
        <w:rPr>
          <w:rFonts w:ascii="Sura Sans Light" w:hAnsi="Sura Sans Light"/>
          <w:lang w:val="en-US"/>
        </w:rPr>
      </w:pPr>
      <w:r w:rsidRPr="00DD00A8">
        <w:rPr>
          <w:rFonts w:ascii="Sura Sans Light" w:hAnsi="Sura Sans Light"/>
          <w:sz w:val="19"/>
          <w:szCs w:val="19"/>
        </w:rPr>
        <w:t xml:space="preserve">Lamont, K., y otros / Morningstar (2024). </w:t>
      </w:r>
      <w:r w:rsidRPr="00E33455">
        <w:rPr>
          <w:rFonts w:ascii="Sura Sans Light" w:hAnsi="Sura Sans Light"/>
          <w:sz w:val="19"/>
          <w:szCs w:val="19"/>
          <w:lang w:val="en-US"/>
        </w:rPr>
        <w:t>Global Thematic Fund Landscape. Morningstar Research (</w:t>
      </w:r>
      <w:proofErr w:type="spellStart"/>
      <w:r w:rsidRPr="00E33455">
        <w:rPr>
          <w:rFonts w:ascii="Sura Sans Light" w:hAnsi="Sura Sans Light"/>
          <w:sz w:val="19"/>
          <w:szCs w:val="19"/>
          <w:lang w:val="en-US"/>
        </w:rPr>
        <w:t>datos</w:t>
      </w:r>
      <w:proofErr w:type="spellEnd"/>
      <w:r w:rsidRPr="00E33455">
        <w:rPr>
          <w:rFonts w:ascii="Sura Sans Light" w:hAnsi="Sura Sans Light"/>
          <w:sz w:val="19"/>
          <w:szCs w:val="19"/>
          <w:lang w:val="en-US"/>
        </w:rPr>
        <w:t xml:space="preserve"> al 30 de </w:t>
      </w:r>
      <w:proofErr w:type="spellStart"/>
      <w:r w:rsidRPr="00E33455">
        <w:rPr>
          <w:rFonts w:ascii="Sura Sans Light" w:hAnsi="Sura Sans Light"/>
          <w:sz w:val="19"/>
          <w:szCs w:val="19"/>
          <w:lang w:val="en-US"/>
        </w:rPr>
        <w:t>junio</w:t>
      </w:r>
      <w:proofErr w:type="spellEnd"/>
      <w:r w:rsidRPr="00E33455">
        <w:rPr>
          <w:rFonts w:ascii="Sura Sans Light" w:hAnsi="Sura Sans Light"/>
          <w:sz w:val="19"/>
          <w:szCs w:val="19"/>
          <w:lang w:val="en-US"/>
        </w:rPr>
        <w:t xml:space="preserve"> de 2024). </w:t>
      </w:r>
      <w:proofErr w:type="spellStart"/>
      <w:r w:rsidRPr="00E33455">
        <w:rPr>
          <w:rFonts w:ascii="Sura Sans Light" w:hAnsi="Sura Sans Light"/>
          <w:sz w:val="19"/>
          <w:szCs w:val="19"/>
          <w:lang w:val="en-US"/>
        </w:rPr>
        <w:t>Véase</w:t>
      </w:r>
      <w:proofErr w:type="spellEnd"/>
      <w:r w:rsidRPr="00E33455">
        <w:rPr>
          <w:rFonts w:ascii="Sura Sans Light" w:hAnsi="Sura Sans Light"/>
          <w:sz w:val="19"/>
          <w:szCs w:val="19"/>
          <w:lang w:val="en-US"/>
        </w:rPr>
        <w:t xml:space="preserve"> también: Morningstar, 'High Burnout Rate for Thematic Funds' (2021) y </w:t>
      </w:r>
      <w:proofErr w:type="spellStart"/>
      <w:r w:rsidRPr="00E33455">
        <w:rPr>
          <w:rFonts w:ascii="Sura Sans Light" w:hAnsi="Sura Sans Light"/>
          <w:sz w:val="19"/>
          <w:szCs w:val="19"/>
          <w:lang w:val="en-US"/>
        </w:rPr>
        <w:t>análisis</w:t>
      </w:r>
      <w:proofErr w:type="spellEnd"/>
      <w:r w:rsidRPr="00E33455">
        <w:rPr>
          <w:rFonts w:ascii="Sura Sans Light" w:hAnsi="Sura Sans Light"/>
          <w:sz w:val="19"/>
          <w:szCs w:val="19"/>
          <w:lang w:val="en-US"/>
        </w:rPr>
        <w:t xml:space="preserve"> del landscape </w:t>
      </w:r>
      <w:proofErr w:type="spellStart"/>
      <w:r w:rsidRPr="00E33455">
        <w:rPr>
          <w:rFonts w:ascii="Sura Sans Light" w:hAnsi="Sura Sans Light"/>
          <w:sz w:val="19"/>
          <w:szCs w:val="19"/>
          <w:lang w:val="en-US"/>
        </w:rPr>
        <w:t>temático</w:t>
      </w:r>
      <w:proofErr w:type="spellEnd"/>
      <w:r w:rsidRPr="00E33455">
        <w:rPr>
          <w:rFonts w:ascii="Sura Sans Light" w:hAnsi="Sura Sans Light"/>
          <w:sz w:val="19"/>
          <w:szCs w:val="19"/>
          <w:lang w:val="en-US"/>
        </w:rPr>
        <w:t xml:space="preserve"> 2024–2025.</w:t>
      </w:r>
    </w:p>
    <w:p w14:paraId="317D3AEF" w14:textId="77777777" w:rsidR="00DD00A8" w:rsidRDefault="00DD00A8" w:rsidP="00DD00A8">
      <w:pPr>
        <w:ind w:left="360" w:hanging="360"/>
        <w:jc w:val="both"/>
        <w:rPr>
          <w:rFonts w:ascii="Sura Sans Light" w:hAnsi="Sura Sans Light"/>
          <w:sz w:val="19"/>
          <w:szCs w:val="19"/>
          <w:lang w:val="en-US"/>
        </w:rPr>
      </w:pPr>
    </w:p>
    <w:p w14:paraId="19C9CCBA" w14:textId="68D79508" w:rsidR="003E5982" w:rsidRPr="00E33455" w:rsidRDefault="003022BB" w:rsidP="00DD00A8">
      <w:pPr>
        <w:ind w:left="360" w:hanging="360"/>
        <w:jc w:val="both"/>
        <w:rPr>
          <w:rFonts w:ascii="Sura Sans Light" w:hAnsi="Sura Sans Light"/>
          <w:lang w:val="en-US"/>
        </w:rPr>
      </w:pPr>
      <w:r w:rsidRPr="00E33455">
        <w:rPr>
          <w:rFonts w:ascii="Sura Sans Light" w:hAnsi="Sura Sans Light"/>
          <w:sz w:val="19"/>
          <w:szCs w:val="19"/>
          <w:lang w:val="en-US"/>
        </w:rPr>
        <w:t>Martí-Ballester, C.-P. (2020). Financial Performance of SDG Mutual Funds Focused on Biotechnology and Healthcare Sectors. Sustainability, 12(5), 2032. https://doi.org/10.3390/su12052032</w:t>
      </w:r>
    </w:p>
    <w:p w14:paraId="48CD4798" w14:textId="77777777" w:rsidR="00DD00A8" w:rsidRDefault="00DD00A8" w:rsidP="00DD00A8">
      <w:pPr>
        <w:ind w:left="360" w:hanging="360"/>
        <w:jc w:val="both"/>
        <w:rPr>
          <w:rFonts w:ascii="Sura Sans Light" w:hAnsi="Sura Sans Light"/>
          <w:sz w:val="19"/>
          <w:szCs w:val="19"/>
          <w:lang w:val="en-US"/>
        </w:rPr>
      </w:pPr>
    </w:p>
    <w:p w14:paraId="6DBFB1D1" w14:textId="2C4AB34C" w:rsidR="003E5982" w:rsidRPr="00E33455" w:rsidRDefault="003022BB" w:rsidP="00DD00A8">
      <w:pPr>
        <w:ind w:left="360" w:hanging="360"/>
        <w:jc w:val="both"/>
        <w:rPr>
          <w:rFonts w:ascii="Sura Sans Light" w:hAnsi="Sura Sans Light"/>
        </w:rPr>
      </w:pPr>
      <w:r w:rsidRPr="00E33455">
        <w:rPr>
          <w:rFonts w:ascii="Sura Sans Light" w:hAnsi="Sura Sans Light"/>
          <w:sz w:val="19"/>
          <w:szCs w:val="19"/>
          <w:lang w:val="en-US"/>
        </w:rPr>
        <w:t xml:space="preserve">Naffa, H., &amp; Fain, M. (2020). Performance measurement of ESG-themed megatrend investments in global equity markets using pure factor portfolios methodology. </w:t>
      </w:r>
      <w:proofErr w:type="spellStart"/>
      <w:r w:rsidRPr="00E33455">
        <w:rPr>
          <w:rFonts w:ascii="Sura Sans Light" w:hAnsi="Sura Sans Light"/>
          <w:sz w:val="19"/>
          <w:szCs w:val="19"/>
        </w:rPr>
        <w:t>PLoS</w:t>
      </w:r>
      <w:proofErr w:type="spellEnd"/>
      <w:r w:rsidRPr="00E33455">
        <w:rPr>
          <w:rFonts w:ascii="Sura Sans Light" w:hAnsi="Sura Sans Light"/>
          <w:sz w:val="19"/>
          <w:szCs w:val="19"/>
        </w:rPr>
        <w:t xml:space="preserve"> ONE, 15(12), e0244225. https://doi.org/10.1371/journal.pone.0244225</w:t>
      </w:r>
    </w:p>
    <w:p w14:paraId="72E29192" w14:textId="77777777" w:rsidR="00DD00A8" w:rsidRDefault="00DD00A8" w:rsidP="00DD00A8">
      <w:pPr>
        <w:ind w:left="360" w:hanging="360"/>
        <w:jc w:val="both"/>
        <w:rPr>
          <w:rFonts w:ascii="Sura Sans Light" w:hAnsi="Sura Sans Light"/>
          <w:sz w:val="19"/>
          <w:szCs w:val="19"/>
        </w:rPr>
      </w:pPr>
    </w:p>
    <w:p w14:paraId="6E158C3E" w14:textId="06407C05" w:rsidR="003E5982" w:rsidRPr="00E33455" w:rsidRDefault="003022BB" w:rsidP="00DD00A8">
      <w:pPr>
        <w:ind w:left="360" w:hanging="360"/>
        <w:jc w:val="both"/>
        <w:rPr>
          <w:rFonts w:ascii="Sura Sans Light" w:hAnsi="Sura Sans Light"/>
          <w:lang w:val="en-US"/>
        </w:rPr>
      </w:pPr>
      <w:r w:rsidRPr="00E33455">
        <w:rPr>
          <w:rFonts w:ascii="Sura Sans Light" w:hAnsi="Sura Sans Light"/>
          <w:sz w:val="19"/>
          <w:szCs w:val="19"/>
        </w:rPr>
        <w:t xml:space="preserve">Naisbitt, J. (1982). </w:t>
      </w:r>
      <w:r w:rsidRPr="00E33455">
        <w:rPr>
          <w:rFonts w:ascii="Sura Sans Light" w:hAnsi="Sura Sans Light"/>
          <w:sz w:val="19"/>
          <w:szCs w:val="19"/>
          <w:lang w:val="en-US"/>
        </w:rPr>
        <w:t>Megatrends: Ten New Directions Transforming Our Lives. Warner Books.</w:t>
      </w:r>
    </w:p>
    <w:p w14:paraId="4BB22753" w14:textId="77777777" w:rsidR="003E5982" w:rsidRPr="00E33455" w:rsidRDefault="003022BB" w:rsidP="00DD00A8">
      <w:pPr>
        <w:ind w:left="360" w:hanging="360"/>
        <w:jc w:val="both"/>
        <w:rPr>
          <w:rFonts w:ascii="Sura Sans Light" w:hAnsi="Sura Sans Light"/>
        </w:rPr>
      </w:pPr>
      <w:r w:rsidRPr="00E33455">
        <w:rPr>
          <w:rFonts w:ascii="Sura Sans Light" w:hAnsi="Sura Sans Light"/>
          <w:sz w:val="19"/>
          <w:szCs w:val="19"/>
          <w:lang w:val="en-US"/>
        </w:rPr>
        <w:t xml:space="preserve">'Investing in fertilizer–mining companies in times of food scarcity'. </w:t>
      </w:r>
      <w:proofErr w:type="spellStart"/>
      <w:r w:rsidRPr="00E33455">
        <w:rPr>
          <w:rFonts w:ascii="Sura Sans Light" w:hAnsi="Sura Sans Light"/>
          <w:sz w:val="19"/>
          <w:szCs w:val="19"/>
        </w:rPr>
        <w:t>Resources</w:t>
      </w:r>
      <w:proofErr w:type="spellEnd"/>
      <w:r w:rsidRPr="00E33455">
        <w:rPr>
          <w:rFonts w:ascii="Sura Sans Light" w:hAnsi="Sura Sans Light"/>
          <w:sz w:val="19"/>
          <w:szCs w:val="19"/>
        </w:rPr>
        <w:t xml:space="preserve"> Policy (2013). https://www.sciencedirect.com/science/article/abs/pii/S030142071300055X (sensibilidad de empresas de fertilizantes a la inflación y a índices agrícolas).</w:t>
      </w:r>
    </w:p>
    <w:p w14:paraId="4CB6CB3B" w14:textId="77777777" w:rsidR="00DD00A8" w:rsidRDefault="00DD00A8" w:rsidP="00DD00A8">
      <w:pPr>
        <w:ind w:left="360" w:hanging="360"/>
        <w:jc w:val="both"/>
        <w:rPr>
          <w:rFonts w:ascii="Sura Sans Light" w:hAnsi="Sura Sans Light"/>
          <w:sz w:val="19"/>
          <w:szCs w:val="19"/>
        </w:rPr>
      </w:pPr>
    </w:p>
    <w:p w14:paraId="0C9B7E49" w14:textId="78F7925C" w:rsidR="003E5982" w:rsidRPr="00E33455" w:rsidRDefault="003022BB" w:rsidP="00DD00A8">
      <w:pPr>
        <w:ind w:left="360" w:hanging="360"/>
        <w:jc w:val="both"/>
        <w:rPr>
          <w:rFonts w:ascii="Sura Sans Light" w:hAnsi="Sura Sans Light"/>
        </w:rPr>
      </w:pPr>
      <w:r w:rsidRPr="00E33455">
        <w:rPr>
          <w:rFonts w:ascii="Sura Sans Light" w:hAnsi="Sura Sans Light"/>
          <w:sz w:val="19"/>
          <w:szCs w:val="19"/>
        </w:rPr>
        <w:t xml:space="preserve">Evidencia econométrica sobre determinantes de </w:t>
      </w:r>
      <w:proofErr w:type="spellStart"/>
      <w:r w:rsidRPr="00E33455">
        <w:rPr>
          <w:rFonts w:ascii="Sura Sans Light" w:hAnsi="Sura Sans Light"/>
          <w:sz w:val="19"/>
          <w:szCs w:val="19"/>
        </w:rPr>
        <w:t>ETFs</w:t>
      </w:r>
      <w:proofErr w:type="spellEnd"/>
      <w:r w:rsidRPr="00E33455">
        <w:rPr>
          <w:rFonts w:ascii="Sura Sans Light" w:hAnsi="Sura Sans Light"/>
          <w:sz w:val="19"/>
          <w:szCs w:val="19"/>
        </w:rPr>
        <w:t xml:space="preserve"> de energía limpia y tradicional y su sensibilidad a las tasas de interés. </w:t>
      </w:r>
      <w:proofErr w:type="spellStart"/>
      <w:r w:rsidRPr="00E33455">
        <w:rPr>
          <w:rFonts w:ascii="Sura Sans Light" w:hAnsi="Sura Sans Light"/>
          <w:sz w:val="19"/>
          <w:szCs w:val="19"/>
        </w:rPr>
        <w:t>ScienceDirect</w:t>
      </w:r>
      <w:proofErr w:type="spellEnd"/>
      <w:r w:rsidRPr="00E33455">
        <w:rPr>
          <w:rFonts w:ascii="Sura Sans Light" w:hAnsi="Sura Sans Light"/>
          <w:sz w:val="19"/>
          <w:szCs w:val="19"/>
        </w:rPr>
        <w:t xml:space="preserve"> (2026). https://www.sciencedirect.com/science/article/pii/S2405844026004925</w:t>
      </w:r>
    </w:p>
    <w:p w14:paraId="5132619D" w14:textId="77777777" w:rsidR="00DD00A8" w:rsidRDefault="00DD00A8" w:rsidP="00DD00A8">
      <w:pPr>
        <w:ind w:left="360" w:hanging="360"/>
        <w:jc w:val="both"/>
        <w:rPr>
          <w:rFonts w:ascii="Sura Sans Light" w:hAnsi="Sura Sans Light"/>
          <w:sz w:val="19"/>
          <w:szCs w:val="19"/>
        </w:rPr>
      </w:pPr>
    </w:p>
    <w:p w14:paraId="444875E9" w14:textId="1B9F815C" w:rsidR="003E5982" w:rsidRPr="00E33455" w:rsidRDefault="003022BB" w:rsidP="00DD00A8">
      <w:pPr>
        <w:ind w:left="360" w:hanging="360"/>
        <w:jc w:val="both"/>
        <w:rPr>
          <w:rFonts w:ascii="Sura Sans Light" w:hAnsi="Sura Sans Light"/>
        </w:rPr>
      </w:pPr>
      <w:r w:rsidRPr="00E33455">
        <w:rPr>
          <w:rFonts w:ascii="Sura Sans Light" w:hAnsi="Sura Sans Light"/>
          <w:sz w:val="19"/>
          <w:szCs w:val="19"/>
        </w:rPr>
        <w:t xml:space="preserve">Fuentes de mercado consultadas para datos de perfil de riesgo por </w:t>
      </w:r>
      <w:proofErr w:type="spellStart"/>
      <w:r w:rsidRPr="00E33455">
        <w:rPr>
          <w:rFonts w:ascii="Sura Sans Light" w:hAnsi="Sura Sans Light"/>
          <w:sz w:val="19"/>
          <w:szCs w:val="19"/>
        </w:rPr>
        <w:t>subtemática</w:t>
      </w:r>
      <w:proofErr w:type="spellEnd"/>
      <w:r w:rsidRPr="00E33455">
        <w:rPr>
          <w:rFonts w:ascii="Sura Sans Light" w:hAnsi="Sura Sans Light"/>
          <w:sz w:val="19"/>
          <w:szCs w:val="19"/>
        </w:rPr>
        <w:t xml:space="preserve"> (beta y volatilidad de energía limpia, salud, agua y semiconductores): análisis de proveedores como Morningstar, </w:t>
      </w:r>
      <w:proofErr w:type="spellStart"/>
      <w:r w:rsidRPr="00E33455">
        <w:rPr>
          <w:rFonts w:ascii="Sura Sans Light" w:hAnsi="Sura Sans Light"/>
          <w:sz w:val="19"/>
          <w:szCs w:val="19"/>
        </w:rPr>
        <w:t>AllianceBernstein</w:t>
      </w:r>
      <w:proofErr w:type="spellEnd"/>
      <w:r w:rsidRPr="00E33455">
        <w:rPr>
          <w:rFonts w:ascii="Sura Sans Light" w:hAnsi="Sura Sans Light"/>
          <w:sz w:val="19"/>
          <w:szCs w:val="19"/>
        </w:rPr>
        <w:t xml:space="preserve">/Bernstein, Chase, Allianz GI y LPL </w:t>
      </w:r>
      <w:proofErr w:type="spellStart"/>
      <w:r w:rsidRPr="00E33455">
        <w:rPr>
          <w:rFonts w:ascii="Sura Sans Light" w:hAnsi="Sura Sans Light"/>
          <w:sz w:val="19"/>
          <w:szCs w:val="19"/>
        </w:rPr>
        <w:t>Research</w:t>
      </w:r>
      <w:proofErr w:type="spellEnd"/>
      <w:r w:rsidRPr="00E33455">
        <w:rPr>
          <w:rFonts w:ascii="Sura Sans Light" w:hAnsi="Sura Sans Light"/>
          <w:sz w:val="19"/>
          <w:szCs w:val="19"/>
        </w:rPr>
        <w:t xml:space="preserve"> (2023–2026).</w:t>
      </w:r>
    </w:p>
    <w:p w14:paraId="2AE038BF" w14:textId="77777777" w:rsidR="003E5982" w:rsidRPr="00E33455" w:rsidRDefault="003E5982">
      <w:pPr>
        <w:spacing w:after="120"/>
        <w:rPr>
          <w:rFonts w:ascii="Sura Sans Light" w:hAnsi="Sura Sans Light"/>
        </w:rPr>
      </w:pPr>
    </w:p>
    <w:sectPr w:rsidR="003E5982" w:rsidRPr="00E33455">
      <w:footerReference w:type="default" r:id="rId11"/>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5D155" w14:textId="77777777" w:rsidR="00532601" w:rsidRDefault="00532601">
      <w:r>
        <w:separator/>
      </w:r>
    </w:p>
  </w:endnote>
  <w:endnote w:type="continuationSeparator" w:id="0">
    <w:p w14:paraId="1CAE3575" w14:textId="77777777" w:rsidR="00532601" w:rsidRDefault="00532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ura Sans Light">
    <w:panose1 w:val="00000000000000000000"/>
    <w:charset w:val="00"/>
    <w:family w:val="modern"/>
    <w:notTrueType/>
    <w:pitch w:val="variable"/>
    <w:sig w:usb0="A0000067" w:usb1="4000005A"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7B822" w14:textId="03D43713" w:rsidR="003E5982" w:rsidRDefault="00821D08">
    <w:pPr>
      <w:pBdr>
        <w:top w:val="single" w:sz="4" w:space="0" w:color="DDDDDD"/>
      </w:pBdr>
      <w:jc w:val="center"/>
    </w:pPr>
    <w:r>
      <w:rPr>
        <w:color w:val="444444"/>
        <w:sz w:val="16"/>
        <w:szCs w:val="16"/>
      </w:rPr>
      <w:t xml:space="preserve">SURA </w:t>
    </w:r>
    <w:proofErr w:type="spellStart"/>
    <w:r>
      <w:rPr>
        <w:color w:val="444444"/>
        <w:sz w:val="16"/>
        <w:szCs w:val="16"/>
      </w:rPr>
      <w:t>Asset</w:t>
    </w:r>
    <w:proofErr w:type="spellEnd"/>
    <w:r>
      <w:rPr>
        <w:color w:val="444444"/>
        <w:sz w:val="16"/>
        <w:szCs w:val="16"/>
      </w:rPr>
      <w:t xml:space="preserve"> Management</w:t>
    </w:r>
    <w:r w:rsidR="003022BB">
      <w:rPr>
        <w:color w:val="444444"/>
        <w:sz w:val="16"/>
        <w:szCs w:val="16"/>
      </w:rPr>
      <w:t xml:space="preserve"> — Metodología de Portafolios Temáticos   ·   Página </w:t>
    </w:r>
    <w:r w:rsidR="003022BB">
      <w:rPr>
        <w:color w:val="444444"/>
        <w:sz w:val="16"/>
        <w:szCs w:val="16"/>
      </w:rPr>
      <w:fldChar w:fldCharType="begin"/>
    </w:r>
    <w:r w:rsidR="003022BB">
      <w:rPr>
        <w:color w:val="444444"/>
        <w:sz w:val="16"/>
        <w:szCs w:val="16"/>
      </w:rPr>
      <w:instrText>PAGE</w:instrText>
    </w:r>
    <w:r w:rsidR="003022BB">
      <w:rPr>
        <w:color w:val="444444"/>
        <w:sz w:val="16"/>
        <w:szCs w:val="16"/>
      </w:rPr>
      <w:fldChar w:fldCharType="separate"/>
    </w:r>
    <w:r w:rsidR="005412F7">
      <w:rPr>
        <w:noProof/>
        <w:color w:val="444444"/>
        <w:sz w:val="16"/>
        <w:szCs w:val="16"/>
      </w:rPr>
      <w:t>1</w:t>
    </w:r>
    <w:r w:rsidR="003022BB">
      <w:rPr>
        <w:color w:val="44444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C8157" w14:textId="77777777" w:rsidR="00532601" w:rsidRDefault="00532601">
      <w:r>
        <w:separator/>
      </w:r>
    </w:p>
  </w:footnote>
  <w:footnote w:type="continuationSeparator" w:id="0">
    <w:p w14:paraId="32764EFA" w14:textId="77777777" w:rsidR="00532601" w:rsidRDefault="005326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7624C"/>
    <w:multiLevelType w:val="hybridMultilevel"/>
    <w:tmpl w:val="7C4AB07C"/>
    <w:lvl w:ilvl="0" w:tplc="10F28640">
      <w:start w:val="1"/>
      <w:numFmt w:val="bullet"/>
      <w:lvlText w:val="•"/>
      <w:lvlJc w:val="left"/>
      <w:pPr>
        <w:ind w:left="420" w:hanging="220"/>
      </w:pPr>
    </w:lvl>
    <w:lvl w:ilvl="1" w:tplc="DB6AF676">
      <w:start w:val="1"/>
      <w:numFmt w:val="bullet"/>
      <w:lvlText w:val="–"/>
      <w:lvlJc w:val="left"/>
      <w:pPr>
        <w:ind w:left="840" w:hanging="220"/>
      </w:pPr>
    </w:lvl>
    <w:lvl w:ilvl="2" w:tplc="BFACB2FA">
      <w:numFmt w:val="decimal"/>
      <w:lvlText w:val=""/>
      <w:lvlJc w:val="left"/>
    </w:lvl>
    <w:lvl w:ilvl="3" w:tplc="D57ED81E">
      <w:numFmt w:val="decimal"/>
      <w:lvlText w:val=""/>
      <w:lvlJc w:val="left"/>
    </w:lvl>
    <w:lvl w:ilvl="4" w:tplc="79589768">
      <w:numFmt w:val="decimal"/>
      <w:lvlText w:val=""/>
      <w:lvlJc w:val="left"/>
    </w:lvl>
    <w:lvl w:ilvl="5" w:tplc="F022D314">
      <w:numFmt w:val="decimal"/>
      <w:lvlText w:val=""/>
      <w:lvlJc w:val="left"/>
    </w:lvl>
    <w:lvl w:ilvl="6" w:tplc="47ECA8A8">
      <w:numFmt w:val="decimal"/>
      <w:lvlText w:val=""/>
      <w:lvlJc w:val="left"/>
    </w:lvl>
    <w:lvl w:ilvl="7" w:tplc="D86C31B0">
      <w:numFmt w:val="decimal"/>
      <w:lvlText w:val=""/>
      <w:lvlJc w:val="left"/>
    </w:lvl>
    <w:lvl w:ilvl="8" w:tplc="9DDC9E1C">
      <w:numFmt w:val="decimal"/>
      <w:lvlText w:val=""/>
      <w:lvlJc w:val="left"/>
    </w:lvl>
  </w:abstractNum>
  <w:abstractNum w:abstractNumId="1" w15:restartNumberingAfterBreak="0">
    <w:nsid w:val="211A0F24"/>
    <w:multiLevelType w:val="multilevel"/>
    <w:tmpl w:val="08D0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A17D09"/>
    <w:multiLevelType w:val="hybridMultilevel"/>
    <w:tmpl w:val="32542F56"/>
    <w:lvl w:ilvl="0" w:tplc="71D20DC6">
      <w:start w:val="1"/>
      <w:numFmt w:val="bullet"/>
      <w:lvlText w:val="●"/>
      <w:lvlJc w:val="left"/>
      <w:pPr>
        <w:ind w:left="720" w:hanging="360"/>
      </w:pPr>
    </w:lvl>
    <w:lvl w:ilvl="1" w:tplc="DCDEB452">
      <w:start w:val="1"/>
      <w:numFmt w:val="bullet"/>
      <w:lvlText w:val="○"/>
      <w:lvlJc w:val="left"/>
      <w:pPr>
        <w:ind w:left="1440" w:hanging="360"/>
      </w:pPr>
    </w:lvl>
    <w:lvl w:ilvl="2" w:tplc="32EE3E8C">
      <w:start w:val="1"/>
      <w:numFmt w:val="bullet"/>
      <w:lvlText w:val="■"/>
      <w:lvlJc w:val="left"/>
      <w:pPr>
        <w:ind w:left="2160" w:hanging="360"/>
      </w:pPr>
    </w:lvl>
    <w:lvl w:ilvl="3" w:tplc="CDE0C2DA">
      <w:start w:val="1"/>
      <w:numFmt w:val="bullet"/>
      <w:lvlText w:val="●"/>
      <w:lvlJc w:val="left"/>
      <w:pPr>
        <w:ind w:left="2880" w:hanging="360"/>
      </w:pPr>
    </w:lvl>
    <w:lvl w:ilvl="4" w:tplc="9B685ED6">
      <w:start w:val="1"/>
      <w:numFmt w:val="bullet"/>
      <w:lvlText w:val="○"/>
      <w:lvlJc w:val="left"/>
      <w:pPr>
        <w:ind w:left="3600" w:hanging="360"/>
      </w:pPr>
    </w:lvl>
    <w:lvl w:ilvl="5" w:tplc="AC7CB05A">
      <w:start w:val="1"/>
      <w:numFmt w:val="bullet"/>
      <w:lvlText w:val="■"/>
      <w:lvlJc w:val="left"/>
      <w:pPr>
        <w:ind w:left="4320" w:hanging="360"/>
      </w:pPr>
    </w:lvl>
    <w:lvl w:ilvl="6" w:tplc="0010DFF2">
      <w:start w:val="1"/>
      <w:numFmt w:val="bullet"/>
      <w:lvlText w:val="●"/>
      <w:lvlJc w:val="left"/>
      <w:pPr>
        <w:ind w:left="5040" w:hanging="360"/>
      </w:pPr>
    </w:lvl>
    <w:lvl w:ilvl="7" w:tplc="C2141FE8">
      <w:start w:val="1"/>
      <w:numFmt w:val="bullet"/>
      <w:lvlText w:val="●"/>
      <w:lvlJc w:val="left"/>
      <w:pPr>
        <w:ind w:left="5760" w:hanging="360"/>
      </w:pPr>
    </w:lvl>
    <w:lvl w:ilvl="8" w:tplc="7D862396">
      <w:start w:val="1"/>
      <w:numFmt w:val="bullet"/>
      <w:lvlText w:val="●"/>
      <w:lvlJc w:val="left"/>
      <w:pPr>
        <w:ind w:left="6480" w:hanging="360"/>
      </w:pPr>
    </w:lvl>
  </w:abstractNum>
  <w:num w:numId="1" w16cid:durableId="1253470128">
    <w:abstractNumId w:val="2"/>
    <w:lvlOverride w:ilvl="0">
      <w:startOverride w:val="1"/>
    </w:lvlOverride>
  </w:num>
  <w:num w:numId="2" w16cid:durableId="541407447">
    <w:abstractNumId w:val="0"/>
    <w:lvlOverride w:ilvl="0">
      <w:startOverride w:val="1"/>
    </w:lvlOverride>
  </w:num>
  <w:num w:numId="3" w16cid:durableId="82190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982"/>
    <w:rsid w:val="00033C94"/>
    <w:rsid w:val="00074832"/>
    <w:rsid w:val="000A0FF0"/>
    <w:rsid w:val="000A13E6"/>
    <w:rsid w:val="000C625B"/>
    <w:rsid w:val="00120505"/>
    <w:rsid w:val="00130906"/>
    <w:rsid w:val="00161651"/>
    <w:rsid w:val="001A430F"/>
    <w:rsid w:val="001E12D3"/>
    <w:rsid w:val="00212FFD"/>
    <w:rsid w:val="0024735B"/>
    <w:rsid w:val="00294BC0"/>
    <w:rsid w:val="002B3A46"/>
    <w:rsid w:val="002C1D6A"/>
    <w:rsid w:val="002E2A98"/>
    <w:rsid w:val="003022BB"/>
    <w:rsid w:val="003226F7"/>
    <w:rsid w:val="003A5E24"/>
    <w:rsid w:val="003E5982"/>
    <w:rsid w:val="00430ABA"/>
    <w:rsid w:val="004F6A55"/>
    <w:rsid w:val="00532601"/>
    <w:rsid w:val="005412F7"/>
    <w:rsid w:val="005B0166"/>
    <w:rsid w:val="006C03CF"/>
    <w:rsid w:val="00732D7E"/>
    <w:rsid w:val="00741416"/>
    <w:rsid w:val="00776A91"/>
    <w:rsid w:val="007D37F8"/>
    <w:rsid w:val="007F549E"/>
    <w:rsid w:val="00821D08"/>
    <w:rsid w:val="00992895"/>
    <w:rsid w:val="009B7636"/>
    <w:rsid w:val="00A75372"/>
    <w:rsid w:val="00AD1E7A"/>
    <w:rsid w:val="00BB7CBA"/>
    <w:rsid w:val="00BD171D"/>
    <w:rsid w:val="00C23CC3"/>
    <w:rsid w:val="00CC7A91"/>
    <w:rsid w:val="00D23110"/>
    <w:rsid w:val="00D73219"/>
    <w:rsid w:val="00DD00A8"/>
    <w:rsid w:val="00E33455"/>
    <w:rsid w:val="00EE191E"/>
    <w:rsid w:val="00F157AE"/>
    <w:rsid w:val="00FC0DB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C145C"/>
  <w15:docId w15:val="{10633FBE-E4EA-451A-91A2-56FBE2BB0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Revisin">
    <w:name w:val="Revision"/>
    <w:hidden/>
    <w:uiPriority w:val="99"/>
    <w:semiHidden/>
    <w:rsid w:val="00E33455"/>
  </w:style>
  <w:style w:type="character" w:styleId="Refdecomentario">
    <w:name w:val="annotation reference"/>
    <w:basedOn w:val="Fuentedeprrafopredeter"/>
    <w:uiPriority w:val="99"/>
    <w:semiHidden/>
    <w:unhideWhenUsed/>
    <w:rsid w:val="00776A91"/>
    <w:rPr>
      <w:sz w:val="16"/>
      <w:szCs w:val="16"/>
    </w:rPr>
  </w:style>
  <w:style w:type="paragraph" w:styleId="Textocomentario">
    <w:name w:val="annotation text"/>
    <w:basedOn w:val="Normal"/>
    <w:link w:val="TextocomentarioCar"/>
    <w:uiPriority w:val="99"/>
    <w:unhideWhenUsed/>
    <w:rsid w:val="00776A91"/>
    <w:rPr>
      <w:sz w:val="20"/>
      <w:szCs w:val="20"/>
    </w:rPr>
  </w:style>
  <w:style w:type="character" w:customStyle="1" w:styleId="TextocomentarioCar">
    <w:name w:val="Texto comentario Car"/>
    <w:basedOn w:val="Fuentedeprrafopredeter"/>
    <w:link w:val="Textocomentario"/>
    <w:uiPriority w:val="99"/>
    <w:rsid w:val="00776A91"/>
    <w:rPr>
      <w:sz w:val="20"/>
      <w:szCs w:val="20"/>
    </w:rPr>
  </w:style>
  <w:style w:type="paragraph" w:styleId="Asuntodelcomentario">
    <w:name w:val="annotation subject"/>
    <w:basedOn w:val="Textocomentario"/>
    <w:next w:val="Textocomentario"/>
    <w:link w:val="AsuntodelcomentarioCar"/>
    <w:uiPriority w:val="99"/>
    <w:semiHidden/>
    <w:unhideWhenUsed/>
    <w:rsid w:val="00776A91"/>
    <w:rPr>
      <w:b/>
      <w:bCs/>
    </w:rPr>
  </w:style>
  <w:style w:type="character" w:customStyle="1" w:styleId="AsuntodelcomentarioCar">
    <w:name w:val="Asunto del comentario Car"/>
    <w:basedOn w:val="TextocomentarioCar"/>
    <w:link w:val="Asuntodelcomentario"/>
    <w:uiPriority w:val="99"/>
    <w:semiHidden/>
    <w:rsid w:val="00776A91"/>
    <w:rPr>
      <w:b/>
      <w:bCs/>
      <w:sz w:val="20"/>
      <w:szCs w:val="20"/>
    </w:rPr>
  </w:style>
  <w:style w:type="paragraph" w:styleId="Encabezado">
    <w:name w:val="header"/>
    <w:basedOn w:val="Normal"/>
    <w:link w:val="EncabezadoCar"/>
    <w:uiPriority w:val="99"/>
    <w:unhideWhenUsed/>
    <w:rsid w:val="00821D08"/>
    <w:pPr>
      <w:tabs>
        <w:tab w:val="center" w:pos="4252"/>
        <w:tab w:val="right" w:pos="8504"/>
      </w:tabs>
    </w:pPr>
  </w:style>
  <w:style w:type="character" w:customStyle="1" w:styleId="EncabezadoCar">
    <w:name w:val="Encabezado Car"/>
    <w:basedOn w:val="Fuentedeprrafopredeter"/>
    <w:link w:val="Encabezado"/>
    <w:uiPriority w:val="99"/>
    <w:rsid w:val="00821D08"/>
  </w:style>
  <w:style w:type="paragraph" w:styleId="Piedepgina">
    <w:name w:val="footer"/>
    <w:basedOn w:val="Normal"/>
    <w:link w:val="PiedepginaCar"/>
    <w:uiPriority w:val="99"/>
    <w:unhideWhenUsed/>
    <w:rsid w:val="00821D08"/>
    <w:pPr>
      <w:tabs>
        <w:tab w:val="center" w:pos="4252"/>
        <w:tab w:val="right" w:pos="8504"/>
      </w:tabs>
    </w:pPr>
  </w:style>
  <w:style w:type="character" w:customStyle="1" w:styleId="PiedepginaCar">
    <w:name w:val="Pie de página Car"/>
    <w:basedOn w:val="Fuentedeprrafopredeter"/>
    <w:link w:val="Piedepgina"/>
    <w:uiPriority w:val="99"/>
    <w:rsid w:val="00821D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dc359a5f-d8ba-45e8-878a-e92bde6b5d0d" xsi:nil="true"/>
    <_ip_UnifiedCompliancePolicyProperties xmlns="http://schemas.microsoft.com/sharepoint/v3" xsi:nil="true"/>
    <lcf76f155ced4ddcb4097134ff3c332f xmlns="edf3d82c-9bb9-4008-828a-e37d8718308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4067C8FD2D97DD4C8B0A36B02703136E" ma:contentTypeVersion="20" ma:contentTypeDescription="Crear nuevo documento." ma:contentTypeScope="" ma:versionID="4dc50c6b86ba154cf867acaee7a0fd93">
  <xsd:schema xmlns:xsd="http://www.w3.org/2001/XMLSchema" xmlns:xs="http://www.w3.org/2001/XMLSchema" xmlns:p="http://schemas.microsoft.com/office/2006/metadata/properties" xmlns:ns1="http://schemas.microsoft.com/sharepoint/v3" xmlns:ns2="edf3d82c-9bb9-4008-828a-e37d87183080" xmlns:ns3="dc359a5f-d8ba-45e8-878a-e92bde6b5d0d" targetNamespace="http://schemas.microsoft.com/office/2006/metadata/properties" ma:root="true" ma:fieldsID="399ad706c02172c570972ed57c906e11" ns1:_="" ns2:_="" ns3:_="">
    <xsd:import namespace="http://schemas.microsoft.com/sharepoint/v3"/>
    <xsd:import namespace="edf3d82c-9bb9-4008-828a-e37d87183080"/>
    <xsd:import namespace="dc359a5f-d8ba-45e8-878a-e92bde6b5d0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iedades de la Directiva de cumplimiento unificado" ma:hidden="true" ma:internalName="_ip_UnifiedCompliancePolicyProperties">
      <xsd:simpleType>
        <xsd:restriction base="dms:Note"/>
      </xsd:simpleType>
    </xsd:element>
    <xsd:element name="_ip_UnifiedCompliancePolicyUIAction" ma:index="19"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f3d82c-9bb9-4008-828a-e37d87183080"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DateTaken" ma:index="7" nillable="true" ma:displayName="MediaServiceDateTaken" ma:hidden="true" ma:indexed="true" ma:internalName="MediaServiceDateTaken" ma:readOnly="true">
      <xsd:simpleType>
        <xsd:restriction base="dms:Text"/>
      </xsd:simpleType>
    </xsd:element>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ef394b4f-feab-4bd4-821b-31a25dac1b4c" ma:termSetId="09814cd3-568e-fe90-9814-8d621ff8fb84" ma:anchorId="fba54fb3-c3e1-fe81-a776-ca4b69148c4d" ma:open="true" ma:isKeyword="false">
      <xsd:complexType>
        <xsd:sequence>
          <xsd:element ref="pc:Terms" minOccurs="0" maxOccurs="1"/>
        </xsd:sequence>
      </xsd:complex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c359a5f-d8ba-45e8-878a-e92bde6b5d0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d58d31c5-e4fc-4ffd-9d99-b326803b739c}" ma:internalName="TaxCatchAll" ma:showField="CatchAllData" ma:web="dc359a5f-d8ba-45e8-878a-e92bde6b5d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5"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5EFE63-7FB5-4E6B-A176-A1BE837025E7}">
  <ds:schemaRefs>
    <ds:schemaRef ds:uri="http://schemas.microsoft.com/office/2006/metadata/properties"/>
    <ds:schemaRef ds:uri="http://schemas.microsoft.com/office/infopath/2007/PartnerControls"/>
    <ds:schemaRef ds:uri="http://schemas.microsoft.com/sharepoint/v3"/>
    <ds:schemaRef ds:uri="dc359a5f-d8ba-45e8-878a-e92bde6b5d0d"/>
    <ds:schemaRef ds:uri="edf3d82c-9bb9-4008-828a-e37d87183080"/>
  </ds:schemaRefs>
</ds:datastoreItem>
</file>

<file path=customXml/itemProps2.xml><?xml version="1.0" encoding="utf-8"?>
<ds:datastoreItem xmlns:ds="http://schemas.openxmlformats.org/officeDocument/2006/customXml" ds:itemID="{1AE1090F-2600-4585-AC25-66C4A28345A5}">
  <ds:schemaRefs>
    <ds:schemaRef ds:uri="http://schemas.microsoft.com/sharepoint/v3/contenttype/forms"/>
  </ds:schemaRefs>
</ds:datastoreItem>
</file>

<file path=customXml/itemProps3.xml><?xml version="1.0" encoding="utf-8"?>
<ds:datastoreItem xmlns:ds="http://schemas.openxmlformats.org/officeDocument/2006/customXml" ds:itemID="{B74C07AB-20DF-4D9F-BB30-B8A25E50585D}">
  <ds:schemaRefs>
    <ds:schemaRef ds:uri="http://schemas.openxmlformats.org/officeDocument/2006/bibliography"/>
  </ds:schemaRefs>
</ds:datastoreItem>
</file>

<file path=customXml/itemProps4.xml><?xml version="1.0" encoding="utf-8"?>
<ds:datastoreItem xmlns:ds="http://schemas.openxmlformats.org/officeDocument/2006/customXml" ds:itemID="{0E2120F8-46E3-405F-8E89-3D3FE0B778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df3d82c-9bb9-4008-828a-e37d87183080"/>
    <ds:schemaRef ds:uri="dc359a5f-d8ba-45e8-878a-e92bde6b5d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11</Pages>
  <Words>4934</Words>
  <Characters>27138</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Metodología de Portafolios Temáticos</vt:lpstr>
    </vt:vector>
  </TitlesOfParts>
  <Company/>
  <LinksUpToDate>false</LinksUpToDate>
  <CharactersWithSpaces>32008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Metodología de Portafolios Temáticos</dc:title>
  <dc:creator>AFP Integra — Gestión de Inversiones</dc:creator>
  <cp:lastModifiedBy>Renzo Sotomayor Diaz</cp:lastModifiedBy>
  <cp:revision>6</cp:revision>
  <dcterms:created xsi:type="dcterms:W3CDTF">2026-08-12T23:45:00Z</dcterms:created>
  <dcterms:modified xsi:type="dcterms:W3CDTF">2026-08-13T19:29:00Z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0x0101004067C8FD2D97DD4C8B0A36B02703136E</vt:lpwstr>
  </property>
</Properties>
</file>