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lineRule="auto"/>
        <w:jc w:val="center"/>
      </w:pPr>
      <w:r>
        <w:rPr>
          <w:rFonts w:ascii="Calibri" w:cs="Calibri" w:eastAsia="Calibri" w:hAnsi="Calibri"/>
          <w:b/>
          <w:bCs/>
          <w:sz w:val="32"/>
          <w:szCs w:val="32"/>
        </w:rPr>
        <w:t xml:space="preserve">10. Ping-Pong Autonomous Decision-Making Event (HOPE AI Challenge)</w:t>
      </w:r>
    </w:p>
    <w:p>
      <w:pPr>
        <w:spacing w:after="60" w:before="60" w:line="320" w:lineRule="auto"/>
        <w:jc w:val="both"/>
      </w:pPr>
      <w:r>
        <w:rPr>
          <w:rFonts w:ascii="Calibri" w:cs="Calibri" w:eastAsia="Calibri" w:hAnsi="Calibri"/>
          <w:b w:val="false"/>
          <w:bCs w:val="false"/>
          <w:sz w:val="22"/>
          <w:szCs w:val="22"/>
        </w:rPr>
        <w:t xml:space="preserve">This event is jointly initiated, organized and operated by the Intelligent Racing Foundation and the Organizing Committee of the 2nd World Humanoid Robot Games, and is jointly advanced by universities, research institutions and open-source communities worldwide. The event has open-sourced on GitHub a baseline reference system that enables humanoid robots to play table tennis (hereinafter the "HOPE Reference System"). The event is open to any humanoid robot platform with the required capabilities and does not restrict participation by vendor or model.</w:t>
      </w:r>
    </w:p>
    <w:p>
      <w:pPr>
        <w:spacing w:after="60" w:before="60" w:line="320" w:lineRule="auto"/>
        <w:jc w:val="both"/>
      </w:pPr>
      <w:r>
        <w:rPr>
          <w:rFonts w:ascii="Calibri" w:cs="Calibri" w:eastAsia="Calibri" w:hAnsi="Calibri"/>
          <w:b w:val="false"/>
          <w:bCs w:val="false"/>
          <w:sz w:val="22"/>
          <w:szCs w:val="22"/>
        </w:rPr>
        <w:t xml:space="preserve">The official GitHub repository of the HOPE Reference System is https://github.com/hitchopen/HOPE (hereinafter the "HOPE GitHub Repository"). The standard motion-capture system configuration defined in the repository is hereinafter referred to as the "HOPE Standard Motion-Capture System". The repository contains the complete motion-capture configuration scripts, ROS 2 topic definitions, coordinate-frame calibration procedures, a reference planner and example WBC training code. The repository is updated as the event evolves; participating teams shall use the latest released version as of 30 days before the competition as the authoritative reference.</w:t>
      </w:r>
    </w:p>
    <w:p>
      <w:pPr>
        <w:spacing w:after="60" w:before="60" w:line="320" w:lineRule="auto"/>
        <w:jc w:val="both"/>
      </w:pPr>
      <w:r>
        <w:rPr>
          <w:rFonts w:ascii="Calibri" w:cs="Calibri" w:eastAsia="Calibri" w:hAnsi="Calibri"/>
          <w:b w:val="false"/>
          <w:bCs w:val="false"/>
          <w:sz w:val="22"/>
          <w:szCs w:val="22"/>
        </w:rPr>
        <w:t xml:space="preserve">To advance humanoid robotics in fine-grained dynamic control, vision-to-action closed loops and whole-body coordination, the rules of this event are drafted with reference to the current ITTF Laws of Table Tennis and the Olympic table tennis rules. All official matches mandatorily require that the participating robot be fully compatible with the standard motion-capture configuration defined in the HOPE GitHub Repository, and be able to correctly receive and parse the ROS 2 messages published by it, so as to ensure objectivity and reproducibility throughout the competition. Beyond this requirement, the participating teams' robot software and hardware implementations, control algorithms and model architectures are NOT within the scope of public disclosure or submission required by the Event Committee.</w:t>
      </w:r>
    </w:p>
    <w:p>
      <w:pPr>
        <w:spacing w:after="60" w:before="60" w:line="320" w:lineRule="auto"/>
        <w:jc w:val="both"/>
      </w:pPr>
      <w:r>
        <w:rPr>
          <w:rFonts w:ascii="Calibri" w:cs="Calibri" w:eastAsia="Calibri" w:hAnsi="Calibri"/>
          <w:b w:val="false"/>
          <w:bCs w:val="false"/>
          <w:sz w:val="22"/>
          <w:szCs w:val="22"/>
        </w:rPr>
        <w:t xml:space="preserve">This chapter contains two categories of rules: (i) robot-vs-robot 1V1 matches between humanoid robots (§10.1 through §10.6), and (ii) an exhibition match between the Robot Champion and a human professional table-tennis player (§10.7). Both categories impose the same requirements on the robot hardware, so the same robot that wins the Robot Champion title can take part in the exhibition match without any modification. Terminology convention: in this chapter, "the Event Committee", "the Committee" and "the Organizing Committee" (without the "Games" prefix) all refer to the Event Committee of this event and are equivalent; "the Games Organizing Committee" specifically refers to the Organizing Committee of the 2nd World Humanoid Robot Games, whose relationship with the Event Committee is described in §10.8.</w:t>
      </w:r>
    </w:p>
    <w:p>
      <w:pPr>
        <w:pStyle w:val="Heading2"/>
        <w:spacing w:after="140" w:before="280" w:line="320" w:lineRule="auto"/>
        <w:jc w:val="left"/>
      </w:pPr>
      <w:r>
        <w:rPr>
          <w:rFonts w:ascii="Calibri" w:cs="Calibri" w:eastAsia="Calibri" w:hAnsi="Calibri"/>
          <w:b/>
          <w:bCs/>
          <w:sz w:val="28"/>
          <w:szCs w:val="28"/>
        </w:rPr>
        <w:t xml:space="preserve">10.1 Team Requirements</w:t>
      </w:r>
    </w:p>
    <w:p>
      <w:pPr>
        <w:spacing w:after="60" w:before="60" w:line="320" w:lineRule="auto"/>
        <w:jc w:val="both"/>
      </w:pPr>
      <w:r>
        <w:rPr>
          <w:rFonts w:ascii="Calibri" w:cs="Calibri" w:eastAsia="Calibri" w:hAnsi="Calibri"/>
          <w:b w:val="false"/>
          <w:bCs w:val="false"/>
          <w:sz w:val="22"/>
          <w:szCs w:val="22"/>
        </w:rPr>
        <w:t xml:space="preserve">(1) This event adopts an Open Registration model. Domestic and foreign enterprises, universities, clubs, research institutes and other social organizations may all register through the official registration channels announced by the Event Committee; no invitation is required.</w:t>
      </w:r>
    </w:p>
    <w:p>
      <w:pPr>
        <w:spacing w:after="60" w:before="60" w:line="320" w:lineRule="auto"/>
        <w:jc w:val="both"/>
      </w:pPr>
      <w:r>
        <w:rPr>
          <w:rFonts w:ascii="Calibri" w:cs="Calibri" w:eastAsia="Calibri" w:hAnsi="Calibri"/>
          <w:b w:val="false"/>
          <w:bCs w:val="false"/>
          <w:sz w:val="22"/>
          <w:szCs w:val="22"/>
        </w:rPr>
        <w:t xml:space="preserve">(2) Each team may register at most 10 members in total. No distinction is made between competitors, instructors and coaches — all are registered as team members. At most 2 of these registered members may enter the competition area during a match, and they must be designated from the registered list by the team itself before each match and verified by the check-in referee.</w:t>
      </w:r>
    </w:p>
    <w:p>
      <w:pPr>
        <w:spacing w:after="60" w:before="60" w:line="320" w:lineRule="auto"/>
        <w:jc w:val="both"/>
      </w:pPr>
      <w:r>
        <w:rPr>
          <w:rFonts w:ascii="Calibri" w:cs="Calibri" w:eastAsia="Calibri" w:hAnsi="Calibri"/>
          <w:b w:val="false"/>
          <w:bCs w:val="false"/>
          <w:sz w:val="22"/>
          <w:szCs w:val="22"/>
        </w:rPr>
        <w:t xml:space="preserve">(3) Each team may register exactly 1 primary robot and may bring 1 backup robot of the same model. The backup robot must be checked in before the match and registered with the technical referee. A switch to the backup robot may only occur at the end of a game. This provision allowing a same-model backup robot to be swapped between games constitutes a special exception to the general clause of the 2nd World Humanoid Robot Games that "robots shall not be replaced during a match". The reason is that a table-tennis match is played in multiple games and the same robot is required to take part in a subsequent exhibition match against a human professional, placing significantly higher demands on long-duration stability than other events.</w:t>
      </w:r>
    </w:p>
    <w:p>
      <w:pPr>
        <w:spacing w:after="60" w:before="60" w:line="320" w:lineRule="auto"/>
        <w:jc w:val="both"/>
      </w:pPr>
      <w:r>
        <w:rPr>
          <w:rFonts w:ascii="Calibri" w:cs="Calibri" w:eastAsia="Calibri" w:hAnsi="Calibri"/>
          <w:b w:val="false"/>
          <w:bCs w:val="false"/>
          <w:sz w:val="22"/>
          <w:szCs w:val="22"/>
        </w:rPr>
        <w:t xml:space="preserve">(4) Scope of submission materials. A team is required to submit only the following two categories of information to the Event Committee: (a) the list of team members (name, affiliation, contact information, and whether each person is an instructor / technical lead); (b) the participating robot model (vendor name and publicly known model; for an in-house unreleased model, the team may write "in-house model + team code"). Beyond this, the Event Committee shall NOT require, and shall NOT accept, any mandatory submission relating to the robot's internal software/hardware, control algorithm, model weights, URDF files, sensor configuration or simulation training data. The team retains full intellectual-property rights and confidentiality over its own technical solution.</w:t>
      </w:r>
    </w:p>
    <w:p>
      <w:pPr>
        <w:spacing w:after="60" w:before="60" w:line="320" w:lineRule="auto"/>
        <w:jc w:val="both"/>
      </w:pPr>
      <w:r>
        <w:rPr>
          <w:rFonts w:ascii="Calibri" w:cs="Calibri" w:eastAsia="Calibri" w:hAnsi="Calibri"/>
          <w:b w:val="false"/>
          <w:bCs w:val="false"/>
          <w:sz w:val="22"/>
          <w:szCs w:val="22"/>
        </w:rPr>
        <w:t xml:space="preserve">(5) Regardless of internal implementation, the robot must satisfy the hardware and safety requirements listed in §10.2 and be fully compatible with the HOPE Standard Motion-Capture System configuration provided by the HOPE GitHub Repository (see §10.5.4).</w:t>
      </w:r>
    </w:p>
    <w:p>
      <w:pPr>
        <w:pStyle w:val="Heading3"/>
        <w:spacing w:after="100" w:before="200" w:line="320" w:lineRule="auto"/>
        <w:jc w:val="left"/>
      </w:pPr>
      <w:r>
        <w:rPr>
          <w:rFonts w:ascii="Calibri" w:cs="Calibri" w:eastAsia="Calibri" w:hAnsi="Calibri"/>
          <w:b/>
          <w:bCs/>
          <w:sz w:val="25"/>
          <w:szCs w:val="25"/>
        </w:rPr>
        <w:t xml:space="preserve">10.1.1 Qualification Demonstration Video (Mandatory)</w:t>
      </w:r>
    </w:p>
    <w:p>
      <w:pPr>
        <w:spacing w:after="60" w:before="60" w:line="320" w:lineRule="auto"/>
        <w:jc w:val="both"/>
      </w:pPr>
      <w:r>
        <w:rPr>
          <w:rFonts w:ascii="Calibri" w:cs="Calibri" w:eastAsia="Calibri" w:hAnsi="Calibri"/>
          <w:b w:val="false"/>
          <w:bCs w:val="false"/>
          <w:sz w:val="22"/>
          <w:szCs w:val="22"/>
        </w:rPr>
        <w:t xml:space="preserve">By 23:59 (Beijing time) on 31 July 2026, every registered team must submit, through the registration channel published by the Event Committee, a qualification demonstration video showing in detail that its system possesses the basic capabilities required to play humanoid table tennis, including but not limited to serving and rallying. Teams that fail to submit the video by the deadline are deemed to have voluntarily relinquished their participation rights for the year.</w:t>
      </w:r>
    </w:p>
    <w:p>
      <w:pPr>
        <w:spacing w:after="60" w:before="60" w:line="320" w:lineRule="auto"/>
        <w:jc w:val="both"/>
      </w:pPr>
      <w:r>
        <w:rPr>
          <w:rFonts w:ascii="Calibri" w:cs="Calibri" w:eastAsia="Calibri" w:hAnsi="Calibri"/>
          <w:b w:val="false"/>
          <w:bCs w:val="false"/>
          <w:sz w:val="22"/>
          <w:szCs w:val="22"/>
        </w:rPr>
        <w:t xml:space="preserve">The video shall include at least, but is not limited to, the following content: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82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No.</w:t>
            </w:r>
          </w:p>
        </w:tc>
        <w:tc>
          <w:tcPr>
            <w:tcW w:type="dxa" w:w="8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Capability to be demonstrated in the video</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stands independently, maintains balance, and performs a basic ready stance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2</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completes 3 consecutive stable serves (ball must clear the net and first land in the valid area of the opposite half-table)</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3</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rallies with a sparring partner (human or robot) for at least 5 consecutive strokes, with the ball traveling between the two half-tables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4</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The robot subscribes to the HOPE Standard Motion-Capture System ROS 2 topics (/poses and /tf) and displays live subscription logs</w:t>
            </w:r>
          </w:p>
        </w:tc>
      </w:tr>
      <w:tr>
        <w:trPr>
          <w:tblHeader w:val="false"/>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5</w:t>
            </w:r>
          </w:p>
        </w:tc>
        <w:tc>
          <w:tcPr>
            <w:tcW w:type="dxa" w:w="8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Demonstration that the robot can safely recover or be safely removed from the field after an emergency stop or fall during play</w:t>
            </w:r>
          </w:p>
        </w:tc>
      </w:tr>
    </w:tbl>
    <w:p>
      <w:pPr>
        <w:spacing w:after="60" w:before="60" w:line="320" w:lineRule="auto"/>
        <w:jc w:val="both"/>
      </w:pPr>
      <w:r>
        <w:rPr>
          <w:rFonts w:ascii="Calibri" w:cs="Calibri" w:eastAsia="Calibri" w:hAnsi="Calibri"/>
          <w:b w:val="false"/>
          <w:bCs w:val="false"/>
          <w:sz w:val="22"/>
          <w:szCs w:val="22"/>
        </w:rPr>
        <w:t xml:space="preserve"/>
      </w:r>
    </w:p>
    <w:p>
      <w:pPr>
        <w:spacing w:after="60" w:before="60" w:line="320" w:lineRule="auto"/>
        <w:jc w:val="both"/>
      </w:pPr>
      <w:r>
        <w:rPr>
          <w:rFonts w:ascii="Calibri" w:cs="Calibri" w:eastAsia="Calibri" w:hAnsi="Calibri"/>
          <w:b w:val="false"/>
          <w:bCs w:val="false"/>
          <w:sz w:val="22"/>
          <w:szCs w:val="22"/>
        </w:rPr>
        <w:t xml:space="preserve">Video technical requirements: resolution no lower than 1920×1080; frame rate no lower than 30 fps; total duration no more than 10 minutes. To minimize the burden on participating teams, the video shall be accompanied only by a concise note of no more than 1 page, limited to: team name, robot model, ROS 2 distribution used (e.g. Humble, Jazzy) and shooting date. No other internal technical information about the robot is required at this stage.</w:t>
      </w:r>
    </w:p>
    <w:p>
      <w:pPr>
        <w:spacing w:after="60" w:before="60" w:line="320" w:lineRule="auto"/>
        <w:jc w:val="both"/>
      </w:pPr>
      <w:r>
        <w:rPr>
          <w:rFonts w:ascii="Calibri" w:cs="Calibri" w:eastAsia="Calibri" w:hAnsi="Calibri"/>
          <w:b w:val="false"/>
          <w:bCs w:val="false"/>
          <w:sz w:val="22"/>
          <w:szCs w:val="22"/>
        </w:rPr>
        <w:t xml:space="preserve">The Event Committee will organize a technical expert panel to review the submitted videos. Review outcomes are classified into three categories: Pass, Conditional Pass and Fail. Only teams marked Pass — or teams marked Conditional Pass who supplement materials within the 14-day grace period after submission — are eligible to compete.</w:t>
      </w:r>
    </w:p>
    <w:p>
      <w:pPr>
        <w:spacing w:after="60" w:before="60" w:line="320" w:lineRule="auto"/>
        <w:jc w:val="both"/>
      </w:pPr>
      <w:r>
        <w:rPr>
          <w:rFonts w:ascii="Calibri" w:cs="Calibri" w:eastAsia="Calibri" w:hAnsi="Calibri"/>
          <w:b w:val="false"/>
          <w:bCs w:val="false"/>
          <w:sz w:val="22"/>
          <w:szCs w:val="22"/>
        </w:rPr>
        <w:t xml:space="preserve">Review is based solely on the robot capabilities visible in the video and on compatibility with the HOPE Standard Motion-Capture System; the review process does NOT inspect the team's internal technical solution.</w:t>
      </w:r>
    </w:p>
    <w:p>
      <w:pPr>
        <w:pStyle w:val="Heading2"/>
        <w:spacing w:after="140" w:before="280" w:line="320" w:lineRule="auto"/>
        <w:jc w:val="left"/>
      </w:pPr>
      <w:r>
        <w:rPr>
          <w:rFonts w:ascii="Calibri" w:cs="Calibri" w:eastAsia="Calibri" w:hAnsi="Calibri"/>
          <w:b/>
          <w:bCs/>
          <w:sz w:val="28"/>
          <w:szCs w:val="28"/>
        </w:rPr>
        <w:t xml:space="preserve">10.2 Robot Requirements</w:t>
      </w:r>
    </w:p>
    <w:p>
      <w:pPr>
        <w:spacing w:after="60" w:before="60" w:line="320" w:lineRule="auto"/>
        <w:jc w:val="both"/>
      </w:pPr>
      <w:r>
        <w:rPr>
          <w:rFonts w:ascii="Calibri" w:cs="Calibri" w:eastAsia="Calibri" w:hAnsi="Calibri"/>
          <w:b w:val="false"/>
          <w:bCs w:val="false"/>
          <w:sz w:val="22"/>
          <w:szCs w:val="22"/>
        </w:rPr>
        <w:t xml:space="preserve">The robot requirements listed in this section apply both to the robot-vs-robot matches in §10.3–§10.6 and to the robot-vs-human exhibition match in §10.7. The Robot Champion may compete in the exhibition match without any modification.</w:t>
      </w:r>
    </w:p>
    <w:p>
      <w:pPr>
        <w:spacing w:after="60" w:before="60" w:line="320" w:lineRule="auto"/>
        <w:jc w:val="both"/>
      </w:pPr>
      <w:r>
        <w:rPr>
          <w:rFonts w:ascii="Calibri" w:cs="Calibri" w:eastAsia="Calibri" w:hAnsi="Calibri"/>
          <w:b w:val="false"/>
          <w:bCs w:val="false"/>
          <w:sz w:val="22"/>
          <w:szCs w:val="22"/>
        </w:rPr>
        <w:t xml:space="preserve">(1) The participating robot may be developed in-house, purchased or leased by the team.</w:t>
      </w:r>
    </w:p>
    <w:p>
      <w:pPr>
        <w:spacing w:after="60" w:before="60" w:line="320" w:lineRule="auto"/>
        <w:jc w:val="both"/>
      </w:pPr>
      <w:r>
        <w:rPr>
          <w:rFonts w:ascii="Calibri" w:cs="Calibri" w:eastAsia="Calibri" w:hAnsi="Calibri"/>
          <w:b w:val="false"/>
          <w:bCs w:val="false"/>
          <w:sz w:val="22"/>
          <w:szCs w:val="22"/>
        </w:rPr>
        <w:t xml:space="preserve">(2) Humanoid morphology. The robot must have a standard humanoid morphology, comprising two legs, two arms and a head, all attached to the torso. With knees fully extended, the overall standing height H shall satisfy 1.0 m ≤ H ≤ 1.9 m, and the total mass shall not exceed 80 kg.</w:t>
      </w:r>
    </w:p>
    <w:p>
      <w:pPr>
        <w:spacing w:after="60" w:before="60" w:line="320" w:lineRule="auto"/>
        <w:jc w:val="both"/>
      </w:pPr>
      <w:r>
        <w:rPr>
          <w:rFonts w:ascii="Calibri" w:cs="Calibri" w:eastAsia="Calibri" w:hAnsi="Calibri"/>
          <w:b w:val="false"/>
          <w:bCs w:val="false"/>
          <w:sz w:val="22"/>
          <w:szCs w:val="22"/>
        </w:rPr>
        <w:t xml:space="preserve">(3) Locomotion capability. The robot must walk upright on two legs and be able to autonomously recover from a fall, or be assisted by team members after the umpire's permission. The only permitted modes of motion are bipedal walking, running, jumping and humanoid upper-limb stroke motions; the kinematic characteristics of all motions must be equivalent to those of a human table-tennis player.</w:t>
      </w:r>
    </w:p>
    <w:p>
      <w:pPr>
        <w:spacing w:after="60" w:before="60" w:line="320" w:lineRule="auto"/>
        <w:jc w:val="both"/>
      </w:pPr>
      <w:r>
        <w:rPr>
          <w:rFonts w:ascii="Calibri" w:cs="Calibri" w:eastAsia="Calibri" w:hAnsi="Calibri"/>
          <w:b w:val="false"/>
          <w:bCs w:val="false"/>
          <w:sz w:val="22"/>
          <w:szCs w:val="22"/>
        </w:rPr>
        <w:t xml:space="preserve">(4) Body integrity. The robot body must be a self-contained whole. During a match, it shall not have any external signal cables, power cables or safety devices outside the robot body, shall not be separated into multiple sub-units, and shall not place any markers in the competition area (the retro-reflective markers of the HOPE Standard Motion-Capture System excepted).</w:t>
      </w:r>
    </w:p>
    <w:p>
      <w:pPr>
        <w:spacing w:after="60" w:before="60" w:line="320" w:lineRule="auto"/>
        <w:jc w:val="both"/>
      </w:pPr>
      <w:r>
        <w:rPr>
          <w:rFonts w:ascii="Calibri" w:cs="Calibri" w:eastAsia="Calibri" w:hAnsi="Calibri"/>
          <w:b w:val="false"/>
          <w:bCs w:val="false"/>
          <w:sz w:val="22"/>
          <w:szCs w:val="22"/>
        </w:rPr>
        <w:t xml:space="preserve">(5) Energy source. The robot must carry its own energy source; any energy source deemed hazardous is prohibited.</w:t>
      </w:r>
    </w:p>
    <w:p>
      <w:pPr>
        <w:spacing w:after="60" w:before="60" w:line="320" w:lineRule="auto"/>
        <w:jc w:val="both"/>
      </w:pPr>
      <w:r>
        <w:rPr>
          <w:rFonts w:ascii="Calibri" w:cs="Calibri" w:eastAsia="Calibri" w:hAnsi="Calibri"/>
          <w:b w:val="false"/>
          <w:bCs w:val="false"/>
          <w:sz w:val="22"/>
          <w:szCs w:val="22"/>
        </w:rPr>
        <w:t xml:space="preserve">(6) Safety device. The robot must be equipped with a clearly marked emergency-stop button that can be triggered with a single hand by a human opponent or referee; once triggered, the robot must immediately stop all motion, or go limp / cut power to the actuators. Apart from the emergency-stop button and the power switch, the robot may have at most two additional, clearly labelled physical buttons for starting and stopping match behaviour. The robot shell shall not contain sharp edges, exposed hot parts, or protrusions that may snag clothing; for robot-vs-human matches, the robot must additionally pass the pre-match safety inspection (see §10.7.4).</w:t>
      </w:r>
    </w:p>
    <w:p>
      <w:pPr>
        <w:spacing w:after="60" w:before="60" w:line="320" w:lineRule="auto"/>
        <w:jc w:val="both"/>
      </w:pPr>
      <w:r>
        <w:rPr>
          <w:rFonts w:ascii="Calibri" w:cs="Calibri" w:eastAsia="Calibri" w:hAnsi="Calibri"/>
          <w:b w:val="false"/>
          <w:bCs w:val="false"/>
          <w:sz w:val="22"/>
          <w:szCs w:val="22"/>
        </w:rPr>
        <w:t xml:space="preserve">(7) Racket. The racket must comply with ITTF Laws of Table Tennis §2.4: the blade must be flat and rigid. For ordinary pimpled rubber (pips outward), the total thickness including adhesive shall not exceed 2 mm; for sandwich rubber, the total thickness including adhesive shall not exceed 4 mm. The two sides of the racket must have clearly different colours as required by ITTF §2.4.6 (any ITTF-approved standard rubber is acceptable); both the blade and the rubber must be currently ITTF-approved equipment. It is strictly prohibited to attach any motion-capture retro-reflective marker or other active tracking device to the racket, grip or wrist (see §10.5.4).</w:t>
      </w:r>
    </w:p>
    <w:p>
      <w:pPr>
        <w:spacing w:after="60" w:before="60" w:line="320" w:lineRule="auto"/>
        <w:jc w:val="both"/>
      </w:pPr>
      <w:r>
        <w:rPr>
          <w:rFonts w:ascii="Calibri" w:cs="Calibri" w:eastAsia="Calibri" w:hAnsi="Calibri"/>
          <w:b w:val="false"/>
          <w:bCs w:val="false"/>
          <w:sz w:val="22"/>
          <w:szCs w:val="22"/>
        </w:rPr>
        <w:t xml:space="preserve">(8) Match ball. The match uses an ITTF-approved 40+ plastic ball; its diameter, mass, tolerance and other physical parameters follow the ITTF technical specification for the year, and its colour is designated uniformly by the Organizing Committee. To facilitate motion-capture tracking, the Organizing Committee supplies ITTF balls that have been fitted with a small retro-reflective marker or treated with a retro-reflective coating; all matches and the exhibition match must use the same official ball of this specification. This retro-reflective treatment is a special arrangement of this event relative to ITTF §2.3; it is valid only within the venue of this event, and a so-treated ball is no longer ITTF-compliant for international competition.</w:t>
      </w:r>
    </w:p>
    <w:p>
      <w:pPr>
        <w:spacing w:after="60" w:before="60" w:line="320" w:lineRule="auto"/>
        <w:jc w:val="both"/>
      </w:pPr>
      <w:r>
        <w:rPr>
          <w:rFonts w:ascii="Calibri" w:cs="Calibri" w:eastAsia="Calibri" w:hAnsi="Calibri"/>
          <w:b w:val="false"/>
          <w:bCs w:val="false"/>
          <w:sz w:val="22"/>
          <w:szCs w:val="22"/>
        </w:rPr>
        <w:t xml:space="preserve">(9) Communication and control. Throughout the match the robot must operate autonomously. External power, remote operation, remote control and any form of remote brain are prohibited. The robot may communicate only via the wired or wireless network provided by the Organizing Committee, and only with the HOPE Standard Motion-Capture System and the refereeing system.</w:t>
      </w:r>
    </w:p>
    <w:p>
      <w:pPr>
        <w:pStyle w:val="Heading2"/>
        <w:spacing w:after="140" w:before="280" w:line="320" w:lineRule="auto"/>
        <w:jc w:val="left"/>
      </w:pPr>
      <w:r>
        <w:rPr>
          <w:rFonts w:ascii="Calibri" w:cs="Calibri" w:eastAsia="Calibri" w:hAnsi="Calibri"/>
          <w:b/>
          <w:bCs/>
          <w:sz w:val="28"/>
          <w:szCs w:val="28"/>
        </w:rPr>
        <w:t xml:space="preserve">10.3 Competition Content</w:t>
      </w:r>
    </w:p>
    <w:p>
      <w:pPr>
        <w:spacing w:after="60" w:before="60" w:line="320" w:lineRule="auto"/>
        <w:jc w:val="both"/>
      </w:pPr>
      <w:r>
        <w:rPr>
          <w:rFonts w:ascii="Calibri" w:cs="Calibri" w:eastAsia="Calibri" w:hAnsi="Calibri"/>
          <w:b w:val="false"/>
          <w:bCs w:val="false"/>
          <w:sz w:val="22"/>
          <w:szCs w:val="22"/>
        </w:rPr>
        <w:t xml:space="preserve">This event hosts the following two categories of competition at the 2nd World Humanoid Robot Games:</w:t>
      </w:r>
    </w:p>
    <w:p>
      <w:pPr>
        <w:spacing w:after="60" w:before="60" w:line="320" w:lineRule="auto"/>
        <w:jc w:val="both"/>
      </w:pPr>
      <w:r>
        <w:rPr>
          <w:rFonts w:ascii="Calibri" w:cs="Calibri" w:eastAsia="Calibri" w:hAnsi="Calibri"/>
          <w:b w:val="false"/>
          <w:bCs w:val="false"/>
          <w:sz w:val="22"/>
          <w:szCs w:val="22"/>
        </w:rPr>
        <w:t xml:space="preserve">(1) Humanoid robot 1V1 table-tennis match (robot-vs-robot match — the official competition). Two robots stand at the two ends of the ping-pong table and compete in singles under §10.5 of this chapter and the current ITTF rules. The match is performed entirely autonomously by the robots, and the "Robot Champion" of the event is determined.</w:t>
      </w:r>
    </w:p>
    <w:p>
      <w:pPr>
        <w:spacing w:after="60" w:before="60" w:line="320" w:lineRule="auto"/>
        <w:jc w:val="both"/>
      </w:pPr>
      <w:r>
        <w:rPr>
          <w:rFonts w:ascii="Calibri" w:cs="Calibri" w:eastAsia="Calibri" w:hAnsi="Calibri"/>
          <w:b w:val="false"/>
          <w:bCs w:val="false"/>
          <w:sz w:val="22"/>
          <w:szCs w:val="22"/>
        </w:rPr>
        <w:t xml:space="preserve">(2) Robot Champion vs. human professional player exhibition match (robot-vs-human exhibition — single game). The Robot Champion plays a single-game exhibition match against a professional table-tennis player invited by the Organizing Committee. Rules are detailed in §10.7.</w:t>
      </w:r>
    </w:p>
    <w:p>
      <w:pPr>
        <w:spacing w:after="60" w:before="60" w:line="320" w:lineRule="auto"/>
        <w:jc w:val="both"/>
      </w:pPr>
      <w:r>
        <w:rPr>
          <w:rFonts w:ascii="Calibri" w:cs="Calibri" w:eastAsia="Calibri" w:hAnsi="Calibri"/>
          <w:b w:val="false"/>
          <w:bCs w:val="false"/>
          <w:sz w:val="22"/>
          <w:szCs w:val="22"/>
        </w:rPr>
        <w:t xml:space="preserve">Because only one standard competition court is set up at the event, the robot-vs-robot tournament is organized as a Single-Elimination Knockout when multiple teams take part. The order of matchups is determined by an open draw conducted by the Organizing Committee before the event (see §10.6). The Event Committee reserves the right, where it does not compromise fairness, to adjust the number of games per match and the score cap per game in light of the number of registrations, and to clarify specific rules on site before the match.</w:t>
      </w:r>
    </w:p>
    <w:p>
      <w:pPr>
        <w:pStyle w:val="Heading2"/>
        <w:spacing w:after="140" w:before="280" w:line="320" w:lineRule="auto"/>
        <w:jc w:val="left"/>
      </w:pPr>
      <w:r>
        <w:rPr>
          <w:rFonts w:ascii="Calibri" w:cs="Calibri" w:eastAsia="Calibri" w:hAnsi="Calibri"/>
          <w:b/>
          <w:bCs/>
          <w:sz w:val="28"/>
          <w:szCs w:val="28"/>
        </w:rPr>
        <w:t xml:space="preserve">10.4 Competition Venue</w:t>
      </w:r>
    </w:p>
    <w:p>
      <w:pPr>
        <w:spacing w:after="60" w:before="60" w:line="320" w:lineRule="auto"/>
        <w:jc w:val="both"/>
      </w:pPr>
      <w:r>
        <w:rPr>
          <w:rFonts w:ascii="Calibri" w:cs="Calibri" w:eastAsia="Calibri" w:hAnsi="Calibri"/>
          <w:b w:val="false"/>
          <w:bCs w:val="false"/>
          <w:sz w:val="22"/>
          <w:szCs w:val="22"/>
        </w:rPr>
        <w:t xml:space="preserve">(1) Table: A standard table-tennis table approved by the ITTF; playing surface 2.74 m × 1.525 m at 0.76 m above the floor; net height 0.1525 m.</w:t>
      </w:r>
    </w:p>
    <w:p>
      <w:pPr>
        <w:spacing w:after="60" w:before="60" w:line="320" w:lineRule="auto"/>
        <w:jc w:val="both"/>
      </w:pPr>
      <w:r>
        <w:rPr>
          <w:rFonts w:ascii="Calibri" w:cs="Calibri" w:eastAsia="Calibri" w:hAnsi="Calibri"/>
          <w:b w:val="false"/>
          <w:bCs w:val="false"/>
          <w:sz w:val="22"/>
          <w:szCs w:val="22"/>
        </w:rPr>
        <w:t xml:space="preserve">(2) Court: Around the table, at least 1.5 m of clearance is reserved on each side towards P1 (near end) and P2 (far end), and at least 1.5 m of clearance on each lateral side. An additional safety buffer of at least 1.5 m surrounds the entire court. Throughout a match, no one except the participating robots, the on-duty referees and designated check-in / technical personnel may enter the competition area.</w:t>
      </w:r>
    </w:p>
    <w:p>
      <w:pPr>
        <w:spacing w:after="60" w:before="60" w:line="320" w:lineRule="auto"/>
        <w:jc w:val="both"/>
      </w:pPr>
      <w:r>
        <w:rPr>
          <w:rFonts w:ascii="Calibri" w:cs="Calibri" w:eastAsia="Calibri" w:hAnsi="Calibri"/>
          <w:b w:val="false"/>
          <w:bCs w:val="false"/>
          <w:sz w:val="22"/>
          <w:szCs w:val="22"/>
        </w:rPr>
        <w:t xml:space="preserve">(3) World coordinate frame: The HOPE competition venue adopts the right-handed coordinate convention of ROS 2 REP 103 (Z-up). The origin is located at the near-side, left corner of the playing surface from P1's perspective. The X-axis points along the long side of the table towards P2, with range 0 → +2.74 m; the Y-axis points along the short side of the table to the left from P1's perspective, with range 0 → −1.525 m; the Z-axis points vertically upward, with the playing surface at z = 0.</w:t>
      </w:r>
    </w:p>
    <w:p>
      <w:pPr>
        <w:spacing w:after="60" w:before="60" w:line="320" w:lineRule="auto"/>
        <w:jc w:val="both"/>
      </w:pPr>
      <w:r>
        <w:rPr>
          <w:rFonts w:ascii="Calibri" w:cs="Calibri" w:eastAsia="Calibri" w:hAnsi="Calibri"/>
          <w:b w:val="false"/>
          <w:bCs w:val="false"/>
          <w:sz w:val="22"/>
          <w:szCs w:val="22"/>
        </w:rPr>
        <w:t xml:space="preserve">(4) Motion-capture system: At least 6 motion-capture cameras (8–12 recommended) are installed around the venue, covering the entire table and the 1.5 m buffer zone at each end. The camera frame rate must be no lower than 120 Hz; 240–360 Hz is recommended for stable tracking of high-speed balls.</w:t>
      </w:r>
    </w:p>
    <w:p>
      <w:pPr>
        <w:spacing w:after="60" w:before="60" w:line="320" w:lineRule="auto"/>
        <w:jc w:val="both"/>
      </w:pPr>
      <w:r>
        <w:rPr>
          <w:rFonts w:ascii="Calibri" w:cs="Calibri" w:eastAsia="Calibri" w:hAnsi="Calibri"/>
          <w:b w:val="false"/>
          <w:bCs w:val="false"/>
          <w:sz w:val="22"/>
          <w:szCs w:val="22"/>
        </w:rPr>
        <w:t xml:space="preserve">(5) Network and communication area: A HOPE standard compute / communication cabinet is set up outside the court, housing the OptiTrack/Vicon host, the ROS 2 host running motion_capture_tracking, and the wireless access point provided by the Organizing Committee.</w:t>
      </w:r>
    </w:p>
    <w:p>
      <w:pPr>
        <w:spacing w:after="60" w:before="60" w:line="320" w:lineRule="auto"/>
        <w:jc w:val="both"/>
      </w:pPr>
      <w:r>
        <w:rPr>
          <w:rFonts w:ascii="Calibri" w:cs="Calibri" w:eastAsia="Calibri" w:hAnsi="Calibri"/>
          <w:b w:val="false"/>
          <w:bCs w:val="false"/>
          <w:sz w:val="22"/>
          <w:szCs w:val="22"/>
        </w:rPr>
        <w:t xml:space="preserve">(6) Operator zone: A 3 m × 1.5 m rectangular operator/remote-control zone is set up outside each side of the court for team members to issue start signals and provide necessary safety intervention. If any foot of a team member crosses the boundary of the operator zone, a yellow card is shown.</w:t>
      </w:r>
    </w:p>
    <w:p>
      <w:pPr>
        <w:pStyle w:val="Heading2"/>
        <w:spacing w:after="140" w:before="280" w:line="320" w:lineRule="auto"/>
        <w:jc w:val="left"/>
      </w:pPr>
      <w:r>
        <w:rPr>
          <w:rFonts w:ascii="Calibri" w:cs="Calibri" w:eastAsia="Calibri" w:hAnsi="Calibri"/>
          <w:b/>
          <w:bCs/>
          <w:sz w:val="28"/>
          <w:szCs w:val="28"/>
        </w:rPr>
        <w:t xml:space="preserve">10.5 Match Rules</w:t>
      </w:r>
    </w:p>
    <w:p>
      <w:pPr>
        <w:pStyle w:val="Heading3"/>
        <w:spacing w:after="100" w:before="200" w:line="320" w:lineRule="auto"/>
        <w:jc w:val="left"/>
      </w:pPr>
      <w:r>
        <w:rPr>
          <w:rFonts w:ascii="Calibri" w:cs="Calibri" w:eastAsia="Calibri" w:hAnsi="Calibri"/>
          <w:b/>
          <w:bCs/>
          <w:sz w:val="25"/>
          <w:szCs w:val="25"/>
        </w:rPr>
        <w:t xml:space="preserve">10.5.1 Match Flow</w:t>
      </w:r>
    </w:p>
    <w:p>
      <w:pPr>
        <w:spacing w:after="60" w:before="60" w:line="320" w:lineRule="auto"/>
        <w:jc w:val="both"/>
      </w:pPr>
      <w:r>
        <w:rPr>
          <w:rFonts w:ascii="Calibri" w:cs="Calibri" w:eastAsia="Calibri" w:hAnsi="Calibri"/>
          <w:b w:val="false"/>
          <w:bCs w:val="false"/>
          <w:sz w:val="22"/>
          <w:szCs w:val="22"/>
        </w:rPr>
        <w:t xml:space="preserve">Unless they conflict with this section, the robot-vs-robot matches follow the current ITTF Laws of Table Tennis and the Olympic table-tennis rules. This event uses a hard cap on total match duration (see clause (8) of this section) in place of the ITTF Expedite System (corresponding to ITTF §2.16). The match format corresponds to ITTF §2.12 (A Match).</w:t>
      </w:r>
    </w:p>
    <w:p>
      <w:pPr>
        <w:spacing w:after="60" w:before="60" w:line="320" w:lineRule="auto"/>
        <w:jc w:val="both"/>
      </w:pPr>
      <w:r>
        <w:rPr>
          <w:rFonts w:ascii="Calibri" w:cs="Calibri" w:eastAsia="Calibri" w:hAnsi="Calibri"/>
          <w:b w:val="false"/>
          <w:bCs w:val="false"/>
          <w:sz w:val="22"/>
          <w:szCs w:val="22"/>
        </w:rPr>
        <w:t xml:space="preserve">(1) Pre-match preparation. Before each match each team has 10 minutes of preparation time, which may be used to position and start the robot, connect to the Organizing Committee's motion-capture network, load match software, install or change batteries, and perform a final software debug and hardware check. At the end of the preparation time, the robot must be in stand-by state and ready to respond immediately to the umpire's call-to-position. A team that exceeds the preparation time loses 1 point per 60 s of overrun, and is judged to have lost the match if it still cannot be ready after 3 minutes of cumulative overrun.</w:t>
      </w:r>
    </w:p>
    <w:p>
      <w:pPr>
        <w:spacing w:after="60" w:before="60" w:line="320" w:lineRule="auto"/>
        <w:jc w:val="both"/>
      </w:pPr>
      <w:r>
        <w:rPr>
          <w:rFonts w:ascii="Calibri" w:cs="Calibri" w:eastAsia="Calibri" w:hAnsi="Calibri"/>
          <w:b w:val="false"/>
          <w:bCs w:val="false"/>
          <w:sz w:val="22"/>
          <w:szCs w:val="22"/>
        </w:rPr>
        <w:t xml:space="preserve">(2) Opening commands. Before each game the umpire successively issues the four-stage commands initial → ready → set → go. The robot must autonomously take its position within 15 s after "ready", enter a static "ready-to-serve" state within 5 s after "set", and begin play at "go".</w:t>
      </w:r>
    </w:p>
    <w:p>
      <w:pPr>
        <w:spacing w:after="60" w:before="60" w:line="320" w:lineRule="auto"/>
        <w:jc w:val="both"/>
      </w:pPr>
      <w:r>
        <w:rPr>
          <w:rFonts w:ascii="Calibri" w:cs="Calibri" w:eastAsia="Calibri" w:hAnsi="Calibri"/>
          <w:b w:val="false"/>
          <w:bCs w:val="false"/>
          <w:sz w:val="22"/>
          <w:szCs w:val="22"/>
        </w:rPr>
        <w:t xml:space="preserve">(3) Coin toss and choice of service. Before the match a coin toss decides the right of service in the first game and the choice of ends (corresponding to ITTF §2.13.1).</w:t>
      </w:r>
    </w:p>
    <w:p>
      <w:pPr>
        <w:spacing w:after="60" w:before="60" w:line="320" w:lineRule="auto"/>
        <w:jc w:val="both"/>
      </w:pPr>
      <w:r>
        <w:rPr>
          <w:rFonts w:ascii="Calibri" w:cs="Calibri" w:eastAsia="Calibri" w:hAnsi="Calibri"/>
          <w:b w:val="false"/>
          <w:bCs w:val="false"/>
          <w:sz w:val="22"/>
          <w:szCs w:val="22"/>
        </w:rPr>
        <w:t xml:space="preserve">(4) Game format and score. Each match is best of 5 games (ITTF standard). A game is won by the first side to score 11 points unless both sides reach 10-all, in which case the game is won by the first side to gain a 2-point lead (corresponding to ITTF §2.11.1).</w:t>
      </w:r>
    </w:p>
    <w:p>
      <w:pPr>
        <w:spacing w:after="60" w:before="60" w:line="320" w:lineRule="auto"/>
        <w:jc w:val="both"/>
      </w:pPr>
      <w:r>
        <w:rPr>
          <w:rFonts w:ascii="Calibri" w:cs="Calibri" w:eastAsia="Calibri" w:hAnsi="Calibri"/>
          <w:b w:val="false"/>
          <w:bCs w:val="false"/>
          <w:sz w:val="22"/>
          <w:szCs w:val="22"/>
        </w:rPr>
        <w:t xml:space="preserve">(5) Service alternation. After each side has served 2 points in succession, the right of service alternates; from 10-all onward, each side serves 1 point in turn until the end of the game (corresponding to ITTF §2.13.2).</w:t>
      </w:r>
    </w:p>
    <w:p>
      <w:pPr>
        <w:spacing w:after="60" w:before="60" w:line="320" w:lineRule="auto"/>
        <w:jc w:val="both"/>
      </w:pPr>
      <w:r>
        <w:rPr>
          <w:rFonts w:ascii="Calibri" w:cs="Calibri" w:eastAsia="Calibri" w:hAnsi="Calibri"/>
          <w:b w:val="false"/>
          <w:bCs w:val="false"/>
          <w:sz w:val="22"/>
          <w:szCs w:val="22"/>
        </w:rPr>
        <w:t xml:space="preserve">(6) Change of ends. The two sides change ends at the end of each game. In the deciding game, the sides change ends once more when one side first reaches 5 points (corresponding to ITTF §2.14.1 and §2.14.2).</w:t>
      </w:r>
    </w:p>
    <w:p>
      <w:pPr>
        <w:spacing w:after="60" w:before="60" w:line="320" w:lineRule="auto"/>
        <w:jc w:val="both"/>
      </w:pPr>
      <w:r>
        <w:rPr>
          <w:rFonts w:ascii="Calibri" w:cs="Calibri" w:eastAsia="Calibri" w:hAnsi="Calibri"/>
          <w:b w:val="false"/>
          <w:bCs w:val="false"/>
          <w:sz w:val="22"/>
          <w:szCs w:val="22"/>
        </w:rPr>
        <w:t xml:space="preserve">(7) Inter-game break. There is a 5-minute break between every two games. During the break, the on-court members of the team may, within the competition area, perform any necessary hardware repair, module replacement, battery change or software debugging on the robot. At the end of the break the robot must again be in stand-by state and ready to receive the opening commands of the next game. Extension of the break is not allowed; in case of overrun the same penalty rule as in clause (1) of this section applies.</w:t>
      </w:r>
    </w:p>
    <w:p>
      <w:pPr>
        <w:spacing w:after="60" w:before="60" w:line="320" w:lineRule="auto"/>
        <w:jc w:val="both"/>
      </w:pPr>
      <w:r>
        <w:rPr>
          <w:rFonts w:ascii="Calibri" w:cs="Calibri" w:eastAsia="Calibri" w:hAnsi="Calibri"/>
          <w:b w:val="false"/>
          <w:bCs w:val="false"/>
          <w:sz w:val="22"/>
          <w:szCs w:val="22"/>
        </w:rPr>
        <w:t xml:space="preserve">(8) Total duration. The total duration of each robot-vs-robot match (including pre-match preparation and all inter-game breaks) shall not exceed 60 minutes. If the time cap is reached while a game is still in progress, the side leading at that moment wins; if the scores are equal, the side with the higher cumulative number of valid strokes in that match wins.</w:t>
      </w:r>
    </w:p>
    <w:p>
      <w:pPr>
        <w:pStyle w:val="Heading3"/>
        <w:spacing w:after="100" w:before="200" w:line="320" w:lineRule="auto"/>
        <w:jc w:val="left"/>
      </w:pPr>
      <w:r>
        <w:rPr>
          <w:rFonts w:ascii="Calibri" w:cs="Calibri" w:eastAsia="Calibri" w:hAnsi="Calibri"/>
          <w:b/>
          <w:bCs/>
          <w:sz w:val="25"/>
          <w:szCs w:val="25"/>
        </w:rPr>
        <w:t xml:space="preserve">10.5.2 Service Rules</w:t>
      </w:r>
    </w:p>
    <w:p>
      <w:pPr>
        <w:spacing w:after="60" w:before="60" w:line="320" w:lineRule="auto"/>
        <w:jc w:val="both"/>
      </w:pPr>
      <w:r>
        <w:rPr>
          <w:rFonts w:ascii="Calibri" w:cs="Calibri" w:eastAsia="Calibri" w:hAnsi="Calibri"/>
          <w:b w:val="false"/>
          <w:bCs w:val="false"/>
          <w:sz w:val="22"/>
          <w:szCs w:val="22"/>
        </w:rPr>
        <w:t xml:space="preserve">Service rules are derived from ITTF §2.6, with minimum adaptations for humanoid robot execution.</w:t>
      </w:r>
    </w:p>
    <w:p>
      <w:pPr>
        <w:spacing w:after="60" w:before="60" w:line="320" w:lineRule="auto"/>
        <w:jc w:val="both"/>
      </w:pPr>
      <w:r>
        <w:rPr>
          <w:rFonts w:ascii="Calibri" w:cs="Calibri" w:eastAsia="Calibri" w:hAnsi="Calibri"/>
          <w:b w:val="false"/>
          <w:bCs w:val="false"/>
          <w:sz w:val="22"/>
          <w:szCs w:val="22"/>
        </w:rPr>
        <w:t xml:space="preserve">(1) At the start of service, the ball shall be at rest above the level of the playing surface and behind the server's end line (corresponding to ITTF §2.6.1). The precise mechanism by which the robot completes the service (including how it supports the ball) is left to each team; this rule places no further constraint.</w:t>
      </w:r>
    </w:p>
    <w:p>
      <w:pPr>
        <w:spacing w:after="60" w:before="60" w:line="320" w:lineRule="auto"/>
        <w:jc w:val="both"/>
      </w:pPr>
      <w:r>
        <w:rPr>
          <w:rFonts w:ascii="Calibri" w:cs="Calibri" w:eastAsia="Calibri" w:hAnsi="Calibri"/>
          <w:b w:val="false"/>
          <w:bCs w:val="false"/>
          <w:sz w:val="22"/>
          <w:szCs w:val="22"/>
        </w:rPr>
        <w:t xml:space="preserve">(2) During service, the ball shall be projected near-vertically upward by at least 16 cm with no imparted spin, and shall be struck on its way down.</w:t>
      </w:r>
    </w:p>
    <w:p>
      <w:pPr>
        <w:spacing w:after="60" w:before="60" w:line="320" w:lineRule="auto"/>
        <w:jc w:val="both"/>
      </w:pPr>
      <w:r>
        <w:rPr>
          <w:rFonts w:ascii="Calibri" w:cs="Calibri" w:eastAsia="Calibri" w:hAnsi="Calibri"/>
          <w:b w:val="false"/>
          <w:bCs w:val="false"/>
          <w:sz w:val="22"/>
          <w:szCs w:val="22"/>
        </w:rPr>
        <w:t xml:space="preserve">(3) The served ball must first touch the server's half of the table once, then go over or around the net assembly and touch the valid area of the receiver's half-table.</w:t>
      </w:r>
    </w:p>
    <w:p>
      <w:pPr>
        <w:spacing w:after="60" w:before="60" w:line="320" w:lineRule="auto"/>
        <w:jc w:val="both"/>
      </w:pPr>
      <w:r>
        <w:rPr>
          <w:rFonts w:ascii="Calibri" w:cs="Calibri" w:eastAsia="Calibri" w:hAnsi="Calibri"/>
          <w:b w:val="false"/>
          <w:bCs w:val="false"/>
          <w:sz w:val="22"/>
          <w:szCs w:val="22"/>
        </w:rPr>
        <w:t xml:space="preserve">(4) From the toss to the impact, the ball must remain above the level of the playing surface and remain visible to the umpire and the opposing robot; it must not be intentionally obscured by any part of the serving robot's body.</w:t>
      </w:r>
    </w:p>
    <w:p>
      <w:pPr>
        <w:spacing w:after="60" w:before="60" w:line="320" w:lineRule="auto"/>
        <w:jc w:val="both"/>
      </w:pPr>
      <w:r>
        <w:rPr>
          <w:rFonts w:ascii="Calibri" w:cs="Calibri" w:eastAsia="Calibri" w:hAnsi="Calibri"/>
          <w:b w:val="false"/>
          <w:bCs w:val="false"/>
          <w:sz w:val="22"/>
          <w:szCs w:val="22"/>
        </w:rPr>
        <w:t xml:space="preserve">(5) Service tempo (10-second rule). At the start of each point, once the serving robot has gained control of the ball (i.e. the service ball has been placed on or handed to the serving robot, and the umpire has signalled that service may begin), the robot must complete the service motion within 10 seconds. Failure to complete a valid service within 10 s is a service fault and the opponent is awarded 1 point (see the penalty table in §10.5.6).</w:t>
      </w:r>
    </w:p>
    <w:p>
      <w:pPr>
        <w:spacing w:after="60" w:before="60" w:line="320" w:lineRule="auto"/>
        <w:jc w:val="both"/>
      </w:pPr>
      <w:r>
        <w:rPr>
          <w:rFonts w:ascii="Calibri" w:cs="Calibri" w:eastAsia="Calibri" w:hAnsi="Calibri"/>
          <w:b w:val="false"/>
          <w:bCs w:val="false"/>
          <w:sz w:val="22"/>
          <w:szCs w:val="22"/>
        </w:rPr>
        <w:t xml:space="preserve">(6) For the first service of the first game of each match, the robot must complete the service within 10 seconds after receiving the umpire's "go" command; failure to do so loses 1 point. This rule is applied consistently with clause (5).</w:t>
      </w:r>
    </w:p>
    <w:p>
      <w:pPr>
        <w:spacing w:after="60" w:before="60" w:line="320" w:lineRule="auto"/>
        <w:jc w:val="both"/>
      </w:pPr>
      <w:r>
        <w:rPr>
          <w:rFonts w:ascii="Calibri" w:cs="Calibri" w:eastAsia="Calibri" w:hAnsi="Calibri"/>
          <w:b w:val="false"/>
          <w:bCs w:val="false"/>
          <w:sz w:val="22"/>
          <w:szCs w:val="22"/>
        </w:rPr>
        <w:t xml:space="preserve">(7) The robot may use any humanoid-biomimetic service technique (forehand, backhand, backspin, sidespin, topspin, etc.) that complies with the toss and strike-point requirements above. However, mechanical ball launchers, pneumatic devices or any other auxiliary serving device external to the robot body are strictly prohibited.</w:t>
      </w:r>
    </w:p>
    <w:p>
      <w:pPr>
        <w:pStyle w:val="Heading3"/>
        <w:spacing w:after="100" w:before="200" w:line="320" w:lineRule="auto"/>
        <w:jc w:val="left"/>
      </w:pPr>
      <w:r>
        <w:rPr>
          <w:rFonts w:ascii="Calibri" w:cs="Calibri" w:eastAsia="Calibri" w:hAnsi="Calibri"/>
          <w:b/>
          <w:bCs/>
          <w:sz w:val="25"/>
          <w:szCs w:val="25"/>
        </w:rPr>
        <w:t xml:space="preserve">10.5.3 Rally and Scoring Rules</w:t>
      </w:r>
    </w:p>
    <w:p>
      <w:pPr>
        <w:spacing w:after="60" w:before="60" w:line="320" w:lineRule="auto"/>
        <w:jc w:val="both"/>
      </w:pPr>
      <w:r>
        <w:rPr>
          <w:rFonts w:ascii="Calibri" w:cs="Calibri" w:eastAsia="Calibri" w:hAnsi="Calibri"/>
          <w:b w:val="false"/>
          <w:bCs w:val="false"/>
          <w:sz w:val="22"/>
          <w:szCs w:val="22"/>
        </w:rPr>
        <w:t xml:space="preserve">Unless they conflict with this section, rally and scoring rules follow ITTF §2.7 (a good return), §2.9 (a let) and §2.10 (a point).</w:t>
      </w:r>
    </w:p>
    <w:p>
      <w:pPr>
        <w:spacing w:after="60" w:before="60" w:line="320" w:lineRule="auto"/>
        <w:jc w:val="both"/>
      </w:pPr>
      <w:r>
        <w:rPr>
          <w:rFonts w:ascii="Calibri" w:cs="Calibri" w:eastAsia="Calibri" w:hAnsi="Calibri"/>
          <w:b w:val="false"/>
          <w:bCs w:val="false"/>
          <w:sz w:val="22"/>
          <w:szCs w:val="22"/>
        </w:rPr>
        <w:t xml:space="preserve">(1) In each rally the ball shall bounce alternately on the two half-tables. After the ball lands on the team's own half, the team must return it before the ball bounces a second time (in conformance with the definition of "strike" in ITTF §2.5.7 and with §2.10.1.2), and shall cause the ball to first go over or around the net assembly and then land on the opponent's half. Failure to make a good return loses the point to the opponent.</w:t>
      </w:r>
    </w:p>
    <w:p>
      <w:pPr>
        <w:spacing w:after="60" w:before="60" w:line="320" w:lineRule="auto"/>
        <w:jc w:val="both"/>
      </w:pPr>
      <w:r>
        <w:rPr>
          <w:rFonts w:ascii="Calibri" w:cs="Calibri" w:eastAsia="Calibri" w:hAnsi="Calibri"/>
          <w:b w:val="false"/>
          <w:bCs w:val="false"/>
          <w:sz w:val="22"/>
          <w:szCs w:val="22"/>
        </w:rPr>
        <w:t xml:space="preserve">(2) The opponent wins the point in the following situations (corresponding to ITTF §2.10.1.5–§2.10.1.10): failure to make a good service; failure to make a good return; striking the ball twice in succession; striking the ball with any part other than the racket-hand or the part of the racket-hand below the wrist (consistent with the definition of "strike" in ITTF §2.5.7); the body or anything worn or carried touching the net assembly; the body touching the opponent's half-table; or the ball going out beyond the opponent's table edge.</w:t>
      </w:r>
    </w:p>
    <w:p>
      <w:pPr>
        <w:spacing w:after="60" w:before="60" w:line="320" w:lineRule="auto"/>
        <w:jc w:val="both"/>
      </w:pPr>
      <w:r>
        <w:rPr>
          <w:rFonts w:ascii="Calibri" w:cs="Calibri" w:eastAsia="Calibri" w:hAnsi="Calibri"/>
          <w:b w:val="false"/>
          <w:bCs w:val="false"/>
          <w:sz w:val="22"/>
          <w:szCs w:val="22"/>
        </w:rPr>
        <w:t xml:space="preserve">(3) The following situations are scored as a let: a legal service in which the ball touches the net and then lands on the receiver's valid area; the receiver is not ready; the umpire suspends play; or the motion-capture system briefly drops out so that the rally cannot be judged (the last let condition is an addition of this event to ITTF §2.9).</w:t>
      </w:r>
    </w:p>
    <w:p>
      <w:pPr>
        <w:spacing w:after="60" w:before="60" w:line="320" w:lineRule="auto"/>
        <w:jc w:val="both"/>
      </w:pPr>
      <w:r>
        <w:rPr>
          <w:rFonts w:ascii="Calibri" w:cs="Calibri" w:eastAsia="Calibri" w:hAnsi="Calibri"/>
          <w:b w:val="false"/>
          <w:bCs w:val="false"/>
          <w:sz w:val="22"/>
          <w:szCs w:val="22"/>
        </w:rPr>
        <w:t xml:space="preserve">(4) The robot is allowed to approach the table and adjust its gait or weight transfer as needed; however, if any foot or any other body part touches its own half-table, crosses through the net assembly, or crosses the centerline into the opponent's space, the point is lost.</w:t>
      </w:r>
    </w:p>
    <w:p>
      <w:pPr>
        <w:spacing w:after="60" w:before="60" w:line="320" w:lineRule="auto"/>
        <w:jc w:val="both"/>
      </w:pPr>
      <w:r>
        <w:rPr>
          <w:rFonts w:ascii="Calibri" w:cs="Calibri" w:eastAsia="Calibri" w:hAnsi="Calibri"/>
          <w:b w:val="false"/>
          <w:bCs w:val="false"/>
          <w:sz w:val="22"/>
          <w:szCs w:val="22"/>
        </w:rPr>
        <w:t xml:space="preserve">(5) In an official match, the verdict on where the ball lands (whether it cleared the net, and whether it landed in the valid area) is based on the ball trajectory delivered by the HOPE Standard Motion-Capture System and on-site video replay, and is jointly confirmed by the umpire and the technical referee.</w:t>
      </w:r>
    </w:p>
    <w:p>
      <w:pPr>
        <w:pStyle w:val="Heading3"/>
        <w:spacing w:after="100" w:before="200" w:line="320" w:lineRule="auto"/>
        <w:jc w:val="left"/>
      </w:pPr>
      <w:r>
        <w:rPr>
          <w:rFonts w:ascii="Calibri" w:cs="Calibri" w:eastAsia="Calibri" w:hAnsi="Calibri"/>
          <w:b/>
          <w:bCs/>
          <w:sz w:val="25"/>
          <w:szCs w:val="25"/>
        </w:rPr>
        <w:t xml:space="preserve">10.5.4 Communication and System Integration (Mandatory)</w:t>
      </w:r>
    </w:p>
    <w:p>
      <w:pPr>
        <w:spacing w:after="60" w:before="60" w:line="320" w:lineRule="auto"/>
        <w:jc w:val="both"/>
      </w:pPr>
      <w:r>
        <w:rPr>
          <w:rFonts w:ascii="Calibri" w:cs="Calibri" w:eastAsia="Calibri" w:hAnsi="Calibri"/>
          <w:b w:val="false"/>
          <w:bCs w:val="false"/>
          <w:sz w:val="22"/>
          <w:szCs w:val="22"/>
        </w:rPr>
        <w:t xml:space="preserve">This section is the only mandatory technical-compatibility clause of this event. In every official match, the participating robot must be fully compatible with the standard motion-capture configuration defined in the HOPE GitHub Repository, and must be able to stably subscribe to and parse the ROS 2 messages it publishes. Beyond the communication and coordinate-frame compatibility requirements enumerated below, the Event Committee places no constraint on the software or hardware implementation inside the robot.</w:t>
      </w:r>
    </w:p>
    <w:p>
      <w:pPr>
        <w:spacing w:after="60" w:before="60" w:line="320" w:lineRule="auto"/>
        <w:jc w:val="both"/>
      </w:pPr>
      <w:r>
        <w:rPr>
          <w:rFonts w:ascii="Calibri" w:cs="Calibri" w:eastAsia="Calibri" w:hAnsi="Calibri"/>
          <w:b w:val="false"/>
          <w:bCs w:val="false"/>
          <w:sz w:val="22"/>
          <w:szCs w:val="22"/>
        </w:rPr>
        <w:t xml:space="preserve">(1) Communication medium. The Organizing Committee deploys a unified wired / wireless network in the venue. The robot and its master computer may communicate only via the network provided by the Organizing Committee, and only with the HOPE Standard Motion-Capture System and the refereeing system; any team-private external wireless device is prohibited. If a participating robot actively disconnects or loses the above communication during a match for reasons other than a fault of the Organizing Committee's facilities, the corresponding penalty in the §10.5.6 table applies; if the loss is caused by a fault of the Organizing Committee's facilities, the situation is handled per §10.5.5(7).</w:t>
      </w:r>
    </w:p>
    <w:p>
      <w:pPr>
        <w:spacing w:after="60" w:before="60" w:line="320" w:lineRule="auto"/>
        <w:jc w:val="both"/>
      </w:pPr>
      <w:r>
        <w:rPr>
          <w:rFonts w:ascii="Calibri" w:cs="Calibri" w:eastAsia="Calibri" w:hAnsi="Calibri"/>
          <w:b w:val="false"/>
          <w:bCs w:val="false"/>
          <w:sz w:val="22"/>
          <w:szCs w:val="22"/>
        </w:rPr>
        <w:t xml:space="preserve">(2) ROS 2 version. Every team's externally-facing communication node must use ROS 2 Humble (Ubuntu 22.04) or ROS 2 Jazzy (Ubuntu 24.04), in line with the distributions supported by default in the HOPE GitHub Repository. If the robot internally uses other middleware, the team is responsible for bridging via the ROS 2 protocol; the bridge code does not need to be disclosed.</w:t>
      </w:r>
    </w:p>
    <w:p>
      <w:pPr>
        <w:spacing w:after="60" w:before="60" w:line="320" w:lineRule="auto"/>
        <w:jc w:val="both"/>
      </w:pPr>
      <w:r>
        <w:rPr>
          <w:rFonts w:ascii="Calibri" w:cs="Calibri" w:eastAsia="Calibri" w:hAnsi="Calibri"/>
          <w:b w:val="false"/>
          <w:bCs w:val="false"/>
          <w:sz w:val="22"/>
          <w:szCs w:val="22"/>
        </w:rPr>
        <w:t xml:space="preserve">(3) Motion-capture configuration (mandatory compatibility). The participating robot must subscribe to and correctly parse all standard ROS 2 topics defined in the reference document HOPE_Motion_Capture_System_and_Coordinates_Reference_Setup.md in the HOPE GitHub Repository, including but not limited to those listed in the table below. The conventions for coordinate frames, message fields, units and time stamps must remain consistent with the version listed in the repository README. The standard ROS 2 data stream published by the Organizing Committee to the robot is limited to the motion-capture pose information listed below and does not include any match-state command or racket-target command.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40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Subject</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ROS 2 topic</w:t>
            </w:r>
          </w:p>
        </w:tc>
        <w:tc>
          <w:tcPr>
            <w:tcW w:type="dxa" w:w="3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Message type</w:t>
            </w:r>
          </w:p>
        </w:tc>
        <w:tc>
          <w:tcPr>
            <w:tcW w:type="dxa" w:w="1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Publishing rate</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Ball position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/poses or /tf</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geometry_msgs/PoseArray, tf2_msgs/TFMessage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≥120 Hz</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Table (PPT) pose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/poses or /tf</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geometry_msgs/PoseArray, tf2_msgs/TFMessage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≥120 Hz</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P1 / P2 base_link pose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/poses or /tf</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geometry_msgs/PoseArray, tf2_msgs/TFMessage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≥120 Hz</w:t>
            </w:r>
          </w:p>
        </w:tc>
      </w:tr>
    </w:tbl>
    <w:p>
      <w:pPr>
        <w:spacing w:after="60" w:before="60" w:line="320" w:lineRule="auto"/>
        <w:jc w:val="both"/>
      </w:pPr>
      <w:r>
        <w:rPr>
          <w:rFonts w:ascii="Calibri" w:cs="Calibri" w:eastAsia="Calibri" w:hAnsi="Calibri"/>
          <w:b w:val="false"/>
          <w:bCs w:val="false"/>
          <w:sz w:val="22"/>
          <w:szCs w:val="22"/>
        </w:rPr>
        <w:t xml:space="preserve"/>
      </w:r>
    </w:p>
    <w:p>
      <w:pPr>
        <w:spacing w:after="60" w:before="60" w:line="320" w:lineRule="auto"/>
        <w:jc w:val="both"/>
      </w:pPr>
      <w:r>
        <w:rPr>
          <w:rFonts w:ascii="Calibri" w:cs="Calibri" w:eastAsia="Calibri" w:hAnsi="Calibri"/>
          <w:b w:val="false"/>
          <w:bCs w:val="false"/>
          <w:sz w:val="22"/>
          <w:szCs w:val="22"/>
        </w:rPr>
        <w:t xml:space="preserve">(4) Match-state command delivery path. The umpire does not send any match-state command (such as initial, ready, set, go, pause, point, end of game, etc.) to the robot, nor any racket-target command (whether reference or actual). Instead, match-state commands are issued by the umpire to the team members either verbally or via the refereeing system; the team members then, using a computer deployed in their operator zone, translate the command into internal commands recognized by their own robot and send those to the robot. This rule ensures that all decision and control inside the robot is performed autonomously and that the Organizing Committee does not provide strategy of any kind.</w:t>
      </w:r>
    </w:p>
    <w:p>
      <w:pPr>
        <w:spacing w:after="60" w:before="60" w:line="320" w:lineRule="auto"/>
        <w:jc w:val="both"/>
      </w:pPr>
      <w:r>
        <w:rPr>
          <w:rFonts w:ascii="Calibri" w:cs="Calibri" w:eastAsia="Calibri" w:hAnsi="Calibri"/>
          <w:b w:val="false"/>
          <w:bCs w:val="false"/>
          <w:sz w:val="22"/>
          <w:szCs w:val="22"/>
        </w:rPr>
        <w:t xml:space="preserve">(5) Racket targets are fully autonomous. This event does not supply any form of racket-target pose, intercept point, ball-velocity reference or similar planner output to the teams. The team's robot must perform its full motion planning and control based solely on the ball and world poses provided by the motion-capture system.</w:t>
      </w:r>
    </w:p>
    <w:p>
      <w:pPr>
        <w:spacing w:after="60" w:before="60" w:line="320" w:lineRule="auto"/>
        <w:jc w:val="both"/>
      </w:pPr>
      <w:r>
        <w:rPr>
          <w:rFonts w:ascii="Calibri" w:cs="Calibri" w:eastAsia="Calibri" w:hAnsi="Calibri"/>
          <w:b w:val="false"/>
          <w:bCs w:val="false"/>
          <w:sz w:val="22"/>
          <w:szCs w:val="22"/>
        </w:rPr>
        <w:t xml:space="preserve">(6) Coordinate convention. All poses published by the HOPE Standard Motion-Capture System are expressed in the ROS 2 REP 103 world frame defined in §10.4. The robot shall publish its own base_link pose in this world frame on the HOPE-standard ROS 2 network (so that the TF chain integrity can be verified). The internal TF chain (from base_link to the end-effector racket) need not be disclosed.</w:t>
      </w:r>
    </w:p>
    <w:p>
      <w:pPr>
        <w:spacing w:after="60" w:before="60" w:line="320" w:lineRule="auto"/>
        <w:jc w:val="both"/>
      </w:pPr>
      <w:r>
        <w:rPr>
          <w:rFonts w:ascii="Calibri" w:cs="Calibri" w:eastAsia="Calibri" w:hAnsi="Calibri"/>
          <w:b w:val="false"/>
          <w:bCs w:val="false"/>
          <w:sz w:val="22"/>
          <w:szCs w:val="22"/>
        </w:rPr>
        <w:t xml:space="preserve">(7) The racket is not tracked. The HOPE Reference System explicitly specifies that the motion-capture system does not track the racket. The robot must infer the racket pose using its own proprioception and control system. It is strictly prohibited to attach any retro-reflective marker or active tracking device to the racket, the wrist or the grip (a hard requirement already given in §10.2(7)).</w:t>
      </w:r>
    </w:p>
    <w:p>
      <w:pPr>
        <w:spacing w:after="60" w:before="60" w:line="320" w:lineRule="auto"/>
        <w:jc w:val="both"/>
      </w:pPr>
      <w:r>
        <w:rPr>
          <w:rFonts w:ascii="Calibri" w:cs="Calibri" w:eastAsia="Calibri" w:hAnsi="Calibri"/>
          <w:b w:val="false"/>
          <w:bCs w:val="false"/>
          <w:sz w:val="22"/>
          <w:szCs w:val="22"/>
        </w:rPr>
        <w:t xml:space="preserve">(8) Pre-match integration test. 30 minutes before each official match the robot must be connected to the Organizing Committee's motion-capture network. The technical referee verifies, via logs and RViz, that the robot can stably receive /poses, /tf and the other key motion-capture topics, with single-message latency not exceeding 30 ms at the 99th percentile. The integration test verifies only the robot's externally observable subscription and publishing behaviour; it does not inspect the robot's internal code or model. A robot that fails the integration test is not allowed into the competition area.</w:t>
      </w:r>
    </w:p>
    <w:p>
      <w:pPr>
        <w:pStyle w:val="Heading3"/>
        <w:spacing w:after="100" w:before="200" w:line="320" w:lineRule="auto"/>
        <w:jc w:val="left"/>
      </w:pPr>
      <w:r>
        <w:rPr>
          <w:rFonts w:ascii="Calibri" w:cs="Calibri" w:eastAsia="Calibri" w:hAnsi="Calibri"/>
          <w:b/>
          <w:bCs/>
          <w:sz w:val="25"/>
          <w:szCs w:val="25"/>
        </w:rPr>
        <w:t xml:space="preserve">10.5.5 Safety and On-Site Handling</w:t>
      </w:r>
    </w:p>
    <w:p>
      <w:pPr>
        <w:spacing w:after="60" w:before="60" w:line="320" w:lineRule="auto"/>
        <w:jc w:val="both"/>
      </w:pPr>
      <w:r>
        <w:rPr>
          <w:rFonts w:ascii="Calibri" w:cs="Calibri" w:eastAsia="Calibri" w:hAnsi="Calibri"/>
          <w:b w:val="false"/>
          <w:bCs w:val="false"/>
          <w:sz w:val="22"/>
          <w:szCs w:val="22"/>
        </w:rPr>
        <w:t xml:space="preserve">(1) Hard restrictions during a game. From the umpire's "go" command to the end of the game, it is forbidden to change any software configuration of the robot (including, without limitation, parameters, policy, model weights, control frequency, etc.), forbidden to change the robot's battery, and forbidden to perform any hardware replacement, repair, mounting, dismounting or debugging on the robot. Any such operation may be performed only during the pre-match preparation or inter-game break specified in §10.5.1. Violation of this clause loses the game; for repeated offences additional penalties under §10.5.7 or disqualification from the match apply.</w:t>
      </w:r>
    </w:p>
    <w:p>
      <w:pPr>
        <w:spacing w:after="60" w:before="60" w:line="320" w:lineRule="auto"/>
        <w:jc w:val="both"/>
      </w:pPr>
      <w:r>
        <w:rPr>
          <w:rFonts w:ascii="Calibri" w:cs="Calibri" w:eastAsia="Calibri" w:hAnsi="Calibri"/>
          <w:b w:val="false"/>
          <w:bCs w:val="false"/>
          <w:sz w:val="22"/>
          <w:szCs w:val="22"/>
        </w:rPr>
        <w:t xml:space="preserve">(2) Handling of a fallen robot. If the robot falls during play, no more than 2 on-court team members may, with the umpire's permission, enter the competition area to lift the robot up and restart it to its initial state. They may NOT, on court, perform any software or hardware modification, parameter adjustment, debugging, battery change or external connection on the robot. From the moment the umpire whistles to signal the fall, the team has a 60-second recovery window in which to complete the lifting-up and restart so that the robot can enter the next rally. The match clock does not stop during the lift-up and restart.</w:t>
      </w:r>
    </w:p>
    <w:p>
      <w:pPr>
        <w:spacing w:after="60" w:before="60" w:line="320" w:lineRule="auto"/>
        <w:jc w:val="both"/>
      </w:pPr>
      <w:r>
        <w:rPr>
          <w:rFonts w:ascii="Calibri" w:cs="Calibri" w:eastAsia="Calibri" w:hAnsi="Calibri"/>
          <w:b w:val="false"/>
          <w:bCs w:val="false"/>
          <w:sz w:val="22"/>
          <w:szCs w:val="22"/>
        </w:rPr>
        <w:t xml:space="preserve">(3) Stacked penalties for late recovery. If, at the end of the first 60-second window after the fall, the robot still cannot enter the next rally, the team loses 1 point. For each additional 60-second window in which the robot still cannot enter play, an additional 1 point is lost.</w:t>
      </w:r>
    </w:p>
    <w:p>
      <w:pPr>
        <w:spacing w:after="60" w:before="60" w:line="320" w:lineRule="auto"/>
        <w:jc w:val="both"/>
      </w:pPr>
      <w:r>
        <w:rPr>
          <w:rFonts w:ascii="Calibri" w:cs="Calibri" w:eastAsia="Calibri" w:hAnsi="Calibri"/>
          <w:b w:val="false"/>
          <w:bCs w:val="false"/>
          <w:sz w:val="22"/>
          <w:szCs w:val="22"/>
        </w:rPr>
        <w:t xml:space="preserve">(4) Forfeit after three consecutive rallies. If the robot fails to enter play in 3 consecutive rallies (counting the rallies for which the per-60-s stacked penalties above were assessed), the game is forfeited (i.e. the opponent wins the game). Once the forfeit is declared, the game immediately ends and the next inter-game break under §10.5.1(7) begins.</w:t>
      </w:r>
    </w:p>
    <w:p>
      <w:pPr>
        <w:spacing w:after="60" w:before="60" w:line="320" w:lineRule="auto"/>
        <w:jc w:val="both"/>
      </w:pPr>
      <w:r>
        <w:rPr>
          <w:rFonts w:ascii="Calibri" w:cs="Calibri" w:eastAsia="Calibri" w:hAnsi="Calibri"/>
          <w:b w:val="false"/>
          <w:bCs w:val="false"/>
          <w:sz w:val="22"/>
          <w:szCs w:val="22"/>
        </w:rPr>
        <w:t xml:space="preserve">(5) Basis for the stacked penalty. Whether the robot "can enter the next rally" is determined solely by whether, upon the umpire's new start-of-rally command, the robot can respond normally, take its position, and serve or receive. The umpire and the technical referee jointly confirm the verdict.</w:t>
      </w:r>
    </w:p>
    <w:p>
      <w:pPr>
        <w:spacing w:after="60" w:before="60" w:line="320" w:lineRule="auto"/>
        <w:jc w:val="both"/>
      </w:pPr>
      <w:r>
        <w:rPr>
          <w:rFonts w:ascii="Calibri" w:cs="Calibri" w:eastAsia="Calibri" w:hAnsi="Calibri"/>
          <w:b w:val="false"/>
          <w:bCs w:val="false"/>
          <w:sz w:val="22"/>
          <w:szCs w:val="22"/>
        </w:rPr>
        <w:t xml:space="preserve">(6) Technical timeout. Each team may take at most 1 technical timeout per game, of no more than 60 seconds, and may request it only between points. During a technical timeout the robot is left as is, and no software/hardware change or battery replacement is allowed; this restriction is consistent with clause (1) of this section.</w:t>
      </w:r>
    </w:p>
    <w:p>
      <w:pPr>
        <w:spacing w:after="60" w:before="60" w:line="320" w:lineRule="auto"/>
        <w:jc w:val="both"/>
      </w:pPr>
      <w:r>
        <w:rPr>
          <w:rFonts w:ascii="Calibri" w:cs="Calibri" w:eastAsia="Calibri" w:hAnsi="Calibri"/>
          <w:b w:val="false"/>
          <w:bCs w:val="false"/>
          <w:sz w:val="22"/>
          <w:szCs w:val="22"/>
        </w:rPr>
        <w:t xml:space="preserve">(7) Motion-capture system failure. If the HOPE Standard Motion-Capture System fails, the umpire suspends play and the technical referee diagnoses the problem; the clock does not run and the score is not counted during the failure. After the system is restored, play resumes from the state of the last valid service before the failure.</w:t>
      </w:r>
    </w:p>
    <w:p>
      <w:pPr>
        <w:spacing w:after="60" w:before="60" w:line="320" w:lineRule="auto"/>
        <w:jc w:val="both"/>
      </w:pPr>
      <w:r>
        <w:rPr>
          <w:rFonts w:ascii="Calibri" w:cs="Calibri" w:eastAsia="Calibri" w:hAnsi="Calibri"/>
          <w:b w:val="false"/>
          <w:bCs w:val="false"/>
          <w:sz w:val="22"/>
          <w:szCs w:val="22"/>
        </w:rPr>
        <w:t xml:space="preserve">(8) External interference. Teams are forbidden to maliciously interfere with another team's robot, with the motion-capture system or with the refereeing system in any way. Violations are dealt with under Chapters 3 and 4 of the General Participation Rules and under the penalty table in §10.5.6; in severe cases the team is disqualified from the event.</w:t>
      </w:r>
    </w:p>
    <w:p>
      <w:pPr>
        <w:pStyle w:val="Heading3"/>
        <w:spacing w:after="100" w:before="200" w:line="320" w:lineRule="auto"/>
        <w:jc w:val="left"/>
      </w:pPr>
      <w:r>
        <w:rPr>
          <w:rFonts w:ascii="Calibri" w:cs="Calibri" w:eastAsia="Calibri" w:hAnsi="Calibri"/>
          <w:b/>
          <w:bCs/>
          <w:sz w:val="25"/>
          <w:szCs w:val="25"/>
        </w:rPr>
        <w:t xml:space="preserve">10.5.6 Violations and Penalties</w:t>
      </w:r>
    </w:p>
    <w:p>
      <w:pPr>
        <w:spacing w:after="60" w:before="60" w:line="320" w:lineRule="auto"/>
        <w:jc w:val="both"/>
      </w:pPr>
      <w:r>
        <w:rPr>
          <w:rFonts w:ascii="Calibri" w:cs="Calibri" w:eastAsia="Calibri" w:hAnsi="Calibri"/>
          <w:b w:val="false"/>
          <w:bCs w:val="false"/>
          <w:sz w:val="22"/>
          <w:szCs w:val="22"/>
        </w:rPr>
        <w:t xml:space="preserve">In addition to the conduct rules in the General Participation Rules, the following table lists violations specific to table-tennis play:</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Violation</w:t>
            </w:r>
          </w:p>
        </w:tc>
        <w:tc>
          <w:tcPr>
            <w:tcW w:type="dxa" w:w="4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Penalty</w:t>
            </w:r>
          </w:p>
        </w:tc>
        <w:tc>
          <w:tcPr>
            <w:tcW w:type="dxa" w:w="21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spacing w:line="300" w:lineRule="auto"/>
              <w:jc w:val="center"/>
            </w:pPr>
            <w:r>
              <w:rPr>
                <w:rFonts w:ascii="Calibri" w:cs="Calibri" w:eastAsia="Calibri" w:hAnsi="Calibri"/>
                <w:b/>
                <w:bCs/>
                <w:sz w:val="20"/>
                <w:szCs w:val="20"/>
              </w:rPr>
              <w:t xml:space="preserve">Remarks</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Service fault (toss height, strike point or other ITTF service requirements not met)</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Joint determination by the umpire and technical referee</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Server fails to complete the serve within 10 s after gaining ball control</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the 10-second rule in §10.5.2</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crosses the centerline or touches the net assembly on its own initiative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Additional penalty if it damages the opposing robot</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Pre-match preparation or inter-game break overrun</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 per 60 s of overrun; if cumulatively 3 min still incomplete, lose the match</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§10.5.1</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disconnects or loses the ROS 2 communication with the HOPE Standard Motion-Capture System</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Suspend the match for 60 s and penalize per the fall-recovery escalation in §10.5.5(3)(4)</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Communication link to be verified by the technical referee</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cannot enter the next rally within the first 60 s after a fall</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§10.5.5(3)</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fails to enter the next rally for each additional 60 s after a fall</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1 additional point</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Stacked penalty</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Robot fails to enter play for 3 consecutive rallies after a fall</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Forfeit the game (opponent wins the game)</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§10.5.5(4)</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Modifying robot software/hardware or replacing the battery during a game</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Lose the game; repeated offences will be disqualified from the match</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See §10.5.5</w:t>
            </w:r>
          </w:p>
        </w:tc>
      </w:tr>
      <w:tr>
        <w:trPr>
          <w:tblHeader w:val="false"/>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Human teleoperation, external intervention or off-robot compute resources</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Disqualification from the match</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300" w:lineRule="auto"/>
              <w:jc w:val="left"/>
            </w:pPr>
            <w:r>
              <w:rPr>
                <w:rFonts w:ascii="Calibri" w:cs="Calibri" w:eastAsia="Calibri" w:hAnsi="Calibri"/>
                <w:b w:val="false"/>
                <w:bCs w:val="false"/>
                <w:sz w:val="20"/>
                <w:szCs w:val="20"/>
              </w:rPr>
              <w:t xml:space="preserve">Treated as a major violation under the General Participation Rules</w:t>
            </w:r>
          </w:p>
        </w:tc>
      </w:tr>
    </w:tbl>
    <w:p>
      <w:pPr>
        <w:spacing w:after="60" w:before="60" w:line="320" w:lineRule="auto"/>
        <w:jc w:val="both"/>
      </w:pPr>
      <w:r>
        <w:rPr>
          <w:rFonts w:ascii="Calibri" w:cs="Calibri" w:eastAsia="Calibri" w:hAnsi="Calibri"/>
          <w:b w:val="false"/>
          <w:bCs w:val="false"/>
          <w:sz w:val="22"/>
          <w:szCs w:val="22"/>
        </w:rPr>
        <w:t xml:space="preserve"/>
      </w:r>
    </w:p>
    <w:p>
      <w:pPr>
        <w:spacing w:after="60" w:before="60" w:line="320" w:lineRule="auto"/>
        <w:jc w:val="both"/>
      </w:pPr>
      <w:r>
        <w:rPr>
          <w:rFonts w:ascii="Calibri" w:cs="Calibri" w:eastAsia="Calibri" w:hAnsi="Calibri"/>
          <w:b w:val="false"/>
          <w:bCs w:val="false"/>
          <w:sz w:val="22"/>
          <w:szCs w:val="22"/>
        </w:rPr>
        <w:t xml:space="preserve">Items not enumerated above are governed by the other clauses of this chapter and by the General Participation Rules. Where this chapter conflicts with the General Participation Rules, the on-site final decision of the Organizing Committee prevails.</w:t>
      </w:r>
    </w:p>
    <w:p>
      <w:pPr>
        <w:pStyle w:val="Heading3"/>
        <w:spacing w:after="100" w:before="200" w:line="320" w:lineRule="auto"/>
        <w:jc w:val="left"/>
      </w:pPr>
      <w:r>
        <w:rPr>
          <w:rFonts w:ascii="Calibri" w:cs="Calibri" w:eastAsia="Calibri" w:hAnsi="Calibri"/>
          <w:b/>
          <w:bCs/>
          <w:sz w:val="25"/>
          <w:szCs w:val="25"/>
        </w:rPr>
        <w:t xml:space="preserve">10.5.7 Yellow and Red Cards (per the ITTF Unified Rules)</w:t>
      </w:r>
    </w:p>
    <w:p>
      <w:pPr>
        <w:spacing w:after="60" w:before="60" w:line="320" w:lineRule="auto"/>
        <w:jc w:val="both"/>
      </w:pPr>
      <w:r>
        <w:rPr>
          <w:rFonts w:ascii="Calibri" w:cs="Calibri" w:eastAsia="Calibri" w:hAnsi="Calibri"/>
          <w:b w:val="false"/>
          <w:bCs w:val="false"/>
          <w:sz w:val="22"/>
          <w:szCs w:val="22"/>
        </w:rPr>
        <w:t xml:space="preserve">Apart from the violations whose specific point penalties are directly stated in the §10.5.6 penalty table, all "yellow-card warnings" mentioned elsewhere in this chapter and the resulting stacked penalties are uniformly governed by ITTF Handbook §3.5.2 (Misbehaviour, located in the Regulations for International Competitions). The clauses below specify how this is applied in this event:</w:t>
      </w:r>
    </w:p>
    <w:p>
      <w:pPr>
        <w:spacing w:after="60" w:before="60" w:line="320" w:lineRule="auto"/>
        <w:jc w:val="both"/>
      </w:pPr>
      <w:r>
        <w:rPr>
          <w:rFonts w:ascii="Calibri" w:cs="Calibri" w:eastAsia="Calibri" w:hAnsi="Calibri"/>
          <w:b w:val="false"/>
          <w:bCs w:val="false"/>
          <w:sz w:val="22"/>
          <w:szCs w:val="22"/>
        </w:rPr>
        <w:t xml:space="preserve">(1) First warning — yellow card. The first time, in a match, that a team (including its on-court members, accompanying staff or the robot itself) commits warning-level misconduct or violates the on-court conduct rules — for example, a team member's foot crossing the boundary of the operator zone; approaching the table during non-play time without authorization; improperly protesting a referee's decision; or the robot performing unnecessary motion during a "static" state command — the umpire shows a single yellow card as a warning, with no point deduction.</w:t>
      </w:r>
    </w:p>
    <w:p>
      <w:pPr>
        <w:spacing w:after="60" w:before="60" w:line="320" w:lineRule="auto"/>
        <w:jc w:val="both"/>
      </w:pPr>
      <w:r>
        <w:rPr>
          <w:rFonts w:ascii="Calibri" w:cs="Calibri" w:eastAsia="Calibri" w:hAnsi="Calibri"/>
          <w:b w:val="false"/>
          <w:bCs w:val="false"/>
          <w:sz w:val="22"/>
          <w:szCs w:val="22"/>
        </w:rPr>
        <w:t xml:space="preserve">(2) Second offence — yellow card + red card (1-point penalty). If the same team commits a second warning-level violation in the same match, the umpire shows the yellow card together with a red card, and the opponent is awarded 1 point.</w:t>
      </w:r>
    </w:p>
    <w:p>
      <w:pPr>
        <w:spacing w:after="60" w:before="60" w:line="320" w:lineRule="auto"/>
        <w:jc w:val="both"/>
      </w:pPr>
      <w:r>
        <w:rPr>
          <w:rFonts w:ascii="Calibri" w:cs="Calibri" w:eastAsia="Calibri" w:hAnsi="Calibri"/>
          <w:b w:val="false"/>
          <w:bCs w:val="false"/>
          <w:sz w:val="22"/>
          <w:szCs w:val="22"/>
        </w:rPr>
        <w:t xml:space="preserve">(3) Third offence — yellow card + 2 red cards (2-point penalty). For a third warning-level violation in the same match, the umpire shows the yellow card together with 2 red cards, and the opponent is awarded 2 points.</w:t>
      </w:r>
    </w:p>
    <w:p>
      <w:pPr>
        <w:spacing w:after="60" w:before="60" w:line="320" w:lineRule="auto"/>
        <w:jc w:val="both"/>
      </w:pPr>
      <w:r>
        <w:rPr>
          <w:rFonts w:ascii="Calibri" w:cs="Calibri" w:eastAsia="Calibri" w:hAnsi="Calibri"/>
          <w:b w:val="false"/>
          <w:bCs w:val="false"/>
          <w:sz w:val="22"/>
          <w:szCs w:val="22"/>
        </w:rPr>
        <w:t xml:space="preserve">(4) Fourth and subsequent offences — escalation to the Chief Referee. For a fourth or later warning-level violation in the same match, the umpire suspends play and reports the case to the Chief Referee, who imposes further sanctions in light of the circumstances. These sanctions may include, without limitation: disqualification from the match; disqualification from this and subsequent matches; or disqualification from all matches of the event.</w:t>
      </w:r>
    </w:p>
    <w:p>
      <w:pPr>
        <w:spacing w:after="60" w:before="60" w:line="320" w:lineRule="auto"/>
        <w:jc w:val="both"/>
      </w:pPr>
      <w:r>
        <w:rPr>
          <w:rFonts w:ascii="Calibri" w:cs="Calibri" w:eastAsia="Calibri" w:hAnsi="Calibri"/>
          <w:b w:val="false"/>
          <w:bCs w:val="false"/>
          <w:sz w:val="22"/>
          <w:szCs w:val="22"/>
        </w:rPr>
        <w:t xml:space="preserve">(5) Red card on its own. For serious violations that endanger personal safety or maliciously disrupt the match — for example, deliberately ramming the opposing robot or personnel, emitting interference signals at the opposing robot, or maliciously occluding the motion-capture system on court — the umpire may show a red card directly without a prior yellow-card warning, and the opponent is awarded 2 points. In particularly severe cases, the matter is escalated directly to the Chief Referee under clause (4).</w:t>
      </w:r>
    </w:p>
    <w:p>
      <w:pPr>
        <w:spacing w:after="60" w:before="60" w:line="320" w:lineRule="auto"/>
        <w:jc w:val="both"/>
      </w:pPr>
      <w:r>
        <w:rPr>
          <w:rFonts w:ascii="Calibri" w:cs="Calibri" w:eastAsia="Calibri" w:hAnsi="Calibri"/>
          <w:b w:val="false"/>
          <w:bCs w:val="false"/>
          <w:sz w:val="22"/>
          <w:szCs w:val="22"/>
        </w:rPr>
        <w:t xml:space="preserve">(6) Accumulation and reset. Yellow and red cards accumulate only within the same match; counts reset to zero at the start of the next match. However, the independent penalties stated in the §10.5.6 penalty table — loss of the game, forfeit of the game, disqualification from the match, etc. — are not subject to this stacking mechanism and are imposed by the umpire directly when the violation occurs.</w:t>
      </w:r>
    </w:p>
    <w:p>
      <w:pPr>
        <w:spacing w:after="60" w:before="60" w:line="320" w:lineRule="auto"/>
        <w:jc w:val="both"/>
      </w:pPr>
      <w:r>
        <w:rPr>
          <w:rFonts w:ascii="Calibri" w:cs="Calibri" w:eastAsia="Calibri" w:hAnsi="Calibri"/>
          <w:b w:val="false"/>
          <w:bCs w:val="false"/>
          <w:sz w:val="22"/>
          <w:szCs w:val="22"/>
        </w:rPr>
        <w:t xml:space="preserve">(7) Recording and disclosure. All yellow and red cards shown are recorded by the score keeper on the match-record sheet; after the match ends, the record is disclosed together with the score and archived in the Event Committee's records.</w:t>
      </w:r>
    </w:p>
    <w:p>
      <w:pPr>
        <w:pStyle w:val="Heading2"/>
        <w:spacing w:after="140" w:before="280" w:line="320" w:lineRule="auto"/>
        <w:jc w:val="left"/>
      </w:pPr>
      <w:r>
        <w:rPr>
          <w:rFonts w:ascii="Calibri" w:cs="Calibri" w:eastAsia="Calibri" w:hAnsi="Calibri"/>
          <w:b/>
          <w:bCs/>
          <w:sz w:val="28"/>
          <w:szCs w:val="28"/>
        </w:rPr>
        <w:t xml:space="preserve">10.6 Match Results (Robot-vs-Robot)</w:t>
      </w:r>
    </w:p>
    <w:p>
      <w:pPr>
        <w:spacing w:after="60" w:before="60" w:line="320" w:lineRule="auto"/>
        <w:jc w:val="both"/>
      </w:pPr>
      <w:r>
        <w:rPr>
          <w:rFonts w:ascii="Calibri" w:cs="Calibri" w:eastAsia="Calibri" w:hAnsi="Calibri"/>
          <w:b w:val="false"/>
          <w:bCs w:val="false"/>
          <w:sz w:val="22"/>
          <w:szCs w:val="22"/>
        </w:rPr>
        <w:t xml:space="preserve">Because only one standard competition court is set up at the event, the robot-vs-robot competition is uniformly organized as a Single-Elimination Knockout. The following clauses give the detailed implementation.</w:t>
      </w:r>
    </w:p>
    <w:p>
      <w:pPr>
        <w:pStyle w:val="Heading3"/>
        <w:spacing w:after="100" w:before="200" w:line="320" w:lineRule="auto"/>
        <w:jc w:val="left"/>
      </w:pPr>
      <w:r>
        <w:rPr>
          <w:rFonts w:ascii="Calibri" w:cs="Calibri" w:eastAsia="Calibri" w:hAnsi="Calibri"/>
          <w:b/>
          <w:bCs/>
          <w:sz w:val="25"/>
          <w:szCs w:val="25"/>
        </w:rPr>
        <w:t xml:space="preserve">10.6.1 Draw and Bracket</w:t>
      </w:r>
    </w:p>
    <w:p>
      <w:pPr>
        <w:spacing w:after="60" w:before="60" w:line="320" w:lineRule="auto"/>
        <w:jc w:val="both"/>
      </w:pPr>
      <w:r>
        <w:rPr>
          <w:rFonts w:ascii="Calibri" w:cs="Calibri" w:eastAsia="Calibri" w:hAnsi="Calibri"/>
          <w:b w:val="false"/>
          <w:bCs w:val="false"/>
          <w:sz w:val="22"/>
          <w:szCs w:val="22"/>
        </w:rPr>
        <w:t xml:space="preserve">(1) All teams that have passed the qualification-video review of §10.1.1 take part in a public draw conducted by the Organizing Committee within 24 hours before the start of on-site play at the 2nd World Humanoid Robot Games, to determine the knockout bracket positions and the order of play. The draw results are disclosed on the spot and cannot be changed.</w:t>
      </w:r>
    </w:p>
    <w:p>
      <w:pPr>
        <w:spacing w:after="60" w:before="60" w:line="320" w:lineRule="auto"/>
        <w:jc w:val="both"/>
      </w:pPr>
      <w:r>
        <w:rPr>
          <w:rFonts w:ascii="Calibri" w:cs="Calibri" w:eastAsia="Calibri" w:hAnsi="Calibri"/>
          <w:b w:val="false"/>
          <w:bCs w:val="false"/>
          <w:sz w:val="22"/>
          <w:szCs w:val="22"/>
        </w:rPr>
        <w:t xml:space="preserve">(2) The draw is fully random; there are no seeds and no preferential treatment based on registration order or video score. The only exception is that, if the total number N of teams is not a power of 2, the draw also determines which bracket positions receive a first-round bye, and the bye teams advance directly to the next round. A first-round bye merely gives the team a walk-over in the first round; it carries the same advancement rights in the bracket as a team that wins its first-round match, and the team plays normally in subsequent rounds. If a bye team is eliminated in the first round it actually plays, its final ranking is determined per §10.6.4(1) on a par with the other teams eliminated in that round.</w:t>
      </w:r>
    </w:p>
    <w:p>
      <w:pPr>
        <w:spacing w:after="60" w:before="60" w:line="320" w:lineRule="auto"/>
        <w:jc w:val="both"/>
      </w:pPr>
      <w:r>
        <w:rPr>
          <w:rFonts w:ascii="Calibri" w:cs="Calibri" w:eastAsia="Calibri" w:hAnsi="Calibri"/>
          <w:b w:val="false"/>
          <w:bCs w:val="false"/>
          <w:sz w:val="22"/>
          <w:szCs w:val="22"/>
        </w:rPr>
        <w:t xml:space="preserve">(3) Once published, the knockout bracket is final. The order of play follows the bracket, and the Organizing Committee runs the matches in that order.</w:t>
      </w:r>
    </w:p>
    <w:p>
      <w:pPr>
        <w:pStyle w:val="Heading3"/>
        <w:spacing w:after="100" w:before="200" w:line="320" w:lineRule="auto"/>
        <w:jc w:val="left"/>
      </w:pPr>
      <w:r>
        <w:rPr>
          <w:rFonts w:ascii="Calibri" w:cs="Calibri" w:eastAsia="Calibri" w:hAnsi="Calibri"/>
          <w:b/>
          <w:bCs/>
          <w:sz w:val="25"/>
          <w:szCs w:val="25"/>
        </w:rPr>
        <w:t xml:space="preserve">10.6.2 Single-Elimination Knockout</w:t>
      </w:r>
    </w:p>
    <w:p>
      <w:pPr>
        <w:spacing w:after="60" w:before="60" w:line="320" w:lineRule="auto"/>
        <w:jc w:val="both"/>
      </w:pPr>
      <w:r>
        <w:rPr>
          <w:rFonts w:ascii="Calibri" w:cs="Calibri" w:eastAsia="Calibri" w:hAnsi="Calibri"/>
          <w:b w:val="false"/>
          <w:bCs w:val="false"/>
          <w:sz w:val="22"/>
          <w:szCs w:val="22"/>
        </w:rPr>
        <w:t xml:space="preserve">(1) The winner of each round advances to the next round. A losing team's run in this event's robot-vs-robot competition ends here unless it is eligible for the situation described in clause (3) of this section; no further consolation or placement matches are played.</w:t>
      </w:r>
    </w:p>
    <w:p>
      <w:pPr>
        <w:spacing w:after="60" w:before="60" w:line="320" w:lineRule="auto"/>
        <w:jc w:val="both"/>
      </w:pPr>
      <w:r>
        <w:rPr>
          <w:rFonts w:ascii="Calibri" w:cs="Calibri" w:eastAsia="Calibri" w:hAnsi="Calibri"/>
          <w:b w:val="false"/>
          <w:bCs w:val="false"/>
          <w:sz w:val="22"/>
          <w:szCs w:val="22"/>
        </w:rPr>
        <w:t xml:space="preserve">(2) The bracket positions of each round strictly follow the draw of §10.6.1; the winner of one round advances to the next round along the path already specified in the bracket. There is no re-draw.</w:t>
      </w:r>
    </w:p>
    <w:p>
      <w:pPr>
        <w:spacing w:after="60" w:before="60" w:line="320" w:lineRule="auto"/>
        <w:jc w:val="both"/>
      </w:pPr>
      <w:r>
        <w:rPr>
          <w:rFonts w:ascii="Calibri" w:cs="Calibri" w:eastAsia="Calibri" w:hAnsi="Calibri"/>
          <w:b w:val="false"/>
          <w:bCs w:val="false"/>
          <w:sz w:val="22"/>
          <w:szCs w:val="22"/>
        </w:rPr>
        <w:t xml:space="preserve">(3) The two losers of the semifinals play a separate Third-Place Match. The winner is the bronze medallist of the robot-vs-robot competition; the loser is fourth. Apart from the semifinal losers' Third-Place Match, all teams losing in the quarterfinals or earlier rounds are eliminated directly, with no further placement matches.</w:t>
      </w:r>
    </w:p>
    <w:p>
      <w:pPr>
        <w:spacing w:after="60" w:before="60" w:line="320" w:lineRule="auto"/>
        <w:jc w:val="both"/>
      </w:pPr>
      <w:r>
        <w:rPr>
          <w:rFonts w:ascii="Calibri" w:cs="Calibri" w:eastAsia="Calibri" w:hAnsi="Calibri"/>
          <w:b w:val="false"/>
          <w:bCs w:val="false"/>
          <w:sz w:val="22"/>
          <w:szCs w:val="22"/>
        </w:rPr>
        <w:t xml:space="preserve">(4) The final is contested between the two semifinal winners. The winner is the Robot Champion of the event; the loser is runner-up.</w:t>
      </w:r>
    </w:p>
    <w:p>
      <w:pPr>
        <w:pStyle w:val="Heading3"/>
        <w:spacing w:after="100" w:before="200" w:line="320" w:lineRule="auto"/>
        <w:jc w:val="left"/>
      </w:pPr>
      <w:r>
        <w:rPr>
          <w:rFonts w:ascii="Calibri" w:cs="Calibri" w:eastAsia="Calibri" w:hAnsi="Calibri"/>
          <w:b/>
          <w:bCs/>
          <w:sz w:val="25"/>
          <w:szCs w:val="25"/>
        </w:rPr>
        <w:t xml:space="preserve">10.6.3 Per-Match Result and Advancement</w:t>
      </w:r>
    </w:p>
    <w:p>
      <w:pPr>
        <w:spacing w:after="60" w:before="60" w:line="320" w:lineRule="auto"/>
        <w:jc w:val="both"/>
      </w:pPr>
      <w:r>
        <w:rPr>
          <w:rFonts w:ascii="Calibri" w:cs="Calibri" w:eastAsia="Calibri" w:hAnsi="Calibri"/>
          <w:b w:val="false"/>
          <w:bCs w:val="false"/>
          <w:sz w:val="22"/>
          <w:szCs w:val="22"/>
        </w:rPr>
        <w:t xml:space="preserve">(1) The result of each robot-vs-robot match is determined by the best-of-5 format and scoring rules in §10.5.1.</w:t>
      </w:r>
    </w:p>
    <w:p>
      <w:pPr>
        <w:spacing w:after="60" w:before="60" w:line="320" w:lineRule="auto"/>
        <w:jc w:val="both"/>
      </w:pPr>
      <w:r>
        <w:rPr>
          <w:rFonts w:ascii="Calibri" w:cs="Calibri" w:eastAsia="Calibri" w:hAnsi="Calibri"/>
          <w:b w:val="false"/>
          <w:bCs w:val="false"/>
          <w:sz w:val="22"/>
          <w:szCs w:val="22"/>
        </w:rPr>
        <w:t xml:space="preserve">(2) If a match is suspended due to a robot fault, a motion-capture-system fault or other force majeure for more than 10 minutes without being restored, the umpire jointly with the technical referee determines the result based on the number of games already completed and the score at the time of suspension.</w:t>
      </w:r>
    </w:p>
    <w:p>
      <w:pPr>
        <w:pStyle w:val="Heading3"/>
        <w:spacing w:after="100" w:before="200" w:line="320" w:lineRule="auto"/>
        <w:jc w:val="left"/>
      </w:pPr>
      <w:r>
        <w:rPr>
          <w:rFonts w:ascii="Calibri" w:cs="Calibri" w:eastAsia="Calibri" w:hAnsi="Calibri"/>
          <w:b/>
          <w:bCs/>
          <w:sz w:val="25"/>
          <w:szCs w:val="25"/>
        </w:rPr>
        <w:t xml:space="preserve">10.6.4 Final Ranking</w:t>
      </w:r>
    </w:p>
    <w:p>
      <w:pPr>
        <w:spacing w:after="60" w:before="60" w:line="320" w:lineRule="auto"/>
        <w:jc w:val="both"/>
      </w:pPr>
      <w:r>
        <w:rPr>
          <w:rFonts w:ascii="Calibri" w:cs="Calibri" w:eastAsia="Calibri" w:hAnsi="Calibri"/>
          <w:b w:val="false"/>
          <w:bCs w:val="false"/>
          <w:sz w:val="22"/>
          <w:szCs w:val="22"/>
        </w:rPr>
        <w:t xml:space="preserve">(1) The final rankings of this event's robot-vs-robot competition are determined as follows. Champion — winner of the final; runner-up — loser of the final; third — winner of the Third-Place Match; fourth — loser of the Third-Place Match. All teams eliminated in the semifinal round or in any earlier round are tied for 5th place. The final and the Third-Place Match determine only the top four placings (champion, runner-up, third, fourth); no further ranking is performed beyond the top four.</w:t>
      </w:r>
    </w:p>
    <w:p>
      <w:pPr>
        <w:spacing w:after="60" w:before="60" w:line="320" w:lineRule="auto"/>
        <w:jc w:val="both"/>
      </w:pPr>
      <w:r>
        <w:rPr>
          <w:rFonts w:ascii="Calibri" w:cs="Calibri" w:eastAsia="Calibri" w:hAnsi="Calibri"/>
          <w:b w:val="false"/>
          <w:bCs w:val="false"/>
          <w:sz w:val="22"/>
          <w:szCs w:val="22"/>
        </w:rPr>
        <w:t xml:space="preserve">(2) The Robot Champion (the winner of the final) represents the event in the robot-vs-human exhibition match described in §10.7.</w:t>
      </w:r>
    </w:p>
    <w:p>
      <w:pPr>
        <w:spacing w:after="60" w:before="60" w:line="320" w:lineRule="auto"/>
        <w:jc w:val="both"/>
      </w:pPr>
      <w:r>
        <w:rPr>
          <w:rFonts w:ascii="Calibri" w:cs="Calibri" w:eastAsia="Calibri" w:hAnsi="Calibri"/>
          <w:b w:val="false"/>
          <w:bCs w:val="false"/>
          <w:sz w:val="22"/>
          <w:szCs w:val="22"/>
        </w:rPr>
        <w:t xml:space="preserve">(3) The Event Committee announces the complete bracket and final rankings within 7 working days after the end of on-site play at the 2nd World Humanoid Robot Games.</w:t>
      </w:r>
    </w:p>
    <w:p>
      <w:pPr>
        <w:pStyle w:val="Heading2"/>
        <w:spacing w:after="140" w:before="280" w:line="320" w:lineRule="auto"/>
        <w:jc w:val="left"/>
      </w:pPr>
      <w:r>
        <w:rPr>
          <w:rFonts w:ascii="Calibri" w:cs="Calibri" w:eastAsia="Calibri" w:hAnsi="Calibri"/>
          <w:b/>
          <w:bCs/>
          <w:sz w:val="28"/>
          <w:szCs w:val="28"/>
        </w:rPr>
        <w:t xml:space="preserve">10.7 Robot Champion vs. Human Professional Player Exhibition Match</w:t>
      </w:r>
    </w:p>
    <w:p>
      <w:pPr>
        <w:spacing w:after="60" w:before="60" w:line="320" w:lineRule="auto"/>
        <w:jc w:val="both"/>
      </w:pPr>
      <w:r>
        <w:rPr>
          <w:rFonts w:ascii="Calibri" w:cs="Calibri" w:eastAsia="Calibri" w:hAnsi="Calibri"/>
          <w:b w:val="false"/>
          <w:bCs w:val="false"/>
          <w:sz w:val="22"/>
          <w:szCs w:val="22"/>
        </w:rPr>
        <w:t xml:space="preserve">To promote humanoid-robot table tennis and to demonstrate the current level of the robots in an accessible way, after each robot-vs-robot competition this event holds an exhibition match between the Robot Champion and a human professional table-tennis player. The rules of the exhibition match are kept highly compatible with the robot-vs-robot rules of this chapter (subject to the robot requirements in §10.2 and the special clauses in this section), so that the same robot can take part with no modifications.</w:t>
      </w:r>
    </w:p>
    <w:p>
      <w:pPr>
        <w:pStyle w:val="Heading3"/>
        <w:spacing w:after="100" w:before="200" w:line="320" w:lineRule="auto"/>
        <w:jc w:val="left"/>
      </w:pPr>
      <w:r>
        <w:rPr>
          <w:rFonts w:ascii="Calibri" w:cs="Calibri" w:eastAsia="Calibri" w:hAnsi="Calibri"/>
          <w:b/>
          <w:bCs/>
          <w:sz w:val="25"/>
          <w:szCs w:val="25"/>
        </w:rPr>
        <w:t xml:space="preserve">10.7.1 Participants</w:t>
      </w:r>
    </w:p>
    <w:p>
      <w:pPr>
        <w:spacing w:after="60" w:before="60" w:line="320" w:lineRule="auto"/>
        <w:jc w:val="both"/>
      </w:pPr>
      <w:r>
        <w:rPr>
          <w:rFonts w:ascii="Calibri" w:cs="Calibri" w:eastAsia="Calibri" w:hAnsi="Calibri"/>
          <w:b w:val="false"/>
          <w:bCs w:val="false"/>
          <w:sz w:val="22"/>
          <w:szCs w:val="22"/>
        </w:rPr>
        <w:t xml:space="preserve">(1) Robot side. The Robot Champion team determined in §10.6 enters the exhibition match. Before the exhibition match begins, the Robot Champion must pass the same safety inspection and system-integration test as in the robot-vs-robot competition; all robot requirements in §10.2 continue to apply.</w:t>
      </w:r>
    </w:p>
    <w:p>
      <w:pPr>
        <w:spacing w:after="60" w:before="60" w:line="320" w:lineRule="auto"/>
        <w:jc w:val="both"/>
      </w:pPr>
      <w:r>
        <w:rPr>
          <w:rFonts w:ascii="Calibri" w:cs="Calibri" w:eastAsia="Calibri" w:hAnsi="Calibri"/>
          <w:b w:val="false"/>
          <w:bCs w:val="false"/>
          <w:sz w:val="22"/>
          <w:szCs w:val="22"/>
        </w:rPr>
        <w:t xml:space="preserve">(2) Human side. A professional table-tennis player invited by the Event Committee competes. The invited player must be a current or retired ITTF-registered professional and must voluntarily participate. The exhibition match does not count toward any ranking, but is umpired under ITTF rules.</w:t>
      </w:r>
    </w:p>
    <w:p>
      <w:pPr>
        <w:spacing w:after="60" w:before="60" w:line="320" w:lineRule="auto"/>
        <w:jc w:val="both"/>
      </w:pPr>
      <w:r>
        <w:rPr>
          <w:rFonts w:ascii="Calibri" w:cs="Calibri" w:eastAsia="Calibri" w:hAnsi="Calibri"/>
          <w:b w:val="false"/>
          <w:bCs w:val="false"/>
          <w:sz w:val="22"/>
          <w:szCs w:val="22"/>
        </w:rPr>
        <w:t xml:space="preserve">(3) The human player is NOT required to wear any motion-capture marker or use any special equipment. All attire and equipment must comply with current ITTF rules; the player competes as a normal table-tennis player with no additional constraints.</w:t>
      </w:r>
    </w:p>
    <w:p>
      <w:pPr>
        <w:pStyle w:val="Heading3"/>
        <w:spacing w:after="100" w:before="200" w:line="320" w:lineRule="auto"/>
        <w:jc w:val="left"/>
      </w:pPr>
      <w:r>
        <w:rPr>
          <w:rFonts w:ascii="Calibri" w:cs="Calibri" w:eastAsia="Calibri" w:hAnsi="Calibri"/>
          <w:b/>
          <w:bCs/>
          <w:sz w:val="25"/>
          <w:szCs w:val="25"/>
        </w:rPr>
        <w:t xml:space="preserve">10.7.2 Match Format</w:t>
      </w:r>
    </w:p>
    <w:p>
      <w:pPr>
        <w:spacing w:after="60" w:before="60" w:line="320" w:lineRule="auto"/>
        <w:jc w:val="both"/>
      </w:pPr>
      <w:r>
        <w:rPr>
          <w:rFonts w:ascii="Calibri" w:cs="Calibri" w:eastAsia="Calibri" w:hAnsi="Calibri"/>
          <w:b w:val="false"/>
          <w:bCs w:val="false"/>
          <w:sz w:val="22"/>
          <w:szCs w:val="22"/>
        </w:rPr>
        <w:t xml:space="preserve">(1) Format. The exhibition match is a single game (best of 1). The game is won by the first side to score 11 points unless both sides reach 10-all, in which case the first side to gain a 2-point lead wins.</w:t>
      </w:r>
    </w:p>
    <w:p>
      <w:pPr>
        <w:spacing w:after="60" w:before="60" w:line="320" w:lineRule="auto"/>
        <w:jc w:val="both"/>
      </w:pPr>
      <w:r>
        <w:rPr>
          <w:rFonts w:ascii="Calibri" w:cs="Calibri" w:eastAsia="Calibri" w:hAnsi="Calibri"/>
          <w:b w:val="false"/>
          <w:bCs w:val="false"/>
          <w:sz w:val="22"/>
          <w:szCs w:val="22"/>
        </w:rPr>
        <w:t xml:space="preserve">(2) Service. Before the match the umpire on duty performs a coin toss to determine the right of service and the choice of ends. Other service and rotation rules follow ITTF and §10.5.2 of this chapter.</w:t>
      </w:r>
    </w:p>
    <w:p>
      <w:pPr>
        <w:spacing w:after="60" w:before="60" w:line="320" w:lineRule="auto"/>
        <w:jc w:val="both"/>
      </w:pPr>
      <w:r>
        <w:rPr>
          <w:rFonts w:ascii="Calibri" w:cs="Calibri" w:eastAsia="Calibri" w:hAnsi="Calibri"/>
          <w:b w:val="false"/>
          <w:bCs w:val="false"/>
          <w:sz w:val="22"/>
          <w:szCs w:val="22"/>
        </w:rPr>
        <w:t xml:space="preserve">(3) Duration. The duration of the exhibition game is capped at 20 minutes. If the game has not ended within the time cap, the side leading at that moment wins, or it is declared a draw if the scores are equal.</w:t>
      </w:r>
    </w:p>
    <w:p>
      <w:pPr>
        <w:spacing w:after="60" w:before="60" w:line="320" w:lineRule="auto"/>
        <w:jc w:val="both"/>
      </w:pPr>
      <w:r>
        <w:rPr>
          <w:rFonts w:ascii="Calibri" w:cs="Calibri" w:eastAsia="Calibri" w:hAnsi="Calibri"/>
          <w:b w:val="false"/>
          <w:bCs w:val="false"/>
          <w:sz w:val="22"/>
          <w:szCs w:val="22"/>
        </w:rPr>
        <w:t xml:space="preserve">(4) Timeout. Each side has 1 technical timeout of no more than 1 minute, which may be requested between points by the side concerned.</w:t>
      </w:r>
    </w:p>
    <w:p>
      <w:pPr>
        <w:pStyle w:val="Heading3"/>
        <w:spacing w:after="100" w:before="200" w:line="320" w:lineRule="auto"/>
        <w:jc w:val="left"/>
      </w:pPr>
      <w:r>
        <w:rPr>
          <w:rFonts w:ascii="Calibri" w:cs="Calibri" w:eastAsia="Calibri" w:hAnsi="Calibri"/>
          <w:b/>
          <w:bCs/>
          <w:sz w:val="25"/>
          <w:szCs w:val="25"/>
        </w:rPr>
        <w:t xml:space="preserve">10.7.3 Common Rules and Differentiated Adaptations</w:t>
      </w:r>
    </w:p>
    <w:p>
      <w:pPr>
        <w:spacing w:after="60" w:before="60" w:line="320" w:lineRule="auto"/>
        <w:jc w:val="both"/>
      </w:pPr>
      <w:r>
        <w:rPr>
          <w:rFonts w:ascii="Calibri" w:cs="Calibri" w:eastAsia="Calibri" w:hAnsi="Calibri"/>
          <w:b w:val="false"/>
          <w:bCs w:val="false"/>
          <w:sz w:val="22"/>
          <w:szCs w:val="22"/>
        </w:rPr>
        <w:t xml:space="preserve">Unless they conflict with this section, the exhibition match follows the current ITTF Laws of Table Tennis and the Olympic table-tennis rules in full. To balance robot capability and fairness, the following differentiated adaptations are made:</w:t>
      </w:r>
    </w:p>
    <w:p>
      <w:pPr>
        <w:spacing w:after="60" w:before="60" w:line="320" w:lineRule="auto"/>
        <w:jc w:val="both"/>
      </w:pPr>
      <w:r>
        <w:rPr>
          <w:rFonts w:ascii="Calibri" w:cs="Calibri" w:eastAsia="Calibri" w:hAnsi="Calibri"/>
          <w:b w:val="false"/>
          <w:bCs w:val="false"/>
          <w:sz w:val="22"/>
          <w:szCs w:val="22"/>
        </w:rPr>
        <w:t xml:space="preserve">(1) Service stance. When the robot serves, the rules of §10.5.2 apply. When the human player serves, ITTF §2.6 applies. A service fault by either side loses 1 point under the ITTF rule.</w:t>
      </w:r>
    </w:p>
    <w:p>
      <w:pPr>
        <w:spacing w:after="60" w:before="60" w:line="320" w:lineRule="auto"/>
        <w:jc w:val="both"/>
      </w:pPr>
      <w:r>
        <w:rPr>
          <w:rFonts w:ascii="Calibri" w:cs="Calibri" w:eastAsia="Calibri" w:hAnsi="Calibri"/>
          <w:b w:val="false"/>
          <w:bCs w:val="false"/>
          <w:sz w:val="22"/>
          <w:szCs w:val="22"/>
        </w:rPr>
        <w:t xml:space="preserve">(2) Good return. Both sides have their returns judged under ITTF §2.7. The human player may, without affecting the robot's service or umpire's decisions, move normally to any side of the table. The robot side remains subject to §10.5.3 of this chapter (must not cross the centerline, must not touch the net assembly or its own half-table). The human player is judged under ITTF §2.10.1.10, which forbids only the body or carried items touching the opponent's half-table — touching the player's own half is allowed. The robot side is judged under the stricter §10.5.3(4) of this chapter.</w:t>
      </w:r>
    </w:p>
    <w:p>
      <w:pPr>
        <w:spacing w:after="60" w:before="60" w:line="320" w:lineRule="auto"/>
        <w:jc w:val="both"/>
      </w:pPr>
      <w:r>
        <w:rPr>
          <w:rFonts w:ascii="Calibri" w:cs="Calibri" w:eastAsia="Calibri" w:hAnsi="Calibri"/>
          <w:b w:val="false"/>
          <w:bCs w:val="false"/>
          <w:sz w:val="22"/>
          <w:szCs w:val="22"/>
        </w:rPr>
        <w:t xml:space="preserve">(3) Misstrike and let. In addition to the let situations defined in the ITTF rules, a rally in which the HOPE Standard Motion-Capture System has 3 or more consecutive frames of data drop-out is also scored as a let (this let condition is an addition of this event to ITTF §2.9).</w:t>
      </w:r>
    </w:p>
    <w:p>
      <w:pPr>
        <w:spacing w:after="60" w:before="60" w:line="320" w:lineRule="auto"/>
        <w:jc w:val="both"/>
      </w:pPr>
      <w:r>
        <w:rPr>
          <w:rFonts w:ascii="Calibri" w:cs="Calibri" w:eastAsia="Calibri" w:hAnsi="Calibri"/>
          <w:b w:val="false"/>
          <w:bCs w:val="false"/>
          <w:sz w:val="22"/>
          <w:szCs w:val="22"/>
        </w:rPr>
        <w:t xml:space="preserve">(4) Pre-match warm-up for the human player. Before the exhibition game formally begins, the human player is allowed up to 5 minutes of warm-up rallies against the robot, timed by the umpire; no score is kept during the warm-up.</w:t>
      </w:r>
    </w:p>
    <w:p>
      <w:pPr>
        <w:spacing w:after="60" w:before="60" w:line="320" w:lineRule="auto"/>
        <w:jc w:val="both"/>
      </w:pPr>
      <w:r>
        <w:rPr>
          <w:rFonts w:ascii="Calibri" w:cs="Calibri" w:eastAsia="Calibri" w:hAnsi="Calibri"/>
          <w:b w:val="false"/>
          <w:bCs w:val="false"/>
          <w:sz w:val="22"/>
          <w:szCs w:val="22"/>
        </w:rPr>
        <w:t xml:space="preserve">(5) Emergency-stop response. Once the human player or any on-duty referee presses the robot's emergency-stop button, or the umpire whistles to suspend play, the robot must stop all upper-limb and gait motion within 200 ms. On-site video and the robot's internal logs serve as the basis for adjudicating the stop response time.</w:t>
      </w:r>
    </w:p>
    <w:p>
      <w:pPr>
        <w:pStyle w:val="Heading3"/>
        <w:spacing w:after="100" w:before="200" w:line="320" w:lineRule="auto"/>
        <w:jc w:val="left"/>
      </w:pPr>
      <w:r>
        <w:rPr>
          <w:rFonts w:ascii="Calibri" w:cs="Calibri" w:eastAsia="Calibri" w:hAnsi="Calibri"/>
          <w:b/>
          <w:bCs/>
          <w:sz w:val="25"/>
          <w:szCs w:val="25"/>
        </w:rPr>
        <w:t xml:space="preserve">10.7.4 Safety and On-Site Handling (Special Clauses for the Robot-vs-Human Exhibition Match)</w:t>
      </w:r>
    </w:p>
    <w:p>
      <w:pPr>
        <w:spacing w:after="60" w:before="60" w:line="320" w:lineRule="auto"/>
        <w:jc w:val="both"/>
      </w:pPr>
      <w:r>
        <w:rPr>
          <w:rFonts w:ascii="Calibri" w:cs="Calibri" w:eastAsia="Calibri" w:hAnsi="Calibri"/>
          <w:b w:val="false"/>
          <w:bCs w:val="false"/>
          <w:sz w:val="22"/>
          <w:szCs w:val="22"/>
        </w:rPr>
        <w:t xml:space="preserve">In the robot-vs-human exhibition match, the robot and the human share the playing space; safety requirements are stricter than in robot-vs-robot matches. The following clauses must be strictly enforced:</w:t>
      </w:r>
    </w:p>
    <w:p>
      <w:pPr>
        <w:spacing w:after="60" w:before="60" w:line="320" w:lineRule="auto"/>
        <w:jc w:val="both"/>
      </w:pPr>
      <w:r>
        <w:rPr>
          <w:rFonts w:ascii="Calibri" w:cs="Calibri" w:eastAsia="Calibri" w:hAnsi="Calibri"/>
          <w:b w:val="false"/>
          <w:bCs w:val="false"/>
          <w:sz w:val="22"/>
          <w:szCs w:val="22"/>
        </w:rPr>
        <w:t xml:space="preserve">(1) Pre-match safety check. 60 minutes before the exhibition match, a safety referee designated by the Organizing Committee inspects the robot's exterior, the emergency-stop button, the maximum output torque, the maximum end-effector linear velocity, and other key safety indicators. The peak resultant linear velocity of the racket at the maximum swing radius shall not exceed 6 m/s.</w:t>
      </w:r>
    </w:p>
    <w:p>
      <w:pPr>
        <w:spacing w:after="60" w:before="60" w:line="320" w:lineRule="auto"/>
        <w:jc w:val="both"/>
      </w:pPr>
      <w:r>
        <w:rPr>
          <w:rFonts w:ascii="Calibri" w:cs="Calibri" w:eastAsia="Calibri" w:hAnsi="Calibri"/>
          <w:b w:val="false"/>
          <w:bCs w:val="false"/>
          <w:sz w:val="22"/>
          <w:szCs w:val="22"/>
        </w:rPr>
        <w:t xml:space="preserve">(2) Human-player safety equipment. The Organizing Committee provides competition-grade protective eyewear for the human player. Within 1.5 m outside the player's end, a red emergency-stop button that the human player can trigger one-handed is set up; pressing it triggers an emergency stop of the robot as specified in §10.7.3(5).</w:t>
      </w:r>
    </w:p>
    <w:p>
      <w:pPr>
        <w:spacing w:after="60" w:before="60" w:line="320" w:lineRule="auto"/>
        <w:jc w:val="both"/>
      </w:pPr>
      <w:r>
        <w:rPr>
          <w:rFonts w:ascii="Calibri" w:cs="Calibri" w:eastAsia="Calibri" w:hAnsi="Calibri"/>
          <w:b w:val="false"/>
          <w:bCs w:val="false"/>
          <w:sz w:val="22"/>
          <w:szCs w:val="22"/>
        </w:rPr>
        <w:t xml:space="preserve">(3) Virtual safety wall. A virtual safety wall is pre-calibrated in the world frame of the HOPE Standard Motion-Capture System. By default in the exhibition match the Robot Champion takes the P1 side (world-frame x ∈ [0, 1.37] m) and the human professional takes the P2 side (world-frame x ∈ [1.37, 2.74] m). No body part of the Robot Champion may cross x = 1.20 m (about 17 cm short of the net plane). The robot's control system must trigger an autonomous emergency stop the moment it detects that it has crossed the wall, and the Organizing Committee verifies this in real time via a ROS 2 monitoring node. A first crossing results in a warning; a second crossing results in immediate termination of the exhibition match, and the Robot Champion is considered to have forfeited.</w:t>
      </w:r>
    </w:p>
    <w:p>
      <w:pPr>
        <w:spacing w:after="60" w:before="60" w:line="320" w:lineRule="auto"/>
        <w:jc w:val="both"/>
      </w:pPr>
      <w:r>
        <w:rPr>
          <w:rFonts w:ascii="Calibri" w:cs="Calibri" w:eastAsia="Calibri" w:hAnsi="Calibri"/>
          <w:b w:val="false"/>
          <w:bCs w:val="false"/>
          <w:sz w:val="22"/>
          <w:szCs w:val="22"/>
        </w:rPr>
        <w:t xml:space="preserve">(4) On-site personnel area. Apart from 2 engineers from the Robot Champion side, 1 sparring partner from the human player's team, the on-duty referees and the Organizing Committee's safety personnel, no one else is allowed in the competition area. Photography and videography must remain in their designated areas and must use non-flash equipment.</w:t>
      </w:r>
    </w:p>
    <w:p>
      <w:pPr>
        <w:spacing w:after="60" w:before="60" w:line="320" w:lineRule="auto"/>
        <w:jc w:val="both"/>
      </w:pPr>
      <w:r>
        <w:rPr>
          <w:rFonts w:ascii="Calibri" w:cs="Calibri" w:eastAsia="Calibri" w:hAnsi="Calibri"/>
          <w:b w:val="false"/>
          <w:bCs w:val="false"/>
          <w:sz w:val="22"/>
          <w:szCs w:val="22"/>
        </w:rPr>
        <w:t xml:space="preserve">(5) Emergency handling. If the robot exhibits abnormal motion, the human player has any health issue, or the venue malfunctions, the umpire must terminate the match immediately. Any party injured during the match has all liabilities settled by the Organizing Committee under the relevant insurance terms; the Robot Champion side does not bear additional indemnity for causes other than robot fault.</w:t>
      </w:r>
    </w:p>
    <w:p>
      <w:pPr>
        <w:spacing w:after="60" w:before="60" w:line="320" w:lineRule="auto"/>
        <w:jc w:val="both"/>
      </w:pPr>
      <w:r>
        <w:rPr>
          <w:rFonts w:ascii="Calibri" w:cs="Calibri" w:eastAsia="Calibri" w:hAnsi="Calibri"/>
          <w:b w:val="false"/>
          <w:bCs w:val="false"/>
          <w:sz w:val="22"/>
          <w:szCs w:val="22"/>
        </w:rPr>
        <w:t xml:space="preserve">(6) Handling of a fallen robot and the stacked penalty follow §10.5.5(2)–(5). If the situation reaches the "three-consecutive-rally" threshold of §10.5.5(4), the exhibition match is terminated immediately and the Robot Champion is deemed to have forfeited the match.</w:t>
      </w:r>
    </w:p>
    <w:p>
      <w:pPr>
        <w:spacing w:after="60" w:before="60" w:line="320" w:lineRule="auto"/>
        <w:jc w:val="both"/>
      </w:pPr>
      <w:r>
        <w:rPr>
          <w:rFonts w:ascii="Calibri" w:cs="Calibri" w:eastAsia="Calibri" w:hAnsi="Calibri"/>
          <w:b w:val="false"/>
          <w:bCs w:val="false"/>
          <w:sz w:val="22"/>
          <w:szCs w:val="22"/>
        </w:rPr>
        <w:t xml:space="preserve">(7) The human player is not subject to this section or to §10.5.5 fall-handling rules. If the human player falls, has health issues or actively asks to pause, the situation is handled under the emergency procedure of clause (5) of this section.</w:t>
      </w:r>
    </w:p>
    <w:p>
      <w:pPr>
        <w:pStyle w:val="Heading3"/>
        <w:spacing w:after="100" w:before="200" w:line="320" w:lineRule="auto"/>
        <w:jc w:val="left"/>
      </w:pPr>
      <w:r>
        <w:rPr>
          <w:rFonts w:ascii="Calibri" w:cs="Calibri" w:eastAsia="Calibri" w:hAnsi="Calibri"/>
          <w:b/>
          <w:bCs/>
          <w:sz w:val="25"/>
          <w:szCs w:val="25"/>
        </w:rPr>
        <w:t xml:space="preserve">10.7.5 Communication and System Integration (for the Robot-vs-Human Exhibition Match)</w:t>
      </w:r>
    </w:p>
    <w:p>
      <w:pPr>
        <w:spacing w:after="60" w:before="60" w:line="320" w:lineRule="auto"/>
        <w:jc w:val="both"/>
      </w:pPr>
      <w:r>
        <w:rPr>
          <w:rFonts w:ascii="Calibri" w:cs="Calibri" w:eastAsia="Calibri" w:hAnsi="Calibri"/>
          <w:b w:val="false"/>
          <w:bCs w:val="false"/>
          <w:sz w:val="22"/>
          <w:szCs w:val="22"/>
        </w:rPr>
        <w:t xml:space="preserve">(1) The interface requirements between the exhibition match and the HOPE Standard Motion-Capture System are identical to those of §10.5.4. The Robot Champion must subscribe, via the network provided by the Organizing Committee, to the standard ROS 2 topics defined in the HOPE GitHub Repository. Match-state commands are still issued by the umpire to the team members, translated by the team members' computer and forwarded to the robot; the Organizing Committee does not send any state or racket-target command to the robot directly.</w:t>
      </w:r>
    </w:p>
    <w:p>
      <w:pPr>
        <w:spacing w:after="60" w:before="60" w:line="320" w:lineRule="auto"/>
        <w:jc w:val="both"/>
      </w:pPr>
      <w:r>
        <w:rPr>
          <w:rFonts w:ascii="Calibri" w:cs="Calibri" w:eastAsia="Calibri" w:hAnsi="Calibri"/>
          <w:b w:val="false"/>
          <w:bCs w:val="false"/>
          <w:sz w:val="22"/>
          <w:szCs w:val="22"/>
        </w:rPr>
        <w:t xml:space="preserve">(2) The human player does not communicate with the HOPE system in any way and does not wear any motion-capture marker. The robot must rely on its own visual / sensing system to perceive and avoid the human opponent.</w:t>
      </w:r>
    </w:p>
    <w:p>
      <w:pPr>
        <w:spacing w:after="60" w:before="60" w:line="320" w:lineRule="auto"/>
        <w:jc w:val="both"/>
      </w:pPr>
      <w:r>
        <w:rPr>
          <w:rFonts w:ascii="Calibri" w:cs="Calibri" w:eastAsia="Calibri" w:hAnsi="Calibri"/>
          <w:b w:val="false"/>
          <w:bCs w:val="false"/>
          <w:sz w:val="22"/>
          <w:szCs w:val="22"/>
        </w:rPr>
        <w:t xml:space="preserve">(3) The ball-trajectory and robot base_link pose logs collected by the motion-capture system are retained by the Organizing Committee for public disclosure of the match. The team's robot internal state, control commands, model weights and similar data are NOT required to be submitted to the Organizing Committee.</w:t>
      </w:r>
    </w:p>
    <w:p>
      <w:pPr>
        <w:spacing w:after="60" w:before="60" w:line="320" w:lineRule="auto"/>
        <w:jc w:val="both"/>
      </w:pPr>
      <w:r>
        <w:rPr>
          <w:rFonts w:ascii="Calibri" w:cs="Calibri" w:eastAsia="Calibri" w:hAnsi="Calibri"/>
          <w:b w:val="false"/>
          <w:bCs w:val="false"/>
          <w:sz w:val="22"/>
          <w:szCs w:val="22"/>
        </w:rPr>
        <w:t xml:space="preserve">(4) 30 minutes before the exhibition match, the Organizing Committee and the Robot Champion side jointly perform an on-site integration test of the motion-capture system, the virtual safety wall, the emergency-stop button and the refereeing machine; failure of any of these tests cancels the exhibition match.</w:t>
      </w:r>
    </w:p>
    <w:p>
      <w:pPr>
        <w:pStyle w:val="Heading3"/>
        <w:spacing w:after="100" w:before="200" w:line="320" w:lineRule="auto"/>
        <w:jc w:val="left"/>
      </w:pPr>
      <w:r>
        <w:rPr>
          <w:rFonts w:ascii="Calibri" w:cs="Calibri" w:eastAsia="Calibri" w:hAnsi="Calibri"/>
          <w:b/>
          <w:bCs/>
          <w:sz w:val="25"/>
          <w:szCs w:val="25"/>
        </w:rPr>
        <w:t xml:space="preserve">10.7.6 Exhibition-Match Result and Disclosure</w:t>
      </w:r>
    </w:p>
    <w:p>
      <w:pPr>
        <w:spacing w:after="60" w:before="60" w:line="320" w:lineRule="auto"/>
        <w:jc w:val="both"/>
      </w:pPr>
      <w:r>
        <w:rPr>
          <w:rFonts w:ascii="Calibri" w:cs="Calibri" w:eastAsia="Calibri" w:hAnsi="Calibri"/>
          <w:b w:val="false"/>
          <w:bCs w:val="false"/>
          <w:sz w:val="22"/>
          <w:szCs w:val="22"/>
        </w:rPr>
        <w:t xml:space="preserve">(1) The exhibition match is scored under ITTF rules. The winner receives this event's Exhibition-Match Honour Certificate; in case of a draw both sides receive it.</w:t>
      </w:r>
    </w:p>
    <w:p>
      <w:pPr>
        <w:spacing w:after="60" w:before="60" w:line="320" w:lineRule="auto"/>
        <w:jc w:val="both"/>
      </w:pPr>
      <w:r>
        <w:rPr>
          <w:rFonts w:ascii="Calibri" w:cs="Calibri" w:eastAsia="Calibri" w:hAnsi="Calibri"/>
          <w:b w:val="false"/>
          <w:bCs w:val="false"/>
          <w:sz w:val="22"/>
          <w:szCs w:val="22"/>
        </w:rPr>
        <w:t xml:space="preserve">(2) The exhibition match does not count toward the robot-vs-robot ranking; it serves solely as a public demonstration and technical exchange.</w:t>
      </w:r>
    </w:p>
    <w:p>
      <w:pPr>
        <w:spacing w:after="60" w:before="60" w:line="320" w:lineRule="auto"/>
        <w:jc w:val="both"/>
      </w:pPr>
      <w:r>
        <w:rPr>
          <w:rFonts w:ascii="Calibri" w:cs="Calibri" w:eastAsia="Calibri" w:hAnsi="Calibri"/>
          <w:b w:val="false"/>
          <w:bCs w:val="false"/>
          <w:sz w:val="22"/>
          <w:szCs w:val="22"/>
        </w:rPr>
        <w:t xml:space="preserve">(3) The Event Committee publishes a technical summary of the exhibition match within 7 working days after it ends. The summary contains only publicly observable indicators captured by the motion-capture system (ball trajectory, rally count, etc.) and does NOT include any internal software/hardware details of the participating team or any sensitive commercial information.</w:t>
      </w:r>
    </w:p>
    <w:p>
      <w:pPr>
        <w:pStyle w:val="Heading2"/>
        <w:spacing w:after="140" w:before="280" w:line="320" w:lineRule="auto"/>
        <w:jc w:val="left"/>
      </w:pPr>
      <w:r>
        <w:rPr>
          <w:rFonts w:ascii="Calibri" w:cs="Calibri" w:eastAsia="Calibri" w:hAnsi="Calibri"/>
          <w:b/>
          <w:bCs/>
          <w:sz w:val="28"/>
          <w:szCs w:val="28"/>
        </w:rPr>
        <w:t xml:space="preserve">10.8 On the Acronym and the Initiating Organizations</w:t>
      </w:r>
    </w:p>
    <w:p>
      <w:pPr>
        <w:spacing w:after="60" w:before="60" w:line="320" w:lineRule="auto"/>
        <w:jc w:val="both"/>
      </w:pPr>
      <w:r>
        <w:rPr>
          <w:rFonts w:ascii="Calibri" w:cs="Calibri" w:eastAsia="Calibri" w:hAnsi="Calibri"/>
          <w:b w:val="false"/>
          <w:bCs w:val="false"/>
          <w:sz w:val="22"/>
          <w:szCs w:val="22"/>
        </w:rPr>
        <w:t xml:space="preserve">(1) Acronym. The formal name of this event is "Hitch Open Ping-Pong Embodied AI Challenge", abbreviated as HOPE. The terms "this event", "the Event Committee", "HOPE Reference System", "HOPE GitHub Repository", "HOPE Standard Motion-Capture System", etc., used elsewhere in this chapter all refer to the same event and its accompanying technical reference system defined in this section.</w:t>
      </w:r>
    </w:p>
    <w:p>
      <w:pPr>
        <w:spacing w:after="60" w:before="60" w:line="320" w:lineRule="auto"/>
        <w:jc w:val="both"/>
      </w:pPr>
      <w:r>
        <w:rPr>
          <w:rFonts w:ascii="Calibri" w:cs="Calibri" w:eastAsia="Calibri" w:hAnsi="Calibri"/>
          <w:b w:val="false"/>
          <w:bCs w:val="false"/>
          <w:sz w:val="22"/>
          <w:szCs w:val="22"/>
        </w:rPr>
        <w:t xml:space="preserve">(2) Initiating organizations. This event is jointly initiated, organized and operated by the Intelligent Racing Foundation and the World Humanoid Robot Games Organizing Committee, and is jointly advanced by universities, research institutes and open-source communities worldwide.</w:t>
      </w:r>
    </w:p>
    <w:p>
      <w:pPr>
        <w:spacing w:after="60" w:before="60" w:line="320" w:lineRule="auto"/>
        <w:jc w:val="both"/>
      </w:pPr>
      <w:r>
        <w:rPr>
          <w:rFonts w:ascii="Calibri" w:cs="Calibri" w:eastAsia="Calibri" w:hAnsi="Calibri"/>
          <w:b w:val="false"/>
          <w:bCs w:val="false"/>
          <w:sz w:val="22"/>
          <w:szCs w:val="22"/>
        </w:rPr>
        <w:t xml:space="preserve">(3) Public-interest and open-source nature. This event is open to any humanoid-robot platform with the required capabilities, without restriction by vendor or model, and charges no participation fee. The reference materials accompanying this event (motion-capture configuration, ROS 2 topic definitions, reference planner, example training code, etc.) are released under an open-source licence in the HOPE GitHub Repository and may be freely downloaded, used and improved by all participating teams and researchers worldwide. The Intelligent Racing Foundation commits to releasing all rules, technical references and event archives of this event in a public, traceable and non-profit manner.</w:t>
      </w:r>
    </w:p>
    <w:p>
      <w:pPr>
        <w:spacing w:after="60" w:before="60" w:line="320" w:lineRule="auto"/>
        <w:jc w:val="both"/>
      </w:pPr>
      <w:r>
        <w:rPr>
          <w:rFonts w:ascii="Calibri" w:cs="Calibri" w:eastAsia="Calibri" w:hAnsi="Calibri"/>
          <w:b w:val="false"/>
          <w:bCs w:val="false"/>
          <w:sz w:val="22"/>
          <w:szCs w:val="22"/>
        </w:rPr>
        <w:t xml:space="preserve">(4) Relationship with the 2nd World Humanoid Robot Games. As the autonomous-decision-making table-tennis event of the 2nd World Humanoid Robot Games, this event follows the unified Participation Guide and event procedures published by the Games Organizing Committee. Where the rules in this chapter conflict with the Games Organizing Committee's master rules or the General Participation Rules, the final decision of the Games Organizing Committee prevails.</w:t>
      </w:r>
    </w:p>
    <w:p>
      <w:pPr>
        <w:pStyle w:val="Heading2"/>
        <w:spacing w:after="140" w:before="280" w:line="320" w:lineRule="auto"/>
        <w:jc w:val="left"/>
      </w:pPr>
      <w:r>
        <w:rPr>
          <w:rFonts w:ascii="Calibri" w:cs="Calibri" w:eastAsia="Calibri" w:hAnsi="Calibri"/>
          <w:b/>
          <w:bCs/>
          <w:sz w:val="28"/>
          <w:szCs w:val="28"/>
        </w:rPr>
        <w:t xml:space="preserve">10.9 Supplementary Provisions</w:t>
      </w:r>
    </w:p>
    <w:p>
      <w:pPr>
        <w:spacing w:after="60" w:before="60" w:line="320" w:lineRule="auto"/>
        <w:jc w:val="both"/>
      </w:pPr>
      <w:r>
        <w:rPr>
          <w:rFonts w:ascii="Calibri" w:cs="Calibri" w:eastAsia="Calibri" w:hAnsi="Calibri"/>
          <w:b w:val="false"/>
          <w:bCs w:val="false"/>
          <w:sz w:val="22"/>
          <w:szCs w:val="22"/>
        </w:rPr>
        <w:t xml:space="preserve">(1) Final interpretation of the rules in this chapter rests with the Event Committee, and they shall be applied together with the General Participation Rules and the other rules of the 2nd World Humanoid Robot Games. Where a table-tennis technical detail is not explicitly addressed in this chapter, it is governed uniformly by the current ITTF Laws of Table Tennis and the Olympic table-tennis rules.</w:t>
      </w:r>
    </w:p>
    <w:p>
      <w:pPr>
        <w:spacing w:after="60" w:before="60" w:line="320" w:lineRule="auto"/>
        <w:jc w:val="both"/>
      </w:pPr>
      <w:r>
        <w:rPr>
          <w:rFonts w:ascii="Calibri" w:cs="Calibri" w:eastAsia="Calibri" w:hAnsi="Calibri"/>
          <w:b w:val="false"/>
          <w:bCs w:val="false"/>
          <w:sz w:val="22"/>
          <w:szCs w:val="22"/>
        </w:rPr>
        <w:t xml:space="preserve">(2) This event adopts Open Registration. Every team that meets the requirements of §10.1 and submits a passing qualification video by 31 July is eligible to participate. The Event Committee reserves the right to adjust the bracket structure according to the scale of registration.</w:t>
      </w:r>
    </w:p>
    <w:p>
      <w:pPr>
        <w:spacing w:after="60" w:before="60" w:line="320" w:lineRule="auto"/>
        <w:jc w:val="both"/>
      </w:pPr>
      <w:r>
        <w:rPr>
          <w:rFonts w:ascii="Calibri" w:cs="Calibri" w:eastAsia="Calibri" w:hAnsi="Calibri"/>
          <w:b w:val="false"/>
          <w:bCs w:val="false"/>
          <w:sz w:val="22"/>
          <w:szCs w:val="22"/>
        </w:rPr>
        <w:t xml:space="preserve">(3) All official equipment under these rules (table, racket, match ball) follows the ITTF-approved equipment for the year. If the ITTF rules undergo a major revision, the corresponding clauses of this chapter must be updated accordingly.</w:t>
      </w:r>
    </w:p>
    <w:p>
      <w:pPr>
        <w:spacing w:after="60" w:before="60" w:line="320" w:lineRule="auto"/>
        <w:jc w:val="both"/>
      </w:pPr>
      <w:r>
        <w:rPr>
          <w:rFonts w:ascii="Calibri" w:cs="Calibri" w:eastAsia="Calibri" w:hAnsi="Calibri"/>
          <w:b w:val="false"/>
          <w:bCs w:val="false"/>
          <w:sz w:val="22"/>
          <w:szCs w:val="22"/>
        </w:rPr>
        <w:t xml:space="preserve">(4) The HOPE Reference System materials cited in these rules follow the most recent version published in the HOPE GitHub Repository; that repository is the sole authoritative technical reference for motion-capture-system compatibility in this event.</w:t>
      </w:r>
    </w:p>
    <w:p>
      <w:pPr>
        <w:spacing w:after="60" w:before="60" w:line="320" w:lineRule="auto"/>
        <w:jc w:val="both"/>
      </w:pPr>
      <w:r>
        <w:rPr>
          <w:rFonts w:ascii="Calibri" w:cs="Calibri" w:eastAsia="Calibri" w:hAnsi="Calibri"/>
          <w:b w:val="false"/>
          <w:bCs w:val="false"/>
          <w:sz w:val="22"/>
          <w:szCs w:val="22"/>
        </w:rPr>
        <w:t xml:space="preserve">(5) The participating team retains full intellectual-property rights and confidentiality over its robot's internal technical solution. The Organizing Committee undertakes not to require, publish or disclose any materials concerning the robot's software, hardware, control algorithm, training data or model weights other than the registration information described in §10.1.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r>
      <w:rPr>
        <w:rFonts w:ascii="Calibri" w:cs="Calibri" w:eastAsia="Calibri" w:hAnsi="Calibri"/>
        <w:sz w:val="20"/>
        <w:szCs w:val="20"/>
      </w:rPr>
      <w:t xml:space="preserve"> of </w:t>
    </w:r>
    <w:r>
      <w:rPr>
        <w:rFonts w:ascii="Calibri" w:cs="Calibri" w:eastAsia="Calibri" w:hAnsi="Calibri"/>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i/>
        <w:iCs/>
        <w:sz w:val="20"/>
        <w:szCs w:val="20"/>
      </w:rPr>
      <w:t xml:space="preserve">2nd World Humanoid Robot Games — HOPE AI Challenge Rule Chapter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line="32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line="320"/>
      <w:outlineLvl w:val="2"/>
    </w:pPr>
    <w:rPr>
      <w:rFonts w:ascii="Calibri" w:cs="Calibri" w:eastAsia="Calibri" w:hAnsi="Calibr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2026-05-15T22:24:21.123Z</dcterms:created>
  <dcterms:modified xsi:type="dcterms:W3CDTF">2026-05-15T22:24:21.123Z</dcterms:modified>
</cp:coreProperties>
</file>

<file path=docProps/custom.xml><?xml version="1.0" encoding="utf-8"?>
<Properties xmlns="http://schemas.openxmlformats.org/officeDocument/2006/custom-properties" xmlns:vt="http://schemas.openxmlformats.org/officeDocument/2006/docPropsVTypes"/>
</file>