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Big Data y Machine Learning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595959"/>
          <w:spacing w:val="1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15"/>
          <w:position w:val="0"/>
          <w:sz w:val="28"/>
          <w:shd w:fill="auto" w:val="clear"/>
        </w:rPr>
        <w:t xml:space="preserve">Segundo Trabajo Práctico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Parte I.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Viendo los indicadores socioeconómicos del mercado de trabajo de la EPH del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cuarto cuatrimestre de 2024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 la página 3, muestra un cuadro donde incluye a los desocupados en la población económicamente activa describiéndolos como personas que, aunque estén desempleadas, activamente están buscando empleo.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destacó que para los hombres la tasa de desocupación es del 6.1% y para las mujeres del 6.9%, que las regiones de mayor tasa fueron Gran Buenos Aires y la Pampeana, que en aglomerados de menos de 500.000 habitantes había menos desocupación que aquellos que sobrepasaban la cifra y por último que el 71.2% de éstos, tenían el secundario completo y el otro 28.8% llegaban hasta un nivel universitario.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Elegimos el aglomerado 17 de Neuquén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Plottier, eligiendo las siguientes variables: sexo, edad, condición de actividad, nivel educativo, ingreso per cápita familiar, posibilidad de descuento jubilatorio por trabajo, aporte por si mismo a algún sistema jubilatorio, monto de ingreso por jubilación, subsidios, alquiler, cuota alimentaria y/u ocupación principal, categoría de inactividad, estado civil y tipo de cobertura médica.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buscar valores faltantes, sorpresivamente y como se puede ver en el siguiente cuadro, las únicas dos variables con valores faltantes fueron las ingreso por alquiler y el de cuota alimentaria, con 1142 y 1134 variables faltantes respectivamente en el primer trimestre de 2024.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69" w:dyaOrig="5629">
          <v:rect xmlns:o="urn:schemas-microsoft-com:office:office" xmlns:v="urn:schemas-microsoft-com:vml" id="rectole0000000000" style="width:118.450000pt;height:281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Para el proceso de limpieza decidimos separar las variables en numéricas y categóricas, poniendo límites entre los cuales se encontrarían los valores lógicos con tal de descartar cualquier valor fuera de este rango, por ejemplo, pusimos edad de 0 a 130 años, descartando todo valor negativo o mayor a 130. Así tomando un criterio distinto para cada una llevamos a cabo el proceso.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Parte II.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Hicimos los gráficos para ver el porcentaje de hombres/mujeres en 2004 y 2024 dando los siguientes resultados: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6823">
          <v:rect xmlns:o="urn:schemas-microsoft-com:office:office" xmlns:v="urn:schemas-microsoft-com:vml" id="rectole0000000001" style="width:413.000000pt;height:341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6782">
          <v:rect xmlns:o="urn:schemas-microsoft-com:office:office" xmlns:v="urn:schemas-microsoft-com:vml" id="rectole0000000002" style="width:413.000000pt;height:339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Viendo que la distribución no sufrió cambios notables.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hacer la matriz, pudimos ver que en 2004, vemos relaciones fuertes en edad y soltería (-0.76) lo que puede referirse a que se distribuyen opuestamente los grupos etarios frente a los puestos de trabajo, el tipo de empleo con la edad (0.59) y la tasa de inactividad en estudiantes y edad (-0.59), lo que quiere decir que a mayor edad menor inactividad y viceversa.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Algunas relaciones moderadas/débiles son, la tasa de inactividad de amas de casa y edad (0.27) y las personas viudas y edad (0.31).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destacar, en 2024 podemos ver una gran estabilidad, sin nuevas correlaciones fuertes o cambios notables en ninguna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03" w:dyaOrig="5811">
          <v:rect xmlns:o="urn:schemas-microsoft-com:office:office" xmlns:v="urn:schemas-microsoft-com:vml" id="rectole0000000003" style="width:340.150000pt;height:290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04" w:dyaOrig="6013">
          <v:rect xmlns:o="urn:schemas-microsoft-com:office:office" xmlns:v="urn:schemas-microsoft-com:vml" id="rectole0000000004" style="width:345.200000pt;height:300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Parte III.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Pregunta 7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459">
          <v:rect xmlns:o="urn:schemas-microsoft-com:office:office" xmlns:v="urn:schemas-microsoft-com:vml" id="rectole0000000005" style="width:421.100000pt;height:322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gráfico muestra la evolución de la PEA en Neuquén entre 2004 y 2024. En 2004 predominaba la población inactiva (57,3%), mientras que en 2024 la mayoría pasó a ser activa (51,6%). Esto refleja un aumento en la participación laboral. La tendencia puede deberse a cambios económicos, sociales o políticas públicas que incentivaron el empleo.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Pregunta 8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58" w:dyaOrig="6803">
          <v:rect xmlns:o="urn:schemas-microsoft-com:office:office" xmlns:v="urn:schemas-microsoft-com:vml" id="rectole0000000006" style="width:482.900000pt;height:340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población económicamente activa (PEA) en Neuquén creció del 42,7% al 51,6% entre 2004 y 2024. La población en edad para trabajar (PET) se mantuvo estable, alrededor del 68%. Esto refleja un aumento en la participación laboral dentro del grupo con edad para trabajar.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697">
          <v:rect xmlns:o="urn:schemas-microsoft-com:office:office" xmlns:v="urn:schemas-microsoft-com:vml" id="rectole0000000007" style="width:421.100000pt;height:234.8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tasa de actividad, que relaciona la PEA con la PET, subió del 60% en 2004 a mas del 70% en 2024. Esto indica que una mayor proporción de personas en edad de trabajar está efectivamente participando del mercado laboral.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Pregunta 9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9">
          <v:rect xmlns:o="urn:schemas-microsoft-com:office:office" xmlns:v="urn:schemas-microsoft-com:vml" id="rectole0000000008" style="width:432.000000pt;height:232.4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79">
          <v:rect xmlns:o="urn:schemas-microsoft-com:office:office" xmlns:v="urn:schemas-microsoft-com:vml" id="rectole0000000009" style="width:432.000000pt;height:248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10" style="width:432.000000pt;height:243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pregunta 9 los graficos no muestran datos de 2004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www.indec.gob.ar/uploads/informesdeprensa/mercado_trabajo_eph_4trim24083C6B9E41.pdf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