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Big Data y Machine Learning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595959"/>
          <w:spacing w:val="1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15"/>
          <w:position w:val="0"/>
          <w:sz w:val="28"/>
          <w:shd w:fill="auto" w:val="clear"/>
        </w:rPr>
        <w:t xml:space="preserve">Segundo Trabajo Práctico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Parte I.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Viendo los indicadores socioeconómicos del mercado de trabajo de la EPH del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cuarto cuatrimestre de 2024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 la página 3, muestra un cuadro donde incluye a los desocupados en la población económicamente activa describiéndolos como personas que, aunque estén desempleadas, activamente están buscando empleo.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destacó que para los hombres la tasa de desocupación es del 6.1% y para las mujeres del 6.9%, que las regiones de mayor tasa fueron Gran Buenos Aires y la Pampeana, que en aglomerados de menos de 500.000 habitantes había menos desocupación que aquellos que sobrepasaban la cifra y por último que el 71.2% de éstos, tenían el secundario completo y el otro 28.8% llegaban hasta un nivel universitario.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Elegimos el aglomerado 17 de Neuquén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Plottier, eligiendo las siguientes variables: sexo, edad, condici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de actividad, nivel educativo, ingreso per cápita familiar, posibilidad de descuento jubilatorio por trabajo, aporte por si mismo a algún sistema jubilatorio, monto de ingreso por jubilación, subsidios, alquiler, cuota alimentaria y/u ocupación principal, categoría de inactividad, estado civil y tipo de cobertura médica.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buscar valores faltantes, sorpresivamente y como se puede ver en el siguiente cuadro, las únicas dos variables con valores faltantes fueron las ingreso por alquiler y el de cuota alimentaria, con 1142 y 1134 variables faltantes respectivamente en el primer trimestre de 2024.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38" w:dyaOrig="5567">
          <v:rect xmlns:o="urn:schemas-microsoft-com:office:office" xmlns:v="urn:schemas-microsoft-com:vml" id="rectole0000000000" style="width:116.900000pt;height:278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Para el proceso de limpieza decidimos separar las variables en numéricas y categóricas, poniendo límites entre los cuales se encontrarían los valores lógicos con tal de descartar cualquier valor fuera de este rango, por ejemplo, pusimos edad de 0 a 130 años, descartando todo valor negativo o mayor a 130. Así tomando un criterio distinto para cada una llevamos a cabo el proceso.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Parte II.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Hicimos los gráficos para ver el porcentaje de hombres/mujeres en 2004 y 2024 dando los siguientes resultados: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6745">
          <v:rect xmlns:o="urn:schemas-microsoft-com:office:office" xmlns:v="urn:schemas-microsoft-com:vml" id="rectole0000000001" style="width:408.150000pt;height:337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6700">
          <v:rect xmlns:o="urn:schemas-microsoft-com:office:office" xmlns:v="urn:schemas-microsoft-com:vml" id="rectole0000000002" style="width:408.150000pt;height:335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Viendo que la distribución no sufrió cambios notables.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hacer la matriz, pudimos ver que en 2004, vemos relaciones fuertes en edad y soltería (-0.76) lo que puede referirse a que se distribuyen opuestamente los grupos etarios frente a los puestos de trabajo, el tipo de empleo con la edad (0.59) y la tasa de inactividad en estudiantes y edad (-0.59), lo que quiere decir que a mayor edad menor inactividad y viceversa.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Algunas relaciones moderadas/débiles son, la tasa de inactividad de amas de casa y edad (0.27) y las personas viudas y edad (0.31).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destacar, en 2024 podemos ver una gran estabilidad, sin nuevas correlaciones fuertes o cambios notables en ninguna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0" w:dyaOrig="5733">
          <v:rect xmlns:o="urn:schemas-microsoft-com:office:office" xmlns:v="urn:schemas-microsoft-com:vml" id="rectole0000000003" style="width:335.500000pt;height:286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8" w:dyaOrig="5944">
          <v:rect xmlns:o="urn:schemas-microsoft-com:office:office" xmlns:v="urn:schemas-microsoft-com:vml" id="rectole0000000004" style="width:341.400000pt;height:297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75">
          <v:rect xmlns:o="urn:schemas-microsoft-com:office:office" xmlns:v="urn:schemas-microsoft-com:vml" id="rectole0000000005" style="width:415.500000pt;height:318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gráfico muestra la evolución de la PEA en Neuquén entre 2004 y 2024. En 2004 predominaba la población inactiva (57,3%), mientras que en 2024 la mayoría pasó a ser activa (51,6%). Esto refleja un aumento en la participación laboral. La tendencia puede deberse a cambios económicos, sociales o políticas públicas que incentivaron el empleo.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40" w:dyaOrig="6719">
          <v:rect xmlns:o="urn:schemas-microsoft-com:office:office" xmlns:v="urn:schemas-microsoft-com:vml" id="rectole0000000006" style="width:477.000000pt;height:335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población económicamente activa (PEA) en Neuquén creció del 42,7% al 51,6% entre 2004 y 2024. La población en edad para trabajar (PET) se mantuvo estable, alrededor del 68%. Esto refleja un aumento en la participación laboral dentro del grupo con edad para trabajar.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49">
          <v:rect xmlns:o="urn:schemas-microsoft-com:office:office" xmlns:v="urn:schemas-microsoft-com:vml" id="rectole0000000007" style="width:415.500000pt;height:232.4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tasa de actividad, que relaciona la PEA con la PET, subió del 60% en 2004 a mas del 70% en 2024. Esto indica que una mayor proporción de personas en edad de trabajar está efectivamente participando del mercado laboral.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indec.gob.ar/uploads/informesdeprensa/mercado_trabajo_eph_4trim24083C6B9E41.pdf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