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75d83b9716638a05bfa3282bd45846f9d80d829"/>
    <w:p>
      <w:pPr>
        <w:pStyle w:val="Heading1"/>
      </w:pPr>
      <w:r>
        <w:t xml:space="preserve">Comprendre l’imagerie SAR Sentinel-1 de bout en bout</w:t>
      </w:r>
    </w:p>
    <w:bookmarkStart w:id="21" w:name="X0f7942bd72f58821e4cbeedc5fa347917c13bcc"/>
    <w:p>
      <w:pPr>
        <w:pStyle w:val="Heading2"/>
      </w:pPr>
      <w:r>
        <w:t xml:space="preserve">AXE 1 – Le radar SAR : principes fondamentaux</w:t>
      </w:r>
    </w:p>
    <w:p>
      <w:pPr>
        <w:pStyle w:val="FirstParagraph"/>
      </w:pPr>
      <w:r>
        <w:rPr>
          <w:b/>
          <w:bCs/>
        </w:rPr>
        <w:t xml:space="preserve">Radar actif vs caméra optique.</w:t>
      </w:r>
      <w:r>
        <w:t xml:space="preserve"> </w:t>
      </w:r>
      <w:r>
        <w:t xml:space="preserve">Un capteur SAR émet sa propre énergie (micro-ondes) et mesure l’</w:t>
      </w:r>
      <w:r>
        <w:rPr>
          <w:b/>
          <w:bCs/>
        </w:rPr>
        <w:t xml:space="preserve">écho</w:t>
      </w:r>
      <w:r>
        <w:t xml:space="preserve"> </w:t>
      </w:r>
      <w:r>
        <w:t xml:space="preserve">réfléchi, alors qu’une caméra optique est passive (elle enregistre la lumière solaire réfléchie). Autrement dit, le radar est une source lumineuse artificielle. Cela lui permet de fonctionner</w:t>
      </w:r>
      <w:r>
        <w:t xml:space="preserve"> </w:t>
      </w:r>
      <w:r>
        <w:rPr>
          <w:b/>
          <w:bCs/>
        </w:rPr>
        <w:t xml:space="preserve">jour et nuit, dans toutes conditions météo</w:t>
      </w:r>
      <w:r>
        <w:t xml:space="preserve"> : les ondes micro-ondes traversent les nuages et l’obscurité sans perdre l’essentiel de leur énergie【4†L489-L496】【34†L19-L24】. Par exemple, Sentinel-1 à 5.4 GHz (bande C) peut « voir » sous un ciel couvert ou après le coucher du soleil, ce qu’une caméra optique ne peut pas faire.</w:t>
      </w:r>
    </w:p>
    <w:p>
      <w:pPr>
        <w:pStyle w:val="BodyText"/>
      </w:pPr>
      <w:r>
        <w:rPr>
          <w:b/>
          <w:bCs/>
        </w:rPr>
        <w:t xml:space="preserve">Antenne synthétique.</w:t>
      </w:r>
      <w:r>
        <w:t xml:space="preserve"> </w:t>
      </w:r>
      <w:r>
        <w:t xml:space="preserve">Pour obtenir une haute résolution spatiale, un très long antenne est requis (plus la fréquence est élevée, plus l’antenne doit être longue pour bien focaliser). Dans l’espace, on ne peut pas embarquer une antenne de kilomètres. La technique</w:t>
      </w:r>
      <w:r>
        <w:t xml:space="preserve"> </w:t>
      </w:r>
      <w:r>
        <w:rPr>
          <w:b/>
          <w:bCs/>
        </w:rPr>
        <w:t xml:space="preserve">SAR</w:t>
      </w:r>
      <w:r>
        <w:t xml:space="preserve"> </w:t>
      </w:r>
      <w:r>
        <w:t xml:space="preserve">(« Synthetic Aperture Radar ») simule une longue antenne en utilisant le mouvement du satellite【4†L508-L517】 : à chaque impulsion émise en vol, on enregistre l’écho renvoyé. En combinant de manière cohérente ces échos successifs au fur et à mesure que le satellite se déplace, on obtient comme si le satellite disposait d’une antenne synthétique très longue (de l’ordre de kilomètres). Ce « montage » d’antenne permet d’atteindre une résolution spatiale de quelques mètres même en bande C (≈5 cm), ce qui serait impossible avec l’antenne physique de quelques dizaines de mètres à bord.</w:t>
      </w:r>
      <w:r>
        <w:t xml:space="preserve"> </w:t>
      </w:r>
      <w:r>
        <w:rPr>
          <w:b/>
          <w:bCs/>
        </w:rPr>
        <w:t xml:space="preserve">Figure</w:t>
      </w:r>
      <w:r>
        <w:t xml:space="preserve"> </w:t>
      </w:r>
      <w:r>
        <w:t xml:space="preserve">ci-dessous : chaque point sur Terre est éclairé plusieurs fois en passage, et ces observations multiples créent l’antenne synthétique.</w:t>
      </w:r>
    </w:p>
    <w:p>
      <w:pPr>
        <w:pStyle w:val="BodyText"/>
      </w:pPr>
      <w:r>
        <w:t xml:space="preserve">【53†embed_image】</w:t>
      </w:r>
      <w:r>
        <w:t xml:space="preserve"> </w:t>
      </w:r>
      <w:r>
        <w:rPr>
          <w:i/>
          <w:iCs/>
        </w:rPr>
        <w:t xml:space="preserve">Figure : principe de l’antenne synthétique SAR – en accumulant plusieurs impulsions radar au passage du satellite, on simule une très longue antenne (vu de dessus). Source : NASA</w:t>
      </w:r>
      <w:r>
        <w:t xml:space="preserve">【4†L508-L517】.</w:t>
      </w:r>
    </w:p>
    <w:p>
      <w:pPr>
        <w:pStyle w:val="BodyText"/>
      </w:pPr>
      <w:r>
        <w:rPr>
          <w:b/>
          <w:bCs/>
        </w:rPr>
        <w:t xml:space="preserve">Que mesure le signal radar ?</w:t>
      </w:r>
      <w:r>
        <w:t xml:space="preserve"> </w:t>
      </w:r>
      <w:r>
        <w:t xml:space="preserve">Le capteur SAR mesure principalement l’</w:t>
      </w:r>
      <w:r>
        <w:rPr>
          <w:b/>
          <w:bCs/>
        </w:rPr>
        <w:t xml:space="preserve">intensité de la rétrodiffusion</w:t>
      </w:r>
      <w:r>
        <w:t xml:space="preserve">, c’est-à-dire la fraction de l’énergie radar renvoyée vers l’antenne. Le résultat brut (dans un GRD) est une amplitude détectée, codée en entier 16 bits (DN,</w:t>
      </w:r>
      <w:r>
        <w:t xml:space="preserve"> </w:t>
      </w:r>
      <w:r>
        <w:rPr>
          <w:i/>
          <w:iCs/>
        </w:rPr>
        <w:t xml:space="preserve">digital number</w:t>
      </w:r>
      <w:r>
        <w:t xml:space="preserve">). On perd la phase dans le produit GRD, ne conservant que l’amplitude. L’amplitude brute ne correspond pas directement à une grandeur physique : il faut appliquer une calibration (cf. Axe 2-3) pour obtenir le coefficient de rétrodiffusion σ⁰ normalisé, qui est sans dimension et comparable d’une image à l’autre【25†L127-L135】【48†L147-L157】. En clair, σ⁰ nous renseigne sur la</w:t>
      </w:r>
      <w:r>
        <w:t xml:space="preserve"> </w:t>
      </w:r>
      <w:r>
        <w:rPr>
          <w:b/>
          <w:bCs/>
        </w:rPr>
        <w:t xml:space="preserve">brillance radar</w:t>
      </w:r>
      <w:r>
        <w:t xml:space="preserve"> </w:t>
      </w:r>
      <w:r>
        <w:t xml:space="preserve">de la cible normalisée par sa surface apparente. Sans cette calibration, les valeurs DN brutes sont biaisées par l’angle d’incidence et la géométrie du capteur, et ne conviennent pas à des algorithmes d’apprentissage qui nécessitent une unité cohérente.</w:t>
      </w:r>
    </w:p>
    <w:p>
      <w:pPr>
        <w:pStyle w:val="BodyText"/>
      </w:pPr>
      <w:r>
        <w:rPr>
          <w:b/>
          <w:bCs/>
        </w:rPr>
        <w:t xml:space="preserve">Mer sombre, navires brillants.</w:t>
      </w:r>
      <w:r>
        <w:t xml:space="preserve"> </w:t>
      </w:r>
      <w:r>
        <w:t xml:space="preserve">Les miroirs d’eau calme renvoient très peu d’énergie au radar : le signal est dirigé loin de l’antenne (réflexion trop spéculaire), de sorte que la mer apparaît</w:t>
      </w:r>
      <w:r>
        <w:t xml:space="preserve"> </w:t>
      </w:r>
      <w:r>
        <w:rPr>
          <w:b/>
          <w:bCs/>
        </w:rPr>
        <w:t xml:space="preserve">très sombre</w:t>
      </w:r>
      <w:r>
        <w:t xml:space="preserve"> </w:t>
      </w:r>
      <w:r>
        <w:t xml:space="preserve">(faible σ⁰) dans l’image SAR【25†L108-L111】【34†L131-L139】. Par opposition, un navire métallique et vertical agit comme un</w:t>
      </w:r>
      <w:r>
        <w:t xml:space="preserve"> </w:t>
      </w:r>
      <w:r>
        <w:rPr>
          <w:i/>
          <w:iCs/>
        </w:rPr>
        <w:t xml:space="preserve">dièdre</w:t>
      </w:r>
      <w:r>
        <w:t xml:space="preserve"> </w:t>
      </w:r>
      <w:r>
        <w:t xml:space="preserve">(double rebond) entre la coque et la surface de l’eau【6†L37-L43】【34†L70-L78】. Ce double-rebond renvoie beaucoup plus d’énergie vers l’antenne. Autrement dit, la combinaison de surfaces perpendiculaires (horizontale de l’eau, verticale du navire) fait du bateau un</w:t>
      </w:r>
      <w:r>
        <w:t xml:space="preserve"> </w:t>
      </w:r>
      <w:r>
        <w:rPr>
          <w:b/>
          <w:bCs/>
        </w:rPr>
        <w:t xml:space="preserve">réflecteur de coins</w:t>
      </w:r>
      <w:r>
        <w:t xml:space="preserve"> </w:t>
      </w:r>
      <w:r>
        <w:t xml:space="preserve">efficace. Résultat : les navires émergent en taches</w:t>
      </w:r>
      <w:r>
        <w:t xml:space="preserve"> </w:t>
      </w:r>
      <w:r>
        <w:rPr>
          <w:b/>
          <w:bCs/>
        </w:rPr>
        <w:t xml:space="preserve">très brillantes</w:t>
      </w:r>
      <w:r>
        <w:t xml:space="preserve"> </w:t>
      </w:r>
      <w:r>
        <w:t xml:space="preserve">dans l’image SAR (σ⁰ élevé, typiquement &gt;+10 dB, voir【34†L131-L139】). En résumé : la mer calme est sombre (backscatter Bragg faible), les bateaux sont brillants (double rebond fort)【6†L37-L43】【34†L131-L139】.</w:t>
      </w:r>
    </w:p>
    <w:p>
      <w:pPr>
        <w:pStyle w:val="BodyText"/>
      </w:pPr>
      <w:r>
        <w:rPr>
          <w:b/>
          <w:bCs/>
        </w:rPr>
        <w:t xml:space="preserve">Polarisation du radar.</w:t>
      </w:r>
      <w:r>
        <w:t xml:space="preserve"> </w:t>
      </w:r>
      <w:r>
        <w:t xml:space="preserve">La polarisation décrit l’orientation du champ électrique de l’onde émise et reçue【34†L19-L27】. Sentinel-1 transmet en polarisation verticale (V) et mesure à la fois en polarisation verticale (VV) et horizontale (VH) – c’est le mode “Dual” (DV). VV signifie « V-&gt;V » (onde émise et reçue verticalement), VH signifie « V-&gt;H » (onde émise verticale, reçue horizontale). La</w:t>
      </w:r>
      <w:r>
        <w:t xml:space="preserve"> </w:t>
      </w:r>
      <w:r>
        <w:rPr>
          <w:b/>
          <w:bCs/>
        </w:rPr>
        <w:t xml:space="preserve">co-polarisation</w:t>
      </w:r>
      <w:r>
        <w:t xml:space="preserve"> </w:t>
      </w:r>
      <w:r>
        <w:t xml:space="preserve">(VV) accentue les interactions de surface (réflexions simples ou double-bond), tandis que la</w:t>
      </w:r>
      <w:r>
        <w:t xml:space="preserve"> </w:t>
      </w:r>
      <w:r>
        <w:rPr>
          <w:b/>
          <w:bCs/>
        </w:rPr>
        <w:t xml:space="preserve">cross-polarisation</w:t>
      </w:r>
      <w:r>
        <w:t xml:space="preserve"> </w:t>
      </w:r>
      <w:r>
        <w:t xml:space="preserve">(VH) est sensible aux diffusions multiples/volumiques (comme à travers des structures 3D complexes)【34†L53-L62】【28†L27-L34】. Concrètement, l’eau calme reste très faible dans les deux canaux, mais les structures aériennes (végetation) ressortent mieux en VH, tandis que les surfaces planes et les coins (comme un navire) ont un retour plus élevé en VV. Dans les images SAR</w:t>
      </w:r>
      <w:r>
        <w:t xml:space="preserve"> </w:t>
      </w:r>
      <w:r>
        <w:rPr>
          <w:b/>
          <w:bCs/>
        </w:rPr>
        <w:t xml:space="preserve">navires</w:t>
      </w:r>
      <w:r>
        <w:t xml:space="preserve">, les deux canaux montrent des échos forts, mais VV tend à donner un signal un peu plus élevé (p. ex. +5 à +15 dB en VV vs +3 à +12 dB en VH pour un navire)【34†L131-L139】. En pratique, on utilise souvent VV pour maximiser le contraste navire/océan (score SNR légèrement supérieur), tandis que VH peut aider à réduire les « faux tirs » de l’eau (clutter) et à capter certains détails du bateau.</w:t>
      </w:r>
    </w:p>
    <w:p>
      <w:pPr>
        <w:pStyle w:val="Compact"/>
        <w:numPr>
          <w:ilvl w:val="0"/>
          <w:numId w:val="1001"/>
        </w:numPr>
      </w:pPr>
      <w:r>
        <w:rPr>
          <w:i/>
          <w:iCs/>
        </w:rPr>
        <w:t xml:space="preserve">Erreur de débutant :</w:t>
      </w:r>
      <w:r>
        <w:t xml:space="preserve"> </w:t>
      </w:r>
      <w:r>
        <w:t xml:space="preserve">Ne jamais confondre polarisation et découpes spatiales ! VV et VH ne change pas la géométrie, seulement la réponse du matériau.</w:t>
      </w:r>
    </w:p>
    <w:p>
      <w:pPr>
        <w:pStyle w:val="Compact"/>
        <w:numPr>
          <w:ilvl w:val="0"/>
          <w:numId w:val="1001"/>
        </w:numPr>
      </w:pPr>
      <w:r>
        <w:rPr>
          <w:i/>
          <w:iCs/>
        </w:rPr>
        <w:t xml:space="preserve">Analogie concrète :</w:t>
      </w:r>
      <w:r>
        <w:t xml:space="preserve"> </w:t>
      </w:r>
      <w:r>
        <w:t xml:space="preserve">Imaginez un flash lumineux (radar) éclairant un terrain : le flash (énergie émise) est le même, mais si on place devant deux filtres orientés différemment (polarisation), le reflet mesuré change selon l’orientation de l’objet (surface plane vs structure en relief).</w:t>
      </w:r>
    </w:p>
    <w:p>
      <w:pPr>
        <w:pStyle w:val="Compact"/>
        <w:numPr>
          <w:ilvl w:val="0"/>
          <w:numId w:val="1001"/>
        </w:numPr>
      </w:pPr>
      <w:r>
        <w:rPr>
          <w:i/>
          <w:iCs/>
        </w:rPr>
        <w:t xml:space="preserve">Angle d’incidence :</w:t>
      </w:r>
      <w:r>
        <w:t xml:space="preserve"> </w:t>
      </w:r>
      <w:r>
        <w:t xml:space="preserve">L’intensité retournée dépend fortement de l’angle d’incidence. Un même objet vu sous des angles différents produit des DN bruts très différents. Cela nécessite impérativement une normalisation (σ⁰ ou γ⁰) pour comparer des acquisitions différentes.</w:t>
      </w:r>
    </w:p>
    <w:p>
      <w:pPr>
        <w:pStyle w:val="FirstParagraph"/>
      </w:pPr>
      <w:r>
        <w:rPr>
          <w:b/>
          <w:bCs/>
        </w:rPr>
        <w:t xml:space="preserve">Synthèse critique Axe 1 :</w:t>
      </w:r>
    </w:p>
    <w:p>
      <w:pPr>
        <w:pStyle w:val="Compact"/>
        <w:numPr>
          <w:ilvl w:val="0"/>
          <w:numId w:val="1002"/>
        </w:numPr>
      </w:pPr>
      <w:r>
        <w:t xml:space="preserve">Les principes SAR (imagerie nocturne, antenne synthétique) sont clairs, mais il est facile de négliger l’effet de l’angle d’incidence sur l’intensité : un novice pourrait supposer que DN brut est comparable, ce qui fausse toute analyse.</w:t>
      </w:r>
    </w:p>
    <w:p>
      <w:pPr>
        <w:pStyle w:val="Compact"/>
        <w:numPr>
          <w:ilvl w:val="0"/>
          <w:numId w:val="1002"/>
        </w:numPr>
      </w:pPr>
      <w:r>
        <w:t xml:space="preserve">L’usage des deux polarisations offre plus d’information, mais il faut savoir que VH n’est pas magique – il atténue le bruit de mer surtout, alors que VV donne toujours le retour le plus fort pour un navire.</w:t>
      </w:r>
    </w:p>
    <w:p>
      <w:pPr>
        <w:pStyle w:val="Compact"/>
        <w:numPr>
          <w:ilvl w:val="0"/>
          <w:numId w:val="1002"/>
        </w:numPr>
      </w:pPr>
      <w:r>
        <w:t xml:space="preserve">Étonnamment, la plupart des « navires » sont détectés en VV; VH est utile pour valider ou écarter certains échos étranges.</w:t>
      </w:r>
    </w:p>
    <w:p>
      <w:pPr>
        <w:pStyle w:val="Compact"/>
        <w:numPr>
          <w:ilvl w:val="0"/>
          <w:numId w:val="1002"/>
        </w:numPr>
      </w:pPr>
      <w:r>
        <w:rPr>
          <w:b/>
          <w:bCs/>
        </w:rPr>
        <w:t xml:space="preserve">Questions ouvertes</w:t>
      </w:r>
      <w:r>
        <w:t xml:space="preserve"> : Comment quantifier l’intérêt de VH vs VV pour différents types de navires (grands cargo vs petites embarcations) et conditions de mer ? Quels paramètres géométriques (incidence, azimut) maximisent la visibilité des navires ?</w:t>
      </w:r>
    </w:p>
    <w:bookmarkEnd w:id="21"/>
    <w:bookmarkStart w:id="25" w:name="axe-2-le-fichier-.safe-et-le-produit-grd"/>
    <w:p>
      <w:pPr>
        <w:pStyle w:val="Heading2"/>
      </w:pPr>
      <w:r>
        <w:t xml:space="preserve">AXE 2 – Le fichier .SAFE et le produit GRD</w:t>
      </w:r>
    </w:p>
    <w:bookmarkStart w:id="22" w:name="produits-grd-vs-slc"/>
    <w:p>
      <w:pPr>
        <w:pStyle w:val="Heading3"/>
      </w:pPr>
      <w:r>
        <w:t xml:space="preserve">2.1 Produits GRD vs SLC</w:t>
      </w:r>
    </w:p>
    <w:p>
      <w:pPr>
        <w:pStyle w:val="FirstParagraph"/>
      </w:pPr>
      <w:r>
        <w:t xml:space="preserve">Les produits Sentinel-1 sont structurés en niveaux : Level-0 (brut IQ), Level-1 SLC (Single Look Complex, conserva phase+amplitude en géométrie slant), Level-1 GRD (Ground Range Detected, amplitude seule en projection sol), Level-2 OCN (dérivés océanographiques). Les</w:t>
      </w:r>
      <w:r>
        <w:t xml:space="preserve"> </w:t>
      </w:r>
      <w:r>
        <w:rPr>
          <w:b/>
          <w:bCs/>
        </w:rPr>
        <w:t xml:space="preserve">produits GRD</w:t>
      </w:r>
      <w:r>
        <w:t xml:space="preserve"> </w:t>
      </w:r>
      <w:r>
        <w:t xml:space="preserve">sont « détectés » (valeurs d’amplitude uniquement), multi-lookés (plusieurs éclats cohérents moyennés pour réduire le speckle) et géocodés (projection au sol). En Sentinel-1, le mode principal maritime est IW (Swath large). Le produit L1-GRD</w:t>
      </w:r>
      <w:r>
        <w:t xml:space="preserve"> </w:t>
      </w:r>
      <w:r>
        <w:rPr>
          <w:b/>
          <w:bCs/>
        </w:rPr>
        <w:t xml:space="preserve">HIgh resolution</w:t>
      </w:r>
      <w:r>
        <w:t xml:space="preserve"> </w:t>
      </w:r>
      <w:r>
        <w:t xml:space="preserve">d’IW a typiquement des pixels d’environ 10 m×10 m (après multi-look)【25†L108-L111】.</w:t>
      </w:r>
    </w:p>
    <w:p>
      <w:pPr>
        <w:pStyle w:val="BlockText"/>
      </w:pPr>
      <w:r>
        <w:rPr>
          <w:b/>
          <w:bCs/>
        </w:rPr>
        <w:t xml:space="preserve">Pourquoi utiliser GRD et non SLC pour la détection de navires ?</w:t>
      </w:r>
      <w:r>
        <w:t xml:space="preserve"> </w:t>
      </w:r>
      <w:r>
        <w:t xml:space="preserve">Le GRD fournit des images déjà « prêtes à l’emploi » : seule l’amplitude (intensité) est présente, la géométrie est corrigée en plan terrestre, et le speckle a été partiellement réduit. Un réseau de neurones n’a pas besoin de la phase (utile pour l’interférométrie) ni de la haute résolution native du SLC (azimut 5 m x slant 22 m pour IW). De plus, SLC exige de gérer une immense quantité de données complexes et un angle de visée slant, ce qui complique l’architecture ML. À l’inverse, le GRD étant normalisé, comparatif et géoréférencé【25†L108-L111】, il est la source de données habituelle pour la détection automatisée.</w:t>
      </w:r>
    </w:p>
    <w:p>
      <w:pPr>
        <w:pStyle w:val="Compact"/>
        <w:numPr>
          <w:ilvl w:val="0"/>
          <w:numId w:val="1003"/>
        </w:numPr>
      </w:pPr>
      <w:r>
        <w:rPr>
          <w:i/>
          <w:iCs/>
        </w:rPr>
        <w:t xml:space="preserve">Erreur classique :</w:t>
      </w:r>
      <w:r>
        <w:t xml:space="preserve"> </w:t>
      </w:r>
      <w:r>
        <w:t xml:space="preserve">Tenter de détecter directement dans les produits L0 ou SLC. Cela impose de reconstruire un image (focalisation) et de traiter des données complexes, ce qui est hors sujet ici.</w:t>
      </w:r>
    </w:p>
    <w:p>
      <w:pPr>
        <w:pStyle w:val="Compact"/>
        <w:numPr>
          <w:ilvl w:val="0"/>
          <w:numId w:val="1003"/>
        </w:numPr>
      </w:pPr>
      <w:r>
        <w:rPr>
          <w:i/>
          <w:iCs/>
        </w:rPr>
        <w:t xml:space="preserve">Remarque :</w:t>
      </w:r>
      <w:r>
        <w:t xml:space="preserve"> </w:t>
      </w:r>
      <w:r>
        <w:t xml:space="preserve">Les données GRD haute résolution contiennent un mélange de multi-éclats qui atténue le speckle (donc moins de « sel-poivre »), ce qui est utile pour la détection d’objets (valeurs plus stables).</w:t>
      </w:r>
    </w:p>
    <w:bookmarkEnd w:id="22"/>
    <w:bookmarkStart w:id="23" w:name="X2839a79ae4626386da5b3fe3e576476f8ffad3b"/>
    <w:p>
      <w:pPr>
        <w:pStyle w:val="Heading3"/>
      </w:pPr>
      <w:r>
        <w:t xml:space="preserve">2.2 Structure d’un dossier .SAFE Sentinel-1 IW GRDH 1SDV ... COG</w:t>
      </w:r>
    </w:p>
    <w:p>
      <w:pPr>
        <w:pStyle w:val="FirstParagraph"/>
      </w:pPr>
      <w:r>
        <w:t xml:space="preserve">Un dossier Sentinel-1 Level-1 GRD (</w:t>
      </w:r>
      <w:r>
        <w:rPr>
          <w:rStyle w:val="VerbatimChar"/>
        </w:rPr>
        <w:t xml:space="preserve">*.SAFE</w:t>
      </w:r>
      <w:r>
        <w:t xml:space="preserve">) contient plusieurs répertoires. Le nom même du produit renferme de nombreuses infos【42†L481-L490】 : par exemple</w:t>
      </w:r>
    </w:p>
    <w:p>
      <w:pPr>
        <w:pStyle w:val="SourceCode"/>
      </w:pPr>
      <w:r>
        <w:rPr>
          <w:rStyle w:val="VerbatimChar"/>
        </w:rPr>
        <w:t xml:space="preserve">S1A_IW_GRDH_1SDV_20240107T064657_051997_06488E_COG.SAFE</w:t>
      </w:r>
    </w:p>
    <w:p>
      <w:pPr>
        <w:pStyle w:val="FirstParagraph"/>
      </w:pPr>
      <w:r>
        <w:t xml:space="preserve">-</w:t>
      </w:r>
      <w:r>
        <w:t xml:space="preserve"> </w:t>
      </w:r>
      <w:r>
        <w:rPr>
          <w:b/>
          <w:bCs/>
        </w:rPr>
        <w:t xml:space="preserve">S1A</w:t>
      </w:r>
      <w:r>
        <w:t xml:space="preserve"> : satellite (</w:t>
      </w:r>
      <w:r>
        <w:rPr>
          <w:rStyle w:val="VerbatimChar"/>
        </w:rPr>
        <w:t xml:space="preserve">1A</w:t>
      </w:r>
      <w:r>
        <w:t xml:space="preserve"> </w:t>
      </w:r>
      <w:r>
        <w:t xml:space="preserve">ou</w:t>
      </w:r>
      <w:r>
        <w:t xml:space="preserve"> </w:t>
      </w:r>
      <w:r>
        <w:rPr>
          <w:rStyle w:val="VerbatimChar"/>
        </w:rPr>
        <w:t xml:space="preserve">1B</w:t>
      </w:r>
      <w:r>
        <w:t xml:space="preserve">).</w:t>
      </w:r>
      <w:r>
        <w:br/>
      </w:r>
      <w:r>
        <w:t xml:space="preserve">-</w:t>
      </w:r>
      <w:r>
        <w:t xml:space="preserve"> </w:t>
      </w:r>
      <w:r>
        <w:rPr>
          <w:b/>
          <w:bCs/>
        </w:rPr>
        <w:t xml:space="preserve">IW</w:t>
      </w:r>
      <w:r>
        <w:t xml:space="preserve"> : mode d’acquisition (</w:t>
      </w:r>
      <w:r>
        <w:rPr>
          <w:rStyle w:val="VerbatimChar"/>
        </w:rPr>
        <w:t xml:space="preserve">IW</w:t>
      </w:r>
      <w:r>
        <w:t xml:space="preserve"> </w:t>
      </w:r>
      <w:r>
        <w:t xml:space="preserve">pour Interferometric Wide swath).</w:t>
      </w:r>
      <w:r>
        <w:br/>
      </w:r>
      <w:r>
        <w:t xml:space="preserve">-</w:t>
      </w:r>
      <w:r>
        <w:t xml:space="preserve"> </w:t>
      </w:r>
      <w:r>
        <w:rPr>
          <w:b/>
          <w:bCs/>
        </w:rPr>
        <w:t xml:space="preserve">GRD</w:t>
      </w:r>
      <w:r>
        <w:t xml:space="preserve"> : produit Ground-Range Detected.</w:t>
      </w:r>
      <w:r>
        <w:br/>
      </w:r>
      <w:r>
        <w:t xml:space="preserve">-</w:t>
      </w:r>
      <w:r>
        <w:t xml:space="preserve"> </w:t>
      </w:r>
      <w:r>
        <w:rPr>
          <w:b/>
          <w:bCs/>
        </w:rPr>
        <w:t xml:space="preserve">H</w:t>
      </w:r>
      <w:r>
        <w:t xml:space="preserve"> : résolution</w:t>
      </w:r>
      <w:r>
        <w:t xml:space="preserve"> </w:t>
      </w:r>
      <w:r>
        <w:rPr>
          <w:i/>
          <w:iCs/>
        </w:rPr>
        <w:t xml:space="preserve">High</w:t>
      </w:r>
      <w:r>
        <w:t xml:space="preserve"> </w:t>
      </w:r>
      <w:r>
        <w:t xml:space="preserve">(multi-look sur 2x2 =&gt; 10 m),</w:t>
      </w:r>
      <w:r>
        <w:t xml:space="preserve"> </w:t>
      </w:r>
      <w:r>
        <w:rPr>
          <w:rStyle w:val="VerbatimChar"/>
        </w:rPr>
        <w:t xml:space="preserve">M</w:t>
      </w:r>
      <w:r>
        <w:t xml:space="preserve"> </w:t>
      </w:r>
      <w:r>
        <w:t xml:space="preserve">signifie</w:t>
      </w:r>
      <w:r>
        <w:t xml:space="preserve"> </w:t>
      </w:r>
      <w:r>
        <w:rPr>
          <w:i/>
          <w:iCs/>
        </w:rPr>
        <w:t xml:space="preserve">Medium</w:t>
      </w:r>
      <w:r>
        <w:t xml:space="preserve"> </w:t>
      </w:r>
      <w:r>
        <w:t xml:space="preserve">(20 m),</w:t>
      </w:r>
      <w:r>
        <w:t xml:space="preserve"> </w:t>
      </w:r>
      <w:r>
        <w:rPr>
          <w:rStyle w:val="VerbatimChar"/>
        </w:rPr>
        <w:t xml:space="preserve">F</w:t>
      </w:r>
      <w:r>
        <w:t xml:space="preserve"> </w:t>
      </w:r>
      <w:r>
        <w:t xml:space="preserve">pour full (non multi-look, 5×20)【42†L501-L509】.</w:t>
      </w:r>
      <w:r>
        <w:br/>
      </w:r>
      <w:r>
        <w:t xml:space="preserve">-</w:t>
      </w:r>
      <w:r>
        <w:t xml:space="preserve"> </w:t>
      </w:r>
      <w:r>
        <w:rPr>
          <w:b/>
          <w:bCs/>
        </w:rPr>
        <w:t xml:space="preserve">1</w:t>
      </w:r>
      <w:r>
        <w:t xml:space="preserve"> : niveau de traitement (Level-1).</w:t>
      </w:r>
      <w:r>
        <w:br/>
      </w:r>
      <w:r>
        <w:t xml:space="preserve">-</w:t>
      </w:r>
      <w:r>
        <w:t xml:space="preserve"> </w:t>
      </w:r>
      <w:r>
        <w:rPr>
          <w:b/>
          <w:bCs/>
        </w:rPr>
        <w:t xml:space="preserve">S</w:t>
      </w:r>
      <w:r>
        <w:t xml:space="preserve"> : classe de produit (SAR standard)【42†L521-L528】.</w:t>
      </w:r>
      <w:r>
        <w:br/>
      </w:r>
      <w:r>
        <w:t xml:space="preserve">-</w:t>
      </w:r>
      <w:r>
        <w:t xml:space="preserve"> </w:t>
      </w:r>
      <w:r>
        <w:rPr>
          <w:b/>
          <w:bCs/>
        </w:rPr>
        <w:t xml:space="preserve">DV</w:t>
      </w:r>
      <w:r>
        <w:t xml:space="preserve"> : Dual polarization VV+VH.</w:t>
      </w:r>
      <w:r>
        <w:t xml:space="preserve"> </w:t>
      </w:r>
      <w:r>
        <w:rPr>
          <w:rStyle w:val="VerbatimChar"/>
        </w:rPr>
        <w:t xml:space="preserve">SV</w:t>
      </w:r>
      <w:r>
        <w:t xml:space="preserve"> </w:t>
      </w:r>
      <w:r>
        <w:t xml:space="preserve">serait mono-VV,</w:t>
      </w:r>
      <w:r>
        <w:t xml:space="preserve"> </w:t>
      </w:r>
      <w:r>
        <w:rPr>
          <w:rStyle w:val="VerbatimChar"/>
        </w:rPr>
        <w:t xml:space="preserve">SH</w:t>
      </w:r>
      <w:r>
        <w:t xml:space="preserve"> </w:t>
      </w:r>
      <w:r>
        <w:t xml:space="preserve">mono-HH, etc【42†L529-L538】.</w:t>
      </w:r>
      <w:r>
        <w:br/>
      </w:r>
      <w:r>
        <w:t xml:space="preserve">-</w:t>
      </w:r>
      <w:r>
        <w:t xml:space="preserve"> </w:t>
      </w:r>
      <w:r>
        <w:rPr>
          <w:b/>
          <w:bCs/>
        </w:rPr>
        <w:t xml:space="preserve">20240107T064657</w:t>
      </w:r>
      <w:r>
        <w:t xml:space="preserve"> : date-heure UTC de début de l’acquisition.</w:t>
      </w:r>
      <w:r>
        <w:br/>
      </w:r>
      <w:r>
        <w:t xml:space="preserve">-</w:t>
      </w:r>
      <w:r>
        <w:t xml:space="preserve"> </w:t>
      </w:r>
      <w:r>
        <w:rPr>
          <w:b/>
          <w:bCs/>
        </w:rPr>
        <w:t xml:space="preserve">051997</w:t>
      </w:r>
      <w:r>
        <w:t xml:space="preserve"> : numéro d’orbite absolu (orbit number).</w:t>
      </w:r>
      <w:r>
        <w:br/>
      </w:r>
      <w:r>
        <w:t xml:space="preserve">-</w:t>
      </w:r>
      <w:r>
        <w:t xml:space="preserve"> </w:t>
      </w:r>
      <w:r>
        <w:rPr>
          <w:b/>
          <w:bCs/>
        </w:rPr>
        <w:t xml:space="preserve">06488E</w:t>
      </w:r>
      <w:r>
        <w:t xml:space="preserve"> : identifiant du</w:t>
      </w:r>
      <w:r>
        <w:t xml:space="preserve"> </w:t>
      </w:r>
      <w:r>
        <w:rPr>
          <w:i/>
          <w:iCs/>
        </w:rPr>
        <w:t xml:space="preserve">data take</w:t>
      </w:r>
      <w:r>
        <w:t xml:space="preserve"> </w:t>
      </w:r>
      <w:r>
        <w:t xml:space="preserve">ou du « tile » (séquence d’images).</w:t>
      </w:r>
      <w:r>
        <w:br/>
      </w:r>
      <w:r>
        <w:t xml:space="preserve">-</w:t>
      </w:r>
      <w:r>
        <w:t xml:space="preserve"> </w:t>
      </w:r>
      <w:r>
        <w:rPr>
          <w:b/>
          <w:bCs/>
        </w:rPr>
        <w:t xml:space="preserve">COG</w:t>
      </w:r>
      <w:r>
        <w:t xml:space="preserve"> : indique que les fichiers d’image sont au format GeoTIFF</w:t>
      </w:r>
      <w:r>
        <w:t xml:space="preserve"> </w:t>
      </w:r>
      <w:r>
        <w:rPr>
          <w:i/>
          <w:iCs/>
        </w:rPr>
        <w:t xml:space="preserve">Cloud Optimized GeoTIFF</w:t>
      </w:r>
      <w:r>
        <w:t xml:space="preserve"> </w:t>
      </w:r>
      <w:r>
        <w:t xml:space="preserve">(COG), cf. 2.3.</w:t>
      </w:r>
    </w:p>
    <w:p>
      <w:pPr>
        <w:pStyle w:val="BodyText"/>
      </w:pPr>
      <w:r>
        <w:t xml:space="preserve">Dans le dossier</w:t>
      </w:r>
      <w:r>
        <w:t xml:space="preserve"> </w:t>
      </w:r>
      <w:r>
        <w:rPr>
          <w:rStyle w:val="VerbatimChar"/>
        </w:rPr>
        <w:t xml:space="preserve">.SAFE</w:t>
      </w:r>
      <w:r>
        <w:t xml:space="preserve">, on trouve notamment :</w:t>
      </w:r>
    </w:p>
    <w:p>
      <w:pPr>
        <w:numPr>
          <w:ilvl w:val="0"/>
          <w:numId w:val="1004"/>
        </w:numPr>
      </w:pPr>
      <w:r>
        <w:rPr>
          <w:rStyle w:val="VerbatimChar"/>
        </w:rPr>
        <w:t xml:space="preserve">measurement/</w:t>
      </w:r>
      <w:r>
        <w:t xml:space="preserve"> : contient les fichiers image GeoTIFF COG. Par exemple</w:t>
      </w:r>
      <w:r>
        <w:t xml:space="preserve"> </w:t>
      </w:r>
      <w:r>
        <w:rPr>
          <w:rStyle w:val="VerbatimChar"/>
        </w:rPr>
        <w:t xml:space="preserve">s1a-iw-grd-vv-20240107t064657-...-001.tiff</w:t>
      </w:r>
      <w:r>
        <w:t xml:space="preserve"> </w:t>
      </w:r>
      <w:r>
        <w:t xml:space="preserve">et</w:t>
      </w:r>
      <w:r>
        <w:t xml:space="preserve"> </w:t>
      </w:r>
      <w:r>
        <w:rPr>
          <w:rStyle w:val="VerbatimChar"/>
        </w:rPr>
        <w:t xml:space="preserve">s1a-iw-grd-vh-...-002.tiff</w:t>
      </w:r>
      <w:r>
        <w:t xml:space="preserve">. Chaque pixel y est un entier</w:t>
      </w:r>
      <w:r>
        <w:t xml:space="preserve"> </w:t>
      </w:r>
      <w:r>
        <w:rPr>
          <w:b/>
          <w:bCs/>
        </w:rPr>
        <w:t xml:space="preserve">uint16</w:t>
      </w:r>
      <w:r>
        <w:t xml:space="preserve">, représentant la</w:t>
      </w:r>
      <w:r>
        <w:t xml:space="preserve"> </w:t>
      </w:r>
      <w:r>
        <w:rPr>
          <w:b/>
          <w:bCs/>
        </w:rPr>
        <w:t xml:space="preserve">valeur d’amplitude détectée</w:t>
      </w:r>
      <w:r>
        <w:t xml:space="preserve"> </w:t>
      </w:r>
      <w:r>
        <w:t xml:space="preserve">(niveau de gris). Ces DN (digital number) ne sont pas σ⁰, mais un numéro brut modulé par des facteurs de calibration. Par exemple, en IW-H la résolution spatiale est ~10 m × 10 m, et une scène complète fait ~250 km de large, donc ~25 000 pixels en range, par ~16 000 pixels en azimut. Cela donne environ 25k×16k pixels par bande (≈400 millions de pixels).</w:t>
      </w:r>
    </w:p>
    <w:p>
      <w:pPr>
        <w:numPr>
          <w:ilvl w:val="0"/>
          <w:numId w:val="1004"/>
        </w:numPr>
      </w:pPr>
      <w:r>
        <w:rPr>
          <w:rStyle w:val="VerbatimChar"/>
        </w:rPr>
        <w:t xml:space="preserve">annotation/calibration/</w:t>
      </w:r>
      <w:r>
        <w:t xml:space="preserve"> : fichiers XML de calibration. On y trouve par polarisation deux types de LUT (Look-Up Tables) :</w:t>
      </w:r>
      <w:r>
        <w:t xml:space="preserve"> </w:t>
      </w:r>
      <w:r>
        <w:rPr>
          <w:rStyle w:val="VerbatimChar"/>
        </w:rPr>
        <w:t xml:space="preserve">calibration-…-vv-…xml</w:t>
      </w:r>
      <w:r>
        <w:t xml:space="preserve"> </w:t>
      </w:r>
      <w:r>
        <w:t xml:space="preserve">et</w:t>
      </w:r>
      <w:r>
        <w:t xml:space="preserve"> </w:t>
      </w:r>
      <w:r>
        <w:rPr>
          <w:rStyle w:val="VerbatimChar"/>
        </w:rPr>
        <w:t xml:space="preserve">calibration-…-vh-…xml</w:t>
      </w:r>
      <w:r>
        <w:t xml:space="preserve"> </w:t>
      </w:r>
      <w:r>
        <w:t xml:space="preserve">(chaque fichier contient le vecteur Aσ</w:t>
      </w:r>
      <w:r>
        <w:t xml:space="preserve"> </w:t>
      </w:r>
      <w:r>
        <w:rPr>
          <w:i/>
          <w:iCs/>
        </w:rPr>
        <w:t xml:space="preserve">λ</w:t>
      </w:r>
      <w:r>
        <w:t xml:space="preserve"> </w:t>
      </w:r>
      <w:r>
        <w:t xml:space="preserve">ou</w:t>
      </w:r>
      <w:r>
        <w:t xml:space="preserve"> </w:t>
      </w:r>
      <w:r>
        <w:rPr>
          <w:i/>
          <w:iCs/>
        </w:rPr>
        <w:t xml:space="preserve">β</w:t>
      </w:r>
      <w:r>
        <w:t xml:space="preserve">, en fait le facteur de gain en fonction de la distance), et</w:t>
      </w:r>
      <w:r>
        <w:t xml:space="preserve"> </w:t>
      </w:r>
      <w:r>
        <w:rPr>
          <w:rStyle w:val="VerbatimChar"/>
        </w:rPr>
        <w:t xml:space="preserve">noise-…-vv-…xml</w:t>
      </w:r>
      <w:r>
        <w:t xml:space="preserve"> </w:t>
      </w:r>
      <w:r>
        <w:t xml:space="preserve">(idéalement 2 fichiers, VV et VH) qui donnent le</w:t>
      </w:r>
      <w:r>
        <w:t xml:space="preserve"> </w:t>
      </w:r>
      <w:r>
        <w:rPr>
          <w:b/>
          <w:bCs/>
        </w:rPr>
        <w:t xml:space="preserve">bruit thermique</w:t>
      </w:r>
      <w:r>
        <w:t xml:space="preserve"> </w:t>
      </w:r>
      <w:r>
        <w:t xml:space="preserve">en fonction du range. Ces LUT ne sont pas à la résolution image : ils contiennent quelques centaines de points échantillonnant chaque ligne de range (voir Axe 3.2).</w:t>
      </w:r>
      <w:r>
        <w:t xml:space="preserve"> </w:t>
      </w:r>
      <w:r>
        <w:rPr>
          <w:b/>
          <w:bCs/>
        </w:rPr>
        <w:t xml:space="preserve">Interprétation des LUT:</w:t>
      </w:r>
    </w:p>
    <w:p>
      <w:pPr>
        <w:pStyle w:val="Compact"/>
        <w:numPr>
          <w:ilvl w:val="0"/>
          <w:numId w:val="1004"/>
        </w:numPr>
      </w:pPr>
      <w:r>
        <w:rPr>
          <w:i/>
          <w:iCs/>
        </w:rPr>
        <w:t xml:space="preserve">Calibration-s1a-iw-grd-vv-...xml</w:t>
      </w:r>
      <w:r>
        <w:t xml:space="preserve"> </w:t>
      </w:r>
      <w:r>
        <w:t xml:space="preserve">contient le vecteur de calibration Aσ nécessaire pour convertir DN en σ⁰【15†L200-L208】. Chaque valeur dans ce vecteur est un facteur de normalisation dépendant de la distance (prise en compte du diagramme d’antenne, etc.).</w:t>
      </w:r>
    </w:p>
    <w:p>
      <w:pPr>
        <w:pStyle w:val="Compact"/>
        <w:numPr>
          <w:ilvl w:val="0"/>
          <w:numId w:val="1004"/>
        </w:numPr>
      </w:pPr>
      <w:r>
        <w:rPr>
          <w:i/>
          <w:iCs/>
        </w:rPr>
        <w:t xml:space="preserve">Noise-s1a-iw-grd-vv-...xml</w:t>
      </w:r>
      <w:r>
        <w:t xml:space="preserve"> </w:t>
      </w:r>
      <w:r>
        <w:t xml:space="preserve">contient le profil de bruit thermique (DN correspondant au bruit du récepteur) en fonction de la distance. Ce bruit, mesuré en vol quand le TX est éteint, doit être soustrait du signal avant calibration.</w:t>
      </w:r>
    </w:p>
    <w:p>
      <w:pPr>
        <w:pStyle w:val="FirstParagraph"/>
      </w:pPr>
      <w:r>
        <w:t xml:space="preserve">Ces LUT sont échantillonnées (par exemple un point tous les quelques mètres) car les variations sont lentes et l’IPF (processing facility) se contente de coefficients par ensemble de rangées. On interpolera bilinéairement ces valeurs pour chaque pixel (cf. Axe 3.3). Si on ignorait ce calibrage, les DN ne refléteraient pas fidèlement l’intensité physique (deux pixels identiques dans la réalité peuvent avoir des DN très différents à cause de l’incidence ou du gain d’antenne).</w:t>
      </w:r>
    </w:p>
    <w:p>
      <w:pPr>
        <w:numPr>
          <w:ilvl w:val="0"/>
          <w:numId w:val="1005"/>
        </w:numPr>
      </w:pPr>
      <w:r>
        <w:rPr>
          <w:rStyle w:val="VerbatimChar"/>
        </w:rPr>
        <w:t xml:space="preserve">annotation/*.xml</w:t>
      </w:r>
      <w:r>
        <w:t xml:space="preserve"> : fichiers métadonnées principaux. Par exemple</w:t>
      </w:r>
      <w:r>
        <w:t xml:space="preserve"> </w:t>
      </w:r>
      <w:r>
        <w:rPr>
          <w:rStyle w:val="VerbatimChar"/>
        </w:rPr>
        <w:t xml:space="preserve">s1a-iw-grd-vv-...xml</w:t>
      </w:r>
      <w:r>
        <w:t xml:space="preserve"> </w:t>
      </w:r>
      <w:r>
        <w:t xml:space="preserve">contient la géométrie d’acquisition, des points de contrôle au sol (GCP) utilisés pour géoréférencer l’image, les infos orbitale/time, etc. Le fichier</w:t>
      </w:r>
      <w:r>
        <w:t xml:space="preserve"> </w:t>
      </w:r>
      <w:r>
        <w:rPr>
          <w:rStyle w:val="VerbatimChar"/>
        </w:rPr>
        <w:t xml:space="preserve">manifest.safe</w:t>
      </w:r>
      <w:r>
        <w:t xml:space="preserve"> </w:t>
      </w:r>
      <w:r>
        <w:t xml:space="preserve">liste l’ensemble des composants du produit (mesures, annotations, previews). Ces fichiers XML donnent toute l’information nécessaire pour la géolocalisation précise.</w:t>
      </w:r>
    </w:p>
    <w:p>
      <w:pPr>
        <w:numPr>
          <w:ilvl w:val="0"/>
          <w:numId w:val="1005"/>
        </w:numPr>
      </w:pPr>
      <w:r>
        <w:rPr>
          <w:rStyle w:val="VerbatimChar"/>
        </w:rPr>
        <w:t xml:space="preserve">preview/</w:t>
      </w:r>
      <w:r>
        <w:t xml:space="preserve"> : aperçu du produit.</w:t>
      </w:r>
      <w:r>
        <w:t xml:space="preserve"> </w:t>
      </w:r>
      <w:r>
        <w:rPr>
          <w:rStyle w:val="VerbatimChar"/>
        </w:rPr>
        <w:t xml:space="preserve">quick-look.png</w:t>
      </w:r>
      <w:r>
        <w:t xml:space="preserve"> </w:t>
      </w:r>
      <w:r>
        <w:t xml:space="preserve">est une petite vignette visuelle pour un aperçu rapide.</w:t>
      </w:r>
      <w:r>
        <w:t xml:space="preserve"> </w:t>
      </w:r>
      <w:r>
        <w:rPr>
          <w:rStyle w:val="VerbatimChar"/>
        </w:rPr>
        <w:t xml:space="preserve">map-overlay.kml</w:t>
      </w:r>
      <w:r>
        <w:t xml:space="preserve"> </w:t>
      </w:r>
      <w:r>
        <w:t xml:space="preserve">est un fichier KML pour afficher la trace du satellite et les limites du produit sur Google Earth.</w:t>
      </w:r>
    </w:p>
    <w:bookmarkEnd w:id="23"/>
    <w:bookmarkStart w:id="24" w:name="format-cog-cloud-optimized-geotiff"/>
    <w:p>
      <w:pPr>
        <w:pStyle w:val="Heading3"/>
      </w:pPr>
      <w:r>
        <w:t xml:space="preserve">2.3 Format COG (Cloud Optimized GeoTIFF)</w:t>
      </w:r>
    </w:p>
    <w:p>
      <w:pPr>
        <w:pStyle w:val="FirstParagraph"/>
      </w:pPr>
      <w:r>
        <w:t xml:space="preserve">Sentinel-1 propose désormais ses GRD au format</w:t>
      </w:r>
      <w:r>
        <w:t xml:space="preserve"> </w:t>
      </w:r>
      <w:r>
        <w:rPr>
          <w:b/>
          <w:bCs/>
        </w:rPr>
        <w:t xml:space="preserve">COG</w:t>
      </w:r>
      <w:r>
        <w:t xml:space="preserve">. Un COG est un GeoTIFF classique dont l’organisation interne est optimisée pour le cloud【11†L21-L25】【10†L16-L24】. Concrètement, cela signifie :</w:t>
      </w:r>
    </w:p>
    <w:p>
      <w:pPr>
        <w:pStyle w:val="Compact"/>
        <w:numPr>
          <w:ilvl w:val="0"/>
          <w:numId w:val="1006"/>
        </w:numPr>
      </w:pPr>
      <w:r>
        <w:rPr>
          <w:b/>
          <w:bCs/>
        </w:rPr>
        <w:t xml:space="preserve">Tuiles internes et pyramides d’overviews</w:t>
      </w:r>
      <w:r>
        <w:t xml:space="preserve"> </w:t>
      </w:r>
      <w:r>
        <w:t xml:space="preserve">: L’image est découpée en petites tuiles (p. ex. 256×256 px) stockées contiguës, et des versions réduites (pyramides) sont pré-calculées et incluses dans le fichier.</w:t>
      </w:r>
    </w:p>
    <w:p>
      <w:pPr>
        <w:pStyle w:val="Compact"/>
        <w:numPr>
          <w:ilvl w:val="0"/>
          <w:numId w:val="1006"/>
        </w:numPr>
      </w:pPr>
      <w:r>
        <w:rPr>
          <w:b/>
          <w:bCs/>
        </w:rPr>
        <w:t xml:space="preserve">Requêtes HTTP par plage (range requests)</w:t>
      </w:r>
      <w:r>
        <w:t xml:space="preserve"> </w:t>
      </w:r>
      <w:r>
        <w:t xml:space="preserve">: un client peut demander</w:t>
      </w:r>
      <w:r>
        <w:t xml:space="preserve"> </w:t>
      </w:r>
      <w:r>
        <w:rPr>
          <w:b/>
          <w:bCs/>
        </w:rPr>
        <w:t xml:space="preserve">seulement</w:t>
      </w:r>
      <w:r>
        <w:t xml:space="preserve"> </w:t>
      </w:r>
      <w:r>
        <w:t xml:space="preserve">les octets correspondant à certaines tuiles ou niveaux de résolution. Le serveur n’envoie pas le fichier complet.</w:t>
      </w:r>
    </w:p>
    <w:p>
      <w:pPr>
        <w:pStyle w:val="FirstParagraph"/>
      </w:pPr>
      <w:r>
        <w:t xml:space="preserve">L’avantage est qu’on évite de télécharger les 1–3 Go entiers pour n’en utiliser qu’une petite partie. Par exemple, en visualisant une zone ou en prétraitant une tuile spécifique de 512×512 px, on peut lire</w:t>
      </w:r>
      <w:r>
        <w:t xml:space="preserve"> </w:t>
      </w:r>
      <w:r>
        <w:rPr>
          <w:i/>
          <w:iCs/>
        </w:rPr>
        <w:t xml:space="preserve">seulement ces tuiles</w:t>
      </w:r>
      <w:r>
        <w:t xml:space="preserve"> </w:t>
      </w:r>
      <w:r>
        <w:t xml:space="preserve">dans le COG, grâce au découpage interne. Le COG permet ainsi un accès “streaming” à l’image. Sur l’annotation du site Off-Nadir Delta【11†L21-L25】【11†L47-L54】 :</w:t>
      </w:r>
    </w:p>
    <w:p>
      <w:pPr>
        <w:pStyle w:val="BlockText"/>
      </w:pPr>
      <w:r>
        <w:t xml:space="preserve">« COG est un GeoTIFF avec une organisation interne spécifique (tuiles, pyramides, etc.), de sorte qu’on puisse</w:t>
      </w:r>
      <w:r>
        <w:t xml:space="preserve"> </w:t>
      </w:r>
      <w:r>
        <w:rPr>
          <w:i/>
          <w:iCs/>
        </w:rPr>
        <w:t xml:space="preserve">streamer</w:t>
      </w:r>
      <w:r>
        <w:t xml:space="preserve"> </w:t>
      </w:r>
      <w:r>
        <w:t xml:space="preserve">uniquement la portion d’image nécessaire via HTTP range requests, sans télécharger tout le fichier. »【11†L21-L25】.</w:t>
      </w:r>
    </w:p>
    <w:p>
      <w:pPr>
        <w:pStyle w:val="FirstParagraph"/>
      </w:pPr>
      <w:r>
        <w:t xml:space="preserve">Sentinel-1 en COG n’est donc pas un nouveau produit : c’est le même L1-GRD, identique au niveau données, mais avec un GeoTIFF découpé. Les métadonnées et les valeurs physiques demeurent inchangées【9†L137-L146】. L’intérêt est de pouvoir travailler dans le cloud et de n’extraire que les données requises (pratique pour Zoom, ou pour traiter de grandes images par tuiles sans copie locale).</w:t>
      </w:r>
    </w:p>
    <w:p>
      <w:pPr>
        <w:pStyle w:val="Compact"/>
        <w:numPr>
          <w:ilvl w:val="0"/>
          <w:numId w:val="1007"/>
        </w:numPr>
      </w:pPr>
      <w:r>
        <w:rPr>
          <w:i/>
          <w:iCs/>
        </w:rPr>
        <w:t xml:space="preserve">Erreur débutant :</w:t>
      </w:r>
      <w:r>
        <w:t xml:space="preserve"> </w:t>
      </w:r>
      <w:r>
        <w:t xml:space="preserve">Télécharger l’intégralité d’un COG pour extraire une petite zone. Au lieu de ça, utiliser des requêtes par fenêtre (rasterio</w:t>
      </w:r>
      <w:r>
        <w:t xml:space="preserve"> </w:t>
      </w:r>
      <w:r>
        <w:rPr>
          <w:rStyle w:val="VerbatimChar"/>
        </w:rPr>
        <w:t xml:space="preserve">.read(window=...)</w:t>
      </w:r>
      <w:r>
        <w:t xml:space="preserve">, GDAL</w:t>
      </w:r>
      <w:r>
        <w:t xml:space="preserve"> </w:t>
      </w:r>
      <w:r>
        <w:rPr>
          <w:rStyle w:val="VerbatimChar"/>
        </w:rPr>
        <w:t xml:space="preserve">/vsicurl/</w:t>
      </w:r>
      <w:r>
        <w:t xml:space="preserve">, etc.) pour ne récupérer que les tuiles nécessaires.</w:t>
      </w:r>
    </w:p>
    <w:p>
      <w:pPr>
        <w:pStyle w:val="Compact"/>
        <w:numPr>
          <w:ilvl w:val="0"/>
          <w:numId w:val="1007"/>
        </w:numPr>
      </w:pPr>
      <w:r>
        <w:rPr>
          <w:i/>
          <w:iCs/>
        </w:rPr>
        <w:t xml:space="preserve">Importance pratique :</w:t>
      </w:r>
      <w:r>
        <w:t xml:space="preserve"> </w:t>
      </w:r>
      <w:r>
        <w:t xml:space="preserve">En COG, un pipeline ML peut directement lire des fenêtres 512×512 par URL, économisant de la mémoire et du temps, ce qui est vital pour nos scènes 25k×16k.</w:t>
      </w:r>
    </w:p>
    <w:bookmarkEnd w:id="24"/>
    <w:bookmarkEnd w:id="25"/>
    <w:bookmarkStart w:id="33" w:name="axe-3-chaîne-de-prétraitement-sar"/>
    <w:p>
      <w:pPr>
        <w:pStyle w:val="Heading2"/>
      </w:pPr>
      <w:r>
        <w:t xml:space="preserve">AXE 3 – Chaîne de prétraitement SAR</w:t>
      </w:r>
    </w:p>
    <w:bookmarkStart w:id="26" w:name="Xd2a5b41de0dfc8c4bd450549f1de4e48fefe541"/>
    <w:p>
      <w:pPr>
        <w:pStyle w:val="Heading3"/>
      </w:pPr>
      <w:r>
        <w:t xml:space="preserve">3.1 Pourquoi les valeurs brutes uint16 sont inutilisables</w:t>
      </w:r>
    </w:p>
    <w:p>
      <w:pPr>
        <w:pStyle w:val="FirstParagraph"/>
      </w:pPr>
      <w:r>
        <w:t xml:space="preserve">Les pixels brut (uint16) des GeoTIFF GRD sont appelés</w:t>
      </w:r>
      <w:r>
        <w:t xml:space="preserve"> </w:t>
      </w:r>
      <w:r>
        <w:rPr>
          <w:i/>
          <w:iCs/>
        </w:rPr>
        <w:t xml:space="preserve">DN</w:t>
      </w:r>
      <w:r>
        <w:t xml:space="preserve"> </w:t>
      </w:r>
      <w:r>
        <w:t xml:space="preserve">(Digital Number). Ils résultent de l’amplification et de la quantification de la puissance radar mesurée. Plusieurs phénomènes les rendent inutilisables tels quels :</w:t>
      </w:r>
    </w:p>
    <w:p>
      <w:pPr>
        <w:pStyle w:val="Compact"/>
        <w:numPr>
          <w:ilvl w:val="0"/>
          <w:numId w:val="1008"/>
        </w:numPr>
      </w:pPr>
      <w:r>
        <w:rPr>
          <w:b/>
          <w:bCs/>
        </w:rPr>
        <w:t xml:space="preserve">Dépendance à l’angle d’incidence</w:t>
      </w:r>
      <w:r>
        <w:t xml:space="preserve"> : la puissance mesurée varie fortement selon l’angle du radar. Deux acquisitions du même navire sous deux angles différents donneront deux DN très différents. Un simple clipmin/clipmax global ne suffit pas.</w:t>
      </w:r>
    </w:p>
    <w:p>
      <w:pPr>
        <w:pStyle w:val="Compact"/>
        <w:numPr>
          <w:ilvl w:val="0"/>
          <w:numId w:val="1008"/>
        </w:numPr>
      </w:pPr>
      <w:r>
        <w:rPr>
          <w:b/>
          <w:bCs/>
        </w:rPr>
        <w:t xml:space="preserve">Pente radiométrique</w:t>
      </w:r>
      <w:r>
        <w:t xml:space="preserve"> : un même sol plat (par exemple mer très agitée) n’aura pas la même intensité sur toute la scène, car l’énergie incidente varie selon la distance. Sans correction, les valeurs de fond (eau) ne sont pas uniformes.</w:t>
      </w:r>
    </w:p>
    <w:p>
      <w:pPr>
        <w:pStyle w:val="Compact"/>
        <w:numPr>
          <w:ilvl w:val="0"/>
          <w:numId w:val="1008"/>
        </w:numPr>
      </w:pPr>
      <w:r>
        <w:rPr>
          <w:b/>
          <w:bCs/>
        </w:rPr>
        <w:t xml:space="preserve">Échelles arbitraires</w:t>
      </w:r>
      <w:r>
        <w:t xml:space="preserve"> : les DN sont linéaires en amplitude ou puissance (selon mode), mais subissent un gain fixe non connu directement. Par exemple, les valeurs peuvent être lacunaires (pas de correspondance directe 1‑à‑1 DN→σ⁰) car on doit appliquer un carré, soustraire le bruit puis multiplier par un facteur.</w:t>
      </w:r>
    </w:p>
    <w:p>
      <w:pPr>
        <w:pStyle w:val="FirstParagraph"/>
      </w:pPr>
      <w:r>
        <w:t xml:space="preserve">En clair, donner directement les DN uint16 à un réseau, c’est comme entraîner un modèle optique avec de la lumière non équilibrée : les entrées ne reflètent pas la physique. Le réseau risquerait de</w:t>
      </w:r>
      <w:r>
        <w:t xml:space="preserve"> </w:t>
      </w:r>
      <w:r>
        <w:rPr>
          <w:b/>
          <w:bCs/>
        </w:rPr>
        <w:t xml:space="preserve">sur-apprendre des biais d’acquisition</w:t>
      </w:r>
      <w:r>
        <w:t xml:space="preserve"> </w:t>
      </w:r>
      <w:r>
        <w:t xml:space="preserve">(heures, angle, instrument). C’est pour cela qu’on</w:t>
      </w:r>
      <w:r>
        <w:t xml:space="preserve"> </w:t>
      </w:r>
      <w:r>
        <w:rPr>
          <w:b/>
          <w:bCs/>
        </w:rPr>
        <w:t xml:space="preserve">calibre</w:t>
      </w:r>
      <w:r>
        <w:t xml:space="preserve"> </w:t>
      </w:r>
      <w:r>
        <w:t xml:space="preserve">les données en σ⁰ (écart très variable annulé) et qu’on égalise la plage de valeurs.</w:t>
      </w:r>
    </w:p>
    <w:bookmarkEnd w:id="26"/>
    <w:bookmarkStart w:id="27" w:name="calibration-radiométrique-σ⁰"/>
    <w:p>
      <w:pPr>
        <w:pStyle w:val="Heading3"/>
      </w:pPr>
      <w:r>
        <w:t xml:space="preserve">3.2 Calibration radiométrique (σ⁰)</w:t>
      </w:r>
    </w:p>
    <w:p>
      <w:pPr>
        <w:pStyle w:val="FirstParagraph"/>
      </w:pPr>
      <w:r>
        <w:t xml:space="preserve">On définit le</w:t>
      </w:r>
      <w:r>
        <w:t xml:space="preserve"> </w:t>
      </w:r>
      <w:r>
        <w:rPr>
          <w:b/>
          <w:bCs/>
        </w:rPr>
        <w:t xml:space="preserve">coefficient de rétrodiffusion normalisé σ⁰</w:t>
      </w:r>
      <w:r>
        <w:t xml:space="preserve"> </w:t>
      </w:r>
      <w:r>
        <w:t xml:space="preserve">comme l’énergie réfléchie ramenée à la surface au sol. Après calibration, σ⁰ ne dépend plus du gain, de l’incidence ou de l’équipement : c’est une mesure physique sans dimension. Mathématiquement on part du DN, on enlève le bruit, puis on divise par le facteur de calibration (issu du LUT). La formule simplifiée est :</w:t>
      </w:r>
    </w:p>
    <w:p>
      <w:pPr>
        <w:pStyle w:val="BodyText"/>
      </w:pPr>
      <m:oMathPara>
        <m:oMathParaPr>
          <m:jc m:val="center"/>
        </m:oMathParaPr>
        <m:oMath>
          <m:sSup>
            <m:e>
              <m:r>
                <m:t>σ</m:t>
              </m:r>
            </m:e>
            <m:sup>
              <m:r>
                <m:t>0</m:t>
              </m:r>
            </m:sup>
          </m:sSup>
          <m:r>
            <m:rPr>
              <m:sty m:val="p"/>
            </m:rPr>
            <m:t>=</m:t>
          </m:r>
          <m:f>
            <m:fPr>
              <m:type m:val="bar"/>
            </m:fPr>
            <m:num>
              <m:r>
                <m:t>D</m:t>
              </m:r>
              <m:sSup>
                <m:e>
                  <m:r>
                    <m:t>N</m:t>
                  </m:r>
                </m:e>
                <m:sup>
                  <m:r>
                    <m:t>2</m:t>
                  </m:r>
                </m:sup>
              </m:sSup>
              <m:r>
                <m:rPr>
                  <m:sty m:val="p"/>
                </m:rPr>
                <m:t>−</m:t>
              </m:r>
              <m:r>
                <m:t>N</m:t>
              </m:r>
            </m:num>
            <m:den>
              <m:sSup>
                <m:e>
                  <m:r>
                    <m:t>C</m:t>
                  </m:r>
                </m:e>
                <m:sup>
                  <m:r>
                    <m:t>2</m:t>
                  </m:r>
                </m:sup>
              </m:sSup>
            </m:den>
          </m:f>
        </m:oMath>
      </m:oMathPara>
    </w:p>
    <w:p>
      <w:pPr>
        <w:pStyle w:val="FirstParagraph"/>
      </w:pPr>
      <w:r>
        <w:t xml:space="preserve">où</w:t>
      </w:r>
      <w:r>
        <w:t xml:space="preserve"> </w:t>
      </w:r>
      <w:r>
        <w:rPr>
          <w:i/>
          <w:iCs/>
        </w:rPr>
        <w:t xml:space="preserve">DN</w:t>
      </w:r>
      <w:r>
        <w:t xml:space="preserve"> </w:t>
      </w:r>
      <w:r>
        <w:t xml:space="preserve">est le digital number brut,</w:t>
      </w:r>
      <w:r>
        <w:t xml:space="preserve"> </w:t>
      </w:r>
      <w:r>
        <w:rPr>
          <w:i/>
          <w:iCs/>
        </w:rPr>
        <w:t xml:space="preserve">N</w:t>
      </w:r>
      <w:r>
        <w:t xml:space="preserve"> </w:t>
      </w:r>
      <w:r>
        <w:t xml:space="preserve">est le bruit thermique local (LUT bruit), et</w:t>
      </w:r>
      <w:r>
        <w:t xml:space="preserve"> </w:t>
      </w:r>
      <w:r>
        <w:rPr>
          <w:i/>
          <w:iCs/>
        </w:rPr>
        <w:t xml:space="preserve">C</w:t>
      </w:r>
      <w:r>
        <w:t xml:space="preserve"> </w:t>
      </w:r>
      <w:r>
        <w:t xml:space="preserve">est le facteur de calibration (LUT Aσ). En pratique, les fichiers XML donnent ces LUT Aσ (« calibration ») et N (« noise »). On soustrait d’abord</w:t>
      </w:r>
      <w:r>
        <w:t xml:space="preserve"> </w:t>
      </w:r>
      <w:r>
        <w:rPr>
          <w:i/>
          <w:iCs/>
        </w:rPr>
        <w:t xml:space="preserve">N</w:t>
      </w:r>
      <w:r>
        <w:t xml:space="preserve"> </w:t>
      </w:r>
      <w:r>
        <w:t xml:space="preserve">pour enlever la composante de bruit, puis on applique le gain</w:t>
      </w:r>
      <w:r>
        <w:t xml:space="preserve"> </w:t>
      </w:r>
      <w:r>
        <w:rPr>
          <w:i/>
          <w:iCs/>
        </w:rPr>
        <w:t xml:space="preserve">C</w:t>
      </w:r>
      <w:r>
        <w:t xml:space="preserve">, ce qui ramène le signal à σ⁰. La soustraction du bruit en premier est nécessaire car sinon on amplifierait faussement le bruit par la calibration.</w:t>
      </w:r>
    </w:p>
    <w:p>
      <w:pPr>
        <w:pStyle w:val="BodyText"/>
      </w:pPr>
      <w:r>
        <w:t xml:space="preserve">Dans les scènes marines, σ⁰ linéaire varie typiquement entre 0.001 et 0.01 (environ –30 dB à –20 dB) pour la mer calme, tandis que les navires peuvent atteindre +10 dB et plus (soit un facteur 10–1000 plus élevé). σ⁰ est adimensionnel (c’est un ratio d’intensité).</w:t>
      </w:r>
    </w:p>
    <w:p>
      <w:pPr>
        <w:pStyle w:val="BodyText"/>
      </w:pPr>
      <w:r>
        <w:t xml:space="preserve">On distingue σ⁰ de γ⁰ (gamma-nought). γ⁰ normalise l’écho sur une zone perpendiculaire à l’antenne plutôt que sur la projection au sol. En formule, γ⁰ = σ⁰ / cos(θ)【48†L149-L157】. Le produit GRD standard est exprimé en σ⁰. Pour la détection de navire, on utilise σ⁰ car c’est ce qui correspond au produit calibré disponible et à l’intensité réelle renvoyée par unité au sol【48†L149-L157】. γ⁰ est utile si on veut compenser explicitement l’angle local, mais dans nos pipelines on reste en σ⁰.</w:t>
      </w:r>
    </w:p>
    <w:p>
      <w:pPr>
        <w:pStyle w:val="Compact"/>
        <w:numPr>
          <w:ilvl w:val="0"/>
          <w:numId w:val="1009"/>
        </w:numPr>
      </w:pPr>
      <w:r>
        <w:rPr>
          <w:i/>
          <w:iCs/>
        </w:rPr>
        <w:t xml:space="preserve">Analogie :</w:t>
      </w:r>
      <w:r>
        <w:t xml:space="preserve"> </w:t>
      </w:r>
      <w:r>
        <w:t xml:space="preserve">σ⁰, c’est comme la réflectance d’un objet qui ne change pas si on se tient plus loin. C’est une valeur « vraie » de l’écho.</w:t>
      </w:r>
    </w:p>
    <w:p>
      <w:pPr>
        <w:pStyle w:val="Compact"/>
        <w:numPr>
          <w:ilvl w:val="0"/>
          <w:numId w:val="1009"/>
        </w:numPr>
      </w:pPr>
      <w:r>
        <w:rPr>
          <w:i/>
          <w:iCs/>
        </w:rPr>
        <w:t xml:space="preserve">Erreur courante :</w:t>
      </w:r>
      <w:r>
        <w:t xml:space="preserve"> </w:t>
      </w:r>
      <w:r>
        <w:t xml:space="preserve">Omettre de soustraire le bruit avant calibrage. Ça conduit à surévaluer σ⁰ dans les zones très sombres (p.ex. mer lisse) où le bruit compte pour beaucoup.</w:t>
      </w:r>
    </w:p>
    <w:bookmarkEnd w:id="27"/>
    <w:bookmarkStart w:id="28" w:name="X25e23c7b39344d6bd2dbc71cf39f0c43ff838fc"/>
    <w:p>
      <w:pPr>
        <w:pStyle w:val="Heading3"/>
      </w:pPr>
      <w:r>
        <w:t xml:space="preserve">3.3 Interpolation bilinéaire de la LUT de calibration</w:t>
      </w:r>
    </w:p>
    <w:p>
      <w:pPr>
        <w:pStyle w:val="FirstParagraph"/>
      </w:pPr>
      <w:r>
        <w:t xml:space="preserve">Les fichiers de calibration fournissent des LUT à résolution réduite (quelques centaines de points en azimut et rangée), car les variations en amplitude sont lentes. Il faut interpoler ces LUT pour chaque pixel. L’interpolation bilinéaire (ou bicubique) permet de lisser les transitions. Si on prenait par contre l’échantillon le plus proche (nearest-neighbor), on verrait apparaître des « marches » ou des bandes artificielles dans l’image calibrée.</w:t>
      </w:r>
    </w:p>
    <w:p>
      <w:pPr>
        <w:pStyle w:val="BodyText"/>
      </w:pPr>
      <w:r>
        <w:rPr>
          <w:b/>
          <w:bCs/>
        </w:rPr>
        <w:t xml:space="preserve">Mise en œuvre efficace :</w:t>
      </w:r>
      <w:r>
        <w:t xml:space="preserve"> </w:t>
      </w:r>
      <w:r>
        <w:t xml:space="preserve">on ne charge pas un tableau 2D complet du LUT calibré (qui ferait ~800 MB pour 25k×16k). À la place, on traite par fenêtres (p. ex. 512×512). Pour chaque tuile, on calcule à la volée les coefficients interpolés pour ces quelques lignes et colonnes. Cela économise énormément de RAM. On n’applique</w:t>
      </w:r>
      <w:r>
        <w:t xml:space="preserve"> </w:t>
      </w:r>
      <w:r>
        <w:rPr>
          <w:i/>
          <w:iCs/>
        </w:rPr>
        <w:t xml:space="preserve">jamais</w:t>
      </w:r>
      <w:r>
        <w:t xml:space="preserve"> </w:t>
      </w:r>
      <w:r>
        <w:t xml:space="preserve">l’interpolation sur toute l’image en mémoire — ce serait très lent et conduirait à l’</w:t>
      </w:r>
      <w:r>
        <w:t xml:space="preserve"> </w:t>
      </w:r>
      <w:r>
        <w:rPr>
          <w:i/>
          <w:iCs/>
        </w:rPr>
        <w:t xml:space="preserve">out-of-memory</w:t>
      </w:r>
      <w:r>
        <w:t xml:space="preserve">.</w:t>
      </w:r>
    </w:p>
    <w:p>
      <w:pPr>
        <w:pStyle w:val="Compact"/>
        <w:numPr>
          <w:ilvl w:val="0"/>
          <w:numId w:val="1010"/>
        </w:numPr>
      </w:pPr>
      <w:r>
        <w:rPr>
          <w:i/>
          <w:iCs/>
        </w:rPr>
        <w:t xml:space="preserve">Erreur potentielle :</w:t>
      </w:r>
      <w:r>
        <w:t xml:space="preserve"> </w:t>
      </w:r>
      <w:r>
        <w:t xml:space="preserve">Pré-calculer le LUT plein « en amont » – on risque de saturer la RAM, et c’est inutile. Toujours interpoler localement par bloc.</w:t>
      </w:r>
    </w:p>
    <w:p>
      <w:pPr>
        <w:pStyle w:val="Compact"/>
        <w:numPr>
          <w:ilvl w:val="0"/>
          <w:numId w:val="1010"/>
        </w:numPr>
      </w:pPr>
      <w:r>
        <w:rPr>
          <w:i/>
          <w:iCs/>
        </w:rPr>
        <w:t xml:space="preserve">Confiance :</w:t>
      </w:r>
      <w:r>
        <w:t xml:space="preserve"> </w:t>
      </w:r>
      <w:r>
        <w:t xml:space="preserve">Élevée. L’interpolation bilinéaire est une opération standard (basée sur les 4 voisins les plus proches). On sait précisément pourquoi elle est nécessaire (éviter les artefacts).</w:t>
      </w:r>
    </w:p>
    <w:bookmarkEnd w:id="28"/>
    <w:bookmarkStart w:id="29" w:name="le-speckle-et-son-filtrage-lee"/>
    <w:p>
      <w:pPr>
        <w:pStyle w:val="Heading3"/>
      </w:pPr>
      <w:r>
        <w:t xml:space="preserve">3.4 Le speckle et son filtrage (Lee)</w:t>
      </w:r>
    </w:p>
    <w:p>
      <w:pPr>
        <w:pStyle w:val="FirstParagraph"/>
      </w:pPr>
      <w:r>
        <w:rPr>
          <w:b/>
          <w:bCs/>
        </w:rPr>
        <w:t xml:space="preserve">Nature du speckle.</w:t>
      </w:r>
      <w:r>
        <w:t xml:space="preserve"> </w:t>
      </w:r>
      <w:r>
        <w:t xml:space="preserve">Le SAR est un système cohérent : les ondes issues de nombreux points d’une même « cellule » (pixel) interfèrent entre elles. Ces interférences aléatoires produisent un grain très marbré, appelé</w:t>
      </w:r>
      <w:r>
        <w:t xml:space="preserve"> </w:t>
      </w:r>
      <w:r>
        <w:rPr>
          <w:b/>
          <w:bCs/>
        </w:rPr>
        <w:t xml:space="preserve">speckle</w:t>
      </w:r>
      <w:r>
        <w:t xml:space="preserve">, qui donne l’aspect “sel/poivre” aux images SAR. Plus la résolution est fine, plus le speckle est fort. Il s’agit d’un bruit multiplicatif. Dans une image non filtrée, il masque les détails de texture et peut déclencher de faux détecteurs (un point de speckle fort pourrait ressembler à un petit bateau).</w:t>
      </w:r>
    </w:p>
    <w:p>
      <w:pPr>
        <w:pStyle w:val="BodyText"/>
      </w:pPr>
      <w:r>
        <w:rPr>
          <w:b/>
          <w:bCs/>
        </w:rPr>
        <w:t xml:space="preserve">Impact sur YOLOv8.</w:t>
      </w:r>
      <w:r>
        <w:t xml:space="preserve"> </w:t>
      </w:r>
      <w:r>
        <w:t xml:space="preserve">Le speckle agit comme un bruit très granuleux : il peut créer des taches brillantes (FP) ou noires (FN) partout, augmentant les fausses alertes dans l’océan. Il est donc naturel d’essayer de le réduire avant détection.</w:t>
      </w:r>
    </w:p>
    <w:p>
      <w:pPr>
        <w:pStyle w:val="BodyText"/>
      </w:pPr>
      <w:r>
        <w:rPr>
          <w:b/>
          <w:bCs/>
        </w:rPr>
        <w:t xml:space="preserve">Filtre de Lee.</w:t>
      </w:r>
      <w:r>
        <w:t xml:space="preserve"> </w:t>
      </w:r>
      <w:r>
        <w:t xml:space="preserve">C’est un filtre adaptatif classique pour le SAR. Il repose sur l’hypothèse qu’à l’intérieur d’un petit voisinage (par ex. 5×5 ou 7×7), le speckle a une variance connue (selon le nombre de looks), et que la région peut être homogène ou non. L’algorithme fait :</w:t>
      </w:r>
    </w:p>
    <w:p>
      <w:pPr>
        <w:pStyle w:val="Compact"/>
        <w:numPr>
          <w:ilvl w:val="0"/>
          <w:numId w:val="1011"/>
        </w:numPr>
      </w:pPr>
      <w:r>
        <w:t xml:space="preserve">Calculer la moyenne locale μ_loc dans la fenêtre.</w:t>
      </w:r>
    </w:p>
    <w:p>
      <w:pPr>
        <w:pStyle w:val="Compact"/>
        <w:numPr>
          <w:ilvl w:val="0"/>
          <w:numId w:val="1011"/>
        </w:numPr>
      </w:pPr>
      <w:r>
        <w:t xml:space="preserve">Calculer la variance locale σ_loc² du signal. On connaît aussi la variance du speckle σ_n² (=1/Nlooks dans l’idéal).</w:t>
      </w:r>
    </w:p>
    <w:p>
      <w:pPr>
        <w:pStyle w:val="Compact"/>
        <w:numPr>
          <w:ilvl w:val="0"/>
          <w:numId w:val="1011"/>
        </w:numPr>
      </w:pPr>
      <w:r>
        <w:t xml:space="preserve">Définir un</w:t>
      </w:r>
      <w:r>
        <w:t xml:space="preserve"> </w:t>
      </w:r>
      <w:r>
        <w:rPr>
          <w:b/>
          <w:bCs/>
        </w:rPr>
        <w:t xml:space="preserve">poids adaptatif</w:t>
      </w:r>
      <w:r>
        <w:t xml:space="preserve"> </w:t>
      </w:r>
      <w:r>
        <w:t xml:space="preserve">W = σ_signal² / σ_loc², où σ_signal² = max(σ_loc² – σ_n², 0). Cela mesure quel pourcentage de la variance locale est due au signal réel.</w:t>
      </w:r>
    </w:p>
    <w:p>
      <w:pPr>
        <w:pStyle w:val="Compact"/>
        <w:numPr>
          <w:ilvl w:val="0"/>
          <w:numId w:val="1011"/>
        </w:numPr>
      </w:pPr>
      <w:r>
        <w:t xml:space="preserve">Mettre à jour chaque pixel selon :</w:t>
      </w:r>
      <w:r>
        <w:br/>
      </w:r>
      <w:r>
        <w:t xml:space="preserve">$$ I_{\text{filtré}} = μ_{\text{loc}} + W\,(I_{\text{brut}} - μ_{\text{loc}}). $$</w:t>
      </w:r>
      <w:r>
        <w:br/>
      </w:r>
      <w:r>
        <w:t xml:space="preserve">Si la région est très homogène (σ_loc² ≈ σ_n²), alors W ≈ 0 et on remplace quasiment par la moyenne locale (beaucoup de lissage). Si la variance locale est grande (bord ou objet), W ≈ 1 et on garde la valeur originale (on préserve le détail).</w:t>
      </w:r>
    </w:p>
    <w:p>
      <w:pPr>
        <w:pStyle w:val="FirstParagraph"/>
      </w:pPr>
      <w:r>
        <w:t xml:space="preserve">Le résultat est donc un lissage</w:t>
      </w:r>
      <w:r>
        <w:t xml:space="preserve"> </w:t>
      </w:r>
      <w:r>
        <w:rPr>
          <w:b/>
          <w:bCs/>
        </w:rPr>
        <w:t xml:space="preserve">adaptatif</w:t>
      </w:r>
      <w:r>
        <w:t xml:space="preserve"> : on supprime le speckle dans les zones uniformes, mais on ménage les bords des objets. En pratique :</w:t>
      </w:r>
    </w:p>
    <w:p>
      <w:pPr>
        <w:pStyle w:val="Compact"/>
        <w:numPr>
          <w:ilvl w:val="0"/>
          <w:numId w:val="1012"/>
        </w:numPr>
      </w:pPr>
      <w:r>
        <w:rPr>
          <w:b/>
          <w:bCs/>
        </w:rPr>
        <w:t xml:space="preserve">Lee 5×5 vs 7×7</w:t>
      </w:r>
      <w:r>
        <w:t xml:space="preserve"> : plus la fenêtre est grande, plus le lissage est fort (moins de speckle) mais plus on floute les petits objets. Une fenêtre 5×5 préserve mieux les petites cibles, 7×7 lisse plus le bruit.</w:t>
      </w:r>
    </w:p>
    <w:p>
      <w:pPr>
        <w:pStyle w:val="Compact"/>
        <w:numPr>
          <w:ilvl w:val="0"/>
          <w:numId w:val="1012"/>
        </w:numPr>
      </w:pPr>
      <w:r>
        <w:rPr>
          <w:b/>
          <w:bCs/>
        </w:rPr>
        <w:t xml:space="preserve">Supériorité sur un filtre boxcar</w:t>
      </w:r>
      <w:r>
        <w:t xml:space="preserve"> : le boxcar simple fait la moyenne partout, y compris au bord des navires (brouillant les limites). Lee, grâce au poids W, permet de</w:t>
      </w:r>
      <w:r>
        <w:t xml:space="preserve"> </w:t>
      </w:r>
      <w:r>
        <w:rPr>
          <w:b/>
          <w:bCs/>
        </w:rPr>
        <w:t xml:space="preserve">conserver les contours</w:t>
      </w:r>
      <w:r>
        <w:t xml:space="preserve"> </w:t>
      </w:r>
      <w:r>
        <w:t xml:space="preserve">plutôt que de tout moyenniser aveuglément.</w:t>
      </w:r>
    </w:p>
    <w:p>
      <w:pPr>
        <w:pStyle w:val="FirstParagraph"/>
      </w:pPr>
      <w:r>
        <w:rPr>
          <w:b/>
          <w:bCs/>
        </w:rPr>
        <w:t xml:space="preserve">Limites du filtrage.</w:t>
      </w:r>
      <w:r>
        <w:t xml:space="preserve"> </w:t>
      </w:r>
      <w:r>
        <w:t xml:space="preserve">Filtrer le speckle améliore la précision de localisation grossière, mais un excès de lissage peut empêcher de détecter les plus petits navires (ils disparaissent dans la moyenne). C’est un compromis : le speckle éliminé est bon pour réduire les FP, mais une résolution spatiale dégradée peut augmenter les FN sur cibles minuscules. C’est souvent observé qu’un filtre trop fort (grande fenêtre) abîme les performances sur petits bateaux.</w:t>
      </w:r>
    </w:p>
    <w:p>
      <w:pPr>
        <w:pStyle w:val="Compact"/>
        <w:numPr>
          <w:ilvl w:val="0"/>
          <w:numId w:val="1013"/>
        </w:numPr>
      </w:pPr>
      <w:r>
        <w:rPr>
          <w:i/>
          <w:iCs/>
        </w:rPr>
        <w:t xml:space="preserve">Synthèse du filtre Lee :</w:t>
      </w:r>
      <w:r>
        <w:t xml:space="preserve"> </w:t>
      </w:r>
      <w:r>
        <w:t xml:space="preserve">c’est un filtre local</w:t>
      </w:r>
      <w:r>
        <w:t xml:space="preserve"> </w:t>
      </w:r>
      <w:r>
        <w:rPr>
          <w:b/>
          <w:bCs/>
        </w:rPr>
        <w:t xml:space="preserve">adaptatif</w:t>
      </w:r>
      <w:r>
        <w:t xml:space="preserve"> </w:t>
      </w:r>
      <w:r>
        <w:t xml:space="preserve">qui n’applique pas la même opération partout. Contrairement à un flou uniforme, Lee limite le lissage quand il détecte des différences locales élevées (il est donc « intelligent »).</w:t>
      </w:r>
    </w:p>
    <w:p>
      <w:pPr>
        <w:pStyle w:val="Compact"/>
        <w:numPr>
          <w:ilvl w:val="0"/>
          <w:numId w:val="1013"/>
        </w:numPr>
      </w:pPr>
      <w:r>
        <w:rPr>
          <w:i/>
          <w:iCs/>
        </w:rPr>
        <w:t xml:space="preserve">Observations :</w:t>
      </w:r>
      <w:r>
        <w:t xml:space="preserve"> </w:t>
      </w:r>
      <w:r>
        <w:t xml:space="preserve">Si on souhaite maximiser le rappel (recall), on choisira plutôt Lee 5×5. Pour réduire fortement le bruit (et donc les false alarms), on pourra tester 7×7, au risque de perdre les plus petits. Cette décision dépendra de l’application et des tailles de navires ciblés.</w:t>
      </w:r>
    </w:p>
    <w:p>
      <w:pPr>
        <w:pStyle w:val="Compact"/>
        <w:numPr>
          <w:ilvl w:val="0"/>
          <w:numId w:val="1013"/>
        </w:numPr>
      </w:pPr>
      <w:r>
        <w:rPr>
          <w:b/>
          <w:bCs/>
        </w:rPr>
        <w:t xml:space="preserve">Formule détaillée :</w:t>
      </w:r>
      <w:r>
        <w:t xml:space="preserve"> </w:t>
      </w:r>
      <w:r>
        <w:t xml:space="preserve">Dans Lee, W = (σ_loc² - σ_n²) / σ_loc², donc</w:t>
      </w:r>
      <w:r>
        <w:t xml:space="preserve"> </w:t>
      </w:r>
      <w:r>
        <w:t xml:space="preserve">$I_{\text{filtré}} = μ_{\text{loc}} + W\,(I_{\text{brut}} - μ_{\text{loc}})\,$. Si σ_loc² ≤ σ_n², on met W=0 (somme homogène).</w:t>
      </w:r>
    </w:p>
    <w:bookmarkEnd w:id="29"/>
    <w:bookmarkStart w:id="30" w:name="conversion-logarithmique-db"/>
    <w:p>
      <w:pPr>
        <w:pStyle w:val="Heading3"/>
      </w:pPr>
      <w:r>
        <w:t xml:space="preserve">3.5 Conversion logarithmique (dB)</w:t>
      </w:r>
    </w:p>
    <w:p>
      <w:pPr>
        <w:pStyle w:val="FirstParagraph"/>
      </w:pPr>
      <w:r>
        <w:t xml:space="preserve">Après calibration on a σ⁰ linéaire (très petit &lt;1 pour mer). On convertit en décibels :</w:t>
      </w:r>
      <w:r>
        <w:br/>
      </w:r>
    </w:p>
    <w:p>
      <w:pPr>
        <w:pStyle w:val="BodyText"/>
      </w:pPr>
      <m:oMathPara>
        <m:oMathParaPr>
          <m:jc m:val="center"/>
        </m:oMathParaPr>
        <m:oMath>
          <m:sSub>
            <m:e>
              <m:r>
                <m:t>I</m:t>
              </m:r>
            </m:e>
            <m:sub>
              <m:r>
                <m:rPr>
                  <m:nor/>
                  <m:sty m:val="p"/>
                </m:rPr>
                <m:t>dB</m:t>
              </m:r>
            </m:sub>
          </m:sSub>
          <m:r>
            <m:rPr>
              <m:sty m:val="p"/>
            </m:rPr>
            <m:t>=</m:t>
          </m:r>
          <m:r>
            <m:t>10</m:t>
          </m:r>
          <m:sSub>
            <m:e>
              <m:r>
                <m:rPr>
                  <m:sty m:val="p"/>
                </m:rPr>
                <m:t>log</m:t>
              </m:r>
            </m:e>
            <m:sub>
              <m:r>
                <m:t>10</m:t>
              </m:r>
            </m:sub>
          </m:sSub>
          <m:d>
            <m:dPr>
              <m:begChr m:val="("/>
              <m:sepChr m:val=""/>
              <m:endChr m:val=")"/>
              <m:grow/>
            </m:dPr>
            <m:e>
              <m:sSup>
                <m:e>
                  <m:r>
                    <m:t>σ</m:t>
                  </m:r>
                </m:e>
                <m:sup>
                  <m:r>
                    <m:t>0</m:t>
                  </m:r>
                </m:sup>
              </m:sSup>
              <m:r>
                <m:rPr>
                  <m:sty m:val="p"/>
                </m:rPr>
                <m:t>+</m:t>
              </m:r>
              <m:r>
                <m:t>ε</m:t>
              </m:r>
            </m:e>
          </m:d>
          <m:r>
            <m:rPr>
              <m:sty m:val="p"/>
            </m:rPr>
            <m:t>.</m:t>
          </m:r>
        </m:oMath>
      </m:oMathPara>
    </w:p>
    <w:p>
      <w:pPr>
        <w:pStyle w:val="FirstParagraph"/>
      </w:pPr>
      <w:r>
        <w:t xml:space="preserve">On ajoute un ε (p. ex. 1e-12) pour éviter un log(0). Cette conversion a deux avantages :</w:t>
      </w:r>
    </w:p>
    <w:p>
      <w:pPr>
        <w:pStyle w:val="Compact"/>
        <w:numPr>
          <w:ilvl w:val="0"/>
          <w:numId w:val="1014"/>
        </w:numPr>
      </w:pPr>
      <w:r>
        <w:rPr>
          <w:b/>
          <w:bCs/>
        </w:rPr>
        <w:t xml:space="preserve">Dynamique compressée :</w:t>
      </w:r>
      <w:r>
        <w:t xml:space="preserve"> </w:t>
      </w:r>
      <w:r>
        <w:t xml:space="preserve">Une plage linéaire de 0.001–1 devient environ –30 dB à 0 dB. Ainsi la forte disparité de valeurs (plusieurs ordres de grandeur) est ramenée à une échelle de quelques dizaines de dB. Cela facilite la visualisation et l’entraînement de réseaux, qui ne gèrent pas bien des amplitudes brutes très faibles.</w:t>
      </w:r>
    </w:p>
    <w:p>
      <w:pPr>
        <w:pStyle w:val="Compact"/>
        <w:numPr>
          <w:ilvl w:val="0"/>
          <w:numId w:val="1014"/>
        </w:numPr>
      </w:pPr>
      <w:r>
        <w:rPr>
          <w:b/>
          <w:bCs/>
        </w:rPr>
        <w:t xml:space="preserve">Suavité accentuée :</w:t>
      </w:r>
      <w:r>
        <w:t xml:space="preserve"> </w:t>
      </w:r>
      <w:r>
        <w:t xml:space="preserve">Les différences faibles sont plus perceptibles en dB. Par exemple, deux σ⁰ 0.01 et 0.001 (un rapport 10x) sont séparés de 10 dB, pas d’un ordre de grandeur. Le réseau voit donc mieux les nuances.</w:t>
      </w:r>
    </w:p>
    <w:p>
      <w:pPr>
        <w:pStyle w:val="FirstParagraph"/>
      </w:pPr>
      <w:r>
        <w:t xml:space="preserve">En mer calme, σ⁰≈0.001 (–30 dB) ; un navire peut avoir σ⁰≈10 (10 dB) ou plus. Après log, ces valeurs se situent dans une plage managable (~[–30 ; +15] dB typiquement) au lieu de [0.001 ; 10]. Cela permet de normaliser linéairement ensuite sur [0,255].</w:t>
      </w:r>
    </w:p>
    <w:p>
      <w:pPr>
        <w:pStyle w:val="Compact"/>
        <w:numPr>
          <w:ilvl w:val="0"/>
          <w:numId w:val="1015"/>
        </w:numPr>
      </w:pPr>
      <w:r>
        <w:rPr>
          <w:i/>
          <w:iCs/>
        </w:rPr>
        <w:t xml:space="preserve">Générateur d’extrêmes :</w:t>
      </w:r>
      <w:r>
        <w:t xml:space="preserve"> </w:t>
      </w:r>
      <w:r>
        <w:t xml:space="preserve">Les très fortes retours (points chauds) ne dominent plus l’histogramme du tout.</w:t>
      </w:r>
    </w:p>
    <w:p>
      <w:pPr>
        <w:pStyle w:val="Compact"/>
        <w:numPr>
          <w:ilvl w:val="0"/>
          <w:numId w:val="1015"/>
        </w:numPr>
      </w:pPr>
      <w:r>
        <w:rPr>
          <w:i/>
          <w:iCs/>
        </w:rPr>
        <w:t xml:space="preserve">Compression utile :</w:t>
      </w:r>
      <w:r>
        <w:t xml:space="preserve"> </w:t>
      </w:r>
      <w:r>
        <w:t xml:space="preserve">Les réseaux convolutifs apprécient souvent des entrées normalisées sur une gamme modérée. En dB, la plage est plus « naturelle » qu’en linéaire.</w:t>
      </w:r>
    </w:p>
    <w:bookmarkEnd w:id="30"/>
    <w:bookmarkStart w:id="31" w:name="normalisation-0255"/>
    <w:p>
      <w:pPr>
        <w:pStyle w:val="Heading3"/>
      </w:pPr>
      <w:r>
        <w:t xml:space="preserve">3.6 Normalisation [0,255]</w:t>
      </w:r>
    </w:p>
    <w:p>
      <w:pPr>
        <w:pStyle w:val="FirstParagraph"/>
      </w:pPr>
      <w:r>
        <w:t xml:space="preserve">Pour présenter à YOLOv8, on convertit en 8 bits (uint8). Trois méthodes sont courantes :</w:t>
      </w:r>
    </w:p>
    <w:p>
      <w:pPr>
        <w:numPr>
          <w:ilvl w:val="0"/>
          <w:numId w:val="1016"/>
        </w:numPr>
      </w:pPr>
      <w:r>
        <w:rPr>
          <w:b/>
          <w:bCs/>
        </w:rPr>
        <w:t xml:space="preserve">Normalisation linéaire.</w:t>
      </w:r>
      <w:r>
        <w:t xml:space="preserve"> </w:t>
      </w:r>
      <w:r>
        <w:t xml:space="preserve">On fixe un seuil min/max sur l’échelle dB (p. ex. db_min=–30, db_max=0 pour images maritimes). On découpe (</w:t>
      </w:r>
      <w:r>
        <w:rPr>
          <w:rStyle w:val="VerbatimChar"/>
        </w:rPr>
        <w:t xml:space="preserve">clip</w:t>
      </w:r>
      <w:r>
        <w:t xml:space="preserve">) les valeurs en dehors puis on redimensionne linéairement sur [0,255] par $(I - \text{db_min})/(\text{db_max}-\text{db_min}) \times 255$. Cette plage est empirique mais tient compte que la mer froide est autour de –25 dB et les plages réfléchissantes montent rarement au-dessus de 0 dB. Si un navire exceptionnel dépasse 0 dB, on le saturera à 255 (bright white). Ce clipping fixe un contraste maximum connu.</w:t>
      </w:r>
    </w:p>
    <w:p>
      <w:pPr>
        <w:numPr>
          <w:ilvl w:val="0"/>
          <w:numId w:val="1016"/>
        </w:numPr>
      </w:pPr>
      <w:r>
        <w:rPr>
          <w:b/>
          <w:bCs/>
        </w:rPr>
        <w:t xml:space="preserve">Normalisation par percentiles.</w:t>
      </w:r>
      <w:r>
        <w:t xml:space="preserve"> </w:t>
      </w:r>
      <w:r>
        <w:t xml:space="preserve">On calcule les percentiles 2% et 98% de l’histogramme de l’image courante et on les utilise comme db_min et db_max. Cela évite que quelques valeurs extrêmes (quelques taches très brillantes ou très sombres) écrasent tout l’échelle. Cette méthode est plus robuste aux outliers.</w:t>
      </w:r>
      <w:r>
        <w:t xml:space="preserve"> </w:t>
      </w:r>
      <w:r>
        <w:rPr>
          <w:b/>
          <w:bCs/>
        </w:rPr>
        <w:t xml:space="preserve">Attention</w:t>
      </w:r>
      <w:r>
        <w:t xml:space="preserve"> </w:t>
      </w:r>
      <w:r>
        <w:t xml:space="preserve">: en normalisant chaque image indépendamment, on introduit un</w:t>
      </w:r>
      <w:r>
        <w:t xml:space="preserve"> </w:t>
      </w:r>
      <w:r>
        <w:rPr>
          <w:b/>
          <w:bCs/>
        </w:rPr>
        <w:t xml:space="preserve">biais de contraste par image</w:t>
      </w:r>
      <w:r>
        <w:t xml:space="preserve"> – deux images identiques dans la vraie vie peuvent aboutir à des maps numériques différentes selon leur distribution interne. Cela accentue le risque de</w:t>
      </w:r>
      <w:r>
        <w:t xml:space="preserve"> </w:t>
      </w:r>
      <w:r>
        <w:rPr>
          <w:i/>
          <w:iCs/>
        </w:rPr>
        <w:t xml:space="preserve">domain shift</w:t>
      </w:r>
      <w:r>
        <w:t xml:space="preserve"> </w:t>
      </w:r>
      <w:r>
        <w:t xml:space="preserve">(voir Axe 4), car le modèle voit des intensités relatives différente d’une image à l’autre. C’est le compromis habituelle robustesse-vs-uniformité.</w:t>
      </w:r>
    </w:p>
    <w:p>
      <w:pPr>
        <w:numPr>
          <w:ilvl w:val="0"/>
          <w:numId w:val="1016"/>
        </w:numPr>
      </w:pPr>
      <w:r>
        <w:rPr>
          <w:b/>
          <w:bCs/>
        </w:rPr>
        <w:t xml:space="preserve">Égalisation d’histogramme.</w:t>
      </w:r>
      <w:r>
        <w:t xml:space="preserve"> </w:t>
      </w:r>
      <w:r>
        <w:t xml:space="preserve">C’est une forme plus extrême de normalisation : on remet à plat l’histogramme de l’image pour qu’il soit uniformément réparti. Concrètement, cela étire les zones sombres et claires pour améliorer le contraste général. L’égalisation était utilisée dans la création du jeu de données iVision-MRSSD (synthetic)【51†L1-L4】, donc entraîner sur des images égalisées peut aider à "mimer" ce jeu de données.</w:t>
      </w:r>
      <w:r>
        <w:t xml:space="preserve"> </w:t>
      </w:r>
      <w:r>
        <w:rPr>
          <w:i/>
          <w:iCs/>
        </w:rPr>
        <w:t xml:space="preserve">Attention</w:t>
      </w:r>
      <w:r>
        <w:t xml:space="preserve"> : en inférence sur des images réelles, appliquer l’égalisation peut réintroduire des déformations (change la relation physique vraie entre valeurs), et si le modèle attendait l’échelle globale dB au lieu d’une distribution plate, cela peut heurter la précision. Généralement, l’égalisation est plutôt un outil de post-traitement visuel ou pour la préparation de certains datasets synthétiques.</w:t>
      </w:r>
    </w:p>
    <w:p>
      <w:pPr>
        <w:numPr>
          <w:ilvl w:val="0"/>
          <w:numId w:val="1016"/>
        </w:numPr>
      </w:pPr>
      <w:r>
        <w:rPr>
          <w:i/>
          <w:iCs/>
        </w:rPr>
        <w:t xml:space="preserve">Erreur de débutant :</w:t>
      </w:r>
      <w:r>
        <w:t xml:space="preserve"> </w:t>
      </w:r>
      <w:r>
        <w:t xml:space="preserve">Mélanger les méthodes de normalisation entre entraînement et test (par ex. entraîner sur images égalisées et tester sur images linéairement normalisées) casse la cohérence.</w:t>
      </w:r>
    </w:p>
    <w:bookmarkEnd w:id="31"/>
    <w:bookmarkStart w:id="32" w:name="découpage-en-tuiles-tiling"/>
    <w:p>
      <w:pPr>
        <w:pStyle w:val="Heading3"/>
      </w:pPr>
      <w:r>
        <w:t xml:space="preserve">3.7 Découpage en tuiles (tiling)</w:t>
      </w:r>
    </w:p>
    <w:p>
      <w:pPr>
        <w:pStyle w:val="FirstParagraph"/>
      </w:pPr>
      <w:r>
        <w:t xml:space="preserve">Une scène Sentinel-1 IW (~25 000×16 000 px) est énorme. YOLOv8 ne peut accepter qu’un input de taille fixe (p.ex. 512×512). Il faut donc diviser l’image en</w:t>
      </w:r>
      <w:r>
        <w:t xml:space="preserve"> </w:t>
      </w:r>
      <w:r>
        <w:rPr>
          <w:b/>
          <w:bCs/>
        </w:rPr>
        <w:t xml:space="preserve">tuiles</w:t>
      </w:r>
      <w:r>
        <w:t xml:space="preserve"> </w:t>
      </w:r>
      <w:r>
        <w:t xml:space="preserve">(patchs) plus petites. On utilise généralement des tuiles de 512×512 px (ou 1024×1024), car c’est la taille confortable pour le GPU.</w:t>
      </w:r>
    </w:p>
    <w:p>
      <w:pPr>
        <w:pStyle w:val="BodyText"/>
      </w:pPr>
      <w:r>
        <w:t xml:space="preserve">Pour ne pas perdre d’objets sur les bords de tuiles, on fait un</w:t>
      </w:r>
      <w:r>
        <w:t xml:space="preserve"> </w:t>
      </w:r>
      <w:r>
        <w:rPr>
          <w:b/>
          <w:bCs/>
        </w:rPr>
        <w:t xml:space="preserve">recouvrement</w:t>
      </w:r>
      <w:r>
        <w:t xml:space="preserve"> </w:t>
      </w:r>
      <w:r>
        <w:t xml:space="preserve">(par exemple 50%). Sans recouvrement, un gros navire sur la frontière de deux tuiles serait coupé en deux, et YOLO pourrait ne pas détecter les moitiés (ou en détecter qu’une partie). Avec 50% de recouvrement, chaque navire entier se retrouve dans au moins une tuile centrale. On gère ensuite les détections dupliquées (sur les zones chevauchantes) avec du NMS (non-maximum suppression) : si deux boîtes prédisent le même navire, on en garde une seule.</w:t>
      </w:r>
    </w:p>
    <w:p>
      <w:pPr>
        <w:pStyle w:val="BodyText"/>
      </w:pPr>
      <w:r>
        <w:t xml:space="preserve">Enfin, on ignore les tuiles trop « blanches » (ex. &gt;30% de pixels NoData ou d’eau claire sans aucun signal) pour ne pas faire perdre de temps au modèle.</w:t>
      </w:r>
    </w:p>
    <w:p>
      <w:pPr>
        <w:pStyle w:val="Compact"/>
        <w:numPr>
          <w:ilvl w:val="0"/>
          <w:numId w:val="1017"/>
        </w:numPr>
      </w:pPr>
      <w:r>
        <w:rPr>
          <w:i/>
          <w:iCs/>
        </w:rPr>
        <w:t xml:space="preserve">Synthèse :</w:t>
      </w:r>
      <w:r>
        <w:t xml:space="preserve"> </w:t>
      </w:r>
      <w:r>
        <w:t xml:space="preserve">Le tiling et le recouvrement sont une étape purement technique pour adapter la taille de l’image aux besoins du réseau, tout en s’assurant que chaque navire complet est traité.</w:t>
      </w:r>
    </w:p>
    <w:bookmarkEnd w:id="32"/>
    <w:bookmarkEnd w:id="33"/>
    <w:bookmarkStart w:id="38" w:name="Xd0ae285e4c0ff8786c90f377fec484d4deacb1b"/>
    <w:p>
      <w:pPr>
        <w:pStyle w:val="Heading2"/>
      </w:pPr>
      <w:r>
        <w:t xml:space="preserve">AXE 4 – Benchmark des pipelines et métriques</w:t>
      </w:r>
    </w:p>
    <w:bookmarkStart w:id="34" w:name="domain-shift"/>
    <w:p>
      <w:pPr>
        <w:pStyle w:val="Heading3"/>
      </w:pPr>
      <w:r>
        <w:t xml:space="preserve">4.1 Domain shift</w:t>
      </w:r>
    </w:p>
    <w:p>
      <w:pPr>
        <w:pStyle w:val="FirstParagraph"/>
      </w:pPr>
      <w:r>
        <w:t xml:space="preserve">Le</w:t>
      </w:r>
      <w:r>
        <w:t xml:space="preserve"> </w:t>
      </w:r>
      <w:r>
        <w:rPr>
          <w:b/>
          <w:bCs/>
        </w:rPr>
        <w:t xml:space="preserve">domain shift</w:t>
      </w:r>
      <w:r>
        <w:t xml:space="preserve"> </w:t>
      </w:r>
      <w:r>
        <w:t xml:space="preserve">désigne la différence de distribution entre le jeu d’entraînement et le jeu de test. Ici, entraîner un modèle sur des images SAR synthétiques (ex. iVision-MRSSD) et l’appliquer à du Sentinel-1 réel peut échouer si les propriétés statistiques diffèrent. Par exemple, la plage d’intensités (histogramme des valeurs dB) peut varier d’un dataset à l’autre. Un navire apparaissant à –5 dB sur les données synthétiques pourrait être à –2 dB sur les réelles. Le</w:t>
      </w:r>
      <w:r>
        <w:t xml:space="preserve"> </w:t>
      </w:r>
      <w:r>
        <w:rPr>
          <w:i/>
          <w:iCs/>
        </w:rPr>
        <w:t xml:space="preserve">zero-shot domain transfer</w:t>
      </w:r>
      <w:r>
        <w:t xml:space="preserve"> </w:t>
      </w:r>
      <w:r>
        <w:t xml:space="preserve">consiste à appliquer sans réentraînement un modèle sur un nouveau domaine – c’est ce qui est testé ici. C’est scientifiquement intéressant car si un modèle apprend des caractéristiques vraiment générales (pas spécifiques au bruit synthétique), il devrait fonctionner même sans ajustement. Mais souvent, si la distribution d’intensités ou de textures est différente, la performance plonge.</w:t>
      </w:r>
    </w:p>
    <w:p>
      <w:pPr>
        <w:pStyle w:val="BodyText"/>
      </w:pPr>
      <w:r>
        <w:t xml:space="preserve">En bref, la répartition d’intensités (histogramme) d’une image Sentinel-1 prétraitée peut ne pas ressembler à celle des images iVision-MRSSD utilisées pour l’entraînement. D’où l’idée de tester plusieurs pipelines de prétraitement pour rapprocher ces distributions. Le pipeline qui minimisera le plus le</w:t>
      </w:r>
      <w:r>
        <w:t xml:space="preserve"> </w:t>
      </w:r>
      <w:r>
        <w:rPr>
          <w:b/>
          <w:bCs/>
        </w:rPr>
        <w:t xml:space="preserve">KS-test</w:t>
      </w:r>
      <w:r>
        <w:t xml:space="preserve"> </w:t>
      </w:r>
      <w:r>
        <w:t xml:space="preserve">(Kolmogorov-Smirnov) entre les deux histogrammes devrait selon l’hypothèse offrir le meilleur transfert (mAP maxi). Cela vérifie l’intuition que des prétraitements réduisant le gap statistique des données augmentent la robustesse du modèle.</w:t>
      </w:r>
    </w:p>
    <w:bookmarkEnd w:id="34"/>
    <w:bookmarkStart w:id="35" w:name="les-4-pipelines-testés"/>
    <w:p>
      <w:pPr>
        <w:pStyle w:val="Heading3"/>
      </w:pPr>
      <w:r>
        <w:t xml:space="preserve">4.2 Les 4 pipelines testés</w:t>
      </w:r>
    </w:p>
    <w:p>
      <w:pPr>
        <w:pStyle w:val="FirstParagraph"/>
      </w:pPr>
      <w:r>
        <w:t xml:space="preserve">Chaque pipeline ajoute une étape :</w:t>
      </w:r>
    </w:p>
    <w:p>
      <w:pPr>
        <w:pStyle w:val="Compact"/>
        <w:numPr>
          <w:ilvl w:val="0"/>
          <w:numId w:val="1018"/>
        </w:numPr>
      </w:pPr>
      <w:r>
        <w:rPr>
          <w:b/>
          <w:bCs/>
        </w:rPr>
        <w:t xml:space="preserve">Pipeline A (Raw)</w:t>
      </w:r>
      <w:r>
        <w:t xml:space="preserve"> </w:t>
      </w:r>
      <w:r>
        <w:t xml:space="preserve">: on passe les DN uint16 bruts (normalisés par ex. [0,255] de manière quelconque) directement à YOLO. Hypothèse : peut-être que le réseau apprend quand même malgré le bruit et les biais ? C’est hautement contestable. Ce pipeline teste l’importance absolue de la calibration.</w:t>
      </w:r>
    </w:p>
    <w:p>
      <w:pPr>
        <w:pStyle w:val="Compact"/>
        <w:numPr>
          <w:ilvl w:val="0"/>
          <w:numId w:val="1018"/>
        </w:numPr>
      </w:pPr>
      <w:r>
        <w:rPr>
          <w:b/>
          <w:bCs/>
        </w:rPr>
        <w:t xml:space="preserve">Pipeline B (σ⁰)</w:t>
      </w:r>
      <w:r>
        <w:t xml:space="preserve"> </w:t>
      </w:r>
      <w:r>
        <w:t xml:space="preserve">: on applique la calibration radiométrique complète (σ⁰) mais sans filtre ni log. Hypothèse : cette calibration devrait enlever un gros biais système, donc améliorer le transfert par rapport au brut.</w:t>
      </w:r>
    </w:p>
    <w:p>
      <w:pPr>
        <w:pStyle w:val="Compact"/>
        <w:numPr>
          <w:ilvl w:val="0"/>
          <w:numId w:val="1018"/>
        </w:numPr>
      </w:pPr>
      <w:r>
        <w:rPr>
          <w:b/>
          <w:bCs/>
        </w:rPr>
        <w:t xml:space="preserve">Pipeline C (σ⁰ + Lee)</w:t>
      </w:r>
      <w:r>
        <w:t xml:space="preserve"> </w:t>
      </w:r>
      <w:r>
        <w:t xml:space="preserve">: on ajoute le filtrage Lee au pipeline précédent. Hypothèse : la réduction du speckle devrait diminuer les fausses détections sur la mer et faciliter la détection des navires. En revanche, on teste aussi la contre-hypothèse qu’un tel filtrage puisse « lisser » les petits navires (pics) et donc réduire la détection des plus petits (FN up). C’est un compromis.</w:t>
      </w:r>
    </w:p>
    <w:p>
      <w:pPr>
        <w:pStyle w:val="Compact"/>
        <w:numPr>
          <w:ilvl w:val="0"/>
          <w:numId w:val="1018"/>
        </w:numPr>
      </w:pPr>
      <w:r>
        <w:rPr>
          <w:b/>
          <w:bCs/>
        </w:rPr>
        <w:t xml:space="preserve">Pipeline D (σ⁰ + Lee + log)</w:t>
      </w:r>
      <w:r>
        <w:t xml:space="preserve"> </w:t>
      </w:r>
      <w:r>
        <w:t xml:space="preserve">: on ajoute enfin la compression log. Hypothèse : la conversion en dB normalise la dynamique, rendant les inputs plus proches de l’échelle attendue par le réseau (qui a été entraîné sur des images généralement en log). Ce pipeline devrait donner la meilleure performance générale (assumant que les données sont plus « dans la même échelle » que l’entraînement), améliorant à la fois précision et rappel.</w:t>
      </w:r>
    </w:p>
    <w:p>
      <w:pPr>
        <w:pStyle w:val="FirstParagraph"/>
      </w:pPr>
      <w:r>
        <w:t xml:space="preserve">Chaque pipeline teste donc une hypothèse sur l’utilité des traitements de base pour réduire le</w:t>
      </w:r>
      <w:r>
        <w:t xml:space="preserve"> </w:t>
      </w:r>
      <w:r>
        <w:rPr>
          <w:i/>
          <w:iCs/>
        </w:rPr>
        <w:t xml:space="preserve">domain shift</w:t>
      </w:r>
      <w:r>
        <w:t xml:space="preserve"> </w:t>
      </w:r>
      <w:r>
        <w:t xml:space="preserve">et le bruit. On compare ensuite leurs scores sur les mêmes données pour tirer des conclusions.</w:t>
      </w:r>
    </w:p>
    <w:bookmarkEnd w:id="35"/>
    <w:bookmarkStart w:id="36" w:name="métriques-du-benchmark"/>
    <w:p>
      <w:pPr>
        <w:pStyle w:val="Heading3"/>
      </w:pPr>
      <w:r>
        <w:t xml:space="preserve">4.3 Métriques du benchmark</w:t>
      </w:r>
    </w:p>
    <w:p>
      <w:pPr>
        <w:pStyle w:val="FirstParagraph"/>
      </w:pPr>
      <w:r>
        <w:t xml:space="preserve">Pour évaluer la détection de navires, on utilise :</w:t>
      </w:r>
    </w:p>
    <w:p>
      <w:pPr>
        <w:numPr>
          <w:ilvl w:val="0"/>
          <w:numId w:val="1019"/>
        </w:numPr>
      </w:pPr>
      <w:r>
        <w:rPr>
          <w:b/>
          <w:bCs/>
        </w:rPr>
        <w:t xml:space="preserve">Precision</w:t>
      </w:r>
      <w:r>
        <w:t xml:space="preserve"> </w:t>
      </w:r>
      <w:r>
        <w:t xml:space="preserve">= TP / (TP + FP). Un FP (faux positif) ici est une boîte détectée où il n’y a pas de navire en réalité. Par ex. un blanc de mer ou un motif océanique fort (clutter) ayant déclenché le détecteur. La</w:t>
      </w:r>
      <w:r>
        <w:t xml:space="preserve"> </w:t>
      </w:r>
      <w:r>
        <w:rPr>
          <w:i/>
          <w:iCs/>
        </w:rPr>
        <w:t xml:space="preserve">pollution du domaine maritime</w:t>
      </w:r>
      <w:r>
        <w:t xml:space="preserve"> </w:t>
      </w:r>
      <w:r>
        <w:t xml:space="preserve">(vagues, écume, particules flottantes) est la principale source de FP. Une bonne précision signifie peu de fausses alertes (environnement plus propre).</w:t>
      </w:r>
    </w:p>
    <w:p>
      <w:pPr>
        <w:numPr>
          <w:ilvl w:val="0"/>
          <w:numId w:val="1019"/>
        </w:numPr>
      </w:pPr>
      <w:r>
        <w:rPr>
          <w:b/>
          <w:bCs/>
        </w:rPr>
        <w:t xml:space="preserve">Recall</w:t>
      </w:r>
      <w:r>
        <w:t xml:space="preserve"> </w:t>
      </w:r>
      <w:r>
        <w:t xml:space="preserve">= TP / (TP + FN). Un FN (faux négatif) est un navire présent sur l’image non détecté par l’algorithme. En surveillance maritime,</w:t>
      </w:r>
      <w:r>
        <w:t xml:space="preserve"> </w:t>
      </w:r>
      <w:r>
        <w:rPr>
          <w:b/>
          <w:bCs/>
        </w:rPr>
        <w:t xml:space="preserve">rater un navire</w:t>
      </w:r>
      <w:r>
        <w:t xml:space="preserve"> </w:t>
      </w:r>
      <w:r>
        <w:t xml:space="preserve">peut avoir des conséquences graves (sécurité, pêche illégale, etc.), donc le recall est crucial. Un rappel élevé signifie qu’on ne laisse pas échapper les bateaux. Les petits navires ou les navires très sombres sont la principale difficulté conduisant à des FN.</w:t>
      </w:r>
    </w:p>
    <w:p>
      <w:pPr>
        <w:numPr>
          <w:ilvl w:val="0"/>
          <w:numId w:val="1019"/>
        </w:numPr>
      </w:pPr>
      <w:r>
        <w:rPr>
          <w:b/>
          <w:bCs/>
        </w:rPr>
        <w:t xml:space="preserve">mAP@0.5</w:t>
      </w:r>
      <w:r>
        <w:t xml:space="preserve"> </w:t>
      </w:r>
      <w:r>
        <w:t xml:space="preserve">(mean Average Precision à IoU≥0.5) : L’IoU (Intersection over Union) mesure la qualité de localisation d’une prédiction : IoU = (surface inter) / (surface union) entre boîte prédite et boîte vérité. Un IoU≥0.5 est la condition classique pour considérer une détection comme correcte. L’AP (Average Precision) pour la classe “navire” est l’aire sous la courbe précision-recall obtenue en balayant le seuil de confiance. Puisqu’il n’y a qu’une classe, mAP = AP. Cette métrique combine précision et rappel en une seule valeur. Un mAP@0.5 élevé veut dire que le modèle détecte bien la plupart des navires (rappel) tout en limitant les fausses alarmes. On dit « @0.5 » car on fixe IoU threshold=0.5.</w:t>
      </w:r>
    </w:p>
    <w:p>
      <w:pPr>
        <w:numPr>
          <w:ilvl w:val="0"/>
          <w:numId w:val="1019"/>
        </w:numPr>
      </w:pPr>
      <w:r>
        <w:rPr>
          <w:b/>
          <w:bCs/>
        </w:rPr>
        <w:t xml:space="preserve">mAP@0.5:0.95</w:t>
      </w:r>
      <w:r>
        <w:t xml:space="preserve"> : c’est la moyenne des AP calculés pour IoU thresholds de 0.50, 0.55, …, 0.95. En SAR, les navires ont des formes floues ou allongées, donc obtenir des IoU très élevées (p.ex. ≥0.75) est difficile. mAP@0.5:0.95 reflète la précision fine de localisation. Si le modèle détecte un navire mais que la boîte englobante est légèrement décalée ou trop grande, les IoU hauts chutent. Un écart important entre mAP@0.5 et mAP@0.5:0.95 indiquerait que les localisations sont approximatives.</w:t>
      </w:r>
    </w:p>
    <w:p>
      <w:pPr>
        <w:numPr>
          <w:ilvl w:val="0"/>
          <w:numId w:val="1019"/>
        </w:numPr>
      </w:pPr>
      <w:r>
        <w:rPr>
          <w:b/>
          <w:bCs/>
        </w:rPr>
        <w:t xml:space="preserve">Test de Kolmogorov-Smirnov (KS)</w:t>
      </w:r>
      <w:r>
        <w:t xml:space="preserve"> : Ce test statistique compare deux distributions empiriques. Ici, on compare l’histogramme (distribution de valeurs de pixel) des tuiles Sentinel-1 prétraitées avec l’histogramme des tuiles du jeu d’entraînement iVision-MRSSD. Le test KS donne une distance (max vertical gap entre CDF) – plus elle est petite, plus les distributions se ressemblent. L’hypothèse à tester est que le pipeline qui minimise la distance KS entre réal et synthétique offrira le meilleur transfert (le plus haut mAP). Si une forte corrélation est observée entre KS faible et mAP élevé, cela validerait que réduire le</w:t>
      </w:r>
      <w:r>
        <w:t xml:space="preserve"> </w:t>
      </w:r>
      <w:r>
        <w:rPr>
          <w:i/>
          <w:iCs/>
        </w:rPr>
        <w:t xml:space="preserve">domain shift</w:t>
      </w:r>
      <w:r>
        <w:t xml:space="preserve"> </w:t>
      </w:r>
      <w:r>
        <w:t xml:space="preserve">radiométrique augmente objectivement la performance. Cela ne prouve pas la causalité formelle, mais c’est un indicateur pertinent d’alignement statistique.</w:t>
      </w:r>
    </w:p>
    <w:bookmarkEnd w:id="36"/>
    <w:bookmarkStart w:id="37" w:name="X8229e7045ccc605ce6770641f11bb5ae6ca72ad"/>
    <w:p>
      <w:pPr>
        <w:pStyle w:val="Heading3"/>
      </w:pPr>
      <w:r>
        <w:t xml:space="preserve">4.4 Ground Truth (truth-set) hybride GFW + annotation manuelle</w:t>
      </w:r>
    </w:p>
    <w:p>
      <w:pPr>
        <w:pStyle w:val="FirstParagraph"/>
      </w:pPr>
      <w:r>
        <w:t xml:space="preserve">Pour calculer mAP, il faut une vérité terrain (“ground truth”) : des boîtes autour des navires réels. Comment l’obtenir ? On combine deux sources :</w:t>
      </w:r>
    </w:p>
    <w:p>
      <w:pPr>
        <w:pStyle w:val="Compact"/>
        <w:numPr>
          <w:ilvl w:val="0"/>
          <w:numId w:val="1020"/>
        </w:numPr>
      </w:pPr>
      <w:r>
        <w:rPr>
          <w:b/>
          <w:bCs/>
        </w:rPr>
        <w:t xml:space="preserve">AIS (Automatic Identification System)</w:t>
      </w:r>
      <w:r>
        <w:t xml:space="preserve"> : Les navires équipés d’AIS émettent en permanence leur position GPS. Global Fishing Watch (GFW) utilise ces données pour inférer la présence de navires sur les images SAR. En associant une position AIS à un pic brillant sur une image, on crée automatiquement une annotation. C’est très efficace pour les gros navires en règle.</w:t>
      </w:r>
    </w:p>
    <w:p>
      <w:pPr>
        <w:numPr>
          <w:ilvl w:val="0"/>
          <w:numId w:val="1020"/>
        </w:numPr>
      </w:pPr>
      <w:r>
        <w:rPr>
          <w:b/>
          <w:bCs/>
        </w:rPr>
        <w:t xml:space="preserve">Limites de l’AIS</w:t>
      </w:r>
      <w:r>
        <w:t xml:space="preserve"> : Les « dark vessels » (bateaux avec l’AIS désactivé, souvent pêche illégale, contrebande…) n’apparaissent pas dans l’AIS. De plus, l’AIS a parfois un décalage temporel et peut mal geolocaliser un navire petit ou rapide. Enfin, un signal AIS sans navire réel (faux signal) crée des faux positifs. Donc</w:t>
      </w:r>
      <w:r>
        <w:t xml:space="preserve"> </w:t>
      </w:r>
      <w:r>
        <w:rPr>
          <w:b/>
          <w:bCs/>
        </w:rPr>
        <w:t xml:space="preserve">l’AIS seule n’est pas suffisante</w:t>
      </w:r>
      <w:r>
        <w:t xml:space="preserve"> </w:t>
      </w:r>
      <w:r>
        <w:t xml:space="preserve">pour les GT SAR.</w:t>
      </w:r>
    </w:p>
    <w:p>
      <w:pPr>
        <w:numPr>
          <w:ilvl w:val="0"/>
          <w:numId w:val="1020"/>
        </w:numPr>
      </w:pPr>
      <w:r>
        <w:rPr>
          <w:b/>
          <w:bCs/>
        </w:rPr>
        <w:t xml:space="preserve">CVAT (Computer Vision Annotation Tool)</w:t>
      </w:r>
      <w:r>
        <w:t xml:space="preserve"> </w:t>
      </w:r>
      <w:r>
        <w:t xml:space="preserve">: c’est un outil d’annotation manuelle. On coupe l’image SAR en petites tuiles faciles à annoter, et on trace des boîtes autour de chaque navire observé (qu’il soit AIS ou non). Le format YOLO standard (texte) est utilisé : chaque ligne « classe x_center y_center width height » normalisé entre 0 et 1.</w:t>
      </w:r>
    </w:p>
    <w:p>
      <w:pPr>
        <w:pStyle w:val="FirstParagraph"/>
      </w:pPr>
      <w:r>
        <w:t xml:space="preserve">Le jeu de vérité final est « hybride GFW+CVAT ». On commence par pré-remplir avec les positions AIS (pour gagner du temps sur les navires évidents), puis on vérifie et complète manuellement avec CVAT (pour les dark vessels et corriger les erreurs AIS). Ce processus est</w:t>
      </w:r>
      <w:r>
        <w:t xml:space="preserve"> </w:t>
      </w:r>
      <w:r>
        <w:rPr>
          <w:b/>
          <w:bCs/>
        </w:rPr>
        <w:t xml:space="preserve">supérieur à du 100% manuel</w:t>
      </w:r>
      <w:r>
        <w:t xml:space="preserve"> </w:t>
      </w:r>
      <w:r>
        <w:t xml:space="preserve">car il réduit le travail sur les gros navires bien marqués et concentre l’expert sur les cas plus douteux. En bout de course, on obtient une liste de boîtes très complète couvrant tous les bateaux identifiables sur l’image, nécessaire pour évaluer TP, FP, FN et donc calculer precisely toutes les métriques (Precision/Recall/AP).</w:t>
      </w:r>
    </w:p>
    <w:p>
      <w:pPr>
        <w:pStyle w:val="Compact"/>
        <w:numPr>
          <w:ilvl w:val="0"/>
          <w:numId w:val="1021"/>
        </w:numPr>
      </w:pPr>
      <w:r>
        <w:rPr>
          <w:i/>
          <w:iCs/>
        </w:rPr>
        <w:t xml:space="preserve">Erreur débutant :</w:t>
      </w:r>
      <w:r>
        <w:t xml:space="preserve"> </w:t>
      </w:r>
      <w:r>
        <w:t xml:space="preserve">Vouloir mesurer un score sur Sentinel-1 sans ground truth, ou en ne prenant que l’AIS brutes, conduirait à biaiser le rappel (on raterait les dark vessels).</w:t>
      </w:r>
    </w:p>
    <w:p>
      <w:pPr>
        <w:pStyle w:val="Compact"/>
        <w:numPr>
          <w:ilvl w:val="0"/>
          <w:numId w:val="1021"/>
        </w:numPr>
      </w:pPr>
      <w:r>
        <w:rPr>
          <w:i/>
          <w:iCs/>
        </w:rPr>
        <w:t xml:space="preserve">Analogie :</w:t>
      </w:r>
      <w:r>
        <w:t xml:space="preserve"> </w:t>
      </w:r>
      <w:r>
        <w:t xml:space="preserve">C’est comme calibrer un détecteur de fumée uniquement sur des feux de cuisine déclarés (AIS) et ignorer les départs d’incendie illégaux (dark vessels). On ne peut pas fiabiliser le détecteur sans données réelles de tous types de feux.</w:t>
      </w:r>
    </w:p>
    <w:bookmarkEnd w:id="37"/>
    <w:bookmarkEnd w:id="38"/>
    <w:bookmarkStart w:id="39" w:name="X927b6fe9aa3abf7b3282e32b03549cb8750d76d"/>
    <w:p>
      <w:pPr>
        <w:pStyle w:val="Heading2"/>
      </w:pPr>
      <w:r>
        <w:t xml:space="preserve">AXE 5 – Windowed processing et gestion de la mémoire</w:t>
      </w:r>
    </w:p>
    <w:p>
      <w:pPr>
        <w:pStyle w:val="FirstParagraph"/>
      </w:pPr>
      <w:r>
        <w:t xml:space="preserve">Une scène IW GRD full-size (~25 000×16 000 px, deux canaux VV+VH) occupe déjà 800 MB par canal en mémoire (25 000×16 000×2 bytes). Pour deux canaux et quelques buffers intermédiaires, on arrive facilement à</w:t>
      </w:r>
      <w:r>
        <w:t xml:space="preserve"> </w:t>
      </w:r>
      <w:r>
        <w:rPr>
          <w:b/>
          <w:bCs/>
        </w:rPr>
        <w:t xml:space="preserve">6–10 GB de RAM</w:t>
      </w:r>
      <w:r>
        <w:t xml:space="preserve"> </w:t>
      </w:r>
      <w:r>
        <w:t xml:space="preserve">nécessaire pour traiter l’image entière. Cela pose problème sur une machine ordinaire.</w:t>
      </w:r>
    </w:p>
    <w:p>
      <w:pPr>
        <w:pStyle w:val="BodyText"/>
      </w:pPr>
      <w:r>
        <w:rPr>
          <w:b/>
          <w:bCs/>
        </w:rPr>
        <w:t xml:space="preserve">Lecture par fenêtres (windowed reading).</w:t>
      </w:r>
      <w:r>
        <w:t xml:space="preserve"> </w:t>
      </w:r>
      <w:r>
        <w:t xml:space="preserve">Avec des librairies comme Rasterio ou GDAL, on peut lire le GeoTIFF</w:t>
      </w:r>
      <w:r>
        <w:t xml:space="preserve"> </w:t>
      </w:r>
      <w:r>
        <w:rPr>
          <w:i/>
          <w:iCs/>
        </w:rPr>
        <w:t xml:space="preserve">par fenêtres</w:t>
      </w:r>
      <w:r>
        <w:t xml:space="preserve"> </w:t>
      </w:r>
      <w:r>
        <w:t xml:space="preserve">(par exemple 512×512) sans charger toute l’image. On fait des boucles : à chaque itération, on lit un petit patch depuis le fichier, on le prétraite, on le stocke partiellement, puis on libère sa mémoire. Cela évite d’épuiser la RAM. En COG, on peut même faire un VSICurl sur la portion voulue (sans le fichier complet).</w:t>
      </w:r>
    </w:p>
    <w:p>
      <w:pPr>
        <w:pStyle w:val="BodyText"/>
      </w:pPr>
      <w:r>
        <w:rPr>
          <w:b/>
          <w:bCs/>
        </w:rPr>
        <w:t xml:space="preserve">Interpolation LUT par fenêtre.</w:t>
      </w:r>
      <w:r>
        <w:t xml:space="preserve"> </w:t>
      </w:r>
      <w:r>
        <w:t xml:space="preserve">De même, on ne construit pas l’interpolation de calibration pour l’image entière (ce serait +800 MB). On applique la procédure de</w:t>
      </w:r>
      <w:r>
        <w:t xml:space="preserve"> </w:t>
      </w:r>
      <w:r>
        <w:rPr>
          <w:b/>
          <w:bCs/>
        </w:rPr>
        <w:t xml:space="preserve">calibration &amp; filtrage dans chaque fenêtre</w:t>
      </w:r>
      <w:r>
        <w:t xml:space="preserve">. En pratique on commence par lire 512×512, on calcule/interpole dans cette tuile le facteur Aσ et le bruit pour chaque pixel (en utilisant les LUT xml), on effectue la calibration, le Lee, la conversion en dB, la normalisation, etc., puis on passe à la fenêtre suivante. On n’a donc jamais en mémoire deux fenêtres en même temps si on le gère bien, et on peut facilement rester sous quelques centaines de MB de RAM.</w:t>
      </w:r>
    </w:p>
    <w:p>
      <w:pPr>
        <w:pStyle w:val="BodyText"/>
      </w:pPr>
      <w:r>
        <w:rPr>
          <w:b/>
          <w:bCs/>
        </w:rPr>
        <w:t xml:space="preserve">Libération de mémoire (gc.collect).</w:t>
      </w:r>
      <w:r>
        <w:t xml:space="preserve"> </w:t>
      </w:r>
      <w:r>
        <w:t xml:space="preserve">En Python, même en sortant d’une boucle, les variables peuvent être retenues par l’interpréteur (références, caches...). Il est souvent nécessaire d’appeler manuellement</w:t>
      </w:r>
      <w:r>
        <w:t xml:space="preserve"> </w:t>
      </w:r>
      <w:r>
        <w:rPr>
          <w:rStyle w:val="VerbatimChar"/>
        </w:rPr>
        <w:t xml:space="preserve">gc.collect()</w:t>
      </w:r>
      <w:r>
        <w:t xml:space="preserve"> </w:t>
      </w:r>
      <w:r>
        <w:t xml:space="preserve">entre les boucles pour forcer la libération effective de la mémoire. Cela évite d’accumuler des buffers inutiles (spécialement en lecture/écriture avec des bibliothèques lourdes comme GDAL).</w:t>
      </w:r>
    </w:p>
    <w:p>
      <w:pPr>
        <w:pStyle w:val="BodyText"/>
      </w:pPr>
      <w:r>
        <w:rPr>
          <w:b/>
          <w:bCs/>
        </w:rPr>
        <w:t xml:space="preserve">Padding pour le filtre Lee.</w:t>
      </w:r>
      <w:r>
        <w:t xml:space="preserve"> </w:t>
      </w:r>
      <w:r>
        <w:t xml:space="preserve">Pour appliquer un filtre Lee 7×7 sur une tile, il faut un</w:t>
      </w:r>
      <w:r>
        <w:t xml:space="preserve"> </w:t>
      </w:r>
      <w:r>
        <w:rPr>
          <w:b/>
          <w:bCs/>
        </w:rPr>
        <w:t xml:space="preserve">padding</w:t>
      </w:r>
      <w:r>
        <w:t xml:space="preserve"> </w:t>
      </w:r>
      <w:r>
        <w:t xml:space="preserve">de 3 pixels (extérieur) car le calcul de moyenne/variance utilise le voisinage hors de la tuile. En pratique, on lit par exemple un carré 512+2*3=518×518 centré sur la tuile désirée, on filtre au centre, puis on coupe la bordure. Sans ce padding, le filtre près des bords de la tuile serait incorrect (on manquerait de voisins, et on observerait des artefacts aux bords). Ce padding temporaire doit être géré prudemment pour ne pas « polluer » les bords de la tuile analysée.</w:t>
      </w:r>
    </w:p>
    <w:p>
      <w:pPr>
        <w:pStyle w:val="Compact"/>
        <w:numPr>
          <w:ilvl w:val="0"/>
          <w:numId w:val="1022"/>
        </w:numPr>
      </w:pPr>
      <w:r>
        <w:rPr>
          <w:i/>
          <w:iCs/>
        </w:rPr>
        <w:t xml:space="preserve">Calcul de mémoire :</w:t>
      </w:r>
      <w:r>
        <w:t xml:space="preserve"> </w:t>
      </w:r>
      <w:r>
        <w:t xml:space="preserve">25 000×16 000×2 octets ≈800 MB/canal. Avec 2 canaux + buffers d’image filtrée + métadata, on monte en quelques GB.</w:t>
      </w:r>
    </w:p>
    <w:p>
      <w:pPr>
        <w:pStyle w:val="Compact"/>
        <w:numPr>
          <w:ilvl w:val="0"/>
          <w:numId w:val="1022"/>
        </w:numPr>
      </w:pPr>
      <w:r>
        <w:rPr>
          <w:i/>
          <w:iCs/>
        </w:rPr>
        <w:t xml:space="preserve">Pourquoi pas charger tout :</w:t>
      </w:r>
      <w:r>
        <w:t xml:space="preserve"> </w:t>
      </w:r>
      <w:r>
        <w:t xml:space="preserve">Le GPU ou la RAM CPU sur nos stations n’a pas 10 GB libres souvent. Le windowed processing est la seule solution réalisable.</w:t>
      </w:r>
    </w:p>
    <w:p>
      <w:pPr>
        <w:pStyle w:val="Compact"/>
        <w:numPr>
          <w:ilvl w:val="0"/>
          <w:numId w:val="1022"/>
        </w:numPr>
      </w:pPr>
      <w:r>
        <w:rPr>
          <w:i/>
          <w:iCs/>
        </w:rPr>
        <w:t xml:space="preserve">Gestion Python :</w:t>
      </w:r>
      <w:r>
        <w:t xml:space="preserve"> </w:t>
      </w:r>
      <w:r>
        <w:t xml:space="preserve">Après chaque tuile traitée, supprimer explicitement les tableaux intermédiaires (</w:t>
      </w:r>
      <w:r>
        <w:rPr>
          <w:rStyle w:val="VerbatimChar"/>
        </w:rPr>
        <w:t xml:space="preserve">del var</w:t>
      </w:r>
      <w:r>
        <w:t xml:space="preserve">) et appeler</w:t>
      </w:r>
      <w:r>
        <w:t xml:space="preserve"> </w:t>
      </w:r>
      <w:r>
        <w:rPr>
          <w:rStyle w:val="VerbatimChar"/>
        </w:rPr>
        <w:t xml:space="preserve">gc.collect()</w:t>
      </w:r>
      <w:r>
        <w:t xml:space="preserve"> </w:t>
      </w:r>
      <w:r>
        <w:t xml:space="preserve">pour être sûr de libérer la mémoire avant la prochaine itération.</w:t>
      </w:r>
    </w:p>
    <w:p>
      <w:pPr>
        <w:pStyle w:val="FirstParagraph"/>
      </w:pPr>
      <w:r>
        <w:rPr>
          <w:b/>
          <w:bCs/>
        </w:rPr>
        <w:t xml:space="preserve">Synthèse critique Axe 5 :</w:t>
      </w:r>
    </w:p>
    <w:p>
      <w:pPr>
        <w:pStyle w:val="Compact"/>
        <w:numPr>
          <w:ilvl w:val="0"/>
          <w:numId w:val="1023"/>
        </w:numPr>
      </w:pPr>
      <w:r>
        <w:t xml:space="preserve">Il est crucial de</w:t>
      </w:r>
      <w:r>
        <w:t xml:space="preserve"> </w:t>
      </w:r>
      <w:r>
        <w:rPr>
          <w:b/>
          <w:bCs/>
        </w:rPr>
        <w:t xml:space="preserve">concevoir le prétraitement comme un flux par tuiles</w:t>
      </w:r>
      <w:r>
        <w:t xml:space="preserve">. Charger une scène entière, interpoler LUT complète, filtrer globalement sont autant de voies rapides vers un OOM.</w:t>
      </w:r>
    </w:p>
    <w:p>
      <w:pPr>
        <w:pStyle w:val="Compact"/>
        <w:numPr>
          <w:ilvl w:val="0"/>
          <w:numId w:val="1023"/>
        </w:numPr>
      </w:pPr>
      <w:r>
        <w:t xml:space="preserve">Entraîner à traiter par blocs oblige à écrire un code un peu plus complexe, mais cela garantit l’échelle du traitement (grandes scènes).</w:t>
      </w:r>
    </w:p>
    <w:p>
      <w:pPr>
        <w:pStyle w:val="Compact"/>
        <w:numPr>
          <w:ilvl w:val="0"/>
          <w:numId w:val="1023"/>
        </w:numPr>
      </w:pPr>
      <w:r>
        <w:t xml:space="preserve">Point souvent sous-estimé : le</w:t>
      </w:r>
      <w:r>
        <w:t xml:space="preserve"> </w:t>
      </w:r>
      <w:r>
        <w:rPr>
          <w:b/>
          <w:bCs/>
        </w:rPr>
        <w:t xml:space="preserve">padding pour le filtrage</w:t>
      </w:r>
      <w:r>
        <w:t xml:space="preserve">. Sans prendre en compte ces pixels fantômes, on constatera systématiquement des artéfacts aux marges de tuiles.</w:t>
      </w:r>
    </w:p>
    <w:p>
      <w:pPr>
        <w:pStyle w:val="Compact"/>
        <w:numPr>
          <w:ilvl w:val="0"/>
          <w:numId w:val="1023"/>
        </w:numPr>
      </w:pPr>
      <w:r>
        <w:t xml:space="preserve">Open question : Peut-on paralléliser efficacement le prétraitement fenêtre par fenêtre (multi-threading / multi-processus) sans risque de conflit mémoire ? Ce serait utile pour accélérer le pipeline.</w:t>
      </w:r>
    </w:p>
    <w:bookmarkEnd w:id="39"/>
    <w:bookmarkEnd w:id="40"/>
    <w:bookmarkEnd w:id="41"/>
    <w:p>
      <w:r>
        <w:pict>
          <v:rect style="width:0;height:1.5pt" o:hralign="center" o:hrstd="t" o:hr="t"/>
        </w:pict>
      </w:r>
    </w:p>
    <w:bookmarkStart w:id="42" w:name="citations"/>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2026-06-30T01:10:39Z</dcterms:created>
  <dcterms:modified xsi:type="dcterms:W3CDTF">2026-06-30T01:10:39Z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