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color w:val="000000"/>
          <w:sz w:val="32"/>
        </w:rPr>
        <w:t>Soporte a la decisión clínica en diabetes tipo 2 mediante un sistema multi-agente con LLM, RAG y análisis determinístico de umbrales</w:t>
      </w:r>
    </w:p>
    <w:p>
      <w:pPr>
        <w:spacing w:after="120" w:before="0"/>
        <w:jc w:val="center"/>
      </w:pPr>
      <w:r>
        <w:rPr>
          <w:rFonts w:ascii="Times New Roman" w:hAnsi="Times New Roman"/>
          <w:b/>
          <w:i w:val="0"/>
          <w:color w:val="000000"/>
          <w:sz w:val="28"/>
        </w:rPr>
        <w:t>[Apellido, Nombre] — [Apellido, Nombre] — [Apellido, Nombre] — [Apellido, Nombre]</w:t>
      </w:r>
    </w:p>
    <w:p>
      <w:pPr>
        <w:spacing w:after="240" w:before="0"/>
        <w:jc w:val="center"/>
      </w:pPr>
      <w:r>
        <w:rPr>
          <w:rFonts w:ascii="Times New Roman" w:hAnsi="Times New Roman"/>
          <w:b/>
          <w:i/>
          <w:color w:val="000000"/>
          <w:sz w:val="24"/>
        </w:rPr>
        <w:t>[Universidad Tecnológica Nacional, Facultad Regional …]</w:t>
      </w:r>
    </w:p>
    <w:p>
      <w:pPr>
        <w:sectPr>
          <w:pgSz w:w="11906" w:h="16838"/>
          <w:pgMar w:top="1417" w:right="1417" w:bottom="1417" w:left="1417" w:header="0" w:footer="0" w:gutter="0"/>
          <w:cols w:space="720"/>
          <w:docGrid w:linePitch="360"/>
        </w:sectPr>
      </w:pPr>
    </w:p>
    <w:p>
      <w:pPr>
        <w:spacing w:after="80" w:before="0"/>
        <w:jc w:val="both"/>
      </w:pPr>
      <w:r>
        <w:rPr>
          <w:rFonts w:ascii="Times New Roman" w:hAnsi="Times New Roman"/>
          <w:b/>
          <w:i w:val="0"/>
          <w:color w:val="000000"/>
          <w:sz w:val="20"/>
        </w:rPr>
        <w:t>Abstract</w:t>
      </w:r>
    </w:p>
    <w:p>
      <w:pPr>
        <w:spacing w:after="120" w:before="0"/>
        <w:jc w:val="both"/>
      </w:pPr>
      <w:r>
        <w:rPr>
          <w:rFonts w:ascii="Times New Roman" w:hAnsi="Times New Roman"/>
          <w:b w:val="0"/>
          <w:i/>
          <w:color w:val="000000"/>
          <w:sz w:val="20"/>
        </w:rPr>
        <w:t>Este trabajo presenta un sistema multi-agente de soporte a la decisión clínica para el seguimiento longitudinal de pacientes con diabetes tipo 2. El problema abordado es la sobrecarga cognitiva del médico al interpretar series temporales de métricas metabólicas (glucosa en ayunas, HbA1c, glucosa postprandial, peso, presión arterial) junto con medicación activa e historial acumulado, con riesgo de omitir señales de alerta como episodios de hipoglucemia diluidos en un promedio normal. La solución propuesta coordina, mediante LangGraph, tres agentes: un Orquestador que infiere la intención del médico y enruta el flujo; un Agente Monitor que ejecuta herramientas determinísticas de cálculo estadístico y detección de umbrales de la American Diabetes Association (ADA); y un Agente Clínico que interpreta los hallazgos consultando, vía RAG (Retrieval-Augmented Generation) sobre ChromaDB, guías clínicas oficiales, y comparando con el historial acumulativo del paciente persistido en MongoDB. Un loop de refinamiento acotado permite al sistema volver a pedir análisis adicional cuando la información es insuficiente. El sistema se implementó end-to-end (interfaz Gradio, observabilidad estructurada, modo de fallback determinístico sin infraestructura externa) y se evaluó con una batería de casos happy, edge y adversarial. Los resultados muestran que la separación entre cálculo determinístico e interpretación en lenguaje natural permite un sistema auditable, reproducible en su capa numérica, y útil como insumo de soporte sin emitir diagnósticos.</w:t>
      </w:r>
    </w:p>
    <w:p>
      <w:pPr>
        <w:spacing w:after="80" w:before="200"/>
        <w:jc w:val="both"/>
      </w:pPr>
      <w:r>
        <w:rPr>
          <w:rFonts w:ascii="Times New Roman" w:hAnsi="Times New Roman"/>
          <w:b/>
          <w:i w:val="0"/>
          <w:color w:val="000000"/>
          <w:sz w:val="20"/>
        </w:rPr>
        <w:t>Palabras Clave</w:t>
      </w:r>
    </w:p>
    <w:p>
      <w:pPr>
        <w:spacing w:after="120" w:before="0"/>
        <w:jc w:val="both"/>
      </w:pPr>
      <w:r>
        <w:rPr>
          <w:rFonts w:ascii="Times New Roman" w:hAnsi="Times New Roman"/>
          <w:b w:val="0"/>
          <w:i w:val="0"/>
          <w:color w:val="000000"/>
          <w:sz w:val="20"/>
        </w:rPr>
        <w:t>Sistemas multi-agente; Modelos de lenguaje; Retrieval-Augmented Generation; Soporte a la decisión clínica; Diabetes tipo 2; LangGraph.</w:t>
      </w:r>
    </w:p>
    <w:p>
      <w:pPr>
        <w:spacing w:after="80" w:before="200"/>
        <w:jc w:val="both"/>
      </w:pPr>
      <w:r>
        <w:rPr>
          <w:rFonts w:ascii="Times New Roman" w:hAnsi="Times New Roman"/>
          <w:b/>
          <w:i w:val="0"/>
          <w:color w:val="000000"/>
          <w:sz w:val="24"/>
        </w:rPr>
        <w:t>Introducción</w:t>
      </w:r>
    </w:p>
    <w:p>
      <w:pPr>
        <w:spacing w:after="120" w:before="0"/>
        <w:jc w:val="both"/>
      </w:pPr>
      <w:r>
        <w:rPr>
          <w:rFonts w:ascii="Times New Roman" w:hAnsi="Times New Roman"/>
          <w:b w:val="0"/>
          <w:i w:val="0"/>
          <w:color w:val="000000"/>
          <w:sz w:val="24"/>
        </w:rPr>
        <w:t>El seguimiento de pacientes con diabetes tipo 2 requiere el monitoreo continuo de múltiples métricas clínicas cuya interpretación conjunta es compleja y propensa a errores por omisión. Un médico que atiende a decenas de pacientes crónicos necesita identificar rápidamente tendencias preocupantes, valores fuera de rango y contexto clínico relevante antes de cada consulta. Sin herramientas de soporte, ese análisis se realiza manualmente a partir de registros dispersos, con riesgo de pasar por alto señales de alerta — por ejemplo, un episodio puntual de hipoglucemia que un promedio mensual normal termina ocultando.</w:t>
      </w:r>
    </w:p>
    <w:p>
      <w:pPr>
        <w:spacing w:after="120" w:before="0"/>
        <w:jc w:val="both"/>
      </w:pPr>
      <w:r>
        <w:rPr>
          <w:rFonts w:ascii="Times New Roman" w:hAnsi="Times New Roman"/>
          <w:b w:val="0"/>
          <w:i w:val="0"/>
          <w:color w:val="000000"/>
          <w:sz w:val="24"/>
        </w:rPr>
        <w:t>La diabetes es, además, una condición con umbrales de diagnóstico y control definidos con precisión por la American Diabetes Association (ADA), lo que la vuelve un dominio propicio para combinar reglas determinísticas (auditables, reproducibles) con razonamiento en lenguaje natural (flexible, capaz de contextualizar). Esa combinación es precisamente lo que motiva este trabajo: ¿cómo estructurar un sistema que use un modelo de lenguaje (LLM) para lo que un LLM hace bien —inferir intención, interpretar hallazgos, redactar en lenguaje clínico— sin delegarle el cálculo numérico, que debe ser exacto y verificable?</w:t>
      </w:r>
    </w:p>
    <w:p>
      <w:pPr>
        <w:spacing w:after="120" w:before="0"/>
        <w:jc w:val="both"/>
      </w:pPr>
      <w:r>
        <w:rPr>
          <w:rFonts w:ascii="Times New Roman" w:hAnsi="Times New Roman"/>
          <w:b w:val="0"/>
          <w:i w:val="0"/>
          <w:color w:val="000000"/>
          <w:sz w:val="24"/>
        </w:rPr>
        <w:t>Se propone un sistema multi-agente orientado al soporte clínico en el seguimiento de pacientes con diabetes tipo 2. El sistema recibe el historial de métricas clínicas de un paciente y lo analiza de forma autónoma en dos etapas coordinadas por un agente orquestador: un Agente Monitor que procesa los datos mediante herramientas de cálculo determinístico para detectar anomalías y violaciones de umbral, y un Agente Clínico que interpreta esos hallazgos consultando el historial acumulativo del paciente y guías clínicas oficiales mediante RAG. El resultado es un reporte estructurado con alertas, tendencias y preguntas de seguimiento sugeridas, concebido estrictamente como soporte a la decisión médica: el sistema no emite diagnósticos, y toda salida incluye esa aclaración explícita.</w:t>
      </w:r>
    </w:p>
    <w:p>
      <w:pPr>
        <w:spacing w:after="120" w:before="0"/>
        <w:jc w:val="both"/>
      </w:pPr>
      <w:r>
        <w:rPr>
          <w:rFonts w:ascii="Times New Roman" w:hAnsi="Times New Roman"/>
          <w:b w:val="0"/>
          <w:i w:val="0"/>
          <w:color w:val="000000"/>
          <w:sz w:val="24"/>
        </w:rPr>
        <w:t>El resto del trabajo se organiza así: la sección siguiente describe la arquitectura, los agentes, sus herramientas y la evaluación realizada; luego se discuten trabajos relacionados; y se cierra con las conclusiones y líneas futuras.</w:t>
      </w:r>
    </w:p>
    <w:p>
      <w:pPr>
        <w:spacing w:after="80" w:before="200"/>
        <w:jc w:val="both"/>
      </w:pPr>
      <w:r>
        <w:rPr>
          <w:rFonts w:ascii="Times New Roman" w:hAnsi="Times New Roman"/>
          <w:b/>
          <w:i w:val="0"/>
          <w:color w:val="000000"/>
          <w:sz w:val="24"/>
        </w:rPr>
        <w:t>Arquitectura del sistema</w:t>
      </w:r>
    </w:p>
    <w:p>
      <w:pPr>
        <w:spacing w:after="120" w:before="0"/>
        <w:jc w:val="both"/>
      </w:pPr>
      <w:r>
        <w:rPr>
          <w:rFonts w:ascii="Times New Roman" w:hAnsi="Times New Roman"/>
          <w:b w:val="0"/>
          <w:i w:val="0"/>
          <w:color w:val="000000"/>
          <w:sz w:val="24"/>
        </w:rPr>
        <w:t>El sistema implementa una arquitectura multi-agente orquestada con LangGraph, elegido porque el flujo requiere ciclos condicionales entre agentes (un loop de refinamiento, descripto más abajo) que un encadenamiento lineal no puede expresar. LangChain provee las integraciones con los servicios externos (LLM, embeddings, vector store). Un estado compartido (AgentState, tipado con Pydantic) fluye entre los nodos del grafo.</w:t>
      </w:r>
    </w:p>
    <w:p>
      <w:pPr>
        <w:spacing w:after="120" w:before="0"/>
        <w:jc w:val="both"/>
      </w:pPr>
      <w:r>
        <w:rPr>
          <w:rFonts w:ascii="Times New Roman" w:hAnsi="Times New Roman"/>
          <w:b w:val="0"/>
          <w:i w:val="0"/>
          <w:color w:val="000000"/>
          <w:sz w:val="24"/>
        </w:rPr>
        <w:t>La arquitectura distingue tres actores: el médico, que inicia la interacción; un Agente Orquestador, que decide cómo se procesa cada consulta; y dos agentes especializados con foco distinto, el Agente Monitor (¿qué dicen los números?) y el Agente Clínico (¿qué significan?). El Orquestador no expone comandos explícitos: infiere la intención a partir del mensaje del médico y del estado de la sesión (¿hay un reporte previo?, ¿es una pregunta de seguimiento?, ¿se pide reiniciar?) y enruta en consecuencia. Ante una consulta nueva ejecuta el flujo completo Monitor → Clínico; ante una pregunta de seguimiento sobre un reporte ya generado, deriva directamente al Clínico sin recalcular.</w:t>
      </w:r>
    </w:p>
    <w:p>
      <w:pPr>
        <w:spacing w:after="120" w:before="0"/>
        <w:jc w:val="both"/>
      </w:pPr>
      <w:r>
        <w:rPr>
          <w:rFonts w:ascii="Times New Roman" w:hAnsi="Times New Roman"/>
          <w:b w:val="0"/>
          <w:i w:val="0"/>
          <w:color w:val="000000"/>
          <w:sz w:val="24"/>
        </w:rPr>
        <w:t>Tras la interpretación del Clínico, el sistema evalúa si la información disponible alcanza para producir una respuesta de soporte, mediante una señal explícita (information_sufficient). Si no alcanza, el control vuelve al Monitor para ampliar el análisis —un loop de refinamiento acotado a un máximo de 3 iteraciones (guardrail), que permite al sistema corregir su propio recorrido en lugar de entregar una respuesta incompleta.</w:t>
      </w:r>
    </w:p>
    <w:p>
      <w:pPr>
        <w:spacing w:after="120" w:before="0"/>
        <w:jc w:val="both"/>
      </w:pPr>
      <w:r>
        <w:rPr>
          <w:rFonts w:ascii="Times New Roman" w:hAnsi="Times New Roman"/>
          <w:b w:val="0"/>
          <w:i w:val="0"/>
          <w:color w:val="000000"/>
          <w:sz w:val="24"/>
        </w:rPr>
        <w:t>Cada agente especializado consulta fuentes de datos propias, lo que delimita su responsabilidad: el Monitor trabaja sobre los datos crudos del historial clínico (EHR); el Clínico trabaja sobre conocimiento acumulado —el historial de sesiones previas del paciente (MongoDB) y guías clínicas de referencia indexadas para búsqueda semántica (ChromaDB). Esta separación evita que el mismo agente mezcle cálculo exacto con interpretación, y hace auditable cada paso: los logs registran, por patient_id/metric/timerange, qué tool se invocó y con qué resultado.</w:t>
      </w:r>
    </w:p>
    <w:p>
      <w:pPr>
        <w:spacing w:after="80" w:before="200"/>
        <w:jc w:val="both"/>
      </w:pPr>
      <w:r>
        <w:rPr>
          <w:rFonts w:ascii="Times New Roman" w:hAnsi="Times New Roman"/>
          <w:b/>
          <w:i w:val="0"/>
          <w:color w:val="000000"/>
          <w:sz w:val="24"/>
        </w:rPr>
        <w:t>Agentes y herramientas</w:t>
      </w:r>
    </w:p>
    <w:p>
      <w:pPr>
        <w:spacing w:after="120" w:before="0"/>
        <w:jc w:val="both"/>
      </w:pPr>
      <w:r>
        <w:rPr>
          <w:rFonts w:ascii="Times New Roman" w:hAnsi="Times New Roman"/>
          <w:b w:val="0"/>
          <w:i w:val="0"/>
          <w:color w:val="000000"/>
          <w:sz w:val="24"/>
        </w:rPr>
        <w:t>Los dos agentes especializados implementan el patrón ReAct (razonar → actuar → observar) sobre modelos servidos vía API (Groq, llama-3.3-70b, con branch alternativo a Gemini), bindeados a herramientas LangChain. Cuando no hay credenciales de LLM disponibles, cada agente cae a un modo de fallback determinístico que ejecuta las mismas tools sin pasar por el modelo —decisión de diseño que permite levantar y probar el sistema completo sin infraestructura externa, y que funciona además como base de comparación para detectar si una corrida de evaluación efectivamente usó el LLM o degradó al fallback.</w:t>
      </w:r>
    </w:p>
    <w:p>
      <w:pPr>
        <w:spacing w:after="120" w:before="0"/>
        <w:jc w:val="both"/>
      </w:pPr>
      <w:r>
        <w:rPr>
          <w:rFonts w:ascii="Times New Roman" w:hAnsi="Times New Roman"/>
          <w:b w:val="0"/>
          <w:i w:val="0"/>
          <w:color w:val="000000"/>
          <w:sz w:val="24"/>
        </w:rPr>
        <w:t>Agente Monitor. No interpreta clínicamente: solo calcula. Sus herramientas son determinísticas —dado el mismo input, siempre el mismo output— y se invocan por patient_id (el LLM nunca transporta arrays de datos, solo decide qué calcular y sobre qué ventana temporal):</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load_patient_data(patient_id): carga la serie completa del historial clínico.</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calculate_stats(patient_id, metric, timerange): estadísticas clínicamente accionables por métrica —último valor, media, mínimo, máximo, delta y dirección (subiendo/bajando/estable, con banda muerta del 3%). Se priorizaron los extremos frente a medidas como desvío estándar porque exponen eventos que la media diluye, como una hipoglucemia puntual en un promedio normal.</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detect_threshold_violations(patient_id, metric, timerange): compara cada valor contra los umbrales ADA y devuelve alertas con fecha, severidad (moderada/severa) y descripción. Cubre tanto hiperglucemia (glucosa en ayunas ≥ 126 mg/dL, HbA1c ≥ 6.5%, postprandial ≥ 200 mg/dL en el nivel severo) como hipoglucemia (&lt; 70 mg/dL moderada, &lt; 54 mg/dL severa) —esta última con frecuencia ausente en sistemas de monitoreo que solo vigilan valores altos.</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get_medication_schedule(patient_id): medicación activa con dosis y frecuencia.</w:t>
      </w:r>
    </w:p>
    <w:p>
      <w:pPr>
        <w:spacing w:after="120" w:before="0"/>
        <w:jc w:val="both"/>
      </w:pPr>
      <w:r>
        <w:rPr>
          <w:rFonts w:ascii="Times New Roman" w:hAnsi="Times New Roman"/>
          <w:b w:val="0"/>
          <w:i w:val="0"/>
          <w:color w:val="000000"/>
          <w:sz w:val="24"/>
        </w:rPr>
        <w:t>Agente Clínico. Recibe el output estructurado del Monitor e interpreta los hallazgos, incorporando historial y guías:</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get_patient_history(patient_id): recupera el documento completo del paciente desde MongoDB (diagnósticos, comorbilidades, medicación base, sesiones anteriores).</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compare_with_previous_sessions(patient_id, metric, n_sessions): compara el valor actual con sesiones previas y clasifica la evolución (mejorando/estable/deteriorando), forzando un razonamiento longitudinal explícito y auditable.</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search_clinical_guidelines(condition, value, context): búsqueda semántica (RAG) sobre ChromaDB, indexado con embeddings nomic-embed-text, contra guías de la ADA, la Sociedad Argentina de Diabetes y el Ministerio de Salud de la Nación. El parámetro context incorpora información clínica adicional que el médico ingresa en lenguaje libre (por ejemplo, una comorbilidad), lo que orienta la búsqueda.</w:t>
      </w:r>
    </w:p>
    <w:p>
      <w:pPr>
        <w:spacing w:after="80"/>
        <w:ind w:left="283"/>
        <w:jc w:val="both"/>
      </w:pPr>
      <w:r>
        <w:rPr>
          <w:rFonts w:ascii="Times New Roman" w:hAnsi="Times New Roman"/>
          <w:color w:val="000000"/>
          <w:sz w:val="24"/>
        </w:rPr>
        <w:t xml:space="preserve">• </w:t>
      </w:r>
      <w:r>
        <w:rPr>
          <w:rFonts w:ascii="Times New Roman" w:hAnsi="Times New Roman"/>
          <w:color w:val="000000"/>
          <w:sz w:val="24"/>
        </w:rPr>
        <w:t>update_patient_history(patient_id, session_data): persiste la sesión actual como un nuevo nodo del historial, solo con confirmación explícita del médico —el reporte generado por el agente no se registra automáticamente, para no introducir ruido no revisado en la base que alimenta sesiones futuras.</w:t>
      </w:r>
    </w:p>
    <w:p>
      <w:pPr>
        <w:spacing w:after="120" w:before="0"/>
        <w:jc w:val="both"/>
      </w:pPr>
      <w:r>
        <w:rPr>
          <w:rFonts w:ascii="Times New Roman" w:hAnsi="Times New Roman"/>
          <w:b w:val="0"/>
          <w:i w:val="0"/>
          <w:color w:val="000000"/>
          <w:sz w:val="24"/>
        </w:rPr>
        <w:t>El historial del paciente se modela como un documento por paciente en MongoDB (recuperación exacta por identificador) en lugar de indexarlo también con RAG: cuando el Clínico necesita el historial, lo necesita completo, y fragmentarlo introduciría el riesgo de recuperar fragmentos de sesiones que contradicen el estado actual —o de otro paciente con perfil similar. RAG queda reservado exclusivamente para las guías clínicas, donde sí tiene sentido recuperar el fragmento más relevante entre un corpus extenso y relativamente estático.</w:t>
      </w:r>
    </w:p>
    <w:p>
      <w:pPr>
        <w:spacing w:after="80" w:before="200"/>
        <w:jc w:val="both"/>
      </w:pPr>
      <w:r>
        <w:rPr>
          <w:rFonts w:ascii="Times New Roman" w:hAnsi="Times New Roman"/>
          <w:b/>
          <w:i w:val="0"/>
          <w:color w:val="000000"/>
          <w:sz w:val="24"/>
        </w:rPr>
        <w:t>Interfaz, observabilidad y modo de operación</w:t>
      </w:r>
    </w:p>
    <w:p>
      <w:pPr>
        <w:spacing w:after="120" w:before="0"/>
        <w:jc w:val="both"/>
      </w:pPr>
      <w:r>
        <w:rPr>
          <w:rFonts w:ascii="Times New Roman" w:hAnsi="Times New Roman"/>
          <w:b w:val="0"/>
          <w:i w:val="0"/>
          <w:color w:val="000000"/>
          <w:sz w:val="24"/>
        </w:rPr>
        <w:t>La interacción del médico se implementó en una interfaz web con Gradio, con una pestaña de Consulta clínica (selección de paciente, perfil resumido, campos opcionales de orientación del análisis y contexto clínico adicional, reporte con alertas y tendencias, y un chat de seguimiento acotado al paciente activo) y una pestaña de Observabilidad que expone, en modo desarrollo, la traza estructurada del grafo (node_start, routing, y —en modo completo— llm_*/tool_* con conteo de tokens y nombre de la herramienta invocada). Toda ejecución se registra en consola y en logs/agent.jsonl, integrable con LangSmith.</w:t>
      </w:r>
    </w:p>
    <w:p>
      <w:pPr>
        <w:spacing w:after="120" w:before="0"/>
        <w:jc w:val="both"/>
      </w:pPr>
      <w:r>
        <w:rPr>
          <w:rFonts w:ascii="Times New Roman" w:hAnsi="Times New Roman"/>
          <w:b w:val="0"/>
          <w:i w:val="0"/>
          <w:color w:val="000000"/>
          <w:sz w:val="24"/>
        </w:rPr>
        <w:t>Un aspecto operativo relevante para la reproducibilidad del trabajo es el modo básico: sin GROQ_API_KEY ni servicios externos, el grafo completo corre igual sobre fallbacks determinísticos y un fixture local de cuatro pacientes sintéticos, cada uno ejercitando un caso distinto (control adecuado, tendencia ascendente, episodio de hipoglucemia, datos insuficientes). Esto permite validar la integridad del pipeline —mas no la calidad del razonamiento del LLM— sin depender de infraestructura externa, algo poco frecuente en sistemas basados en agentes LLM y que facilitó la evaluación continua durante el desarrollo.</w:t>
      </w:r>
    </w:p>
    <w:p>
      <w:pPr>
        <w:spacing w:after="80" w:before="200"/>
        <w:jc w:val="both"/>
      </w:pPr>
      <w:r>
        <w:rPr>
          <w:rFonts w:ascii="Times New Roman" w:hAnsi="Times New Roman"/>
          <w:b/>
          <w:i w:val="0"/>
          <w:color w:val="000000"/>
          <w:sz w:val="24"/>
        </w:rPr>
        <w:t>Evaluación</w:t>
      </w:r>
    </w:p>
    <w:p>
      <w:pPr>
        <w:spacing w:after="120" w:before="0"/>
        <w:jc w:val="both"/>
      </w:pPr>
      <w:r>
        <w:rPr>
          <w:rFonts w:ascii="Times New Roman" w:hAnsi="Times New Roman"/>
          <w:b w:val="0"/>
          <w:i w:val="0"/>
          <w:color w:val="000000"/>
          <w:sz w:val="24"/>
        </w:rPr>
        <w:t>La estrategia de testing se organizó por objetivo en lugar de por la taxonomía habitual unitario/integración, porque lo que interesa validar en un sistema de este tipo es de naturaleza distinta según la capa: que las herramientas calculen lo correcto (determinístico), que el grafo coordine bien a los agentes (plomería, con un modo determinístico forzado para el gate de integración continua y un modo estocástico con LLM real para verificar el cableado), y que el resultado final producido por la IA sea de buena calidad (inherentemente cualitativo).</w:t>
      </w:r>
    </w:p>
    <w:p>
      <w:pPr>
        <w:spacing w:after="120" w:before="0"/>
        <w:jc w:val="both"/>
      </w:pPr>
      <w:r>
        <w:rPr>
          <w:rFonts w:ascii="Times New Roman" w:hAnsi="Times New Roman"/>
          <w:b w:val="0"/>
          <w:i w:val="0"/>
          <w:color w:val="000000"/>
          <w:sz w:val="24"/>
        </w:rPr>
        <w:t>Para este último eje se construyó un conjunto de 9 casos distribuidos en tres categorías —happy path, edge cases y adversarial— ejecutados con el LLM real mediante un script dedicado que vuelca un artefacto con el resultado esperado frente al obtenido, consultable desde la propia interfaz para comparación manual. Cada corrida queda etiquetada como ok, degraded (el LLM falló y el grafo cayó al fallback determinístico, por lo que la salida no refleja al modelo) o error, distinción que resultó necesaria para no puntuar como fallo del razonamiento algo que en realidad fue un problema de disponibilidad del proveedor de LLM. Este esquema de comparación esperado-vs-obtenido constituye una base directa para incorporar, como trabajo futuro, una capa de evaluación automática tipo LLM-as-judge.</w:t>
      </w:r>
    </w:p>
    <w:p>
      <w:pPr>
        <w:spacing w:after="80" w:before="200"/>
        <w:jc w:val="both"/>
      </w:pPr>
      <w:r>
        <w:rPr>
          <w:rFonts w:ascii="Times New Roman" w:hAnsi="Times New Roman"/>
          <w:b/>
          <w:i w:val="0"/>
          <w:color w:val="000000"/>
          <w:sz w:val="24"/>
        </w:rPr>
        <w:t>Trabajos Relacionados</w:t>
      </w:r>
    </w:p>
    <w:p>
      <w:pPr>
        <w:spacing w:after="120" w:before="0"/>
        <w:jc w:val="both"/>
      </w:pPr>
      <w:r>
        <w:rPr>
          <w:rFonts w:ascii="Times New Roman" w:hAnsi="Times New Roman"/>
          <w:b w:val="0"/>
          <w:i w:val="0"/>
          <w:color w:val="000000"/>
          <w:sz w:val="24"/>
        </w:rPr>
        <w:t>El uso de LLM en salud ha sido explorado principalmente en dos direcciones: modelos de propósito general evaluados sobre conocimiento médico, como Med-PaLM, que muestran que un LLM puede responder con calidad clínica aceptable preguntas de examen y consultas abiertas [1], y sistemas de soporte a la decisión que combinan LLM con fuentes de conocimiento externas para reducir alucinaciones y anclar las respuestas en evidencia verificable. Este trabajo se ubica en la segunda categoría: en lugar de confiar en el conocimiento paramétrico del modelo, ancla cada interpretación clínica en fragmentos recuperados de guías oficiales.</w:t>
      </w:r>
    </w:p>
    <w:p>
      <w:pPr>
        <w:spacing w:after="120" w:before="0"/>
        <w:jc w:val="both"/>
      </w:pPr>
      <w:r>
        <w:rPr>
          <w:rFonts w:ascii="Times New Roman" w:hAnsi="Times New Roman"/>
          <w:b w:val="0"/>
          <w:i w:val="0"/>
          <w:color w:val="000000"/>
          <w:sz w:val="24"/>
        </w:rPr>
        <w:t>La técnica de Retrieval-Augmented Generation (RAG), formalizada por Lewis et al. [2], es la base de esa estrategia de anclaje: en vez de depender de lo que el modelo “recuerda” de su entrenamiento, se recupera contexto relevante de un corpus controlado (en este caso, guías ADA/SAD/MSAL) y se lo incorpora al prompt antes de generar la respuesta. A diferencia de aplicaciones típicas de RAG que indexan todo el conocimiento disponible, este trabajo aplica RAG selectivamente —solo sobre las guías clínicas, no sobre el historial del paciente—, lo que representa una decisión de diseño explícita frente al patrón “indexar todo” habitual en sistemas de recuperación aumentada.</w:t>
      </w:r>
    </w:p>
    <w:p>
      <w:pPr>
        <w:spacing w:after="120" w:before="0"/>
        <w:jc w:val="both"/>
      </w:pPr>
      <w:r>
        <w:rPr>
          <w:rFonts w:ascii="Times New Roman" w:hAnsi="Times New Roman"/>
          <w:b w:val="0"/>
          <w:i w:val="0"/>
          <w:color w:val="000000"/>
          <w:sz w:val="24"/>
        </w:rPr>
        <w:t>En cuanto a la coordinación de agentes, el patrón ReAct (razonamiento intercalado con acción) de Yao et al. [3] es el que estructura el loop interno de cada agente especializado, y la literatura reciente sobre sistemas multi-agente con LLM —por ejemplo, marcos como AutoGen [4]— documenta beneficios similares a los observados en este trabajo al dividir un problema complejo entre agentes con roles y fuentes de datos delimitadas, en contraposición a un único agente monolítico con todas las herramientas disponibles. La diferencia principal respecto de esos marcos generales es que aquí la división de responsabilidades no es solo organizativa sino epistemológica: el Monitor encapsula todo el cálculo determinístico y el Clínico toda la interpretación, de forma que el razonamiento estocástico del LLM nunca participa en una cuenta que deba ser exacta y auditable —un requisito poco negociable en un dominio clínico.</w:t>
      </w:r>
    </w:p>
    <w:p>
      <w:pPr>
        <w:spacing w:after="80" w:before="200"/>
        <w:jc w:val="both"/>
      </w:pPr>
      <w:r>
        <w:rPr>
          <w:rFonts w:ascii="Times New Roman" w:hAnsi="Times New Roman"/>
          <w:b/>
          <w:i w:val="0"/>
          <w:color w:val="000000"/>
          <w:sz w:val="24"/>
        </w:rPr>
        <w:t>Conclusión y Trabajos Futuros</w:t>
      </w:r>
    </w:p>
    <w:p>
      <w:pPr>
        <w:spacing w:after="120" w:before="0"/>
        <w:jc w:val="both"/>
      </w:pPr>
      <w:r>
        <w:rPr>
          <w:rFonts w:ascii="Times New Roman" w:hAnsi="Times New Roman"/>
          <w:b w:val="0"/>
          <w:i w:val="0"/>
          <w:color w:val="000000"/>
          <w:sz w:val="24"/>
        </w:rPr>
        <w:t>Este trabajo presentó un sistema multi-agente de soporte a la decisión clínica para el seguimiento de pacientes con diabetes tipo 2, cuya decisión de diseño central es separar estrictamente el cálculo determinístico (a cargo de herramientas puras, testeables con listas de valores) de la interpretación en lenguaje natural (a cargo del LLM), coordinados por un agente orquestador que enruta por inferencia de intención y gestiona un loop de refinamiento acotado. Esa separación resultó clave para lograr un sistema auditable en su capa numérica —cada estadística y cada alerta son reproducibles y verificables— sin resignar la flexibilidad interpretativa que aporta un LLM al contextualizar un hallazgo contra guías clínicas y el historial longitudinal del paciente.</w:t>
      </w:r>
    </w:p>
    <w:p>
      <w:pPr>
        <w:spacing w:after="120" w:before="0"/>
        <w:jc w:val="both"/>
      </w:pPr>
      <w:r>
        <w:rPr>
          <w:rFonts w:ascii="Times New Roman" w:hAnsi="Times New Roman"/>
          <w:b w:val="0"/>
          <w:i w:val="0"/>
          <w:color w:val="000000"/>
          <w:sz w:val="24"/>
        </w:rPr>
        <w:t>Entre las limitaciones del trabajo se destacan: el alcance del historial de métricas se restringió a mediciones puntuales del EHR, dejando el monitoreo continuo de glucosa (CGM) como extensión definida pero no implementada; el enrutamiento del Orquestador y la detección de “información insuficiente” del Clínico dependen hoy de heurísticas sobre texto libre del LLM, con el riesgo de fragilidad que eso implica si el modelo cambia de fraseo; y la evaluación de calidad del razonamiento sigue siendo mayormente manual.</w:t>
      </w:r>
    </w:p>
    <w:p>
      <w:pPr>
        <w:spacing w:after="120" w:before="0"/>
        <w:jc w:val="both"/>
      </w:pPr>
      <w:r>
        <w:rPr>
          <w:rFonts w:ascii="Times New Roman" w:hAnsi="Times New Roman"/>
          <w:b w:val="0"/>
          <w:i w:val="0"/>
          <w:color w:val="000000"/>
          <w:sz w:val="24"/>
        </w:rPr>
        <w:t>Como trabajos futuros se plantea: (i) migrar las decisiones de control (enrutamiento, señal de información insuficiente) de heurísticas de texto libre a salida estructurada del LLM; (ii) incorporar una capa de evaluación automática tipo LLM-as-judge que puntúe faithfulness del reporte clínico contra los fragmentos RAG recuperados, para detectar alucinaciones de forma sistemática y no solo por revisión manual; (iii) implementar el nodo de persistencia de sesión que hoy está definido en el diseño pero pendiente de integración en el grafo; y (iv) incorporar el análisis de datos de monitoreo continuo de glucosa (CGM) como fuente adicional para pacientes que dispongan del dispositivo.</w:t>
      </w:r>
    </w:p>
    <w:p>
      <w:pPr>
        <w:spacing w:after="80" w:before="200"/>
        <w:jc w:val="both"/>
      </w:pPr>
      <w:r>
        <w:rPr>
          <w:rFonts w:ascii="Times New Roman" w:hAnsi="Times New Roman"/>
          <w:b/>
          <w:i w:val="0"/>
          <w:color w:val="000000"/>
          <w:sz w:val="20"/>
        </w:rPr>
        <w:t>Agradecimientos</w:t>
      </w:r>
    </w:p>
    <w:p>
      <w:pPr>
        <w:spacing w:after="120" w:before="0"/>
        <w:jc w:val="both"/>
      </w:pPr>
      <w:r>
        <w:rPr>
          <w:rFonts w:ascii="Times New Roman" w:hAnsi="Times New Roman"/>
          <w:b w:val="0"/>
          <w:i w:val="0"/>
          <w:color w:val="000000"/>
          <w:sz w:val="20"/>
        </w:rPr>
        <w:t>[Completar si corresponde.]</w:t>
      </w:r>
    </w:p>
    <w:p>
      <w:pPr>
        <w:spacing w:after="80" w:before="200"/>
        <w:jc w:val="both"/>
      </w:pPr>
      <w:r>
        <w:rPr>
          <w:rFonts w:ascii="Times New Roman" w:hAnsi="Times New Roman"/>
          <w:b/>
          <w:i w:val="0"/>
          <w:color w:val="000000"/>
          <w:sz w:val="20"/>
        </w:rPr>
        <w:t>Referencias</w:t>
      </w:r>
    </w:p>
    <w:p>
      <w:pPr>
        <w:spacing w:after="120" w:before="0"/>
        <w:jc w:val="both"/>
      </w:pPr>
      <w:r>
        <w:rPr>
          <w:rFonts w:ascii="Times New Roman" w:hAnsi="Times New Roman"/>
          <w:b w:val="0"/>
          <w:i w:val="0"/>
          <w:color w:val="000000"/>
          <w:sz w:val="20"/>
        </w:rPr>
        <w:t>[1] Singhal, K., Azizi, S., Tu, T., et al. (2023). “Large language models encode clinical knowledge.” Nature, 620, 172–180.</w:t>
      </w:r>
    </w:p>
    <w:p>
      <w:pPr>
        <w:spacing w:after="120" w:before="0"/>
        <w:jc w:val="both"/>
      </w:pPr>
      <w:r>
        <w:rPr>
          <w:rFonts w:ascii="Times New Roman" w:hAnsi="Times New Roman"/>
          <w:b w:val="0"/>
          <w:i w:val="0"/>
          <w:color w:val="000000"/>
          <w:sz w:val="20"/>
        </w:rPr>
        <w:t>[2] Lewis, P., Perez, E., Piktus, A., et al. (2020). “Retrieval-Augmented Generation for Knowledge-Intensive NLP Tasks.” Advances in Neural Information Processing Systems (NeurIPS), 33.</w:t>
      </w:r>
    </w:p>
    <w:p>
      <w:pPr>
        <w:spacing w:after="120" w:before="0"/>
        <w:jc w:val="both"/>
      </w:pPr>
      <w:r>
        <w:rPr>
          <w:rFonts w:ascii="Times New Roman" w:hAnsi="Times New Roman"/>
          <w:b w:val="0"/>
          <w:i w:val="0"/>
          <w:color w:val="000000"/>
          <w:sz w:val="20"/>
        </w:rPr>
        <w:t>[3] Yao, S., Zhao, J., Yu, D., et al. (2022). “ReAct: Synergizing Reasoning and Acting in Language Models.” arXiv preprint arXiv:2210.03629.</w:t>
      </w:r>
    </w:p>
    <w:p>
      <w:pPr>
        <w:spacing w:after="120" w:before="0"/>
        <w:jc w:val="both"/>
      </w:pPr>
      <w:r>
        <w:rPr>
          <w:rFonts w:ascii="Times New Roman" w:hAnsi="Times New Roman"/>
          <w:b w:val="0"/>
          <w:i w:val="0"/>
          <w:color w:val="000000"/>
          <w:sz w:val="20"/>
        </w:rPr>
        <w:t>[4] Wu, Q., Bansal, G., Zhang, J., et al. (2023). “AutoGen: Enabling Next-Gen LLM Applications via Multi-Agent Conversation.” arXiv preprint arXiv:2308.08155.</w:t>
      </w:r>
    </w:p>
    <w:p>
      <w:pPr>
        <w:spacing w:after="120" w:before="0"/>
        <w:jc w:val="both"/>
      </w:pPr>
      <w:r>
        <w:rPr>
          <w:rFonts w:ascii="Times New Roman" w:hAnsi="Times New Roman"/>
          <w:b w:val="0"/>
          <w:i w:val="0"/>
          <w:color w:val="000000"/>
          <w:sz w:val="20"/>
        </w:rPr>
        <w:t>[5] American Diabetes Association. (2024). “Standards of Care in Diabetes—2024.” Diabetes Care, 47 (Supplement 1).</w:t>
      </w:r>
    </w:p>
    <w:p>
      <w:pPr>
        <w:spacing w:after="120" w:before="0"/>
        <w:jc w:val="both"/>
      </w:pPr>
      <w:r>
        <w:rPr>
          <w:rFonts w:ascii="Times New Roman" w:hAnsi="Times New Roman"/>
          <w:b w:val="0"/>
          <w:i w:val="0"/>
          <w:color w:val="000000"/>
          <w:sz w:val="20"/>
        </w:rPr>
        <w:t>[6] Sociedad Argentina de Diabetes (SAD). Guías de práctica clínica en diabetes mellitus tipo 2.</w:t>
      </w:r>
    </w:p>
    <w:p>
      <w:pPr>
        <w:spacing w:after="120" w:before="0"/>
        <w:jc w:val="both"/>
      </w:pPr>
      <w:r>
        <w:rPr>
          <w:rFonts w:ascii="Times New Roman" w:hAnsi="Times New Roman"/>
          <w:b w:val="0"/>
          <w:i w:val="0"/>
          <w:color w:val="000000"/>
          <w:sz w:val="20"/>
        </w:rPr>
        <w:t>[7] Ministerio de Salud de la Nación Argentina. Guía de práctica clínica sobre diagnóstico y tratamiento de diabetes mellitus tipo 2.</w:t>
      </w:r>
    </w:p>
    <w:p>
      <w:pPr>
        <w:spacing w:after="120" w:before="0"/>
        <w:jc w:val="both"/>
      </w:pPr>
      <w:r>
        <w:rPr>
          <w:rFonts w:ascii="Times New Roman" w:hAnsi="Times New Roman"/>
          <w:b w:val="0"/>
          <w:i w:val="0"/>
          <w:color w:val="000000"/>
          <w:sz w:val="20"/>
        </w:rPr>
        <w:t>[8] LangChain AI. (2024). “LangGraph Documentation.” https://langchain-ai.github.io/langgraph/</w:t>
      </w:r>
    </w:p>
    <w:p>
      <w:pPr>
        <w:spacing w:after="80" w:before="200"/>
        <w:jc w:val="both"/>
      </w:pPr>
      <w:r>
        <w:rPr>
          <w:rFonts w:ascii="Times New Roman" w:hAnsi="Times New Roman"/>
          <w:b/>
          <w:i w:val="0"/>
          <w:color w:val="000000"/>
          <w:sz w:val="20"/>
        </w:rPr>
        <w:t>Datos de Contacto</w:t>
      </w:r>
    </w:p>
    <w:p>
      <w:pPr>
        <w:spacing w:after="120" w:before="0"/>
        <w:jc w:val="both"/>
      </w:pPr>
      <w:r>
        <w:rPr>
          <w:rFonts w:ascii="Times New Roman" w:hAnsi="Times New Roman"/>
          <w:b w:val="0"/>
          <w:i/>
          <w:color w:val="000000"/>
          <w:sz w:val="20"/>
        </w:rPr>
        <w:t>[Nombre y Apellido]. [Institución]. [Dirección postal]. [E-mail].</w:t>
      </w:r>
    </w:p>
    <w:sectPr w:rsidR="00FC693F" w:rsidRPr="0006063C" w:rsidSect="00034616">
      <w:type w:val="continuous"/>
      <w:pgSz w:w="11906" w:h="16838"/>
      <w:pgMar w:top="1417" w:right="1417" w:bottom="1417" w:left="1417" w:header="0" w:footer="0" w:gutter="0"/>
      <w:cols w:space="567" w:num="2" w:equalWidth="1" w:sep="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