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sz w:val="4"/>
        </w:rPr>
      </w:pPr>
      <w:r>
        <w:rPr>
          <w:sz w:val="4"/>
        </w:rPr>
      </w:r>
    </w:p>
    <w:p>
      <w:pPr>
        <w:pStyle w:val="TtuloPrincipal"/>
        <w:spacing w:before="567" w:after="0"/>
        <w:contextualSpacing/>
        <w:rPr/>
      </w:pPr>
      <w:r>
        <w:rPr/>
        <w:t xml:space="preserve">SISTEMA MULTI-AGENTE DE SOPORTE CLÍNICO PARA EL SEGUIMIENTO DE PACIENTES CON DIABETES </w:t>
      </w:r>
    </w:p>
    <w:p>
      <w:pPr>
        <w:pStyle w:val="Normal"/>
        <w:rPr/>
      </w:pPr>
      <w:r>
        <w:rPr/>
      </w:r>
    </w:p>
    <w:p>
      <w:pPr>
        <w:pStyle w:val="Normal"/>
        <w:rPr/>
      </w:pPr>
      <w:r>
        <w:rPr/>
      </w:r>
    </w:p>
    <w:p>
      <w:pPr>
        <w:pStyle w:val="Address"/>
        <w:rPr>
          <w:b/>
          <w:bCs/>
        </w:rPr>
      </w:pPr>
      <w:r>
        <w:rPr>
          <w:b/>
          <w:bCs/>
        </w:rPr>
        <w:t xml:space="preserve">Franco Ezequiel Ocampo, Gonzalo Aguero, Gonzalo Gaitan, Marcos Debona, </w:t>
      </w:r>
    </w:p>
    <w:p>
      <w:pPr>
        <w:pStyle w:val="Address"/>
        <w:rPr>
          <w:b/>
          <w:bCs/>
        </w:rPr>
      </w:pPr>
      <w:r>
        <w:rPr>
          <w:b/>
          <w:bCs/>
        </w:rPr>
        <w:t xml:space="preserve">Maria de los Milagros Gutierrez, Jorge Marcelo Roa </w:t>
      </w:r>
    </w:p>
    <w:p>
      <w:pPr>
        <w:pStyle w:val="Address"/>
        <w:rPr>
          <w:b/>
          <w:bCs/>
          <w:lang w:val="es-AR"/>
        </w:rPr>
      </w:pPr>
      <w:r>
        <w:rPr>
          <w:b/>
          <w:bCs/>
          <w:lang w:val="es-AR"/>
        </w:rPr>
        <w:t>Universidad Tecnológica Nacional, Facultad Regional Santa Fe</w:t>
      </w:r>
    </w:p>
    <w:p>
      <w:pPr>
        <w:pStyle w:val="Address"/>
        <w:rPr/>
      </w:pPr>
      <w:hyperlink r:id="rId2">
        <w:r>
          <w:rPr>
            <w:rStyle w:val="Hyperlink"/>
            <w:b/>
            <w:bCs/>
            <w:lang w:val="es-AR"/>
          </w:rPr>
          <w:t>francoocampo.utn@gmail.com</w:t>
        </w:r>
      </w:hyperlink>
      <w:r>
        <w:rPr>
          <w:b/>
          <w:bCs/>
          <w:lang w:val="es-AR"/>
        </w:rPr>
        <w:t xml:space="preserve">, </w:t>
      </w:r>
      <w:hyperlink r:id="rId3">
        <w:r>
          <w:rPr>
            <w:rStyle w:val="Hyperlink"/>
            <w:b/>
            <w:bCs/>
            <w:lang w:val="es-AR"/>
          </w:rPr>
          <w:t>gonzaloaguerodev@gmail.com</w:t>
        </w:r>
      </w:hyperlink>
      <w:r>
        <w:rPr>
          <w:b/>
          <w:bCs/>
          <w:lang w:val="es-AR"/>
        </w:rPr>
        <w:t xml:space="preserve">, </w:t>
      </w:r>
      <w:hyperlink r:id="rId4">
        <w:r>
          <w:rPr>
            <w:rStyle w:val="Hyperlink"/>
            <w:b/>
            <w:bCs/>
            <w:lang w:val="es-AR"/>
          </w:rPr>
          <w:t>gonzagaitan8@gmail.com</w:t>
        </w:r>
      </w:hyperlink>
      <w:r>
        <w:rPr>
          <w:b/>
          <w:bCs/>
          <w:lang w:val="es-AR"/>
        </w:rPr>
        <w:t xml:space="preserve">, </w:t>
      </w:r>
      <w:hyperlink r:id="rId5">
        <w:r>
          <w:rPr>
            <w:rStyle w:val="Hyperlink"/>
            <w:b/>
            <w:bCs/>
            <w:lang w:val="es-AR"/>
          </w:rPr>
          <w:t>marcosjd2005@gmail.com</w:t>
        </w:r>
      </w:hyperlink>
      <w:r>
        <w:rPr>
          <w:b/>
          <w:bCs/>
          <w:lang w:val="es-AR"/>
        </w:rPr>
        <w:t xml:space="preserve">, </w:t>
      </w:r>
      <w:r>
        <w:rPr/>
        <w:t xml:space="preserve">&lt;&lt;email </w:t>
      </w:r>
      <w:r>
        <w:rPr/>
        <w:t>Milagros</w:t>
      </w:r>
      <w:r>
        <w:rPr/>
        <w:t xml:space="preserve">&gt;&gt;, &lt;&lt;email </w:t>
      </w:r>
      <w:r>
        <w:rPr/>
        <w:t>Jorge</w:t>
      </w:r>
      <w:r>
        <w:rPr/>
        <w:t>&gt;&gt;</w:t>
      </w:r>
    </w:p>
    <w:p>
      <w:pPr>
        <w:pStyle w:val="Normal"/>
        <w:rPr>
          <w:lang w:val="es-AR"/>
        </w:rPr>
      </w:pPr>
      <w:r>
        <w:rPr>
          <w:lang w:val="es-AR"/>
        </w:rPr>
      </w:r>
    </w:p>
    <w:p>
      <w:pPr>
        <w:pStyle w:val="Normal"/>
        <w:rPr/>
      </w:pPr>
      <w:r>
        <w:rPr/>
      </w:r>
    </w:p>
    <w:p>
      <w:pPr>
        <w:sectPr>
          <w:type w:val="nextPage"/>
          <w:pgSz w:w="11906" w:h="16838"/>
          <w:pgMar w:left="1134" w:right="1274" w:gutter="0" w:header="0" w:top="1417" w:footer="0" w:bottom="1417"/>
          <w:pgNumType w:fmt="decimal"/>
          <w:formProt w:val="false"/>
          <w:textDirection w:val="lrTb"/>
          <w:docGrid w:type="default" w:linePitch="360" w:charSpace="0"/>
        </w:sectPr>
      </w:pPr>
    </w:p>
    <w:p>
      <w:pPr>
        <w:pStyle w:val="Ttulo1erNivel"/>
        <w:rPr/>
      </w:pPr>
      <w:r>
        <w:rPr/>
        <w:t>Resumen</w:t>
      </w:r>
    </w:p>
    <w:p>
      <w:pPr>
        <w:pStyle w:val="Abstract"/>
        <w:rPr/>
      </w:pPr>
      <w:r>
        <w:rPr/>
        <w:t xml:space="preserve">Este trabajo presenta un sistema multi-agente de soporte a la decisión clínica para el seguimiento de pacientes con diabetes tipo 2. Un Orquestador infiere la intención del médico y coordina, vía LangGraph, un Agente Monitor —que ejecuta herramientas determinísticas de cálculo estadístico y detección de umbrales ADA— y un Agente Clínico, que interpreta los hallazgos mediante RAG sobre </w:t>
      </w:r>
      <w:r>
        <w:rPr/>
        <w:t>historias</w:t>
      </w:r>
      <w:r>
        <w:rPr/>
        <w:t xml:space="preserve"> clínicas y el historial acumulado del paciente en MongoDB. Un loop de refinamiento acotado permite volver a pedir análisis adicional. El sistema, implementado end-to-end y evaluado con una batería de casos happy/edge/adversarial, muestra que separar cálculo determinístico e interpretación en lenguaje natural produce un sistema auditable y reproducible en su capa numérica, útil como </w:t>
      </w:r>
      <w:r>
        <w:rPr/>
        <w:t xml:space="preserve">recomendación y </w:t>
      </w:r>
      <w:r>
        <w:rPr/>
        <w:t xml:space="preserve">soporte </w:t>
      </w:r>
      <w:r>
        <w:rPr/>
        <w:t>al diagnóstico para el médico que tendrá la evaluación final de la salud del paciente.</w:t>
      </w:r>
    </w:p>
    <w:p>
      <w:pPr>
        <w:pStyle w:val="Ttulo1erNivel"/>
        <w:rPr/>
      </w:pPr>
      <w:r>
        <w:rPr/>
        <w:t>1. Introducción</w:t>
      </w:r>
    </w:p>
    <w:p>
      <w:pPr>
        <w:pStyle w:val="Normal"/>
        <w:rPr/>
      </w:pPr>
      <w:r>
        <w:rPr/>
        <w:t xml:space="preserve">El seguimiento de pacientes con diabetes tipo 2 requiere el monitoreo continuo de múltiples métricas clínicas cuya interpretación conjunta es compleja y propensa a errores por omisión. Un médico que atiende a decenas de pacientes crónicos necesita identificar rápidamente tendencias preocupantes, valores fuera de rango y contexto clínico relevante antes de cada consulta. Sin herramientas de soporte, ese análisis se </w:t>
      </w:r>
      <w:r>
        <w:rPr/>
        <w:t>realiza</w:t>
      </w:r>
      <w:r>
        <w:rPr/>
        <w:t xml:space="preserve"> manualmente a partir de registros dispersos </w:t>
      </w:r>
      <w:r>
        <w:rPr/>
        <w:t>y en fuentes heterogéneas</w:t>
      </w:r>
      <w:r>
        <w:rPr/>
        <w:t>, con riesgo de pasar por alto señales de alerta, por ejemplo, un episodio puntual de hipoglucemia que un promedio mensual normal termina ocultando.</w:t>
      </w:r>
    </w:p>
    <w:p>
      <w:pPr>
        <w:pStyle w:val="Normal"/>
        <w:rPr/>
      </w:pPr>
      <w:r>
        <w:rPr/>
        <w:t xml:space="preserve">La diabetes es, además, una condición con umbrales de diagnóstico y control definidos con precisión por la American Diabetes Association (ADA), lo que la vuelve un dominio propicio para combinar reglas determinísticas (auditables, reproducibles) con razonamiento en lenguaje natural (flexible, capaz de contextualizar). Esa combinación es precisamente lo que motiva este trabajo: ¿cómo estructurar un sistema que use un modelo </w:t>
      </w:r>
      <w:r>
        <w:rPr/>
        <w:t xml:space="preserve">largo </w:t>
      </w:r>
      <w:r>
        <w:rPr/>
        <w:t>de lenguaje (LLM) para lo que hace bien, inferir intención, interpretar hallazgos, redactar en lenguaje clínico, sin delegarle el cálculo numérico, que debe ser exacto y verificable.</w:t>
      </w:r>
    </w:p>
    <w:p>
      <w:pPr>
        <w:pStyle w:val="Normal"/>
        <w:rPr/>
      </w:pPr>
      <w:r>
        <w:rPr/>
        <w:t xml:space="preserve">Se propone un sistema multi-agente orientado al soporte clínico en el seguimiento de pacientes con diabetes tipo 2. El sistema recibe el historial de métricas clínicas de un paciente y lo analiza de forma autónoma en dos etapas coordinadas por un agente orquestador: un Agente Monitor que procesa los datos mediante herramientas de cálculo determinístico para detectar anomalías y violaciones de umbral, y un Agente Clínico que interpreta esos hallazgos consultando el historial acumulativo del paciente y guías clínicas oficiales mediante RAG. El resultado es un reporte estructurado con alertas, tendencias y preguntas de seguimiento sugeridas, concebido estrictamente como soporte a la decisión médica: el sistema no emite diagnósticos </w:t>
      </w:r>
      <w:r>
        <w:rPr/>
        <w:t>verificados</w:t>
      </w:r>
      <w:r>
        <w:rPr/>
        <w:t>, y toda salida incluye esa aclaración explícita.</w:t>
      </w:r>
    </w:p>
    <w:p>
      <w:pPr>
        <w:pStyle w:val="Ttulo1erNivel"/>
        <w:rPr/>
      </w:pPr>
      <w:r>
        <w:rPr/>
        <w:t>2. Arquitectura del Sistema</w:t>
      </w:r>
    </w:p>
    <w:p>
      <w:pPr>
        <w:pStyle w:val="Normal"/>
        <w:rPr/>
      </w:pPr>
      <w:r>
        <w:rPr/>
        <w:t xml:space="preserve">El sistema implementa una arquitectura multi-agente orquestada con </w:t>
      </w:r>
      <w:r>
        <w:rPr>
          <w:b/>
        </w:rPr>
        <w:t xml:space="preserve">LangGraph </w:t>
      </w:r>
      <w:r>
        <w:rPr>
          <w:b w:val="false"/>
          <w:bCs w:val="false"/>
        </w:rPr>
        <w:t xml:space="preserve">(framework que </w:t>
      </w:r>
      <w:r>
        <w:rPr>
          <w:b w:val="false"/>
          <w:bCs w:val="false"/>
        </w:rPr>
        <w:t>p</w:t>
      </w:r>
      <w:r>
        <w:rPr/>
        <w:t>ermite modelar flujos como un grafo dirigido</w:t>
      </w:r>
      <w:r>
        <w:rPr>
          <w:b w:val="false"/>
          <w:bCs w:val="false"/>
        </w:rPr>
        <w:t>)</w:t>
      </w:r>
      <w:r>
        <w:rPr/>
        <w:t xml:space="preserve">, elegido porque el flujo requiere ciclos condicionales entre agentes (un loop de refinamiento, descripto más abajo) que un encadenamiento lineal no puede expresar. </w:t>
      </w:r>
      <w:r>
        <w:rPr>
          <w:b/>
        </w:rPr>
        <w:t>LangChain</w:t>
      </w:r>
      <w:r>
        <w:rPr/>
        <w:t xml:space="preserve"> provee las integraciones con los servicios externos (LLM, embeddings, vector store). Un estado compartido (`AgentState`, tipado con Pydantic) fluye entre los nodos del grafo.</w:t>
      </w:r>
    </w:p>
    <w:p>
      <w:pPr>
        <w:pStyle w:val="Normal"/>
        <w:rPr/>
      </w:pPr>
      <w:r>
        <w:rPr/>
        <w:t xml:space="preserve">La arquitectura distingue tres actores: el médico, que inicia la interacción; un </w:t>
      </w:r>
      <w:r>
        <w:rPr>
          <w:b/>
        </w:rPr>
        <w:t>Agente Orquestador</w:t>
      </w:r>
      <w:r>
        <w:rPr/>
        <w:t xml:space="preserve">, que decide cómo se procesa cada consulta; y dos agentes especializados con foco distinto, el </w:t>
      </w:r>
      <w:r>
        <w:rPr>
          <w:b/>
        </w:rPr>
        <w:t>Agente Monitor</w:t>
      </w:r>
      <w:r>
        <w:rPr/>
        <w:t xml:space="preserve"> (¿qué dicen los números?) y el </w:t>
      </w:r>
      <w:r>
        <w:rPr>
          <w:b/>
        </w:rPr>
        <w:t>Agente Clínico</w:t>
      </w:r>
      <w:r>
        <w:rPr/>
        <w:t xml:space="preserve"> (¿qué significan?). El Orquestador no expone comandos explícitos: </w:t>
      </w:r>
      <w:r>
        <w:rPr>
          <w:b/>
        </w:rPr>
        <w:t>infiere la intención</w:t>
      </w:r>
      <w:r>
        <w:rPr/>
        <w:t xml:space="preserve"> a partir del mensaje del médico y del estado de la sesión (¿hay un reporte previo?, ¿es una pregunta de seguimiento?, ¿se pide reiniciar?) y enruta en consecuencia. Ante una consulta nueva ejecuta el flujo completo Monitor → Clínico; ante una pregunta de seguimiento sobre un reporte ya generado, deriva directamente al Clínico sin recalcular.</w:t>
      </w:r>
    </w:p>
    <w:p>
      <w:pPr>
        <w:pStyle w:val="Normal"/>
        <w:rPr/>
      </w:pPr>
      <w:r>
        <w:rPr/>
        <w:t xml:space="preserve">Tras la interpretación del Clínico, el sistema evalúa si la información disponible alcanza para producir una respuesta de soporte, mediante una señal explícita (`information_sufficient`). Si no alcanza, el control vuelve al Monitor para ampliar el análisis — un </w:t>
      </w:r>
      <w:r>
        <w:rPr>
          <w:b/>
        </w:rPr>
        <w:t>loop de refinamiento</w:t>
      </w:r>
      <w:r>
        <w:rPr/>
        <w:t xml:space="preserve"> acotado a un máximo de 3 iteraciones (guardrail), que permite al sistema corregir su propio recorrido en lugar de entregar una respuesta incompleta.</w:t>
      </w:r>
    </w:p>
    <w:p>
      <w:pPr>
        <w:pStyle w:val="Normal"/>
        <w:rPr/>
      </w:pPr>
      <w:r>
        <w:rPr/>
        <w:t>Cada agente especializado consulta fuentes de datos propias, lo que delimita su responsabilidad: el Monitor trabaja sobre los datos crudos del historial clínico (EHR); el Clínico trabaja sobre conocimiento acumulado — el historial de sesiones previas del paciente (MongoDB) y guías clínicas de referencia indexadas para búsqueda semántica (ChromaDB). Esta separación evita que el mismo agente mezcle cálculo exacto con interpretación, y hace auditable cada paso: los logs registran, por `patient_id`/`metric`/`timerange`, qué tool se invocó y con qué resultado.</w:t>
      </w:r>
    </w:p>
    <w:p>
      <w:pPr>
        <w:pStyle w:val="Ttulo2doNivel"/>
        <w:rPr/>
      </w:pPr>
      <w:r>
        <w:rPr/>
        <w:t>2.1. Agentes y Herramientas</w:t>
      </w:r>
    </w:p>
    <w:p>
      <w:pPr>
        <w:pStyle w:val="Normal"/>
        <w:rPr/>
      </w:pPr>
      <w:r>
        <w:rPr/>
        <w:t xml:space="preserve">Los dos agentes especializados implementan el patrón </w:t>
      </w:r>
      <w:r>
        <w:rPr>
          <w:b/>
        </w:rPr>
        <w:t>ReAct</w:t>
      </w:r>
      <w:r>
        <w:rPr/>
        <w:t xml:space="preserve"> (razonar → actuar → observar) sobre modelos servidos vía API (Groq, `llama-3.3-70b`, con branch alternativo a Gemini), bindeados a herramientas LangChain. Cuando no hay credenciales de LLM disponibles, cada agente cae a un </w:t>
      </w:r>
      <w:r>
        <w:rPr>
          <w:b/>
        </w:rPr>
        <w:t>modo de fallback determinístico</w:t>
      </w:r>
      <w:r>
        <w:rPr/>
        <w:t xml:space="preserve"> que ejecuta las mismas tools sin pasar por el modelo — decisión de diseño que permite levantar y probar el sistema completo sin infraestructura externa, y que funciona además como base de comparación para detectar si una corrida de evaluación efectivamente usó el LLM o degradó al fallback.</w:t>
      </w:r>
    </w:p>
    <w:p>
      <w:pPr>
        <w:pStyle w:val="Normal"/>
        <w:rPr/>
      </w:pPr>
      <w:r>
        <w:rPr>
          <w:b/>
        </w:rPr>
        <w:t>Agente Monitor.</w:t>
      </w:r>
      <w:r>
        <w:rPr/>
        <w:t xml:space="preserve"> No interpreta clínicamente: solo calcula. Sus herramientas son </w:t>
      </w:r>
      <w:r>
        <w:rPr>
          <w:b/>
        </w:rPr>
        <w:t>determinísticas</w:t>
      </w:r>
      <w:r>
        <w:rPr/>
        <w:t xml:space="preserve"> — dado el mismo input, siempre el mismo output — y se invocan por `patient_id` (el LLM nunca transporta arrays de datos, solo decide </w:t>
      </w:r>
      <w:r>
        <w:rPr>
          <w:i/>
        </w:rPr>
        <w:t>qué</w:t>
      </w:r>
      <w:r>
        <w:rPr/>
        <w:t xml:space="preserve"> calcular y sobre </w:t>
      </w:r>
      <w:r>
        <w:rPr>
          <w:i/>
        </w:rPr>
        <w:t>qué ventana temporal</w:t>
      </w:r>
      <w:r>
        <w:rPr/>
        <w:t>):</w:t>
      </w:r>
    </w:p>
    <w:p>
      <w:pPr>
        <w:pStyle w:val="Normal"/>
        <w:rPr/>
      </w:pPr>
      <w:r>
        <w:rPr/>
        <w:t xml:space="preserve">– </w:t>
      </w:r>
      <w:r>
        <w:rPr/>
        <w:t>`load_patient_data(patient_id)`: carga la serie completa del historial clínico.</w:t>
      </w:r>
    </w:p>
    <w:p>
      <w:pPr>
        <w:pStyle w:val="Normal"/>
        <w:rPr/>
      </w:pPr>
      <w:r>
        <w:rPr/>
        <w:t xml:space="preserve">– </w:t>
      </w:r>
      <w:r>
        <w:rPr/>
        <w:t>`calculate_stats(patient_id, metric, timerange)`: estadísticas clínicamente accionables por métrica — último valor, media, mínimo, máximo, delta y dirección (subiendo/bajando/estable, con banda muerta del 3 %). Se priorizaron los extremos frente a medidas como desvío estándar porque exponen eventos que la media diluye, como una hipoglucemia puntual en un promedio normal.</w:t>
      </w:r>
    </w:p>
    <w:p>
      <w:pPr>
        <w:pStyle w:val="Normal"/>
        <w:rPr/>
      </w:pPr>
      <w:r>
        <w:rPr/>
        <w:t xml:space="preserve">– </w:t>
      </w:r>
      <w:r>
        <w:rPr/>
        <w:t xml:space="preserve">`detect_threshold_violations(patient_id, metric, timerange)`: compara cada valor contra los umbrales ADA y devuelve alertas con fecha, severidad (moderada/severa) y descripción. Cubre tanto </w:t>
      </w:r>
      <w:r>
        <w:rPr>
          <w:b/>
        </w:rPr>
        <w:t>hiperglucemia</w:t>
      </w:r>
      <w:r>
        <w:rPr/>
        <w:t xml:space="preserve"> (glucosa en ayunas ≥ 126 mg/dL, HbA1c ≥ 6.5 %, postprandial ≥ 200 mg/dL en el nivel severo) como </w:t>
      </w:r>
      <w:r>
        <w:rPr>
          <w:b/>
        </w:rPr>
        <w:t>hipoglucemia</w:t>
      </w:r>
      <w:r>
        <w:rPr/>
        <w:t xml:space="preserve"> (&lt; 70 mg/dL moderada, &lt; 54 mg/dL severa) — esta última con frecuencia ausente en sistemas de monitoreo que solo vigilan valores altos.</w:t>
      </w:r>
    </w:p>
    <w:p>
      <w:pPr>
        <w:pStyle w:val="Normal"/>
        <w:rPr/>
      </w:pPr>
      <w:r>
        <w:rPr/>
        <w:t xml:space="preserve">– </w:t>
      </w:r>
      <w:r>
        <w:rPr/>
        <w:t>`get_medication_schedule(patient_id)`: medicación activa con dosis y frecuencia.</w:t>
      </w:r>
    </w:p>
    <w:p>
      <w:pPr>
        <w:pStyle w:val="Normal"/>
        <w:rPr/>
      </w:pPr>
      <w:r>
        <w:rPr>
          <w:b/>
        </w:rPr>
        <w:t>Agente Clínico.</w:t>
      </w:r>
      <w:r>
        <w:rPr/>
        <w:t xml:space="preserve"> Recibe el output estructurado del Monitor e interpreta los hallazgos, incorporando historial y guías:</w:t>
      </w:r>
    </w:p>
    <w:p>
      <w:pPr>
        <w:pStyle w:val="Normal"/>
        <w:rPr/>
      </w:pPr>
      <w:r>
        <w:rPr/>
        <w:t xml:space="preserve">– </w:t>
      </w:r>
      <w:r>
        <w:rPr/>
        <w:t>`get_patient_history(patient_id)`: recupera el documento completo del paciente desde MongoDB (diagnósticos, comorbilidades, medicación base, sesiones anteriores).</w:t>
      </w:r>
    </w:p>
    <w:p>
      <w:pPr>
        <w:pStyle w:val="Normal"/>
        <w:rPr/>
      </w:pPr>
      <w:r>
        <w:rPr/>
        <w:t xml:space="preserve">– </w:t>
      </w:r>
      <w:r>
        <w:rPr/>
        <w:t>`compare_with_previous_sessions(patient_id, metric, n_sessions)`: compara el valor actual con sesiones previas y clasifica la evolución (mejorando/estable/deteriorando), forzando un razonamiento longitudinal explícito y auditable.</w:t>
      </w:r>
    </w:p>
    <w:p>
      <w:pPr>
        <w:pStyle w:val="Normal"/>
        <w:rPr/>
      </w:pPr>
      <w:r>
        <w:rPr/>
        <w:t xml:space="preserve">– </w:t>
      </w:r>
      <w:r>
        <w:rPr/>
        <w:t>`search_clinical_guidelines(condition, value, context)`: búsqueda semántica (RAG) sobre ChromaDB, indexado con embeddings `nomic-embed-text`, contra guías de la ADA, la Sociedad Argentina de Diabetes y el Ministerio de Salud de la Nación. El parámetro `context` incorpora información clínica adicional que el médico ingresa en lenguaje libre (por ejemplo, una comorbilidad), lo que orienta la búsqueda.</w:t>
      </w:r>
    </w:p>
    <w:p>
      <w:pPr>
        <w:pStyle w:val="Normal"/>
        <w:rPr/>
      </w:pPr>
      <w:r>
        <w:rPr/>
        <w:t xml:space="preserve">– </w:t>
      </w:r>
      <w:r>
        <w:rPr/>
        <w:t xml:space="preserve">`update_patient_history(patient_id, session_data)`: persiste la sesión actual como un nuevo nodo del historial, </w:t>
      </w:r>
      <w:r>
        <w:rPr>
          <w:b/>
        </w:rPr>
        <w:t>solo con confirmación explícita del médico</w:t>
      </w:r>
      <w:r>
        <w:rPr/>
        <w:t xml:space="preserve"> — el reporte generado por el agente no se registra automáticamente, para no introducir ruido no revisado en la base que alimenta sesiones futuras.</w:t>
      </w:r>
    </w:p>
    <w:p>
      <w:pPr>
        <w:pStyle w:val="Normal"/>
        <w:rPr/>
      </w:pPr>
      <w:r>
        <w:rPr/>
        <w:t xml:space="preserve">El historial del paciente se modela como </w:t>
      </w:r>
      <w:r>
        <w:rPr>
          <w:b/>
        </w:rPr>
        <w:t>un documento por paciente en MongoDB</w:t>
      </w:r>
      <w:r>
        <w:rPr/>
        <w:t xml:space="preserve"> (recuperación exacta por identificador) en lugar de indexarlo también con RAG: cuando el Clínico necesita el historial, lo necesita completo, y fragmentarlo introduciría el riesgo de recuperar fragmentos de sesiones que contradicen el estado actual — o de otro paciente con perfil similar. RAG queda reservado exclusivamente para las guías clínicas, donde sí tiene sentido recuperar el fragmento más relevante entre un corpus extenso y relativamente estático.</w:t>
      </w:r>
    </w:p>
    <w:p>
      <w:pPr>
        <w:pStyle w:val="Ttulo2doNivel"/>
        <w:rPr/>
      </w:pPr>
      <w:r>
        <w:rPr/>
        <w:t>2.2. Interfaz, Observabilidad y Modo de Operación</w:t>
      </w:r>
    </w:p>
    <w:p>
      <w:pPr>
        <w:pStyle w:val="Normal"/>
        <w:rPr/>
      </w:pPr>
      <w:r>
        <w:rPr/>
        <w:t xml:space="preserve">La interacción del médico se implementó en una </w:t>
      </w:r>
      <w:r>
        <w:rPr>
          <w:b/>
        </w:rPr>
        <w:t>interfaz web con Gradio</w:t>
      </w:r>
      <w:r>
        <w:rPr/>
        <w:t xml:space="preserve">, con una pestaña de </w:t>
      </w:r>
      <w:r>
        <w:rPr>
          <w:i/>
        </w:rPr>
        <w:t>Consulta clínica</w:t>
      </w:r>
      <w:r>
        <w:rPr/>
        <w:t xml:space="preserve"> (selección de paciente, perfil resumido, campos opcionales de orientación del análisis y contexto clínico adicional, reporte con alertas y tendencias, y un chat de seguimiento acotado al paciente activo) y una pestaña de </w:t>
      </w:r>
      <w:r>
        <w:rPr>
          <w:i/>
        </w:rPr>
        <w:t>Observabilidad</w:t>
      </w:r>
      <w:r>
        <w:rPr/>
        <w:t xml:space="preserve"> que expone, en modo desarrollo, la traza estructurada del grafo (`node_start`, `routing`, y — en modo completo — `llm_</w:t>
      </w:r>
      <w:r>
        <w:rPr>
          <w:i/>
        </w:rPr>
        <w:t>`/`tool_</w:t>
      </w:r>
      <w:r>
        <w:rPr/>
        <w:t>` con conteo de tokens y nombre de la herramienta invocada). Toda ejecución se registra en consola y en `logs/agent.jsonl`, integrable con LangSmith.</w:t>
      </w:r>
    </w:p>
    <w:p>
      <w:pPr>
        <w:pStyle w:val="Normal"/>
        <w:rPr/>
      </w:pPr>
      <w:r>
        <w:rPr/>
        <w:t xml:space="preserve">Un aspecto operativo relevante para la reproducibilidad del trabajo es el </w:t>
      </w:r>
      <w:r>
        <w:rPr>
          <w:b/>
        </w:rPr>
        <w:t>modo básico</w:t>
      </w:r>
      <w:r>
        <w:rPr/>
        <w:t>: sin `GROQ_API_KEY` ni servicios externos, el grafo completo corre igual sobre fallbacks determinísticos y un fixture local de cuatro pacientes sintéticos, cada uno ejercitando un caso distinto (control adecuado, tendencia ascendente, episodio de hipoglucemia, datos insuficientes). Esto permite validar la integridad del pipeline — mas no la calidad del razonamiento del LLM — sin depender de infraestructura externa, algo poco frecuente en sistemas basados en agentes LLM y que facilitó la evaluación continua durante el desarrollo.</w:t>
      </w:r>
    </w:p>
    <w:p>
      <w:pPr>
        <w:pStyle w:val="Ttulo2doNivel"/>
        <w:rPr/>
      </w:pPr>
      <w:r>
        <w:rPr/>
        <w:t>2.3. Evaluación</w:t>
      </w:r>
    </w:p>
    <w:p>
      <w:pPr>
        <w:pStyle w:val="Normal"/>
        <w:rPr/>
      </w:pPr>
      <w:r>
        <w:rPr/>
        <w:t xml:space="preserve">La estrategia de testing se organizó </w:t>
      </w:r>
      <w:r>
        <w:rPr>
          <w:b/>
        </w:rPr>
        <w:t>por objetivo</w:t>
      </w:r>
      <w:r>
        <w:rPr/>
        <w:t xml:space="preserve"> en lugar de por la taxonomía habitual unitario/integración, porque lo que interesa validar en un sistema de este tipo es de naturaleza distinta según la capa: que las </w:t>
      </w:r>
      <w:r>
        <w:rPr>
          <w:b/>
        </w:rPr>
        <w:t>herramientas</w:t>
      </w:r>
      <w:r>
        <w:rPr/>
        <w:t xml:space="preserve"> calculen lo correcto (determinístico), que el </w:t>
      </w:r>
      <w:r>
        <w:rPr>
          <w:b/>
        </w:rPr>
        <w:t>grafo</w:t>
      </w:r>
      <w:r>
        <w:rPr/>
        <w:t xml:space="preserve"> coordine bien a los agentes (plomería, con un modo determinístico forzado para el gate de integración continua y un modo estocástico con LLM real para verificar el cableado), y que el </w:t>
      </w:r>
      <w:r>
        <w:rPr>
          <w:b/>
        </w:rPr>
        <w:t>resultado final producido por la IA</w:t>
      </w:r>
      <w:r>
        <w:rPr/>
        <w:t xml:space="preserve"> sea de buena calidad (inherentemente cualitativo).</w:t>
      </w:r>
    </w:p>
    <w:p>
      <w:pPr>
        <w:pStyle w:val="Normal"/>
        <w:rPr/>
      </w:pPr>
      <w:r>
        <w:rPr/>
        <w:t xml:space="preserve">Para este último eje se construyó un conjunto de 9 casos distribuidos en tres categorías — </w:t>
      </w:r>
      <w:r>
        <w:rPr>
          <w:i/>
        </w:rPr>
        <w:t>happy path</w:t>
      </w:r>
      <w:r>
        <w:rPr/>
        <w:t xml:space="preserve">, </w:t>
      </w:r>
      <w:r>
        <w:rPr>
          <w:i/>
        </w:rPr>
        <w:t>edge cases</w:t>
      </w:r>
      <w:r>
        <w:rPr/>
        <w:t xml:space="preserve"> y </w:t>
      </w:r>
      <w:r>
        <w:rPr>
          <w:i/>
        </w:rPr>
        <w:t>adversarial</w:t>
      </w:r>
      <w:r>
        <w:rPr/>
        <w:t xml:space="preserve"> — ejecutados con el LLM real mediante un script dedicado que vuelca un artefacto con el resultado esperado frente al obtenido, consultable desde la propia interfaz para comparación manual. Cada corrida queda etiquetada como `ok`, `degraded` (el LLM falló y el grafo cayó al fallback determinístico, por lo que la salida no refleja al modelo) o `error`, distinción que resultó necesaria para no puntuar como fallo del razonamiento algo que en realidad fue un problema de disponibilidad del proveedor de LLM. Este esquema de comparación esperado-vs-obtenido constituye una base directa para incorporar, como trabajo futuro, una capa de evaluación automática tipo </w:t>
      </w:r>
      <w:r>
        <w:rPr>
          <w:i/>
        </w:rPr>
        <w:t>LLM-as-judge</w:t>
      </w:r>
      <w:r>
        <w:rPr/>
        <w:t>.</w:t>
      </w:r>
    </w:p>
    <w:p>
      <w:pPr>
        <w:pStyle w:val="Ttulo1erNivel"/>
        <w:rPr/>
      </w:pPr>
      <w:r>
        <w:rPr/>
        <w:t>3. Trabajos Relacionados</w:t>
      </w:r>
    </w:p>
    <w:p>
      <w:pPr>
        <w:pStyle w:val="Normal"/>
        <w:rPr/>
      </w:pPr>
      <w:r>
        <w:rPr/>
        <w:t>El uso de LLM en salud ha sido explorado principalmente en dos direcciones: modelos de propósito general evaluados sobre conocimiento médico, como Med-PaLM, que muestran que un LLM puede responder con calidad clínica aceptable preguntas de examen y consultas abiertas [1], y sistemas de soporte a la decisión que combinan LLM con fuentes de conocimiento externas para reducir alucinaciones y anclar las respuestas en evidencia verificable. Este trabajo se ubica en la segunda categoría: en lugar de confiar en el conocimiento paramétrico del modelo, ancla cada interpretación clínica en fragmentos recuperados de guías oficiales.</w:t>
      </w:r>
    </w:p>
    <w:p>
      <w:pPr>
        <w:pStyle w:val="Normal"/>
        <w:rPr/>
      </w:pPr>
      <w:r>
        <w:rPr/>
        <w:t xml:space="preserve">La técnica de </w:t>
      </w:r>
      <w:r>
        <w:rPr>
          <w:b/>
        </w:rPr>
        <w:t>Retrieval-Augmented Generation</w:t>
      </w:r>
      <w:r>
        <w:rPr/>
        <w:t xml:space="preserve"> (RAG), formalizada por Lewis et al. [2], es la base de esa estrategia de anclaje: en vez de depender de lo que el modelo “recuerda” de su entrenamiento, se recupera contexto relevante de un corpus controlado (en este caso, guías ADA/SAD/MSAL) y se lo incorpora al prompt antes de generar la respuesta. A diferencia de aplicaciones típicas de RAG que indexan todo el conocimiento disponible, este trabajo aplica RAG selectivamente — solo sobre las guías clínicas, no sobre el historial del paciente —, lo que representa una decisión de diseño explícita frente al patrón “indexar todo” habitual en sistemas de recuperación aumentada.</w:t>
      </w:r>
    </w:p>
    <w:p>
      <w:pPr>
        <w:pStyle w:val="Normal"/>
        <w:rPr/>
      </w:pPr>
      <w:r>
        <w:rPr/>
        <w:t xml:space="preserve">En cuanto a la coordinación de agentes, el patrón </w:t>
      </w:r>
      <w:r>
        <w:rPr>
          <w:b/>
        </w:rPr>
        <w:t>ReAct</w:t>
      </w:r>
      <w:r>
        <w:rPr/>
        <w:t xml:space="preserve"> (razonamiento intercalado con acción) de Yao et al. [3] es el que estructura el loop interno de cada agente especializado, y la literatura reciente sobre sistemas </w:t>
      </w:r>
      <w:r>
        <w:rPr>
          <w:b/>
        </w:rPr>
        <w:t>multi-agente</w:t>
      </w:r>
      <w:r>
        <w:rPr/>
        <w:t xml:space="preserve"> con LLM —por ejemplo, marcos como AutoGen [4]— documenta beneficios similares a los observados en este trabajo al dividir un problema complejo entre agentes con roles y fuentes de datos delimitadas, en contraposición a un único agente monolítico con todas las herramientas disponibles. La diferencia principal respecto de esos marcos generales es que aquí la división de responsabilidades no es solo organizativa sino epistemológica: el Monitor encapsula todo el cálculo determinístico y el Clínico toda la interpretación, de forma que el razonamiento estocástico del LLM nunca participa en una cuenta que deba ser exacta y auditable — un requisito poco negociable en un dominio clínico.</w:t>
      </w:r>
    </w:p>
    <w:p>
      <w:pPr>
        <w:pStyle w:val="Ttulo1erNivel"/>
        <w:rPr/>
      </w:pPr>
      <w:r>
        <w:rPr/>
        <w:t>4. Conclusión y Trabajos Futuros</w:t>
      </w:r>
    </w:p>
    <w:p>
      <w:pPr>
        <w:pStyle w:val="Normal"/>
        <w:rPr/>
      </w:pPr>
      <w:r>
        <w:rPr/>
        <w:t>Este trabajo presentó un sistema multi-agente de soporte a la decisión clínica para el seguimiento de pacientes con diabetes tipo 2, cuya decisión de diseño central es separar estrictamente el cálculo determinístico (a cargo de herramientas puras, testeables con listas de valores) de la interpretación en lenguaje natural (a cargo del LLM), coordinados por un agente orquestador que enruta por inferencia de intención y gestiona un loop de refinamiento acotado. Esa separación resultó clave para lograr un sistema auditable en su capa numérica — cada estadística y cada alerta son reproducibles y verificables — sin resignar la flexibilidad interpretativa que aporta un LLM al contextualizar un hallazgo contra guías clínicas y el historial longitudinal del paciente.</w:t>
      </w:r>
    </w:p>
    <w:p>
      <w:pPr>
        <w:pStyle w:val="Normal"/>
        <w:rPr/>
      </w:pPr>
      <w:r>
        <w:rPr/>
        <w:t>Entre las limitaciones del trabajo se destacan: el alcance del historial de métricas se restringió a mediciones puntuales del EHR, dejando el monitoreo continuo de glucosa (CGM) como extensión definida pero no implementada; el enrutamiento del Orquestador y la detección de “información insuficiente” del Clínico dependen hoy de heurísticas sobre texto libre del LLM, con el riesgo de fragilidad que eso implica si el modelo cambia de fraseo; y la evaluación de calidad del razonamiento sigue siendo mayormente manual.</w:t>
      </w:r>
    </w:p>
    <w:p>
      <w:pPr>
        <w:pStyle w:val="Normal"/>
        <w:rPr/>
      </w:pPr>
      <w:r>
        <w:rPr/>
        <w:t xml:space="preserve">Como trabajos futuros se plantea: (i) migrar las decisiones de control (enrutamiento, señal de información insuficiente) de heurísticas de texto libre a salida estructurada del LLM; (ii) incorporar una capa de evaluación automática tipo LLM-as-judge que puntúe </w:t>
      </w:r>
      <w:r>
        <w:rPr>
          <w:i/>
        </w:rPr>
        <w:t>faithfulness</w:t>
      </w:r>
      <w:r>
        <w:rPr/>
        <w:t xml:space="preserve"> del reporte clínico contra los fragmentos RAG recuperados, para detectar alucinaciones de forma sistemática y no solo por revisión manual; (iii) implementar el nodo de persistencia de sesión que hoy está definido en el diseño pero pendiente de integración en el grafo; y (iv) incorporar el análisis de datos de monitoreo continuo de glucosa (CGM) como fuente adicional para pacientes que dispongan del dispositivo.</w:t>
      </w:r>
    </w:p>
    <w:p>
      <w:pPr>
        <w:pStyle w:val="Ttulo1erNivel"/>
        <w:rPr/>
      </w:pPr>
      <w:r>
        <w:rPr/>
        <w:t>Agradecimientos</w:t>
      </w:r>
    </w:p>
    <w:p>
      <w:pPr>
        <w:pStyle w:val="Normal"/>
        <w:ind w:hanging="0"/>
        <w:rPr/>
      </w:pPr>
      <w:r>
        <w:rPr/>
        <w:t>Se agradece al Dr. «nombre doctor», Ing. Camila Kerps y Lic. Yamila Sonder por su aporte de conocimiento en el dominio de diabetes y su disposición para participar en la corrección y prueba del sistema.</w:t>
      </w:r>
    </w:p>
    <w:p>
      <w:pPr>
        <w:pStyle w:val="Ttulo1erNivel"/>
        <w:rPr/>
      </w:pPr>
      <w:r>
        <w:rPr/>
        <w:t>Referencias</w:t>
      </w:r>
    </w:p>
    <w:p>
      <w:pPr>
        <w:pStyle w:val="References"/>
        <w:rPr/>
      </w:pPr>
      <w:r>
        <w:rPr/>
        <w:t>[1] Singhal, K., Azizi, S., Tu, T., et al. (2023). "Large language models encode clinical knowledge." Nature, 620, 172–180.</w:t>
      </w:r>
    </w:p>
    <w:p>
      <w:pPr>
        <w:pStyle w:val="References"/>
        <w:rPr/>
      </w:pPr>
      <w:r>
        <w:rPr/>
        <w:t>[2] Lewis, P., Perez, E., Piktus, A., et al. (2020). "Retrieval-Augmented Generation for Knowledge-Intensive NLP Tasks." Advances in Neural Information Processing Systems (NeurIPS), 33.</w:t>
      </w:r>
    </w:p>
    <w:p>
      <w:pPr>
        <w:pStyle w:val="References"/>
        <w:rPr/>
      </w:pPr>
      <w:r>
        <w:rPr/>
        <w:t>[3] Yao, S., Zhao, J., Yu, D., et al. (2022). "ReAct: Synergizing Reasoning and Acting in Language Models." arXiv preprint arXiv:2210.03629.</w:t>
      </w:r>
    </w:p>
    <w:p>
      <w:pPr>
        <w:pStyle w:val="References"/>
        <w:rPr/>
      </w:pPr>
      <w:r>
        <w:rPr/>
        <w:t>[4] Wu, Q., Bansal, G., Zhang, J., et al. (2023). "AutoGen: Enabling Next-Gen LLM Applications via Multi-Agent Conversation." arXiv preprint arXiv:2308.08155.</w:t>
      </w:r>
    </w:p>
    <w:p>
      <w:pPr>
        <w:pStyle w:val="References"/>
        <w:rPr/>
      </w:pPr>
      <w:r>
        <w:rPr/>
        <w:t>[5] American Diabetes Association. (2024). "Standards of Care in Diabetes—2024." Diabetes Care, 47 (Supplement 1).</w:t>
      </w:r>
    </w:p>
    <w:p>
      <w:pPr>
        <w:pStyle w:val="References"/>
        <w:rPr/>
      </w:pPr>
      <w:r>
        <w:rPr/>
        <w:t>[6] Sociedad Argentina de Diabetes (SAD). Guías de práctica clínica en diabetes mellitus tipo 2.</w:t>
      </w:r>
    </w:p>
    <w:p>
      <w:pPr>
        <w:pStyle w:val="References"/>
        <w:rPr/>
      </w:pPr>
      <w:r>
        <w:rPr/>
        <w:t>[7] Ministerio de Salud de la Nación Argentina. Guía de práctica clínica sobre diagnóstico y tratamiento de diabetes mellitus tipo 2.</w:t>
      </w:r>
    </w:p>
    <w:p>
      <w:pPr>
        <w:pStyle w:val="References"/>
        <w:spacing w:before="0" w:after="120"/>
        <w:rPr/>
      </w:pPr>
      <w:r>
        <w:rPr/>
        <w:t>[8] LangChain AI. (2024). "LangGraph Documentation." https://langchain-ai.github.io/langgraph/</w:t>
      </w:r>
    </w:p>
    <w:sectPr>
      <w:type w:val="continuous"/>
      <w:pgSz w:w="11906" w:h="16838"/>
      <w:pgMar w:left="1134" w:right="1274" w:gutter="0" w:header="0" w:top="1417" w:footer="0" w:bottom="1417"/>
      <w:cols w:num="2" w:space="44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1"/>
    <w:family w:val="roman"/>
    <w:pitch w:val="variable"/>
  </w:font>
  <w:font w:name="Segoe UI">
    <w:charset w:val="01"/>
    <w:family w:val="swiss"/>
    <w:pitch w:val="variable"/>
  </w:font>
  <w:font w:name="Liberation Sans">
    <w:altName w:val="Arial"/>
    <w:charset w:val="01"/>
    <w:family w:val="swiss"/>
    <w:pitch w:val="variable"/>
  </w:font>
  <w:font w:name="HelveticaNeueLT Std Lt Cn">
    <w:altName w:val="Arial Narrow"/>
    <w:charset w:val="01"/>
    <w:family w:val="roman"/>
    <w:pitch w:val="variable"/>
  </w:font>
  <w:font w:name="Helvetica">
    <w:altName w:val="Arial"/>
    <w:charset w:val="01"/>
    <w:family w:val="swiss"/>
    <w:pitch w:val="variable"/>
  </w:font>
  <w:font w:name="Times New Roman">
    <w:charset w:val="01"/>
    <w:family w:val="roman"/>
    <w:pitch w:val="variable"/>
  </w:font>
  <w:font w:name="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120"/>
      <w:ind w:firstLine="284" w:left="0" w:right="0"/>
      <w:jc w:val="both"/>
    </w:pPr>
    <w:rPr>
      <w:rFonts w:ascii="Times" w:hAnsi="Times" w:eastAsia="Times New Roman" w:cs="Times"/>
      <w:color w:val="auto"/>
      <w:kern w:val="0"/>
      <w:sz w:val="20"/>
      <w:szCs w:val="24"/>
      <w:lang w:val="es-AR" w:eastAsia="zh-CN" w:bidi="ar-SA"/>
    </w:rPr>
  </w:style>
  <w:style w:type="paragraph" w:styleId="Heading1">
    <w:name w:val="heading 1"/>
    <w:basedOn w:val="Normal"/>
    <w:next w:val="BodyText"/>
    <w:qFormat/>
    <w:pPr>
      <w:keepNext w:val="true"/>
      <w:numPr>
        <w:ilvl w:val="0"/>
        <w:numId w:val="1"/>
      </w:numPr>
      <w:spacing w:before="200" w:after="120"/>
      <w:ind w:hanging="360" w:left="360" w:right="0"/>
      <w:jc w:val="left"/>
      <w:outlineLvl w:val="0"/>
    </w:pPr>
    <w:rPr>
      <w:rFonts w:cs="Arial"/>
      <w:b/>
      <w:bCs/>
      <w:kern w:val="2"/>
      <w:sz w:val="24"/>
      <w:szCs w:val="32"/>
      <w:lang w:val="en-US"/>
    </w:rPr>
  </w:style>
  <w:style w:type="character" w:styleId="Fuentedeprrafopredeter">
    <w:name w:val="Fuente de párrafo predeter."/>
    <w:qFormat/>
    <w:rPr/>
  </w:style>
  <w:style w:type="character" w:styleId="Ttulo1Car">
    <w:name w:val="Título 1 Car"/>
    <w:qFormat/>
    <w:rPr>
      <w:rFonts w:ascii="Times" w:hAnsi="Times" w:eastAsia="Times New Roman" w:cs="Arial"/>
      <w:b/>
      <w:bCs/>
      <w:kern w:val="2"/>
      <w:sz w:val="24"/>
      <w:szCs w:val="32"/>
      <w:lang w:val="en-US"/>
    </w:rPr>
  </w:style>
  <w:style w:type="character" w:styleId="TextoindependienteCar">
    <w:name w:val="Texto independiente Car"/>
    <w:qFormat/>
    <w:rPr>
      <w:rFonts w:ascii="Times" w:hAnsi="Times" w:eastAsia="Times New Roman" w:cs="Times New Roman"/>
      <w:sz w:val="20"/>
      <w:szCs w:val="24"/>
    </w:rPr>
  </w:style>
  <w:style w:type="character" w:styleId="TextonotapieCar">
    <w:name w:val="Texto nota pie Car"/>
    <w:qFormat/>
    <w:rPr>
      <w:rFonts w:ascii="Times" w:hAnsi="Times" w:eastAsia="Times New Roman" w:cs="Times New Roman"/>
      <w:sz w:val="20"/>
      <w:szCs w:val="20"/>
    </w:rPr>
  </w:style>
  <w:style w:type="character" w:styleId="FootnoteCharactersuser">
    <w:name w:val="Footnote Characters (user)"/>
    <w:qFormat/>
    <w:rPr>
      <w:vertAlign w:val="superscript"/>
    </w:rPr>
  </w:style>
  <w:style w:type="character" w:styleId="TextonotaalfinalCar">
    <w:name w:val="Texto nota al final Car"/>
    <w:qFormat/>
    <w:rPr>
      <w:rFonts w:ascii="Times" w:hAnsi="Times" w:eastAsia="Times New Roman" w:cs="Times New Roman"/>
      <w:sz w:val="20"/>
      <w:szCs w:val="20"/>
    </w:rPr>
  </w:style>
  <w:style w:type="character" w:styleId="EndnoteCharactersuser">
    <w:name w:val="Endnote Characters (user)"/>
    <w:qFormat/>
    <w:rPr>
      <w:vertAlign w:val="superscript"/>
    </w:rPr>
  </w:style>
  <w:style w:type="character" w:styleId="TextodegloboCar">
    <w:name w:val="Texto de globo Car"/>
    <w:qFormat/>
    <w:rPr>
      <w:rFonts w:ascii="Segoe UI" w:hAnsi="Segoe UI" w:eastAsia="Times New Roman" w:cs="Segoe UI"/>
      <w:sz w:val="18"/>
      <w:szCs w:val="18"/>
    </w:rPr>
  </w:style>
  <w:style w:type="character" w:styleId="Refdecomentario">
    <w:name w:val="Ref. de comentario"/>
    <w:qFormat/>
    <w:rPr>
      <w:sz w:val="16"/>
      <w:szCs w:val="16"/>
    </w:rPr>
  </w:style>
  <w:style w:type="character" w:styleId="TextocomentarioCar">
    <w:name w:val="Texto comentario Car"/>
    <w:qFormat/>
    <w:rPr>
      <w:rFonts w:ascii="Times" w:hAnsi="Times" w:eastAsia="Times New Roman" w:cs="Times New Roman"/>
      <w:sz w:val="20"/>
      <w:szCs w:val="20"/>
    </w:rPr>
  </w:style>
  <w:style w:type="character" w:styleId="AsuntodelcomentarioCar">
    <w:name w:val="Asunto del comentario Car"/>
    <w:qFormat/>
    <w:rPr>
      <w:rFonts w:ascii="Times" w:hAnsi="Times" w:eastAsia="Times New Roman" w:cs="Times New Roman"/>
      <w:b/>
      <w:bCs/>
      <w:sz w:val="20"/>
      <w:szCs w:val="20"/>
    </w:rPr>
  </w:style>
  <w:style w:type="character" w:styleId="TtuloPrincipalCar">
    <w:name w:val="Título Principal Car"/>
    <w:qFormat/>
    <w:rPr>
      <w:rFonts w:ascii="Times" w:hAnsi="Times" w:eastAsia="Times New Roman" w:cs="Arial"/>
      <w:b/>
      <w:bCs/>
      <w:kern w:val="2"/>
      <w:sz w:val="28"/>
      <w:szCs w:val="32"/>
    </w:rPr>
  </w:style>
  <w:style w:type="character" w:styleId="AbstractCar">
    <w:name w:val="Abstract Car"/>
    <w:qFormat/>
    <w:rPr>
      <w:rFonts w:ascii="Times" w:hAnsi="Times" w:eastAsia="Times New Roman" w:cs="Times New Roman"/>
      <w:i/>
      <w:iCs/>
      <w:sz w:val="20"/>
      <w:szCs w:val="24"/>
    </w:rPr>
  </w:style>
  <w:style w:type="character" w:styleId="Ttulo1erNivelCar">
    <w:name w:val="Título 1er Nivel Car"/>
    <w:qFormat/>
    <w:rPr>
      <w:rFonts w:ascii="Times" w:hAnsi="Times" w:eastAsia="Times New Roman" w:cs="Arial"/>
      <w:b/>
      <w:bCs/>
      <w:kern w:val="2"/>
      <w:sz w:val="24"/>
      <w:szCs w:val="32"/>
    </w:rPr>
  </w:style>
  <w:style w:type="character" w:styleId="Ttulo2doNivelCar">
    <w:name w:val="Título 2do Nivel Car"/>
    <w:qFormat/>
    <w:rPr>
      <w:rFonts w:ascii="Times" w:hAnsi="Times" w:eastAsia="Times New Roman" w:cs="Times New Roman"/>
      <w:b/>
    </w:rPr>
  </w:style>
  <w:style w:type="character" w:styleId="EncabezadoCar">
    <w:name w:val="Encabezado Car"/>
    <w:qFormat/>
    <w:rPr>
      <w:rFonts w:ascii="Times" w:hAnsi="Times" w:eastAsia="Times New Roman" w:cs="Times New Roman"/>
      <w:sz w:val="20"/>
      <w:szCs w:val="24"/>
    </w:rPr>
  </w:style>
  <w:style w:type="character" w:styleId="PiedepginaCar">
    <w:name w:val="Pie de página Car"/>
    <w:qFormat/>
    <w:rPr>
      <w:rFonts w:ascii="Times" w:hAnsi="Times" w:eastAsia="Times New Roman" w:cs="Times New Roman"/>
      <w:sz w:val="20"/>
      <w:szCs w:val="24"/>
    </w:rPr>
  </w:style>
  <w:style w:type="character" w:styleId="Emphasis">
    <w:name w:val="Emphasis"/>
    <w:qFormat/>
    <w:rPr>
      <w:i/>
      <w:iCs/>
    </w:rPr>
  </w:style>
  <w:style w:type="character" w:styleId="Referenciasutil">
    <w:name w:val="Referencia sutil"/>
    <w:qFormat/>
    <w:rPr>
      <w:rFonts w:ascii="Times" w:hAnsi="Times" w:cs="Times"/>
      <w:caps w:val="false"/>
      <w:smallCaps w:val="false"/>
      <w:strike w:val="false"/>
      <w:dstrike w:val="false"/>
      <w:vanish w:val="false"/>
      <w:color w:val="000000"/>
      <w:position w:val="0"/>
      <w:sz w:val="18"/>
      <w:sz w:val="18"/>
      <w:vertAlign w:val="baselin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ddress">
    <w:name w:val="Address"/>
    <w:basedOn w:val="Normal"/>
    <w:qFormat/>
    <w:pPr>
      <w:spacing w:before="0" w:after="0"/>
      <w:jc w:val="center"/>
    </w:pPr>
    <w:rPr>
      <w:i/>
      <w:iCs/>
      <w:sz w:val="24"/>
      <w:szCs w:val="20"/>
      <w:lang w:val="en-US"/>
    </w:rPr>
  </w:style>
  <w:style w:type="paragraph" w:styleId="Descripcin">
    <w:name w:val="Descripción"/>
    <w:basedOn w:val="Normal"/>
    <w:next w:val="Normal"/>
    <w:qFormat/>
    <w:pPr>
      <w:jc w:val="center"/>
    </w:pPr>
    <w:rPr>
      <w:rFonts w:ascii="HelveticaNeueLT Std Lt Cn;Arial Narrow" w:hAnsi="HelveticaNeueLT Std Lt Cn;Arial Narrow" w:cs="HelveticaNeueLT Std Lt Cn;Arial Narrow"/>
      <w:b/>
      <w:bCs/>
      <w:sz w:val="18"/>
      <w:szCs w:val="20"/>
    </w:rPr>
  </w:style>
  <w:style w:type="paragraph" w:styleId="TableText">
    <w:name w:val="Table Text"/>
    <w:basedOn w:val="BodyText"/>
    <w:qFormat/>
    <w:pPr>
      <w:spacing w:before="0" w:after="0"/>
      <w:jc w:val="center"/>
    </w:pPr>
    <w:rPr>
      <w:rFonts w:ascii="Helvetica" w:hAnsi="Helvetica" w:cs="Helvetica"/>
      <w:sz w:val="18"/>
      <w:lang w:val="en-US"/>
    </w:rPr>
  </w:style>
  <w:style w:type="paragraph" w:styleId="References">
    <w:name w:val="References"/>
    <w:basedOn w:val="Normal"/>
    <w:qFormat/>
    <w:pPr/>
    <w:rPr>
      <w:sz w:val="18"/>
      <w:lang w:val="en-US"/>
    </w:rPr>
  </w:style>
  <w:style w:type="paragraph" w:styleId="FootnoteText">
    <w:name w:val="footnote text"/>
    <w:basedOn w:val="Normal"/>
    <w:pPr>
      <w:spacing w:before="0" w:after="0"/>
    </w:pPr>
    <w:rPr>
      <w:szCs w:val="20"/>
    </w:rPr>
  </w:style>
  <w:style w:type="paragraph" w:styleId="EndnoteText">
    <w:name w:val="endnote text"/>
    <w:basedOn w:val="Normal"/>
    <w:pPr>
      <w:spacing w:before="0" w:after="0"/>
    </w:pPr>
    <w:rPr>
      <w:szCs w:val="20"/>
    </w:rPr>
  </w:style>
  <w:style w:type="paragraph" w:styleId="Textodeglobo">
    <w:name w:val="Texto de globo"/>
    <w:basedOn w:val="Normal"/>
    <w:qFormat/>
    <w:pPr>
      <w:spacing w:before="0" w:after="0"/>
    </w:pPr>
    <w:rPr>
      <w:rFonts w:ascii="Segoe UI" w:hAnsi="Segoe UI" w:cs="Segoe UI"/>
      <w:sz w:val="18"/>
      <w:szCs w:val="18"/>
    </w:rPr>
  </w:style>
  <w:style w:type="paragraph" w:styleId="Textocomentario">
    <w:name w:val="Texto comentario"/>
    <w:basedOn w:val="Normal"/>
    <w:qFormat/>
    <w:pPr/>
    <w:rPr>
      <w:szCs w:val="20"/>
    </w:rPr>
  </w:style>
  <w:style w:type="paragraph" w:styleId="Asuntodelcomentario">
    <w:name w:val="Asunto del comentario"/>
    <w:basedOn w:val="Textocomentario"/>
    <w:next w:val="Textocomentario"/>
    <w:qFormat/>
    <w:pPr/>
    <w:rPr>
      <w:b/>
      <w:bCs/>
    </w:rPr>
  </w:style>
  <w:style w:type="paragraph" w:styleId="TtuloPrincipal">
    <w:name w:val="Título Principal"/>
    <w:basedOn w:val="Normal"/>
    <w:qFormat/>
    <w:pPr>
      <w:spacing w:before="660" w:after="0"/>
      <w:contextualSpacing/>
      <w:jc w:val="center"/>
    </w:pPr>
    <w:rPr>
      <w:rFonts w:cs="Arial"/>
      <w:b/>
      <w:bCs/>
      <w:kern w:val="2"/>
      <w:sz w:val="28"/>
      <w:szCs w:val="32"/>
    </w:rPr>
  </w:style>
  <w:style w:type="paragraph" w:styleId="Abstract">
    <w:name w:val="Abstract"/>
    <w:basedOn w:val="Normal"/>
    <w:qFormat/>
    <w:pPr>
      <w:spacing w:before="0" w:after="0"/>
    </w:pPr>
    <w:rPr>
      <w:i/>
      <w:iCs/>
    </w:rPr>
  </w:style>
  <w:style w:type="paragraph" w:styleId="Ttulo1erNivel">
    <w:name w:val="Título 1er Nivel"/>
    <w:basedOn w:val="Normal"/>
    <w:qFormat/>
    <w:pPr>
      <w:keepNext w:val="true"/>
      <w:spacing w:before="480" w:after="240"/>
      <w:ind w:hanging="0" w:left="0" w:right="0"/>
      <w:jc w:val="left"/>
    </w:pPr>
    <w:rPr>
      <w:rFonts w:cs="Arial"/>
      <w:b/>
      <w:bCs/>
      <w:kern w:val="2"/>
      <w:sz w:val="24"/>
      <w:szCs w:val="32"/>
    </w:rPr>
  </w:style>
  <w:style w:type="paragraph" w:styleId="Ttulo2doNivel">
    <w:name w:val="Título 2do Nivel"/>
    <w:basedOn w:val="Normal"/>
    <w:qFormat/>
    <w:pPr>
      <w:spacing w:before="120" w:after="120"/>
      <w:ind w:hanging="0" w:left="0" w:right="0"/>
    </w:pPr>
    <w:rPr>
      <w:b/>
      <w:sz w:val="22"/>
      <w:szCs w:val="22"/>
    </w:rPr>
  </w:style>
  <w:style w:type="paragraph" w:styleId="Revisin">
    <w:name w:val="Revisión"/>
    <w:qFormat/>
    <w:pPr>
      <w:widowControl/>
      <w:suppressAutoHyphens w:val="true"/>
      <w:bidi w:val="0"/>
      <w:spacing w:before="0" w:after="0"/>
      <w:jc w:val="left"/>
    </w:pPr>
    <w:rPr>
      <w:rFonts w:ascii="Times New Roman" w:hAnsi="Times New Roman" w:eastAsia="Times New Roman" w:cs="Times New Roman"/>
      <w:color w:val="auto"/>
      <w:kern w:val="0"/>
      <w:sz w:val="20"/>
      <w:szCs w:val="24"/>
      <w:lang w:val="es-AR" w:eastAsia="zh-CN" w:bidi="ar-S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spacing w:before="0" w:after="0"/>
    </w:pPr>
    <w:rPr/>
  </w:style>
  <w:style w:type="paragraph" w:styleId="Footer">
    <w:name w:val="footer"/>
    <w:basedOn w:val="Normal"/>
    <w:pPr>
      <w:spacing w:before="0" w:after="0"/>
    </w:pPr>
    <w:rPr/>
  </w:style>
  <w:style w:type="paragraph" w:styleId="Autores">
    <w:name w:val="Autores"/>
    <w:basedOn w:val="Normal"/>
    <w:qFormat/>
    <w:pPr>
      <w:ind w:firstLine="1416" w:left="0" w:right="0"/>
      <w:jc w:val="left"/>
    </w:pPr>
    <w:rPr>
      <w:i/>
      <w:sz w:val="24"/>
    </w:rPr>
  </w:style>
  <w:style w:type="paragraph" w:styleId="CdigoFuente">
    <w:name w:val="Código Fuente"/>
    <w:basedOn w:val="Normal"/>
    <w:qFormat/>
    <w:pPr/>
    <w:rPr>
      <w:rFonts w:ascii="Courier New" w:hAnsi="Courier New" w:cs="Courier New"/>
      <w:lang w:val="en-US"/>
    </w:rPr>
  </w:style>
  <w:style w:type="paragraph" w:styleId="NotaAlPie">
    <w:name w:val="NotaAlPie"/>
    <w:basedOn w:val="FootnoteText"/>
    <w:qFormat/>
    <w:pPr/>
    <w:rPr>
      <w:sz w:val="18"/>
    </w:rPr>
  </w:style>
  <w:style w:type="paragraph" w:styleId="Ttulo3erNivel">
    <w:name w:val="Título 3er Nivel"/>
    <w:basedOn w:val="Ttulo2doNivel"/>
    <w:next w:val="Normal"/>
    <w:qFormat/>
    <w:pPr>
      <w:keepNext w:val="true"/>
      <w:spacing w:before="240" w:after="120"/>
      <w:outlineLvl w:val="2"/>
    </w:pPr>
    <w:rPr>
      <w:sz w:val="20"/>
      <w:szCs w:val="20"/>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rancoocampo.utn@gmail.com" TargetMode="External"/><Relationship Id="rId3" Type="http://schemas.openxmlformats.org/officeDocument/2006/relationships/hyperlink" Target="mailto:gonzaloaguerodev@gmail.com" TargetMode="External"/><Relationship Id="rId4" Type="http://schemas.openxmlformats.org/officeDocument/2006/relationships/hyperlink" Target="mailto:gonzagaitan8@gmail.com" TargetMode="External"/><Relationship Id="rId5" Type="http://schemas.openxmlformats.org/officeDocument/2006/relationships/hyperlink" Target="mailto:marcosjd2005@gmail.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137</TotalTime>
  <Application>LibreOffice/25.2.3.2$Linux_X86_64 LibreOffice_project/520$Build-2</Application>
  <AppVersion>15.0000</AppVersion>
  <Pages>4</Pages>
  <Words>2504</Words>
  <Characters>14921</Characters>
  <CharactersWithSpaces>17399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2024-04-16T17:29:00Z</dcterms:created>
  <dc:creator>ngigante@unlam.edu.ar</dc:creator>
  <dc:description/>
  <dc:language>en-US</dc:language>
  <cp:lastModifiedBy/>
  <cp:lastPrinted>2019-07-12T01:35:00Z</cp:lastPrinted>
  <dcterms:modified xsi:type="dcterms:W3CDTF">2026-08-10T18:28:21Z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