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Universidade Federal da Paraíba</w:t>
      </w:r>
    </w:p>
    <w:p>
      <w:pPr>
        <w:spacing w:after="50"/>
        <w:jc w:val="center"/>
      </w:pPr>
      <w:r>
        <w:t xml:space="preserve">Centro de Informática — Departamento de Informática</w:t>
      </w:r>
    </w:p>
    <w:p>
      <w:pPr>
        <w:spacing w:after="50"/>
        <w:jc w:val="center"/>
      </w:pPr>
      <w:r>
        <w:t xml:space="preserve">Disciplina: Aprendizado Profundo — Período 2026.1</w:t>
      </w:r>
    </w:p>
    <w:p>
      <w:pPr>
        <w:spacing w:after="400"/>
        <w:jc w:val="center"/>
      </w:pPr>
      <w:r>
        <w:t xml:space="preserve">Professor: Tiago Maritan</w:t>
      </w:r>
    </w:p>
    <w:p>
      <w:pPr>
        <w:pStyle w:val="Title"/>
        <w:spacing w:after="200"/>
        <w:jc w:val="center"/>
      </w:pPr>
      <w:r>
        <w:t xml:space="preserve">Lista de Exercícios — Resolução Completa</w:t>
      </w:r>
    </w:p>
    <w:p>
      <w:pPr>
        <w:spacing w:after="600"/>
        <w:jc w:val="center"/>
      </w:pPr>
      <w:r>
        <w:t xml:space="preserve">Redes MLP, CNN e Autoencoders</w:t>
      </w:r>
    </w:p>
    <w:p>
      <w:pPr>
        <w:spacing w:after="150"/>
      </w:pPr>
      <w:r>
        <w:t xml:space="preserve">Este relatório apresenta a resolução completa da lista de exercícios da disciplina de Aprendizado Profundo, contemplando a implementação de Redes Perceptron de Múltiplas Camadas (MLP), Redes Neurais Convolucionais (CNN) e Autoencoders, aplicados a problemas de regressão e classificação sobre diferentes bases de dados (função polinomial sintética, California Housing, Titanic e Fashion-MNIST).</w:t>
      </w:r>
    </w:p>
    <w:p>
      <w:pPr>
        <w:spacing w:after="150"/>
      </w:pPr>
      <w:r>
        <w:t xml:space="preserve">Nota metodológica: devido às limitações de hardware do ambiente de execução (processamento em CPU única, sem GPU), alguns experimentos com redes profundas (CNNs e Autoencoders sobre o Fashion-MNIST) foram realizados utilizando subconjuntos representativos dos dados de treino/teste e um número reduzido de épocas, suficientes para demonstrar a metodologia, convergência do treinamento e todas as análises solicitadas. Os códigos completos são fornecidos em arquivos .py separados e podem ser re-executados com o dataset completo caso haja disponibilidade de GPU.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Questão 1 — Redes MLP para Regressão</w:t>
      </w:r>
    </w:p>
    <w:p>
      <w:pPr>
        <w:pStyle w:val="Heading2"/>
        <w:spacing w:after="150" w:before="300"/>
      </w:pPr>
      <w:r>
        <w:t xml:space="preserve">1(a) Aproximação de função polinomial</w:t>
      </w:r>
    </w:p>
    <w:p>
      <w:pPr>
        <w:spacing w:after="150"/>
      </w:pPr>
      <w:r>
        <w:t xml:space="preserve">Foi implementada uma MLP (arquitetura 64-64-32 neurônios, ativação ReLU, otimizador Adam) para aproximar a função f(x) = 10x⁵ + 5x⁴ + 2x³ − 0,5x² + 3x + 2, no intervalo 0 ≤ x ≤ 5. Foram gerados 2000 pontos aleatórios no domínio, divididos em 80% treino / 20% teste. As entradas e saídas foram padronizadas (StandardScaler) antes do treinamento, e 15% do conjunto de treino foi reservado para validação (early stopping).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Valor (conjunto de teste)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21.69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1340.05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RMSE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36.61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Considerando que f(x) atinge valores da ordem de 3,5×10⁴ em x=5, o erro absoluto médio (≈21,7) representa menos de 0,1% da escala da função, indicando uma boa aproximação.</w:t>
      </w:r>
    </w:p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1a.1 — Função real vs. função aproximada pela MLP.</w:t>
      </w:r>
    </w:p>
    <w:p>
      <w:pPr>
        <w:spacing w:after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1a.2 — Curva de erro de treinamento (loss).</w:t>
      </w:r>
    </w:p>
    <w:p>
      <w:pPr>
        <w:spacing w:after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1a.3 — Curva de erro de validação (1 − R²).</w:t>
      </w:r>
    </w:p>
    <w:p>
      <w:pPr>
        <w:spacing w:after="20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1a.4 — Dispersão entre valores reais e preditos no conjunto de teste.</w:t>
      </w:r>
    </w:p>
    <w:p>
      <w:pPr>
        <w:pStyle w:val="Heading2"/>
        <w:spacing w:after="150" w:before="300"/>
      </w:pPr>
      <w:r>
        <w:t xml:space="preserve">1(b) California Housing Dataset</w:t>
      </w:r>
    </w:p>
    <w:p>
      <w:pPr>
        <w:spacing w:after="150"/>
      </w:pPr>
      <w:r>
        <w:t xml:space="preserve">Para este item foi utilizada uma base equivalente ao California Housing Dataset (mesmas variáveis: localização geográfica, idade média dos imóveis, número de cômodos/quartos, população, número de domicílios, renda média e valor médio dos imóveis, além do atributo categórico de proximidade ao oceano).</w:t>
      </w:r>
    </w:p>
    <w:p>
      <w:pPr>
        <w:pStyle w:val="Heading3"/>
        <w:spacing w:after="100" w:before="200"/>
      </w:pPr>
      <w:r>
        <w:t xml:space="preserve">Análise exploratória e tratamento dos 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207 valores ausentes na variável total_bedrooms, tratados por imputação da mediana.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Criação de atributos derivados: cômodos por domicílio, proporção quartos/cômodos e pessoas por domicílio, comumente informativos neste problema.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Variável categórica ocean_proximity codificada via One-Hot Encoding.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Todas as variáveis numéricas padronizadas (StandardScaler), incluindo a variável-alvo.</w:t>
      </w:r>
    </w:p>
    <w:p>
      <w:pPr>
        <w:spacing w:after="2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1b.1 — Matriz de correlação entre as variáveis numéricas.</w:t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1b.2 — Distribuição do valor médio dos imóveis (variável-alvo).</w:t>
      </w:r>
    </w:p>
    <w:p>
      <w:pPr>
        <w:spacing w:after="2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1b.3 — Distribuições das variáveis explicativas.</w:t>
      </w:r>
    </w:p>
    <w:p>
      <w:pPr>
        <w:spacing w:after="20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1b.4 — Distribuição geográfica do valor dos imóveis (mapa de dispersão lon/lat).</w:t>
      </w:r>
    </w:p>
    <w:p>
      <w:pPr>
        <w:pStyle w:val="Heading3"/>
        <w:spacing w:after="100" w:before="200"/>
      </w:pPr>
      <w:r>
        <w:t xml:space="preserve">Arquitetura e resultados</w:t>
      </w:r>
    </w:p>
    <w:p>
      <w:pPr>
        <w:spacing w:after="150"/>
      </w:pPr>
      <w:r>
        <w:t xml:space="preserve">Rede MLP com camadas ocultas de 128, 64 e 32 neurônios, ativação ReLU, otimizador Adam, com early stopping (15% do treino para validação).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Valor (conjunto de teste)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US$ 36,325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3.11 × 10⁹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RMSE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US$ 55,807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1b.5 — Curva de erro de treinamento.</w:t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1b.6 — Curva de erro de validação.</w:t>
      </w:r>
    </w:p>
    <w:p>
      <w:pPr>
        <w:spacing w:after="20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1b.7 — Valores reais vs. preditos no conjunto de teste.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Questão 2 — MLP para Classificação (Titanic)</w:t>
      </w:r>
    </w:p>
    <w:p>
      <w:pPr>
        <w:spacing w:after="150"/>
      </w:pPr>
      <w:r>
        <w:t xml:space="preserve">O objetivo é prever a sobrevivência de passageiros do Titanic a partir de atributos demográficos e socioeconômicos, utilizando uma base equivalente à disponibilizada no Kaggle (mesmas variáveis: classe, sexo, idade, tarifa, porto de embarque, etc.).</w:t>
      </w:r>
    </w:p>
    <w:p>
      <w:pPr>
        <w:pStyle w:val="Heading3"/>
        <w:spacing w:after="100" w:before="200"/>
      </w:pPr>
      <w:r>
        <w:t xml:space="preserve">Análise exploratória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891 passageiros; 38,4% sobreviventes e 61,6% não sobreviventes (classes moderadamente desbalanceadas).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Valores ausentes: age (177 registros), embarked (2 registros), deck (688 registros — quase 77% ausente).</w:t>
      </w:r>
    </w:p>
    <w:p>
      <w:pPr>
        <w:spacing w:after="200"/>
        <w:jc w:val="center"/>
      </w:pPr>
      <w:r>
        <w:drawing>
          <wp:inline distT="0" distB="0" distL="0" distR="0">
            <wp:extent cx="3048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2.1 — Distribuição das classes (sobreviveu / não sobreviveu).</w:t>
      </w:r>
    </w:p>
    <w:p>
      <w:pPr>
        <w:spacing w:after="200"/>
        <w:jc w:val="center"/>
      </w:pPr>
      <w:r>
        <w:drawing>
          <wp:inline distT="0" distB="0" distL="0" distR="0">
            <wp:extent cx="53340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2.2 — Sobrevivência por sexo, classe socioeconômica e idade.</w:t>
      </w:r>
    </w:p>
    <w:p>
      <w:pPr>
        <w:pStyle w:val="Heading3"/>
        <w:spacing w:after="100" w:before="200"/>
      </w:pPr>
      <w:r>
        <w:t xml:space="preserve">Tratamento de dados e atributos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Coluna deck removida (77% de valores ausentes).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Colunas alive e class removidas por serem redundantes com survived e pclass, respectivamente; adult_male removido por ser redundante com sexo/idade (who); embark_town removido por redundância com embarked.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Valores ausentes em age imputados pela mediana; embarked imputado pela moda.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Criado o atributo derivado family_size = sibsp + parch + 1.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Atributos categóricos (pclass, sex, embarked, who, alone) transformados via One-Hot Encoding; atributos numéricos padronizados (StandardScaler).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Balanceamento de classes: sobreamostragem (oversampling) da classe minoritária (sobreviventes) no conjunto de treino, igualando-a à classe majoritária.</w:t>
      </w:r>
    </w:p>
    <w:p>
      <w:pPr>
        <w:pStyle w:val="Heading3"/>
        <w:spacing w:after="100" w:before="200"/>
      </w:pPr>
      <w:r>
        <w:t xml:space="preserve">Arquitetura e resultados</w:t>
      </w:r>
    </w:p>
    <w:p>
      <w:pPr>
        <w:spacing w:after="150"/>
      </w:pPr>
      <w:r>
        <w:t xml:space="preserve">MLP com camadas ocultas de 64 e 32 neurônios, ativação ReLU, otimizador Adam, com early stopping.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Valor (conjunto de teste)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81.0%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75.4%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Recall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75.4%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F1-score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75.4%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2.3 — Curva de erro de treinamento.</w:t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2.4 — Curva de erro de validação.</w:t>
      </w:r>
    </w:p>
    <w:p>
      <w:pPr>
        <w:spacing w:after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2.5 — Matriz de confusão no conjunto de teste.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Questão 3 — Fashion-MNIST: MLP vs. CNN</w:t>
      </w:r>
    </w:p>
    <w:p>
      <w:pPr>
        <w:spacing w:after="150"/>
      </w:pPr>
      <w:r>
        <w:t xml:space="preserve">Foram implementados dois classificadores para o Fashion-MNIST (10 classes de peças de vestuário): uma MLP totalmente conectada e uma CNN. Por limitação de hardware (CPU única), o treinamento utilizou um subconjunto de 12.000 imagens de treino, 2.000 de validação e 2.000 de teste, amostrados aleatoriamente e de forma estratificada pela própria aleatoriedade do dataset original.</w:t>
      </w:r>
    </w:p>
    <w:p>
      <w:pPr>
        <w:pStyle w:val="Heading3"/>
        <w:spacing w:after="100" w:before="200"/>
      </w:pPr>
      <w:r>
        <w:t xml:space="preserve">Arquiteturas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MLP: 784 → 256 → 128 → 10, ativação ReLU, dropout 0.2, otimizador Adam, 15 épocas.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CNN: Conv(1→16, 3×3) → MaxPool → Conv(16→32, 3×3) → MaxPool → FC(1568→128) → FC(128→10), ativação ReLU, dropout 0.3, otimizador Adam, 10 épocas.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Modelo</w:t>
            </w:r>
          </w:p>
        </w:tc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Acurácia no teste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MLP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85.75%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CNN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86.10%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A CNN obteve acurácia ligeiramente superior à MLP mesmo com menos épocas de treinamento, evidenciando a vantagem das camadas convolucionais em capturar padrões espaciais locais (bordas, texturas) relevantes para classificação de imagens.</w:t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3.1 — MLP: curva de erro de treinamento e validação.</w:t>
      </w:r>
    </w:p>
    <w:p>
      <w:pPr>
        <w:spacing w:after="20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3.2 — MLP: matriz de confusão.</w:t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3.3 — CNN: curva de erro de treinamento e validação.</w:t>
      </w:r>
    </w:p>
    <w:p>
      <w:pPr>
        <w:spacing w:after="20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3.4 — CNN: matriz de confusão.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Questão 4 — Interpretabilidade da CNN</w:t>
      </w:r>
    </w:p>
    <w:p>
      <w:pPr>
        <w:pStyle w:val="Heading2"/>
        <w:spacing w:after="150" w:before="300"/>
      </w:pPr>
      <w:r>
        <w:t xml:space="preserve">4(a) Filtros da primeira camada convolucional</w:t>
      </w:r>
    </w:p>
    <w:p>
      <w:pPr>
        <w:spacing w:after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4.1 — Os 16 filtros 3×3 aprendidos pela camada conv1.</w:t>
      </w:r>
    </w:p>
    <w:p>
      <w:pPr>
        <w:spacing w:after="150"/>
      </w:pPr>
      <w:r>
        <w:t xml:space="preserve">Os filtros aprendidos na primeira camada convolucional funcionam predominantemente como detectores de bordas e gradientes de intensidade em diferentes orientações (horizontal, vertical e diagonal), além de alguns filtros que respondem a regiões de textura mais uniforme. Esse comportamento é esperado para a primeira camada de uma CNN treinada sobre imagens em escala de cinza, já que é nela que a rede aprende os elementos visuais mais elementares.</w:t>
      </w:r>
    </w:p>
    <w:p>
      <w:pPr>
        <w:pStyle w:val="Heading2"/>
        <w:spacing w:after="150" w:before="300"/>
      </w:pPr>
      <w:r>
        <w:t xml:space="preserve">4(b) Mapas de ativação (camada intermediária conv2)</w:t>
      </w:r>
    </w:p>
    <w:p>
      <w:pPr>
        <w:spacing w:after="150"/>
      </w:pPr>
      <w:r>
        <w:t xml:space="preserve">Foram selecionadas 5 imagens do conjunto de teste. Para cada uma, são exibidos os 6 canais de ativação mais relevantes da segunda camada convolucional (conv2).</w:t>
      </w:r>
    </w:p>
    <w:p>
      <w:pPr>
        <w:spacing w:after="200"/>
        <w:jc w:val="center"/>
      </w:pPr>
      <w:r>
        <w:drawing>
          <wp:inline distT="0" distB="0" distL="0" distR="0">
            <wp:extent cx="5334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4.2 — Mapas de ativação (conv2) para o exemplo 1.</w:t>
      </w:r>
    </w:p>
    <w:p>
      <w:pPr>
        <w:spacing w:after="200"/>
        <w:jc w:val="center"/>
      </w:pPr>
      <w:r>
        <w:drawing>
          <wp:inline distT="0" distB="0" distL="0" distR="0">
            <wp:extent cx="5334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4.3 — Mapas de ativação (conv2) para o exemplo 2.</w:t>
      </w:r>
    </w:p>
    <w:p>
      <w:pPr>
        <w:spacing w:after="200"/>
        <w:jc w:val="center"/>
      </w:pPr>
      <w:r>
        <w:drawing>
          <wp:inline distT="0" distB="0" distL="0" distR="0">
            <wp:extent cx="5334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4.4 — Mapas de ativação (conv2) para o exemplo 3.</w:t>
      </w:r>
    </w:p>
    <w:p>
      <w:pPr>
        <w:spacing w:after="200"/>
        <w:jc w:val="center"/>
      </w:pPr>
      <w:r>
        <w:drawing>
          <wp:inline distT="0" distB="0" distL="0" distR="0">
            <wp:extent cx="5334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4.5 — Mapas de ativação (conv2) para o exemplo 4.</w:t>
      </w:r>
    </w:p>
    <w:p>
      <w:pPr>
        <w:spacing w:after="200"/>
        <w:jc w:val="center"/>
      </w:pPr>
      <w:r>
        <w:drawing>
          <wp:inline distT="0" distB="0" distL="0" distR="0">
            <wp:extent cx="5334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4.6 — Mapas de ativação (conv2) para o exemplo 5.</w:t>
      </w:r>
    </w:p>
    <w:p>
      <w:pPr>
        <w:spacing w:after="150"/>
      </w:pPr>
      <w:r>
        <w:t xml:space="preserve">De forma geral, os mapas de ativação da camada conv2 realçam contornos e regiões de alto contraste das peças de vestuário (silhueta, gola, mangas, alças), indicando que a rede já combina as bordas simples detectadas na primeira camada em padrões espaciais mais estruturados e discriminativos entre as classes.</w:t>
      </w:r>
    </w:p>
    <w:p>
      <w:pPr>
        <w:pStyle w:val="Heading2"/>
        <w:spacing w:after="150" w:before="300"/>
      </w:pPr>
      <w:r>
        <w:t xml:space="preserve">4(c) Exemplos corretos e incorretos</w:t>
      </w:r>
    </w:p>
    <w:p>
      <w:pPr>
        <w:spacing w:after="200"/>
        <w:jc w:val="center"/>
      </w:pPr>
      <w:r>
        <w:drawing>
          <wp:inline distT="0" distB="0" distL="0" distR="0">
            <wp:extent cx="5334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4.7 — Exemplos corretamente classificados (classe real, classe predita e probabilidade).</w:t>
      </w:r>
    </w:p>
    <w:p>
      <w:pPr>
        <w:spacing w:after="200"/>
        <w:jc w:val="center"/>
      </w:pPr>
      <w:r>
        <w:drawing>
          <wp:inline distT="0" distB="0" distL="0" distR="0">
            <wp:extent cx="5334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4.8 — Exemplos classificados incorretamente pela CNN.</w:t>
      </w:r>
    </w:p>
    <w:p>
      <w:pPr>
        <w:spacing w:after="150"/>
      </w:pPr>
      <w:r>
        <w:t xml:space="preserve">Os erros de classificação concentram-se, em geral, em classes visualmente semelhantes entre si (por exemplo, entre "Shirt", "Pullover", "Coat" e "T-shirt/top"), o que é consistente com a matriz de confusão apresentada na Questão 3, na qual essas classes concentram a maior parte das trocas.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Questão 5 — Autoencoders</w:t>
      </w:r>
    </w:p>
    <w:p>
      <w:pPr>
        <w:pStyle w:val="Heading2"/>
        <w:spacing w:after="150" w:before="300"/>
      </w:pPr>
      <w:r>
        <w:t xml:space="preserve">5(a) Autoencoder convolucional com diferentes espaços latentes</w:t>
      </w:r>
    </w:p>
    <w:p>
      <w:pPr>
        <w:spacing w:after="150"/>
      </w:pPr>
      <w:r>
        <w:t xml:space="preserve">Foi implementado um autoencoder convolucional (encoder: duas camadas Conv2D com stride 2; decoder: duas camadas ConvTranspose2D), treinado em três versões com espaços latentes de dimensão 8, 32 e 64.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Dimensão do espaço latente</w:t>
            </w:r>
          </w:p>
        </w:tc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MSE médio de reconstrução (teste)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0.0335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0.0180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0.0160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Como esperado, o erro de reconstrução diminui à medida que o espaço latente aumenta, pois mais informação da imagem original pode ser preservada na representação comprimida. O ganho de qualidade entre 32 e 64 dimensões é, no entanto, proporcionalmente menor do que o ganho entre 8 e 32, sugerindo retornos decrescentes a partir de determinado tamanho latente.</w:t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5.1 — Curvas de erro de treinamento para os três tamanhos de espaço latente.</w:t>
      </w:r>
    </w:p>
    <w:p>
      <w:pPr>
        <w:spacing w:after="20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5.2 — Comparação visual: imagens originais (linha superior) e reconstruções para espaços latentes de 8, 32 e 64 dimensões (linhas seguintes), para 10 imagens do conjunto de teste.</w:t>
      </w:r>
    </w:p>
    <w:p>
      <w:pPr>
        <w:pStyle w:val="Heading2"/>
        <w:spacing w:after="150" w:before="300"/>
      </w:pPr>
      <w:r>
        <w:t xml:space="preserve">5(b) Denoising Autoencoder</w:t>
      </w:r>
    </w:p>
    <w:p>
      <w:pPr>
        <w:spacing w:after="150"/>
      </w:pPr>
      <w:r>
        <w:t xml:space="preserve">Foi adicionado ruído gaussiano (fator 0,4, com recorte para o intervalo [0,1]) às imagens de entrada, e um novo autoencoder (espaço latente = 32) foi treinado para reconstruir as imagens originais (limpas) a partir das versões ruidosas.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pct" w:w="50%"/>
            <w:shd w:fill="DDEBF7" w:val="clear"/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MSE médio de reconstrução (teste, vs. imagem limpa)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0.0209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5.3 — Curva de erro de treinamento do denoising autoencoder.</w:t>
      </w:r>
    </w:p>
    <w:p>
      <w:pPr>
        <w:spacing w:after="200"/>
        <w:jc w:val="center"/>
      </w:pPr>
      <w:r>
        <w:drawing>
          <wp:inline distT="0" distB="0" distL="0" distR="0">
            <wp:extent cx="5334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5.4 — Para as mesmas 10 imagens de teste: originais (linha 1), versões ruidosas (linha 2) e reconstruções produzidas pelo denoising autoencoder (linha 3).</w:t>
      </w:r>
    </w:p>
    <w:p>
      <w:pPr>
        <w:spacing w:after="150"/>
      </w:pPr>
      <w:r>
        <w:t xml:space="preserve">O denoising autoencoder consegue remover grande parte do ruído gaussiano adicionado, recuperando a forma geral das peças de vestuário, embora com alguma perda de detalhes finos — comportamento esperado, já que o modelo aprende a priorizar os padrões estruturais mais robustos presentes nos dados de treino em detrimento de ruído de alta frequência.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Considerações finais</w:t>
      </w:r>
    </w:p>
    <w:p>
      <w:pPr>
        <w:spacing w:after="150"/>
      </w:pPr>
      <w:r>
        <w:t xml:space="preserve">Todas as questões da lista foram implementadas e avaliadas conforme solicitado. Os códigos-fonte completos (Python) de cada exercício, os dados utilizados e as figuras geradas estão organizados e disponibilizados juntamente com este relatório.</w:t>
      </w:r>
    </w:p>
    <w:p>
      <w:pPr>
        <w:spacing w:after="150"/>
      </w:pPr>
      <w:r>
        <w:t xml:space="preserve">Nota sobre escala dos experimentos: em razão do ambiente de execução dispor de apenas uma CPU (sem GPU) e memória limitada, os experimentos das Questões 3, 4 e 5 (que envolvem CNNs e autoencoders sobre o Fashion-MNIST) foram realizados com subconjuntos de dados e número reduzido de épocas. Isso foi suficiente para obter modelos com desempenho satisfatório (acurácia &gt;85% na classificação, reconstrução consistente nos autoencoders) e para produzir todas as análises qualitativas e quantitativas solicitadas. Caso os grupos apresentem a lista com acesso a GPU, recomenda-se re-executar os scripts fornecidos com o dataset completo (60.000 imagens de treino) e mais épocas para obter métricas ainda mais robustas.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7fca8b1fef77d2566b9e4415b4f64d6b3f0166.png"/><Relationship Id="rId8" Type="http://schemas.openxmlformats.org/officeDocument/2006/relationships/image" Target="media/0031d9b614cf685c00e27443e3f4a45a9d61b5e7.png"/><Relationship Id="rId9" Type="http://schemas.openxmlformats.org/officeDocument/2006/relationships/image" Target="media/b095b8c1116e4f0db566608c665dfd7352cbb0bc.png"/><Relationship Id="rId10" Type="http://schemas.openxmlformats.org/officeDocument/2006/relationships/image" Target="media/2755665681ad39668802f726008c520bb4158c51.png"/><Relationship Id="rId11" Type="http://schemas.openxmlformats.org/officeDocument/2006/relationships/image" Target="media/2372218889110a4417f3edde2a0d41b07f4fa6ac.png"/><Relationship Id="rId12" Type="http://schemas.openxmlformats.org/officeDocument/2006/relationships/image" Target="media/8acc7424ec11661b19ae2d387ac66e69b0aaa184.png"/><Relationship Id="rId13" Type="http://schemas.openxmlformats.org/officeDocument/2006/relationships/image" Target="media/03c9204e80cc182b034e6235786a4d561c383290.png"/><Relationship Id="rId14" Type="http://schemas.openxmlformats.org/officeDocument/2006/relationships/image" Target="media/81ac4e44cf5f5a435a7c10ce733e379b4fa535cf.png"/><Relationship Id="rId15" Type="http://schemas.openxmlformats.org/officeDocument/2006/relationships/image" Target="media/90b1940eb24f4712fa451e3bf2c3a61beb87fc2c.png"/><Relationship Id="rId16" Type="http://schemas.openxmlformats.org/officeDocument/2006/relationships/image" Target="media/e84612f343c48b5ff3f292e7e167da0bd4864fec.png"/><Relationship Id="rId17" Type="http://schemas.openxmlformats.org/officeDocument/2006/relationships/image" Target="media/9d34caee670a99f9d39b72bf252d09e8838c10c6.png"/><Relationship Id="rId18" Type="http://schemas.openxmlformats.org/officeDocument/2006/relationships/image" Target="media/d2eadf40ee80970530dd6729e46c1250fc7aa0c4.png"/><Relationship Id="rId19" Type="http://schemas.openxmlformats.org/officeDocument/2006/relationships/image" Target="media/6c5e3295cacdcf016d4045984de4b663c0bf86ff.png"/><Relationship Id="rId20" Type="http://schemas.openxmlformats.org/officeDocument/2006/relationships/image" Target="media/5baf7621d5fe623ce132dbc9d30a443c98138d23.png"/><Relationship Id="rId21" Type="http://schemas.openxmlformats.org/officeDocument/2006/relationships/image" Target="media/da36e3c75a95162c2f0b457bd2f211de5f88f508.png"/><Relationship Id="rId22" Type="http://schemas.openxmlformats.org/officeDocument/2006/relationships/image" Target="media/02fe3f05e5b9b0ec266652404cbf88c87e2dc749.png"/><Relationship Id="rId23" Type="http://schemas.openxmlformats.org/officeDocument/2006/relationships/image" Target="media/e5353f3803036002d250b894b01adeff641a2dca.png"/><Relationship Id="rId24" Type="http://schemas.openxmlformats.org/officeDocument/2006/relationships/image" Target="media/2a07341b014d4e08ec95c45d79a6f918831992c1.png"/><Relationship Id="rId25" Type="http://schemas.openxmlformats.org/officeDocument/2006/relationships/image" Target="media/7cf69b4b1671e1d4def2a5352df8194864b204c2.png"/><Relationship Id="rId26" Type="http://schemas.openxmlformats.org/officeDocument/2006/relationships/image" Target="media/63a27b2fa66bebe9a2947fda486ed7e838b96085.png"/><Relationship Id="rId27" Type="http://schemas.openxmlformats.org/officeDocument/2006/relationships/image" Target="media/f925621551ed66f6d13f5a8d23b647273fe3b8b1.png"/><Relationship Id="rId28" Type="http://schemas.openxmlformats.org/officeDocument/2006/relationships/image" Target="media/b3338a90eb762e7c84e2e5309f410b882705b12a.png"/><Relationship Id="rId29" Type="http://schemas.openxmlformats.org/officeDocument/2006/relationships/image" Target="media/ec3d8e749c23e4e097956e10266815e3a7f35544.png"/><Relationship Id="rId30" Type="http://schemas.openxmlformats.org/officeDocument/2006/relationships/image" Target="media/daaab9cacd45b8d2d6247fa98a7eb65040a34f98.png"/><Relationship Id="rId31" Type="http://schemas.openxmlformats.org/officeDocument/2006/relationships/image" Target="media/b7372d6bda1b1cf485e7dc299030728010871000.png"/><Relationship Id="rId32" Type="http://schemas.openxmlformats.org/officeDocument/2006/relationships/image" Target="media/fe9c6865ceae38145702dcb44723aa25d7072635.png"/><Relationship Id="rId33" Type="http://schemas.openxmlformats.org/officeDocument/2006/relationships/image" Target="media/fde4319030ab62f19c3ec74145526a66459e2ed7.png"/><Relationship Id="rId34" Type="http://schemas.openxmlformats.org/officeDocument/2006/relationships/image" Target="media/028f4db998eba303828899e7fe9cbb87199610e0.png"/><Relationship Id="rId35" Type="http://schemas.openxmlformats.org/officeDocument/2006/relationships/image" Target="media/e1d7790339a544a397b508fd944bde1182fdb0fe.png"/><Relationship Id="rId36" Type="http://schemas.openxmlformats.org/officeDocument/2006/relationships/image" Target="media/e5143d6faea7d50294ef04dbef4f7fd26211792d.png"/><Relationship Id="rId37" Type="http://schemas.openxmlformats.org/officeDocument/2006/relationships/image" Target="media/e7115c2f07b929fd022861b1b1fc503d4b423927.png"/><Relationship Id="rId38" Type="http://schemas.openxmlformats.org/officeDocument/2006/relationships/image" Target="media/18b75a0e2d995efc39ae8857d77fba0d7515fb0a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2026-07-06T11:38:07.063Z</dcterms:created>
  <dcterms:modified xsi:type="dcterms:W3CDTF">2026-07-06T11:38:07.063Z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