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Esistenza in vita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Per assicurare la regolarità dei pagamenti, la banca incaricata del servizio di pagamento delle pensioni all’estero effettua ogni anno l'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accertamento dell'esistenza in vita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dei pensionati che ricevono il pagamento al di fuori del territorio nazionale. L’accertamento generalizzato dell’esistenza in vita dei pensionati all’estero al momento è effettuato da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 Citibank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, l’istituto bancario che esegue i pagamenti esteri per conto di INPS. Questo controllo, finalizzato ad assicurare la correttezza dei pagamenti pensionistici e ad evitare l’erogazione di prestazioni indebite, viene condotto con diversi sistemi che, utilizzati in modo combinato, garantiscono l’efficacia dell’accertamento e consentono allo stesso tempo di limitare i possibili disagi ai pensionati.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ti offre assistenza specifica in materia, durante tutto il processo che porta all’accertamento dell’esistenza in vita del pensionato.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7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VYtn6DTktDOIYjOIqy2oQ3rIQ==">AMUW2mU6LV/WMmjKAG9z45qz01g6ZbS6bUBQQpNT/iuhu1+US2OSufw1WfMgPwVtyzQtw50H4VCvXsblXjnKBHTRPndiEAzMVunUDR5f4pOLjZTtUmVedSo=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