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Osservazioni COHRS — Tile G30</w:t>
      </w:r>
    </w:p>
    <w:p>
      <w:pPr>
        <w:pStyle w:val="Normal"/>
        <w:jc w:val="center"/>
        <w:rPr>
          <w:rFonts w:ascii="Calibri" w:hAnsi="Calibri"/>
        </w:rPr>
      </w:pPr>
      <w:r>
        <w:rPr>
          <w:rFonts w:ascii="Calibri" w:hAnsi="Calibri"/>
          <w:i/>
          <w:iCs/>
          <w:sz w:val="24"/>
          <w:szCs w:val="24"/>
        </w:rPr>
        <w:t>Descrizione dei Plot</w:t>
      </w:r>
    </w:p>
    <w:p>
      <w:pPr>
        <w:pStyle w:val="Normal"/>
        <w:jc w:val="center"/>
        <w:rPr>
          <w:rFonts w:ascii="Calibri" w:hAnsi="Calibri"/>
        </w:rPr>
      </w:pPr>
      <w:r>
        <w:rPr>
          <w:rFonts w:ascii="Calibri" w:hAnsi="Calibri"/>
          <w:i/>
          <w:iCs/>
          <w:sz w:val="24"/>
          <w:szCs w:val="24"/>
        </w:rPr>
        <w:t>FRO / HALO (Hydrogen Atomic Line Observatory)</w:t>
      </w:r>
    </w:p>
    <w:p>
      <w:pPr>
        <w:pStyle w:val="Normal"/>
        <w:jc w:val="center"/>
        <w:rPr>
          <w:rFonts w:ascii="Calibri" w:hAnsi="Calibri"/>
        </w:rPr>
      </w:pPr>
      <w:r>
        <w:rPr>
          <w:rFonts w:ascii="Calibri" w:hAnsi="Calibri"/>
          <w:i/>
          <w:iCs/>
          <w:sz w:val="24"/>
          <w:szCs w:val="24"/>
        </w:rPr>
        <w:t>Francesco Di Giovanni, Bolzano, Italia</w:t>
      </w:r>
    </w:p>
    <w:p>
      <w:pPr>
        <w:pStyle w:val="Normal"/>
        <w:jc w:val="center"/>
        <w:rPr>
          <w:rFonts w:ascii="Calibri" w:hAnsi="Calibri"/>
          <w:i/>
          <w:iCs/>
          <w:sz w:val="24"/>
          <w:szCs w:val="24"/>
        </w:rPr>
      </w:pPr>
      <w:r>
        <w:rPr>
          <w:rFonts w:ascii="Calibri" w:hAnsi="Calibri"/>
          <w:i/>
          <w:iCs/>
          <w:sz w:val="24"/>
          <w:szCs w:val="24"/>
        </w:rPr>
      </w:r>
    </w:p>
    <w:p>
      <w:pPr>
        <w:pStyle w:val="Normal"/>
        <w:jc w:val="center"/>
        <w:rPr>
          <w:rFonts w:ascii="Calibri" w:hAnsi="Calibri"/>
        </w:rPr>
      </w:pPr>
      <w:r>
        <w:rPr>
          <w:rFonts w:ascii="Calibri" w:hAnsi="Calibri"/>
          <w:i/>
          <w:iCs/>
          <w:sz w:val="24"/>
          <w:szCs w:val="24"/>
        </w:rPr>
        <w:t>Cubo di riferimento: COHRS_30p00_0p00_CUBE_3T2_R2.fit</w:t>
      </w:r>
    </w:p>
    <w:p>
      <w:pPr>
        <w:pStyle w:val="Normal"/>
        <w:jc w:val="center"/>
        <w:rPr>
          <w:rFonts w:ascii="Calibri" w:hAnsi="Calibri"/>
        </w:rPr>
      </w:pPr>
      <w:r>
        <w:rPr>
          <w:rFonts w:ascii="Calibri" w:hAnsi="Calibri"/>
          <w:i/>
          <w:iCs/>
          <w:sz w:val="24"/>
          <w:szCs w:val="24"/>
        </w:rPr>
        <w:t>Versione documento: 1.1 — 4 agosto 2026</w:t>
      </w:r>
    </w:p>
    <w:p>
      <w:pPr>
        <w:pStyle w:val="Heading1"/>
        <w:rPr/>
      </w:pPr>
      <w:r>
        <w:rPr/>
        <w:t>1. Panoramica</w:t>
      </w:r>
    </w:p>
    <w:p>
      <w:pPr>
        <w:pStyle w:val="Normal"/>
        <w:rPr>
          <w:sz w:val="24"/>
          <w:szCs w:val="24"/>
        </w:rPr>
      </w:pPr>
      <w:r>
        <w:rPr>
          <w:sz w:val="24"/>
          <w:szCs w:val="24"/>
        </w:rPr>
        <w:t>Questo documento descrive i dieci plot generati da view_cohrs.py a partire dal tile di riferimento COHRS COHRS_30p00_0p00_CUBE_3T2_R2.fit, che copre GLon ~29.75-30.25 deg e GLat +/-0.5 deg (regione W43, braccio di Scudo). Il cubo contiene 303 x 603 x 788 pixel (GLon x GLat x velocità), ricampionato a 0.635 km/s per canale nell'intervallo -200/+300 km/s LSRK, osservato con JCMT/HARP a 345.796 GHz. I file si trovano in ~/FRO/Parsers/JCMT/Surveys/COHRS_30p00_0p00_CUBE_3T2_R2/COHRS_30p00_0p00_CUBE_3T2_R2_FRO_20260804_141009/. Tutti e cinque i tipi di plot sono generati in due versioni: senza contorni (Plots/) e con contorni (Plots/Plots_contour/).</w:t>
      </w:r>
    </w:p>
    <w:p>
      <w:pPr>
        <w:pStyle w:val="Heading1"/>
        <w:rPr/>
      </w:pPr>
      <w:r>
        <w:rPr/>
        <w:t>2. Perché questo target</w:t>
      </w:r>
    </w:p>
    <w:p>
      <w:pPr>
        <w:pStyle w:val="Normal"/>
        <w:rPr/>
      </w:pPr>
      <w:r>
        <w:rPr/>
        <w:t>Il tile G30 copre una delle regioni più ricche del piano galattico settentrionale, vicino alla tangente del braccio a spirale di Scudo-Centauro e includendo il complesso molecolare mini-starburst W43. La forte emissione 12CO(3-2) lo rende un dataset di validazione ideale. Lo spettro a doppio picco a (GLon=29.95, GLat=-0.05) dimostra che il parser risolve correttamente componenti di velocità ravvicinate.</w:t>
      </w:r>
    </w:p>
    <w:p>
      <w:pPr>
        <w:pStyle w:val="Heading1"/>
        <w:rPr/>
      </w:pPr>
      <w:r>
        <w:rPr/>
        <w:t>3. Cosa ci si aspettava</w:t>
      </w:r>
    </w:p>
    <w:p>
      <w:pPr>
        <w:pStyle w:val="Normal"/>
        <w:rPr/>
      </w:pPr>
      <w:r>
        <w:rPr/>
        <w:t>Forte emissione 12CO(3-2) concentrata lungo b~0, con nubi molecolari a velocità LSRK positive (+40/+120 km/s). Il diagramma l-v dovrebbe mostrare una cresta di emissione brillante intorno a +100 km/s. Le mappe momento-0 e temperatura di picco dovrebbero rivelare la struttura filamentosa e grumosa del mezzo interstellare molecolare.</w:t>
      </w:r>
    </w:p>
    <w:p>
      <w:pPr>
        <w:pStyle w:val="Heading1"/>
        <w:rPr/>
      </w:pPr>
      <w:r>
        <w:rPr/>
        <w:t>4. Cosa è stato ottenuto</w:t>
      </w:r>
    </w:p>
    <w:p>
      <w:pPr>
        <w:pStyle w:val="Normal"/>
        <w:rPr/>
      </w:pPr>
      <w:r>
        <w:rPr/>
        <w:t>Tutti e cinque i tipi di plot validati con successo. Lo spettro a (29.95, -0.05) mostra due picchi CO risolti a ~+96 km/s (~6.9 K) e ~+101 km/s (~9.3 K), identificati automaticamente dall'algoritmo di rilevamento dei picchi. Il diagramma l-v mostra una cresta di emissione brillante a ~+80/+110 km/s. La mappa momento-0 mostra intensità integrata di picco ~130 K km/s. La mappa della temperatura di picco mostra nuclei di nubi che raggiungono ~15 K. La mappa della velocità del picco conferma che la maggior parte dell'emissione è a ~+90/+110 km/s, coerente con la cinematica del braccio di Scudo.</w:t>
      </w:r>
    </w:p>
    <w:p>
      <w:pPr>
        <w:pStyle w:val="Heading1"/>
        <w:rPr/>
      </w:pPr>
      <w:r>
        <w:rPr/>
        <w:t>5. Descrizione dei plot</w:t>
      </w:r>
    </w:p>
    <w:p>
      <w:pPr>
        <w:pStyle w:val="Normal"/>
        <w:rPr/>
      </w:pPr>
      <w:r>
        <w:rPr>
          <w:b/>
          <w:bCs/>
        </w:rPr>
        <w:t>Plot 1 — COHRS_spectrum_G029.950-00.050_20260804_141009.svg</w:t>
      </w:r>
    </w:p>
    <w:p>
      <w:pPr>
        <w:pStyle w:val="Normal"/>
        <w:rPr/>
      </w:pPr>
      <w:r>
        <w:rPr/>
        <w:t>Spettro singolo estratto a GLon=29.950 deg, GLat=-0.050 deg (centro del pixel più vicino). Formato: SVG vettoriale (scalabile senza perdita di qualità). Asse inferiore: velocità LSRK (km/s); asse superiore: frequenza osservata (GHz), calcolata via f = f0*(1-v/c) dalla frequenza a riposo COHRS 345.796 GHz. Due picchi CO sono rilevati automaticamente e marcati con triangoli rossi verso il basso con etichetta di velocità e frequenza: picco 1 a v~+96.0 km/s / 345.6853 GHz (~6.9 K), picco 2 a v~+101.1 km/s / 345.6794 GHz (~9.3 K). Frecce rosse collegano ogni etichetta al picco corrispondente. Baseline piatta a ~0 K, rumore RMS ~1 K.</w:t>
      </w:r>
    </w:p>
    <w:p>
      <w:pPr>
        <w:pStyle w:val="Normal"/>
        <w:rPr>
          <w:b/>
          <w:bCs/>
        </w:rPr>
      </w:pPr>
      <w:r>
        <w:rPr>
          <w:b/>
          <w:bCs/>
        </w:rPr>
      </w:r>
    </w:p>
    <w:p>
      <w:pPr>
        <w:pStyle w:val="Normal"/>
        <w:rPr>
          <w:b/>
          <w:bCs/>
        </w:rPr>
      </w:pPr>
      <w:r>
        <w:rPr>
          <w:b/>
          <w:bCs/>
        </w:rPr>
        <w:t>Plot 2 — lv_COHRS_30p00_0p00_CUBE_3T2_R2_ball_v-200_+300_20260804_141009.png</w:t>
      </w:r>
    </w:p>
    <w:p>
      <w:pPr>
        <w:pStyle w:val="Normal"/>
        <w:rPr/>
      </w:pPr>
      <w:r>
        <w:rPr/>
        <w:t>Diagramma longitudine-velocità (l-v) integrato su tutte le latitudini galattiche disponibili (da -0.5 a +0.5 deg). Scala di colore: temperatura d'antenna T_A* (K), colormap inferno. Asse X: longitudine galattica l (deg); asse Y: velocità LSRK (km/s), intervallo -200/+300 km/s. Caratteristica dominante: cresta di emissione brillante a ~+80/+110 km/s su tutto l'intervallo di longitudine, coerente con il gas del braccio di Scudo alla distanza di W43 (~5.5 kpc). Una cresta secondaria più debole è visibile a ~+40/+60 km/s. Risoluzione: 300 DPI.</w:t>
      </w:r>
    </w:p>
    <w:p>
      <w:pPr>
        <w:pStyle w:val="Normal"/>
        <w:rPr>
          <w:b/>
          <w:bCs/>
        </w:rPr>
      </w:pPr>
      <w:r>
        <w:rPr>
          <w:b/>
          <w:bCs/>
        </w:rPr>
      </w:r>
    </w:p>
    <w:p>
      <w:pPr>
        <w:pStyle w:val="Normal"/>
        <w:rPr>
          <w:b/>
          <w:bCs/>
        </w:rPr>
      </w:pPr>
      <w:r>
        <w:rPr>
          <w:b/>
          <w:bCs/>
        </w:rPr>
        <w:t>Plot 3 — mom0_COHRS_30p00_0p00_CUBE_3T2_R2_v-200_+300_20260804_141009.png</w:t>
      </w:r>
    </w:p>
    <w:p>
      <w:pPr>
        <w:pStyle w:val="Normal"/>
        <w:rPr/>
      </w:pPr>
      <w:r>
        <w:rPr/>
        <w:t>Mappa momento-0 (intensità integrata in velocità) del 12CO(3-2), W(CO) in K km/s, integrata sull'intervallo di velocità completo -200/+300 km/s. Scala di colore: colormap inferno, interpolazione bilineare. La mappa rivela la rete di nubi molecolari lungo il piano galattico: banda di emissione brillante lungo b~0 con struttura grumosa e filamentosa, e un complesso brillante isolato a (l~30.2, b~-0.2) corrispondente a W43. Intensità integrata di picco ~130 K km/s. Presentata come W(CO) e NON convertita in densità di colonna H2 (ciò richiederebbe un fattore X_CO incerto). Risoluzione: 300 DPI.</w:t>
      </w:r>
    </w:p>
    <w:p>
      <w:pPr>
        <w:pStyle w:val="Normal"/>
        <w:rPr>
          <w:b/>
          <w:bCs/>
        </w:rPr>
      </w:pPr>
      <w:r>
        <w:rPr>
          <w:b/>
          <w:bCs/>
        </w:rPr>
      </w:r>
    </w:p>
    <w:p>
      <w:pPr>
        <w:pStyle w:val="Normal"/>
        <w:rPr>
          <w:b/>
          <w:bCs/>
        </w:rPr>
      </w:pPr>
      <w:r>
        <w:rPr>
          <w:b/>
          <w:bCs/>
        </w:rPr>
        <w:t>Plot 4 — peakT_COHRS_30p00_0p00_CUBE_3T2_R2_20260804_141009.png</w:t>
      </w:r>
    </w:p>
    <w:p>
      <w:pPr>
        <w:pStyle w:val="Normal"/>
        <w:rPr/>
      </w:pPr>
      <w:r>
        <w:rPr/>
        <w:t>Mappa della temperatura d'antenna di picco: il valore massimo di T_A* lungo l'asse delle velocità per ciascuna posizione sul cielo. Scala di colore: colormap inferno, interpolazione bilineare. Evidenzia i nuclei più brillanti delle nubi molecolari, sopprimendo l'emissione estesa a bassa brillanza. I nuclei individuali lungo il piano galattico raggiungono ~14-15 K. La struttura filamentosa del mezzo interstellare molecolare è chiaramente risolta. Risoluzione: 300 DPI.</w:t>
      </w:r>
    </w:p>
    <w:p>
      <w:pPr>
        <w:pStyle w:val="Normal"/>
        <w:rPr>
          <w:b/>
          <w:bCs/>
        </w:rPr>
      </w:pPr>
      <w:r>
        <w:rPr>
          <w:b/>
          <w:bCs/>
        </w:rPr>
      </w:r>
    </w:p>
    <w:p>
      <w:pPr>
        <w:pStyle w:val="Normal"/>
        <w:rPr>
          <w:b/>
          <w:bCs/>
        </w:rPr>
      </w:pPr>
      <w:r>
        <w:rPr>
          <w:b/>
          <w:bCs/>
        </w:rPr>
        <w:t>Plot 5 — peakV_COHRS_30p00_0p00_CUBE_3T2_R2_20260804_141009.png</w:t>
      </w:r>
    </w:p>
    <w:p>
      <w:pPr>
        <w:pStyle w:val="Normal"/>
        <w:rPr/>
      </w:pPr>
      <w:r>
        <w:rPr/>
        <w:t>Mappa della velocità del picco: la velocità LSRK a cui lo spettro è massimo per ciascuna posizione sul cielo. Scala di colore: colormap coolwarm divergente (blu = velocità negative, bianco = 0 km/s, rosso = velocità positive). I pixel il cui picco di brillanza scende sotto il 30 percentile della distribuzione dei picchi sono mascherati (bianco), per evitare che le linee di vista dominate dal rumore dipingano velocità casuali. La maggior parte dell'emissione ha il picco a ~+90/+110 km/s (toni rosso caldo), confermando la cinematica uniforme del braccio di Scudo. Risoluzione: 300 DPI.</w:t>
      </w:r>
    </w:p>
    <w:p>
      <w:pPr>
        <w:pStyle w:val="Heading1"/>
        <w:rPr/>
      </w:pPr>
      <w:r>
        <w:rPr/>
        <w:t>6. Riferimenti</w:t>
      </w:r>
    </w:p>
    <w:p>
      <w:pPr>
        <w:pStyle w:val="Normal"/>
        <w:rPr/>
      </w:pPr>
      <w:r>
        <w:rPr/>
        <w:t>Cubo di riferimento: COHRS_30p00_0p00_CUBE_3T2_R2.fit</w:t>
      </w:r>
    </w:p>
    <w:p>
      <w:pPr>
        <w:pStyle w:val="Normal"/>
        <w:rPr/>
      </w:pPr>
      <w:r>
        <w:rPr/>
        <w:t>Posizione file: ~/FRO/Parsers/JCMT/Surveys/</w:t>
      </w:r>
    </w:p>
    <w:p>
      <w:pPr>
        <w:pStyle w:val="Normal"/>
        <w:rPr/>
      </w:pPr>
      <w:r>
        <w:rPr/>
        <w:t>Script di plot: ~/FRO/Parsers/JCMT/view_cohrs.py</w:t>
      </w:r>
    </w:p>
    <w:p>
      <w:pPr>
        <w:pStyle w:val="Normal"/>
        <w:rPr/>
      </w:pPr>
      <w:r>
        <w:rPr/>
        <w:t>Parser: ~/FRO/Parsers/JCMT/cohrs_to_fro.py</w:t>
      </w:r>
    </w:p>
    <w:p>
      <w:pPr>
        <w:pStyle w:val="Normal"/>
        <w:rPr/>
      </w:pPr>
      <w:r>
        <w:rPr/>
        <w:t>Park, G., Currie, M. J., Thomas, H. S., et al. 2023, ApJS 264, 16 — COHRS DR2.</w:t>
      </w:r>
    </w:p>
    <w:p>
      <w:pPr>
        <w:pStyle w:val="Normal"/>
        <w:rPr/>
      </w:pPr>
      <w:r>
        <w:rPr/>
        <w:t>Buckle, J. V., Hills, R. E., Smith, H., et al. 2009, MNRAS 399, 1026 — HARP/ACSIS.</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Calibri">
    <w:charset w:val="01"/>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oto Serif CJK SC" w:cs="Noto Sans Devanagari"/>
      <w:b/>
      <w:bCs/>
      <w:color w:val="auto"/>
      <w:kern w:val="0"/>
      <w:sz w:val="20"/>
      <w:szCs w:val="20"/>
      <w:lang w:val="it-IT"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oto Serif CJK SC" w:cs="Noto Sans Devanagari"/>
      <w:color w:val="auto"/>
      <w:kern w:val="0"/>
      <w:sz w:val="20"/>
      <w:szCs w:val="20"/>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TotalTime>
  <Application>LibreOffice/26.2.4.2$Linux_X86_64 LibreOffice_project/620$Build-2</Application>
  <AppVersion>15.0000</AppVersion>
  <Pages>2</Pages>
  <Words>822</Words>
  <Characters>5049</Characters>
  <CharactersWithSpaces>5848</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2026-08-04T14:12:05Z</dcterms:created>
  <dc:creator>Un-named</dc:creator>
  <dc:description/>
  <dc:language>it-IT</dc:language>
  <cp:lastModifiedBy/>
  <dcterms:modified xsi:type="dcterms:W3CDTF">2026-08-04T18:05:32Z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