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pPr>
      <w:r>
        <w:rPr/>
        <w:t>Osservazioni APEX MBFITS</w:t>
      </w:r>
    </w:p>
    <w:p>
      <w:pPr>
        <w:pStyle w:val="Title"/>
        <w:jc w:val="center"/>
        <w:rPr/>
      </w:pPr>
      <w:r>
        <w:rPr/>
        <w:t>Descrizione dei plot</w:t>
      </w:r>
    </w:p>
    <w:p>
      <w:pPr>
        <w:pStyle w:val="Normal"/>
        <w:jc w:val="center"/>
        <w:rPr/>
      </w:pPr>
      <w:r>
        <w:rPr>
          <w:i/>
        </w:rPr>
        <w:t>FRO / HALO (Hydrogen Atomic Line Observatory)</w:t>
      </w:r>
    </w:p>
    <w:p>
      <w:pPr>
        <w:pStyle w:val="Normal"/>
        <w:jc w:val="center"/>
        <w:rPr/>
      </w:pPr>
      <w:r>
        <w:rPr>
          <w:i/>
        </w:rPr>
        <w:t>Francesco Di Giovanni, Bolzano, Italia</w:t>
      </w:r>
    </w:p>
    <w:p>
      <w:pPr>
        <w:pStyle w:val="Normal"/>
        <w:jc w:val="center"/>
        <w:rPr/>
      </w:pPr>
      <w:r>
        <w:rPr>
          <w:i/>
        </w:rPr>
        <w:t>Dataset di riferimento: APEX-48698-2011-08-04-T-087.F-0001-2011</w:t>
      </w:r>
    </w:p>
    <w:p>
      <w:pPr>
        <w:pStyle w:val="Normal"/>
        <w:jc w:val="center"/>
        <w:rPr/>
      </w:pPr>
      <w:r>
        <w:rPr>
          <w:i/>
        </w:rPr>
        <w:t>Versione documento: 1.</w:t>
      </w:r>
      <w:r>
        <w:rPr>
          <w:i/>
        </w:rPr>
        <w:t>1</w:t>
      </w:r>
      <w:r>
        <w:rPr>
          <w:i/>
        </w:rPr>
        <w:t xml:space="preserve"> — </w:t>
      </w:r>
      <w:r>
        <w:rPr>
          <w:i/>
        </w:rPr>
        <w:t xml:space="preserve">8 </w:t>
      </w:r>
      <w:r>
        <w:rPr>
          <w:i/>
        </w:rPr>
        <w:t>agosto 2026</w:t>
      </w:r>
    </w:p>
    <w:p>
      <w:pPr>
        <w:pStyle w:val="Heading1"/>
        <w:rPr/>
      </w:pPr>
      <w:r>
        <w:rPr/>
        <w:t>1. Panoramica</w:t>
      </w:r>
    </w:p>
    <w:p>
      <w:pPr>
        <w:pStyle w:val="Normal"/>
        <w:rPr/>
      </w:pPr>
      <w:r>
        <w:rPr/>
        <w:t>Questo documento descrive i cinque plot generati da view_apex.py a partire dal dataset di riferimento APEX MBFITS APEX-48698-2011-08-04-T-087.F-0001-2011, un’osservazione della riga 12CO(3-2) a 345.796 GHz ottenuta con il ricevitore e backend HET345-XFFTS2. L’osservazione è una scansione OTF a striscia di 81 puntamenti che copre GLon 208.75–208.99 gradi e GLat −19.83/−19.39 gradi. I dati sono suddivisi in due bande base adiacenti: bb1 (343.796–346.296 GHz) e bb2 (345.296–347.796 GHz), ciascuna con 32768 canali e 2.5 GHz di larghezza di banda. Tutti i plot sono salvati in ~/FRO/Parsers/APEX/Surveys/MBFITS_Obs_12CO_345GHz/MBFITS_Plots_12CO_345GHz/. Le mappe e i diagrammi sono PNG a 300 DPI. I due spettri medi sono disponibili come file HTML interattivi (Plotly.js) generati da view_apex_html_interactive.py; è disponibile anche un visualizzatore Matplotlib interattivo tramite view_apex_interactive.py.</w:t>
      </w:r>
    </w:p>
    <w:p>
      <w:pPr>
        <w:pStyle w:val="Heading1"/>
        <w:rPr/>
      </w:pPr>
      <w:r>
        <w:rPr/>
        <w:t>2. Perché questo dataset</w:t>
      </w:r>
    </w:p>
    <w:p>
      <w:pPr>
        <w:pStyle w:val="Normal"/>
        <w:rPr/>
      </w:pPr>
      <w:r>
        <w:rPr/>
        <w:t>Questo dataset è stato scelto come campione di sviluppo e validazione del parser APEX MBFITS perché è pubblicamente disponibile dal NASA FITS Registry e copre la riga 12CO(3-2) a 345.796 GHz — la stessa riga spettrale del parser JCMT/COHRS, consentendo un confronto tra strumenti diversi. La configurazione a doppia banda base XFFTS2 è rappresentativa delle moderne osservazioni spettrali APEX. Sebbene i dati siano conteggi grezzi del correlatore non calibrati, il parser legge correttamente l’asse in frequenza, le coordinate di puntamento e i metadati dalla struttura MBFITS, dimostrando la capacità multi-telescopio della pipeline FRO.</w:t>
      </w:r>
    </w:p>
    <w:p>
      <w:pPr>
        <w:pStyle w:val="Heading1"/>
        <w:rPr/>
      </w:pPr>
      <w:r>
        <w:rPr/>
        <w:t>3. Cosa ci si aspettava</w:t>
      </w:r>
    </w:p>
    <w:p>
      <w:pPr>
        <w:pStyle w:val="Normal"/>
        <w:rPr/>
      </w:pPr>
      <w:r>
        <w:rPr/>
        <w:t>Il dataset copre una regione a GLon ~208.8 gradi, GLat ~−19.6 gradi, nella Galassia esterna lontano dal piano galattico. In questa posizione non è attesa emissione intensa di 12CO(3-2). Le caratteristiche spettrali dominanti sono quindi strumentali: la risposta in banda XFFTS2 e la regione di sovrapposizione tra bb1 e bb2. La geometria OTF a striscia implica che le mappe del cielo mostreranno una traccia monodimensionale.</w:t>
      </w:r>
    </w:p>
    <w:p>
      <w:pPr>
        <w:pStyle w:val="Heading1"/>
        <w:rPr/>
      </w:pPr>
      <w:r>
        <w:rPr/>
        <w:t>4. Cosa è stato ottenuto</w:t>
      </w:r>
    </w:p>
    <w:p>
      <w:pPr>
        <w:pStyle w:val="Normal"/>
        <w:rPr/>
      </w:pPr>
      <w:r>
        <w:rPr/>
        <w:t>Tutti e cinque i plot sono stati generati con successo. Lo spettro medio combinato (Plot 1) mostra chiaramente la risposta in banda strumentale e posiziona correttamente il marcatore a 345.796 GHz. Lo spettro con zoom (Plot 2) mostra valori di ordine 10¹⁴ K (conteggi grezzi, non K calibrati). I diagrammi GLat–velocità e GLon–velocità (Plot 3 e 4) confermano la risposta in banda uniforme su tutti gli 81 puntamenti. La strip map (Plot 5) riproduce correttamente la geometria OTF sul cielo. Parser e visualizzatore validati end-to-end su dati APEX MBFITS reali.</w:t>
      </w:r>
    </w:p>
    <w:p>
      <w:pPr>
        <w:pStyle w:val="Heading1"/>
        <w:rPr/>
      </w:pPr>
      <w:r>
        <w:rPr/>
        <w:t>5. Descrizione dei plot</w:t>
      </w:r>
    </w:p>
    <w:p>
      <w:pPr>
        <w:pStyle w:val="Normal"/>
        <w:rPr/>
      </w:pPr>
      <w:r>
        <w:rPr>
          <w:b/>
        </w:rPr>
        <w:t>Plot 1 — APEX_12CO_mean_spectrum_full_band_interactive.html</w:t>
      </w:r>
    </w:p>
    <w:p>
      <w:pPr>
        <w:pStyle w:val="Normal"/>
        <w:rPr/>
      </w:pPr>
      <w:r>
        <w:rPr/>
        <w:t>Spettro medio interattivo su tutti gli 81 puntamenti per entrambe le bande base, temperatura di antenna in funzione della frequenza (GHz). bb1 in blu, bb2 in arancione. Linea tratteggiata rossa alla frequenza a riposo 12CO(3-2) a 345.7960 GHz. Copertura 343.8–347.8 GHz con ~1 GHz di sovrapposizione. Struttura strumentale; dati non calibrati. Funzionalità: zoom, pan, tooltip al passaggio del cursore con frequenza e temperatura di antenna, tracciamento del cursore su entrambe le bande base. Generato da view_apex_html_interactive.py con Plotly.js (copia locale). Formato: HTML autonomo.</w:t>
      </w:r>
    </w:p>
    <w:p>
      <w:pPr>
        <w:pStyle w:val="Normal"/>
        <w:rPr/>
      </w:pPr>
      <w:r>
        <w:rPr>
          <w:b/>
        </w:rPr>
        <w:t>Plot 2 — APEX_12CO_mean_spectrum_zoom_interactive.html</w:t>
      </w:r>
    </w:p>
    <w:p>
      <w:pPr>
        <w:pStyle w:val="Normal"/>
        <w:rPr/>
      </w:pPr>
      <w:r>
        <w:rPr/>
        <w:t>Spettro medio di bb2 limitato a ±200 km/s LSRK. Asse orizzontale: velocità LSRK (km/s); linea tratteggiata rossa a v = 0 km/s. Riempimento arancione. Strutture a ~−160 e +130 km/s sono artefatti della risposta in banda. Fattore di scala 1e14 sull’asse verticale (conteggi grezzi). Funzionalità: zoom, pan e tooltip al passaggio del cursore con velocità e temperatura di antenna. Generato da view_apex_html_interactive.py con Plotly.js (copia locale). Formato: HTML autonomo.</w:t>
      </w:r>
    </w:p>
    <w:p>
      <w:pPr>
        <w:pStyle w:val="Normal"/>
        <w:rPr/>
      </w:pPr>
      <w:r>
        <w:rPr>
          <w:b/>
        </w:rPr>
        <w:t>Plot 3 — APEX_12CO_bv_diagram.png</w:t>
      </w:r>
    </w:p>
    <w:p>
      <w:pPr>
        <w:pStyle w:val="Normal"/>
        <w:rPr/>
      </w:pPr>
      <w:r>
        <w:rPr/>
        <w:t>Diagramma GLat–velocità: 81 spettri di bb2 per latitudine galattica (−19.83/−19.39 gradi) in funzione della velocità LSRK (±200 km/s). Colormap inferno, stretch 2º–98º percentile. Linea ciano a v = 0 km/s. Formato: PNG 300 DPI.</w:t>
      </w:r>
    </w:p>
    <w:p>
      <w:pPr>
        <w:pStyle w:val="Normal"/>
        <w:rPr/>
      </w:pPr>
      <w:r>
        <w:rPr>
          <w:b/>
        </w:rPr>
        <w:t>Plot 4 — APEX_12CO_lv_diagram.png</w:t>
      </w:r>
    </w:p>
    <w:p>
      <w:pPr>
        <w:pStyle w:val="Normal"/>
        <w:rPr/>
      </w:pPr>
      <w:r>
        <w:rPr/>
        <w:t>Diagramma GLon–velocità: 81 spettri di bb2 per longitudine galattica (208.75–208.99 gradi) in funzione della velocità LSRK (±200 km/s). Stessa colormap del Plot 3. Intervallo in longitudine ~0.24 gradi (geometria OTF a striscia). Formato: PNG 300 DPI.</w:t>
      </w:r>
    </w:p>
    <w:p>
      <w:pPr>
        <w:pStyle w:val="Normal"/>
        <w:rPr/>
      </w:pPr>
      <w:r>
        <w:rPr>
          <w:b/>
        </w:rPr>
        <w:t>Plot 5 — APEX_12CO_strip_map_peak_T.png</w:t>
      </w:r>
    </w:p>
    <w:p>
      <w:pPr>
        <w:pStyle w:val="Normal"/>
        <w:rPr/>
      </w:pPr>
      <w:r>
        <w:rPr/>
        <w:t>Strip map: 81 puntamenti sul cielo come scatter plot, longitudine galattica (l, crescente verso sinistra) in funzione della latitudine galattica (b), colorati per temperatura di antenna di picco nell’intervallo ±200 km/s. Colormap inferno, stretch 2º–98º percentile. Formato: PNG 300 DPI.</w:t>
      </w:r>
    </w:p>
    <w:p>
      <w:pPr>
        <w:pStyle w:val="Heading1"/>
        <w:rPr/>
      </w:pPr>
      <w:r>
        <w:rPr/>
        <w:t>6. Riferimenti</w:t>
      </w:r>
    </w:p>
    <w:p>
      <w:pPr>
        <w:pStyle w:val="Normal"/>
        <w:rPr/>
      </w:pPr>
      <w:r>
        <w:rPr/>
        <w:t>Dataset di riferimento: APEX-48698-2011-08-04-T-087.F-0001-2011</w:t>
      </w:r>
    </w:p>
    <w:p>
      <w:pPr>
        <w:pStyle w:val="Normal"/>
        <w:rPr/>
      </w:pPr>
      <w:r>
        <w:rPr/>
        <w:t>Script plot statici: ~/FRO/Parsers/APEX/view_apex.py; visualizzatore Matplotlib interattivo: ~/FRO/Parsers/APEX/view_apex_interactive.py; visualizzatore HTML interattivo: ~/FRO/Parsers/APEX/view_apex_html_interactive.py</w:t>
      </w:r>
    </w:p>
    <w:p>
      <w:pPr>
        <w:pStyle w:val="Normal"/>
        <w:rPr/>
      </w:pPr>
      <w:r>
        <w:rPr/>
        <w:t>Parser: ~/FRO/Parsers/APEX/mbfits_to_fro.py</w:t>
      </w:r>
    </w:p>
    <w:p>
      <w:pPr>
        <w:pStyle w:val="Normal"/>
        <w:rPr/>
      </w:pPr>
      <w:r>
        <w:rPr/>
        <w:t>Güsten, R. et al. 2006, A&amp;A 454, L13 — Telescopio APEX.</w:t>
      </w:r>
    </w:p>
    <w:p>
      <w:pPr>
        <w:pStyle w:val="Normal"/>
        <w:rPr/>
      </w:pPr>
      <w:r>
        <w:rPr/>
        <w:t>Klein, B. et al. 2012, A&amp;A 542, L3 — Spettrografo XFFTS.</w:t>
      </w:r>
    </w:p>
    <w:p>
      <w:pPr>
        <w:pStyle w:val="Normal"/>
        <w:rPr/>
      </w:pPr>
      <w:r>
        <w:rPr/>
        <w:t>NASA FITS Registry: https://fits.gsfc.nasa.gov/registry/mbfits.html</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4"/>
      <w:szCs w:val="24"/>
      <w:lang w:val="it-IT" w:eastAsia="zh-CN" w:bidi="hi-IN"/>
    </w:rPr>
  </w:style>
  <w:style w:type="paragraph" w:styleId="Heading1">
    <w:name w:val="heading 1"/>
    <w:basedOn w:val="Titolouser"/>
    <w:qFormat/>
    <w:pPr/>
    <w:rPr>
      <w:color w:val="2E74B5"/>
      <w:sz w:val="32"/>
      <w:szCs w:val="32"/>
    </w:rPr>
  </w:style>
  <w:style w:type="paragraph" w:styleId="Heading2">
    <w:name w:val="heading 2"/>
    <w:basedOn w:val="Titolouser"/>
    <w:qFormat/>
    <w:pPr/>
    <w:rPr>
      <w:color w:val="2E74B5"/>
      <w:sz w:val="26"/>
      <w:szCs w:val="26"/>
    </w:rPr>
  </w:style>
  <w:style w:type="paragraph" w:styleId="Heading3">
    <w:name w:val="heading 3"/>
    <w:basedOn w:val="Titolouser"/>
    <w:qFormat/>
    <w:pPr/>
    <w:rPr>
      <w:color w:val="1F4D78"/>
      <w:sz w:val="24"/>
      <w:szCs w:val="24"/>
    </w:rPr>
  </w:style>
  <w:style w:type="paragraph" w:styleId="Heading4">
    <w:name w:val="heading 4"/>
    <w:basedOn w:val="Titolouser"/>
    <w:qFormat/>
    <w:pPr/>
    <w:rPr>
      <w:i/>
      <w:iCs/>
      <w:color w:val="2E74B5"/>
    </w:rPr>
  </w:style>
  <w:style w:type="paragraph" w:styleId="Heading5">
    <w:name w:val="heading 5"/>
    <w:basedOn w:val="Titolouser"/>
    <w:qFormat/>
    <w:pPr/>
    <w:rPr>
      <w:color w:val="2E74B5"/>
    </w:rPr>
  </w:style>
  <w:style w:type="paragraph" w:styleId="Heading6">
    <w:name w:val="heading 6"/>
    <w:basedOn w:val="Titolouser"/>
    <w:qFormat/>
    <w:pPr/>
    <w:rPr>
      <w:color w:val="1F4D78"/>
    </w:rPr>
  </w:style>
  <w:style w:type="character" w:styleId="Hyperlink">
    <w:name w:val="Hyperlink"/>
    <w:uiPriority w:val="99"/>
    <w:unhideWhenUsed/>
    <w:rPr>
      <w:color w:val="0563C1"/>
      <w:u w:val="single"/>
    </w:rPr>
  </w:style>
  <w:style w:type="character" w:styleId="Caratterinotaapidipaginauser">
    <w:name w:val="Caratteri nota a piè di pagina (user)"/>
    <w:uiPriority w:val="99"/>
    <w:semiHidden/>
    <w:unhideWhenUsed/>
    <w:qFormat/>
    <w:rPr>
      <w:vertAlign w:val="superscript"/>
    </w:rPr>
  </w:style>
  <w:style w:type="character" w:styleId="Caratterinotaapidipagina">
    <w:name w:val="Caratteri nota a piè di pagina"/>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user">
    <w:name w:val="Caratteri nota di chiusura (user)"/>
    <w:uiPriority w:val="99"/>
    <w:semiHidden/>
    <w:unhideWhenUsed/>
    <w:qFormat/>
    <w:rPr>
      <w:vertAlign w:val="superscript"/>
    </w:rPr>
  </w:style>
  <w:style w:type="character" w:styleId="Caratterinotadichiusura">
    <w:name w:val="Caratteri nota di chiusura"/>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ice">
    <w:name w:val="Indice"/>
    <w:basedOn w:val="Normal"/>
    <w:qFormat/>
    <w:pPr>
      <w:suppressLineNumbers/>
    </w:pPr>
    <w:rPr>
      <w:rFonts w:cs="Noto Sans Devanagari"/>
    </w:rPr>
  </w:style>
  <w:style w:type="paragraph" w:styleId="Titolouser">
    <w:name w:val="Tito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diceuser">
    <w:name w:val="Indice (user)"/>
    <w:basedOn w:val="Normal"/>
    <w:qFormat/>
    <w:pPr>
      <w:suppressLineNumbers/>
    </w:pPr>
    <w:rPr>
      <w:rFonts w:cs="Noto Sans Devanagari"/>
    </w:rPr>
  </w:style>
  <w:style w:type="paragraph" w:styleId="Title">
    <w:name w:val="Title"/>
    <w:basedOn w:val="Titolouser"/>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4"/>
      <w:szCs w:val="24"/>
      <w:lang w:val="it-IT"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4"/>
      <w:szCs w:val="24"/>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LibreOffice/26.2.4.2$Linux_X86_64 LibreOffice_project/620$Build-2</Application>
  <AppVersion>15.0000</AppVersion>
  <Pages>3</Pages>
  <Words>747</Words>
  <Characters>4725</Characters>
  <CharactersWithSpaces>5436</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2026-07-29T17:31:03Z</dcterms:created>
  <dc:creator>Un-named</dc:creator>
  <dc:description/>
  <dc:language>it-IT</dc:language>
  <cp:lastModifiedBy/>
  <dcterms:modified xsi:type="dcterms:W3CDTF">2026-08-08T13:46:49Z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