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ATCA / RPFITS Data Structure</w:t>
      </w:r>
    </w:p>
    <w:p>
      <w:pPr>
        <w:spacing w:after="400"/>
        <w:jc w:val="center"/>
      </w:pPr>
      <w:r>
        <w:t xml:space="preserve">FRO / HALO Project — Technical Reference</w:t>
      </w:r>
    </w:p>
    <w:p>
      <w:pPr>
        <w:spacing w:after="120"/>
        <w:jc w:val="center"/>
      </w:pPr>
      <w:r>
        <w:rPr>
          <w:i/>
          <w:iCs/>
        </w:rPr>
        <w:t xml:space="preserve">Document version: 1.4 — 8th August 2026</w:t>
      </w:r>
    </w:p>
    <w:p>
      <w:pPr>
        <w:pStyle w:val="Heading1"/>
        <w:spacing w:after="150" w:before="300"/>
      </w:pPr>
      <w:r>
        <w:t xml:space="preserve">1. Overview</w:t>
      </w:r>
    </w:p>
    <w:p>
      <w:pPr>
        <w:spacing w:after="120"/>
      </w:pPr>
      <w:r>
        <w:t xml:space="preserve">The Australia Telescope Compact Array (ATCA) is a radio interferometer operated by CSIRO's Australia Telescope National Facility (ATNF), located near Narrabri, New South Wales, Australia. It consists of six 22-metre antennas that can be reconfigured along an east-west (and one north-south) track, giving baselines from tens of metres up to about 6 km depending on the array configuration in use.</w:t>
      </w:r>
    </w:p>
    <w:p>
      <w:pPr>
        <w:spacing w:after="120"/>
      </w:pPr>
      <w:r>
        <w:t xml:space="preserve">Unlike every other data source integrated into FRO so far (SALSA, SRT, GBT), ATCA is an interferometer, not a single-dish telescope. It records complex visibilities per antenna pair (baseline), not a single auto-correlated spectrum per pointing. This has significant consequences for how the data can be imported into FRO, discussed in Section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E2F3" w:val="clear"/>
          </w:tcPr>
          <w:p>
            <w:r>
              <w:rPr>
                <w:b/>
                <w:bCs/>
              </w:rPr>
              <w:t xml:space="preserve">Field</w:t>
            </w:r>
          </w:p>
        </w:tc>
        <w:tc>
          <w:tcPr>
            <w:tcW w:type="dxa" w:w="6000"/>
            <w:shd w:fill="D9E2F3" w:val="clear"/>
          </w:tcPr>
          <w:p>
            <w:r>
              <w:rPr>
                <w:b/>
                <w:bCs/>
              </w:rPr>
              <w:t xml:space="preserve">Value</w:t>
            </w:r>
          </w:p>
        </w:tc>
      </w:tr>
      <w:tr>
        <w:tc>
          <w:tcPr>
            <w:tcW w:type="dxa" w:w="3000"/>
          </w:tcPr>
          <w:p>
            <w:r>
              <w:rPr>
                <w:b w:val="false"/>
                <w:bCs w:val="false"/>
              </w:rPr>
              <w:t xml:space="preserve">Telescope</w:t>
            </w:r>
          </w:p>
        </w:tc>
        <w:tc>
          <w:tcPr>
            <w:tcW w:type="dxa" w:w="6000"/>
          </w:tcPr>
          <w:p>
            <w:r>
              <w:rPr>
                <w:b w:val="false"/>
                <w:bCs w:val="false"/>
              </w:rPr>
              <w:t xml:space="preserve">Australia Telescope Compact Array (ATCA)</w:t>
            </w:r>
          </w:p>
        </w:tc>
      </w:tr>
      <w:tr>
        <w:tc>
          <w:tcPr>
            <w:tcW w:type="dxa" w:w="3000"/>
          </w:tcPr>
          <w:p>
            <w:r>
              <w:rPr>
                <w:b w:val="false"/>
                <w:bCs w:val="false"/>
              </w:rPr>
              <w:t xml:space="preserve">Operator</w:t>
            </w:r>
          </w:p>
        </w:tc>
        <w:tc>
          <w:tcPr>
            <w:tcW w:type="dxa" w:w="6000"/>
          </w:tcPr>
          <w:p>
            <w:r>
              <w:rPr>
                <w:b w:val="false"/>
                <w:bCs w:val="false"/>
              </w:rPr>
              <w:t xml:space="preserve">CSIRO / Australia Telescope National Facility (ATNF)</w:t>
            </w:r>
          </w:p>
        </w:tc>
      </w:tr>
      <w:tr>
        <w:tc>
          <w:tcPr>
            <w:tcW w:type="dxa" w:w="3000"/>
          </w:tcPr>
          <w:p>
            <w:r>
              <w:rPr>
                <w:b w:val="false"/>
                <w:bCs w:val="false"/>
              </w:rPr>
              <w:t xml:space="preserve">Location</w:t>
            </w:r>
          </w:p>
        </w:tc>
        <w:tc>
          <w:tcPr>
            <w:tcW w:type="dxa" w:w="6000"/>
          </w:tcPr>
          <w:p>
            <w:r>
              <w:rPr>
                <w:b w:val="false"/>
                <w:bCs w:val="false"/>
              </w:rPr>
              <w:t xml:space="preserve">Narrabri, New South Wales, Australia</w:t>
            </w:r>
          </w:p>
        </w:tc>
      </w:tr>
      <w:tr>
        <w:tc>
          <w:tcPr>
            <w:tcW w:type="dxa" w:w="3000"/>
          </w:tcPr>
          <w:p>
            <w:r>
              <w:rPr>
                <w:b w:val="false"/>
                <w:bCs w:val="false"/>
              </w:rPr>
              <w:t xml:space="preserve">Array configuration</w:t>
            </w:r>
          </w:p>
        </w:tc>
        <w:tc>
          <w:tcPr>
            <w:tcW w:type="dxa" w:w="6000"/>
          </w:tcPr>
          <w:p>
            <w:r>
              <w:rPr>
                <w:b w:val="false"/>
                <w:bCs w:val="false"/>
              </w:rPr>
              <w:t xml:space="preserve">6 x 22 m antennas (this dataset: array config 1.5A)</w:t>
            </w:r>
          </w:p>
        </w:tc>
      </w:tr>
      <w:tr>
        <w:tc>
          <w:tcPr>
            <w:tcW w:type="dxa" w:w="3000"/>
          </w:tcPr>
          <w:p>
            <w:r>
              <w:rPr>
                <w:b w:val="false"/>
                <w:bCs w:val="false"/>
              </w:rPr>
              <w:t xml:space="preserve">Data format</w:t>
            </w:r>
          </w:p>
        </w:tc>
        <w:tc>
          <w:tcPr>
            <w:tcW w:type="dxa" w:w="6000"/>
          </w:tcPr>
          <w:p>
            <w:r>
              <w:rPr>
                <w:b w:val="false"/>
                <w:bCs w:val="false"/>
              </w:rPr>
              <w:t xml:space="preserve">RPFITS (ATNF binary format, not standard FITS)</w:t>
            </w:r>
          </w:p>
        </w:tc>
      </w:tr>
      <w:tr>
        <w:tc>
          <w:tcPr>
            <w:tcW w:type="dxa" w:w="3000"/>
          </w:tcPr>
          <w:p>
            <w:r>
              <w:rPr>
                <w:b w:val="false"/>
                <w:bCs w:val="false"/>
              </w:rPr>
              <w:t xml:space="preserve">Project ID (this file)</w:t>
            </w:r>
          </w:p>
        </w:tc>
        <w:tc>
          <w:tcPr>
            <w:tcW w:type="dxa" w:w="6000"/>
          </w:tcPr>
          <w:p>
            <w:r>
              <w:rPr>
                <w:b w:val="false"/>
                <w:bCs w:val="false"/>
              </w:rPr>
              <w:t xml:space="preserve">C1025</w:t>
            </w:r>
          </w:p>
        </w:tc>
      </w:tr>
      <w:tr>
        <w:tc>
          <w:tcPr>
            <w:tcW w:type="dxa" w:w="3000"/>
          </w:tcPr>
          <w:p>
            <w:r>
              <w:rPr>
                <w:b w:val="false"/>
                <w:bCs w:val="false"/>
              </w:rPr>
              <w:t xml:space="preserve">PI</w:t>
            </w:r>
          </w:p>
        </w:tc>
        <w:tc>
          <w:tcPr>
            <w:tcW w:type="dxa" w:w="6000"/>
          </w:tcPr>
          <w:p>
            <w:r>
              <w:rPr>
                <w:b w:val="false"/>
                <w:bCs w:val="false"/>
              </w:rPr>
              <w:t xml:space="preserve">R. Boomsma</w:t>
            </w:r>
          </w:p>
        </w:tc>
      </w:tr>
      <w:tr>
        <w:tc>
          <w:tcPr>
            <w:tcW w:type="dxa" w:w="3000"/>
          </w:tcPr>
          <w:p>
            <w:r>
              <w:rPr>
                <w:b w:val="false"/>
                <w:bCs w:val="false"/>
              </w:rPr>
              <w:t xml:space="preserve">Observation date</w:t>
            </w:r>
          </w:p>
        </w:tc>
        <w:tc>
          <w:tcPr>
            <w:tcW w:type="dxa" w:w="6000"/>
          </w:tcPr>
          <w:p>
            <w:r>
              <w:rPr>
                <w:b w:val="false"/>
                <w:bCs w:val="false"/>
              </w:rPr>
              <w:t xml:space="preserve">2002-02-09</w:t>
            </w:r>
          </w:p>
        </w:tc>
      </w:tr>
      <w:tr>
        <w:tc>
          <w:tcPr>
            <w:tcW w:type="dxa" w:w="3000"/>
          </w:tcPr>
          <w:p>
            <w:r>
              <w:rPr>
                <w:b w:val="false"/>
                <w:bCs w:val="false"/>
              </w:rPr>
              <w:t xml:space="preserve">Target</w:t>
            </w:r>
          </w:p>
        </w:tc>
        <w:tc>
          <w:tcPr>
            <w:tcW w:type="dxa" w:w="6000"/>
          </w:tcPr>
          <w:p>
            <w:r>
              <w:rPr>
                <w:b w:val="false"/>
                <w:bCs w:val="false"/>
              </w:rPr>
              <w:t xml:space="preserve">NGC 253</w:t>
            </w:r>
          </w:p>
        </w:tc>
      </w:tr>
      <w:tr>
        <w:tc>
          <w:tcPr>
            <w:tcW w:type="dxa" w:w="3000"/>
          </w:tcPr>
          <w:p>
            <w:r>
              <w:rPr>
                <w:b w:val="false"/>
                <w:bCs w:val="false"/>
              </w:rPr>
              <w:t xml:space="preserve">Frequency (IF0, HI band)</w:t>
            </w:r>
          </w:p>
        </w:tc>
        <w:tc>
          <w:tcPr>
            <w:tcW w:type="dxa" w:w="6000"/>
          </w:tcPr>
          <w:p>
            <w:r>
              <w:rPr>
                <w:b w:val="false"/>
                <w:bCs w:val="false"/>
              </w:rPr>
              <w:t xml:space="preserve">1419 MHz, 8 MHz bandwidth, 513 channels, 2 polarizations</w:t>
            </w:r>
          </w:p>
        </w:tc>
      </w:tr>
      <w:tr>
        <w:tc>
          <w:tcPr>
            <w:tcW w:type="dxa" w:w="3000"/>
          </w:tcPr>
          <w:p>
            <w:r>
              <w:rPr>
                <w:b w:val="false"/>
                <w:bCs w:val="false"/>
              </w:rPr>
              <w:t xml:space="preserve">Frequency (IF1)</w:t>
            </w:r>
          </w:p>
        </w:tc>
        <w:tc>
          <w:tcPr>
            <w:tcW w:type="dxa" w:w="6000"/>
          </w:tcPr>
          <w:p>
            <w:r>
              <w:rPr>
                <w:b w:val="false"/>
                <w:bCs w:val="false"/>
              </w:rPr>
              <w:t xml:space="preserve">2496 MHz, 128 MHz bandwidth, 33 channels, 4 polarizations (full Stokes)</w:t>
            </w:r>
          </w:p>
        </w:tc>
      </w:tr>
    </w:tbl>
    <w:p>
      <w:pPr>
        <w:pStyle w:val="Heading1"/>
        <w:spacing w:after="150" w:before="300"/>
      </w:pPr>
      <w:r>
        <w:t xml:space="preserve">2. The RPFITS format</w:t>
      </w:r>
    </w:p>
    <w:p>
      <w:pPr>
        <w:spacing w:after="120"/>
      </w:pPr>
      <w:r>
        <w:t xml:space="preserve">RPFITS ("Radio Physics FITS") is a binary data format developed by ATNF for its telescopes (ATCA, Parkes, Mopra). Despite the name, it is not a standard FITS file — it cannot be opened with astropy.io.fits or any generic FITS reader. It is a sequential binary stream with 2560-byte blocks, historically written and read through a Fortran library.</w:t>
      </w:r>
    </w:p>
    <w:p>
      <w:pPr>
        <w:pStyle w:val="ListParagraph"/>
        <w:numPr>
          <w:ilvl w:val="0"/>
          <w:numId w:val="1"/>
        </w:numPr>
        <w:spacing w:after="60"/>
      </w:pPr>
      <w:r>
        <w:t xml:space="preserve">Metadata (source name, RA/Dec, IF/frequency setup, antenna table, etc.) is not passed as function arguments, but exposed through Fortran COMMON blocks (param_, names_, if_, su_, anten_, doubles_, iostat_, …).</w:t>
      </w:r>
    </w:p>
    <w:p>
      <w:pPr>
        <w:pStyle w:val="ListParagraph"/>
        <w:numPr>
          <w:ilvl w:val="0"/>
          <w:numId w:val="1"/>
        </w:numPr>
        <w:spacing w:after="60"/>
      </w:pPr>
      <w:r>
        <w:t xml:space="preserve">Only two entry points exist in the library: rpfitsin_ (read) and rpfitsout_ (write).</w:t>
      </w:r>
    </w:p>
    <w:p>
      <w:pPr>
        <w:pStyle w:val="ListParagraph"/>
        <w:numPr>
          <w:ilvl w:val="0"/>
          <w:numId w:val="1"/>
        </w:numPr>
        <w:spacing w:after="60"/>
      </w:pPr>
      <w:r>
        <w:t xml:space="preserve">The read/write state machine is controlled by an integer flag, jstat, passed by reference on every call.</w:t>
      </w:r>
    </w:p>
    <w:p>
      <w:pPr>
        <w:pStyle w:val="Heading2"/>
        <w:spacing w:after="100" w:before="200"/>
      </w:pPr>
      <w:r>
        <w:t xml:space="preserve">2.1 jstat semantics (as used by our reader)</w:t>
      </w:r>
    </w:p>
    <w:p>
      <w:pPr>
        <w:pStyle w:val="ListParagraph"/>
        <w:numPr>
          <w:ilvl w:val="0"/>
          <w:numId w:val="1"/>
        </w:numPr>
        <w:spacing w:after="60"/>
      </w:pPr>
      <w:r>
        <w:t xml:space="preserve">jstat = -3  →  open the file for reading</w:t>
      </w:r>
    </w:p>
    <w:p>
      <w:pPr>
        <w:pStyle w:val="ListParagraph"/>
        <w:numPr>
          <w:ilvl w:val="0"/>
          <w:numId w:val="1"/>
        </w:numPr>
        <w:spacing w:after="60"/>
      </w:pPr>
      <w:r>
        <w:t xml:space="preserve">jstat = -1  →  read the header of the next scan</w:t>
      </w:r>
    </w:p>
    <w:p>
      <w:pPr>
        <w:pStyle w:val="ListParagraph"/>
        <w:numPr>
          <w:ilvl w:val="0"/>
          <w:numId w:val="1"/>
        </w:numPr>
        <w:spacing w:after="60"/>
      </w:pPr>
      <w:r>
        <w:t xml:space="preserve">jstat =  0  →  attempt to read one data record (a single visibility for one baseline, one IF, one polarization set)</w:t>
      </w:r>
    </w:p>
    <w:p>
      <w:pPr>
        <w:pStyle w:val="ListParagraph"/>
        <w:numPr>
          <w:ilvl w:val="0"/>
          <w:numId w:val="1"/>
        </w:numPr>
        <w:spacing w:after="60"/>
      </w:pPr>
      <w:r>
        <w:t xml:space="preserve">jstat =  1  →  close the file</w:t>
      </w:r>
    </w:p>
    <w:p>
      <w:pPr>
        <w:spacing w:after="120"/>
      </w:pPr>
      <w:r>
        <w:t xml:space="preserve">On a data-read call (input jstat = 0), the returned value of jstat indicates what actually happened:</w:t>
      </w:r>
    </w:p>
    <w:p>
      <w:pPr>
        <w:pStyle w:val="ListParagraph"/>
        <w:numPr>
          <w:ilvl w:val="0"/>
          <w:numId w:val="1"/>
        </w:numPr>
        <w:spacing w:after="60"/>
      </w:pPr>
      <w:r>
        <w:t xml:space="preserve">0 → a data record was successfully read; vis[]/wgt[] are valid</w:t>
      </w:r>
    </w:p>
    <w:p>
      <w:pPr>
        <w:pStyle w:val="ListParagraph"/>
        <w:numPr>
          <w:ilvl w:val="0"/>
          <w:numId w:val="1"/>
        </w:numPr>
        <w:spacing w:after="60"/>
      </w:pPr>
      <w:r>
        <w:t xml:space="preserve">1 → end of the current scan reached; a new header is waiting (call again with jstat = -1)</w:t>
      </w:r>
    </w:p>
    <w:p>
      <w:pPr>
        <w:pStyle w:val="ListParagraph"/>
        <w:numPr>
          <w:ilvl w:val="0"/>
          <w:numId w:val="1"/>
        </w:numPr>
        <w:spacing w:after="60"/>
      </w:pPr>
      <w:r>
        <w:t xml:space="preserve">3 → end of file</w:t>
      </w:r>
    </w:p>
    <w:p>
      <w:pPr>
        <w:pStyle w:val="ListParagraph"/>
        <w:numPr>
          <w:ilvl w:val="0"/>
          <w:numId w:val="1"/>
        </w:numPr>
        <w:spacing w:after="60"/>
      </w:pPr>
      <w:r>
        <w:t xml:space="preserve">Other values (we observed 5) correspond to intermediate tables (flag table, source table, syscal records) that the library manages internally — the correct behaviour is simply to keep calling with jstat = 0 until 1 or 3 is returned, not to treat them as errors.</w:t>
      </w:r>
    </w:p>
    <w:p>
      <w:pPr>
        <w:spacing w:after="120"/>
      </w:pPr>
      <w:r>
        <w:t xml:space="preserve">This state-machine behaviour was confirmed against a real Fortran usage example (fakeotf.for, part of the Miriad/ATNF distribution), not guessed.</w:t>
      </w:r>
    </w:p>
    <w:p>
      <w:pPr>
        <w:pStyle w:val="Heading1"/>
        <w:spacing w:after="150" w:before="300"/>
      </w:pPr>
      <w:r>
        <w:t xml:space="preserve">3. Our ctypes binding</w:t>
      </w:r>
    </w:p>
    <w:p>
      <w:pPr>
        <w:spacing w:after="120"/>
      </w:pPr>
      <w:r>
        <w:t xml:space="preserve">No ready-made Python binding for RPFITS existed at the start of this work (unlike, e.g., astropy for standard FITS). We built a minimal binding using Python's ctypes module, calling librpfits.so directly, without any intermediate C or Fortran wrapper code.</w:t>
      </w:r>
    </w:p>
    <w:p>
      <w:pPr>
        <w:pStyle w:val="ListParagraph"/>
        <w:numPr>
          <w:ilvl w:val="0"/>
          <w:numId w:val="1"/>
        </w:numPr>
        <w:spacing w:after="60"/>
      </w:pPr>
      <w:r>
        <w:t xml:space="preserve">Library and headers obtained via conda-forge, package rpfits 2.25, installed in a dedicated conda environment (rpfits_env, Python 3.11) kept separate from the main FRO Python 3.14 environment.</w:t>
      </w:r>
    </w:p>
    <w:p>
      <w:pPr>
        <w:pStyle w:val="ListParagraph"/>
        <w:numPr>
          <w:ilvl w:val="0"/>
          <w:numId w:val="1"/>
        </w:numPr>
        <w:spacing w:after="60"/>
      </w:pPr>
      <w:r>
        <w:t xml:space="preserve">Symbol names in the compiled library were verified with nm -D against the declarations in RPFITS.h before writing any binding code — no Fortran name-mangling issues were found.</w:t>
      </w:r>
    </w:p>
    <w:p>
      <w:pPr>
        <w:pStyle w:val="ListParagraph"/>
        <w:numPr>
          <w:ilvl w:val="0"/>
          <w:numId w:val="1"/>
        </w:numPr>
        <w:spacing w:after="60"/>
      </w:pPr>
      <w:r>
        <w:t xml:space="preserve">COMMON blocks are mapped as ctypes.Structure subclasses and bound to the library with Structure.in_dll(lib, "symbol_name").</w:t>
      </w:r>
    </w:p>
    <w:p>
      <w:pPr>
        <w:pStyle w:val="ListParagraph"/>
        <w:numPr>
          <w:ilvl w:val="0"/>
          <w:numId w:val="1"/>
        </w:numPr>
        <w:spacing w:after="60"/>
      </w:pPr>
      <w:r>
        <w:t xml:space="preserve">A critical early bug: the vis/wgt buffers must be allocated large enough to hold 2 x nPol x nChan (vis) and nPol x nChan (wgt) floats for the largest IF in use. Under-sized buffers (we initially used 4 floats) caused heap corruption and a delayed, hard-to-diagnose segmentation fault. Buffers of 500,000 floats are used as a safe margin.</w:t>
      </w:r>
    </w:p>
    <w:p>
      <w:pPr>
        <w:pStyle w:val="Heading1"/>
        <w:spacing w:after="150" w:before="300"/>
      </w:pPr>
      <w:r>
        <w:t xml:space="preserve">4. Test dataset: NGC 253 (project C1025)</w:t>
      </w:r>
    </w:p>
    <w:p>
      <w:pPr>
        <w:spacing w:after="120"/>
      </w:pPr>
      <w:r>
        <w:t xml:space="preserve">A real, publicly archived RPFITS file was obtained via the ATNF Online Archive (ATOA) for project C1025 (PI: R. Boomsma), observed 2002-02-09, array configuration 1.5A.</w:t>
      </w:r>
    </w:p>
    <w:p>
      <w:pPr>
        <w:spacing w:after="120"/>
      </w:pPr>
      <w:r>
        <w:t xml:space="preserve">The file contains exactly 4 scans (not the ~287 initially estimated from the ATOA project-level scan count, which covers the whole project, not this single file):</w:t>
      </w:r>
    </w:p>
    <w:p>
      <w:pPr>
        <w:pStyle w:val="ListParagraph"/>
        <w:numPr>
          <w:ilvl w:val="0"/>
          <w:numId w:val="1"/>
        </w:numPr>
        <w:spacing w:after="60"/>
      </w:pPr>
      <w:r>
        <w:t xml:space="preserve">Scan 1-2: calibrator 1934-638 (ATCA's standard primary flux calibrator)</w:t>
      </w:r>
    </w:p>
    <w:p>
      <w:pPr>
        <w:pStyle w:val="ListParagraph"/>
        <w:numPr>
          <w:ilvl w:val="0"/>
          <w:numId w:val="1"/>
        </w:numPr>
        <w:spacing w:after="60"/>
      </w:pPr>
      <w:r>
        <w:t xml:space="preserve">Scan 3: calibrator 0023-263 (secondary/phase calibrator)</w:t>
      </w:r>
    </w:p>
    <w:p>
      <w:pPr>
        <w:pStyle w:val="ListParagraph"/>
        <w:numPr>
          <w:ilvl w:val="0"/>
          <w:numId w:val="1"/>
        </w:numPr>
        <w:spacing w:after="60"/>
      </w:pPr>
      <w:r>
        <w:t xml:space="preserve">Scan 4: NGC 253 (science target, 416 data records)</w:t>
      </w:r>
    </w:p>
    <w:p>
      <w:pPr>
        <w:spacing w:after="120"/>
      </w:pPr>
      <w:r>
        <w:t xml:space="preserve">Each scan has 2 IFs: IF0 at 1419 MHz (8 MHz bandwidth, 513 channels, 2 polarizations — the HI band of interest) and IF1 at 2496 MHz (128 MHz bandwidth, 33 channels, 4 polarizations, full Stokes — not relevant to HI work).</w:t>
      </w:r>
    </w:p>
    <w:p>
      <w:pPr>
        <w:spacing w:after="120"/>
      </w:pPr>
      <w:r>
        <w:t xml:space="preserve">The header's RA/Dec (0.2076 / -0.4415 rad) converts to approximately 00h47m38s / -25.30°, matching the well-known catalogued position of NGC 253 — an independent cross-check that the parsing is correct.</w:t>
      </w:r>
    </w:p>
    <w:p>
      <w:pPr>
        <w:spacing w:after="120"/>
      </w:pPr>
      <w:r>
        <w:t xml:space="preserve">Baseline codes follow the ATNF convention baseline = 256×ant1 + ant2. Decoding the observed values (258, 259, ..., 1286) yields exactly the 15 possible antenna pairs of a 6-antenna array — confirming that the data are raw interferometric visibilities, one baseline at a time, not single-dish spectra. A baseline value of -1 was observed on the first record of a scan; this is not a real antenna pair, but a syscal/Tsys record interleaved in the data stream (weight = 0 on all channels), a normal RPFITS behaviour.</w:t>
      </w:r>
    </w:p>
    <w:p>
      <w:pPr>
        <w:pStyle w:val="Heading1"/>
        <w:spacing w:after="150" w:before="300"/>
      </w:pPr>
      <w:r>
        <w:t xml:space="preserve">5. Data access</w:t>
      </w:r>
    </w:p>
    <w:p>
      <w:pPr>
        <w:spacing w:after="120"/>
      </w:pPr>
      <w:r>
        <w:t xml:space="preserve">Registration was completed on OPAL (https://opal.atnf.csiro.au/), the ATNF Online Proposal Applications &amp; Links system, which also grants access to the companion archive ATOA (Australia Telescope Online Archive). No public HI observations of NGC 6822 were found; NGC 253 (project C1025) was selected instead as the working test case.</w:t>
      </w:r>
    </w:p>
    <w:p>
      <w:pPr>
        <w:jc w:val="center"/>
      </w:pPr>
      <w:r>
        <w:rPr/>
        <w:drawing>
          <wp:inline xmlns:wp="http://schemas.openxmlformats.org/drawingml/2006/wordprocessingDrawing">
            <wp:extent cx="1080000" cy="1080000"/>
            <wp:effectExtent l="0" t="0" r="0" b="0"/>
            <wp:docPr id="1" name="qr"/>
            <a:graphic xmlns:a="http://schemas.openxmlformats.org/drawingml/2006/main">
              <a:graphicData uri="http://schemas.openxmlformats.org/drawingml/2006/picture">
                <pic:pic xmlns:pic="http://schemas.openxmlformats.org/drawingml/2006/picture">
                  <pic:nvPicPr>
                    <pic:cNvPr id="0" name="qr"/>
                    <pic:cNvPicPr/>
                  </pic:nvPicPr>
                  <pic:blipFill>
                    <a:blip xmlns:r="http://schemas.openxmlformats.org/officeDocument/2006/relationships" r:embed="rIdQR202"/>
                    <a:stretch>
                      <a:fillRect/>
                    </a:stretch>
                  </pic:blipFill>
                  <pic:spPr>
                    <a:xfrm>
                      <a:off x="0" y="0"/>
                      <a:ext cx="1080000" cy="1080000"/>
                    </a:xfrm>
                    <a:prstGeom prst="rect">
                      <a:avLst/>
                    </a:prstGeom>
                  </pic:spPr>
                </pic:pic>
              </a:graphicData>
            </a:graphic>
          </wp:inline>
        </w:drawing>
      </w:r>
    </w:p>
    <w:p>
      <w:pPr>
        <w:pStyle w:val="Heading1"/>
        <w:spacing w:after="150" w:before="300"/>
      </w:pPr>
      <w:r>
        <w:t xml:space="preserve">6. Architectural decision: raw visibilities vs. reduced data</w:t>
      </w:r>
    </w:p>
    <w:p>
      <w:pPr>
        <w:spacing w:after="120"/>
      </w:pPr>
      <w:r>
        <w:t xml:space="preserve">Two possible approaches were considered for integrating ATCA (and any future interferometric source) into FRO:</w:t>
      </w:r>
    </w:p>
    <w:p>
      <w:pPr>
        <w:pStyle w:val="ListParagraph"/>
        <w:numPr>
          <w:ilvl w:val="0"/>
          <w:numId w:val="1"/>
        </w:numPr>
        <w:spacing w:after="60"/>
      </w:pPr>
      <w:r>
        <w:t xml:space="preserve">Option A — a separate “interferometric” FRO format, storing raw per-baseline visibilities with full provenance, consistent with FRO's “never discard source data” principle, but a substantial new data model, structurally very different from the existing single-dish Spectra group.</w:t>
      </w:r>
    </w:p>
    <w:p>
      <w:pPr>
        <w:pStyle w:val="ListParagraph"/>
        <w:numPr>
          <w:ilvl w:val="0"/>
          <w:numId w:val="1"/>
        </w:numPr>
        <w:spacing w:after="60"/>
      </w:pPr>
      <w:r>
        <w:t xml:space="preserve">Option B — treat ATCA like a “already reduced” cube source (similar to the planned FAST/THINGS/FEASTS cube parsers): perform calibration and imaging externally with dedicated software, then import into FRO only the final calibrated product (an extracted spectrum or a moment map).</w:t>
      </w:r>
    </w:p>
    <w:p>
      <w:pPr>
        <w:spacing w:after="120"/>
      </w:pPr>
      <w:r>
        <w:t xml:space="preserve">Decision: Option B was adopted. Building a full raw-visibility FRO format is a significant engineering investment that, on its own, still could not produce anything scientifically usable — calibration and imaging software is required downstream regardless. Given that ATCA is (for now) a single archival test file rather than a recurring primary data source for FRO, Option B offers a much better effort-to-value ratio.</w:t>
      </w:r>
    </w:p>
    <w:p>
      <w:pPr>
        <w:spacing w:after="120"/>
      </w:pPr>
      <w:r>
        <w:t xml:space="preserve">CASA (Common Astronomy Software Applications, NRAO/ESO/NAOJ) was selected as the calibration/imaging tool, in preference to MIRIAD (the ATNF-native alternative), on the basis of its more modern Python-based workflow and better long-term reusability for other, non-ATCA interferometric data the project might encounter in future. Both packages are free and open source; the choice was not a cost consideration.</w:t>
      </w:r>
    </w:p>
    <w:p>
      <w:pPr>
        <w:pStyle w:val="Heading1"/>
        <w:spacing w:after="150" w:before="300"/>
      </w:pPr>
      <w:r>
        <w:t xml:space="preserve">7. Scientific / diagnostic notes</w:t>
      </w:r>
    </w:p>
    <w:p>
      <w:pPr>
        <w:spacing w:after="120"/>
      </w:pPr>
      <w:r>
        <w:t xml:space="preserve">A raw amplitude/phase spectrum was extracted for baseline 258 (antennas 1-2), IF0, first integration of the NGC 253 scan, without any calibration applied:</w:t>
      </w:r>
    </w:p>
    <w:p>
      <w:pPr>
        <w:pStyle w:val="ListParagraph"/>
        <w:numPr>
          <w:ilvl w:val="0"/>
          <w:numId w:val="1"/>
        </w:numPr>
        <w:spacing w:after="60"/>
      </w:pPr>
      <w:r>
        <w:t xml:space="preserve">Amplitude shows a smooth bell-shaped profile across the 513 channels (roughly 0.3 Jy at the band edges rising to 4-7 Jy in the centre) — this is the uncalibrated receiver/correlator bandpass shape, not an HI detection. This shape appears on every uncalibrated baseline regardless of target and must not be mistaken for a real spectral feature.</w:t>
      </w:r>
    </w:p>
    <w:p>
      <w:pPr>
        <w:pStyle w:val="ListParagraph"/>
        <w:numPr>
          <w:ilvl w:val="0"/>
          <w:numId w:val="1"/>
        </w:numPr>
        <w:spacing w:after="60"/>
      </w:pPr>
      <w:r>
        <w:t xml:space="preserve">Phase is essentially random noise between roughly -60° and +30°, with no coherent slope — expected for an uncalibrated single integration on a single baseline.</w:t>
      </w:r>
    </w:p>
    <w:p>
      <w:pPr>
        <w:pStyle w:val="ListParagraph"/>
        <w:numPr>
          <w:ilvl w:val="0"/>
          <w:numId w:val="1"/>
        </w:numPr>
        <w:spacing w:after="60"/>
      </w:pPr>
      <w:r>
        <w:t xml:space="preserve">A genuine HI line, if present, would appear as a comparatively small ripple superimposed on this bandpass shape; it cannot be identified by eye before bandpass and gain/phase calibration are applied (using the 1934-638 and 0023-263 calibrator scans respectively).</w:t>
      </w:r>
    </w:p>
    <w:p>
      <w:pPr>
        <w:pStyle w:val="Heading1"/>
        <w:spacing w:after="150" w:before="300"/>
      </w:pPr>
      <w:r>
        <w:t xml:space="preserve">8. CASA: Installation and Role in the ATCA Workflow</w:t>
      </w:r>
    </w:p>
    <w:p>
      <w:pPr>
        <w:spacing w:after="120"/>
      </w:pPr>
      <w:r>
        <w:t xml:space="preserve">CASA (Common Astronomy Software Applications) is the standard calibration and imaging software for radio interferometric data, developed and maintained by an international consortium led by the National Radio Astronomy Observatory (NRAO), with contributions from ESO and NAOJ. It is the primary reduction tool for ALMA and VLA data and supports a wide range of other interferometers including ATCA. CASA is free and open source.</w:t>
      </w:r>
    </w:p>
    <w:p>
      <w:pPr>
        <w:spacing w:after="120"/>
      </w:pPr>
      <w:r>
        <w:t xml:space="preserve">In the FRO/ATCA workflow, CASA plays the role defined by the Option B architectural decision (Section 6): it converts the raw RPFITS visibilities into a calibrated data product (an extracted HI spectrum or a moment map) that can then be ingested by atca_to_fro.py into the FRO HDF5 v17 format. CASA is not used to read RPFITS directly within Python — that step is handled by our custom ctypes binding (Section 3). Instead, CASA operates on a Measurement Set (MS), the standard CASA/ALMA data container, produced by importing the RPFITS file using the CASA task importatca.</w:t>
      </w:r>
    </w:p>
    <w:p>
      <w:pPr>
        <w:pStyle w:val="Heading2"/>
        <w:spacing w:after="100" w:before="200"/>
      </w:pPr>
      <w:r>
        <w:t xml:space="preserve">8.1 CASA version and installation method</w:t>
      </w:r>
    </w:p>
    <w:p>
      <w:pPr>
        <w:spacing w:after="120"/>
      </w:pPr>
      <w:r>
        <w:t xml:space="preserve">The current stable release is CASA 6.7.5-18 (Python 3.12). The recommended installation method for Ubuntu is the pre-built RHEL8 tarball distribution, which bundles all required libraries internally and avoids dependency conflicts with the host system. The pip-wheel installation method was attempted first but failed due to an OpenSSL version conflict: the libssl.so.3 bundled inside the casatools wheel required the symbol OPENSSL_3.0.1, which was not present in either the conda or system OpenSSL libraries. The tarball method resolved this completely. CASA is not compatible with the main FRO Python 3.14 environment and is kept entirely separate.</w:t>
      </w:r>
    </w:p>
    <w:p>
      <w:pPr>
        <w:spacing w:after="120"/>
      </w:pPr>
      <w:r>
        <w:t xml:space="preserve">Installation procedure (one-time setup):</w:t>
      </w:r>
    </w:p>
    <w:p>
      <w:pPr>
        <w:spacing w:after="60"/>
      </w:pPr>
      <w:r>
        <w:rPr>
          <w:b/>
          <w:bCs/>
        </w:rPr>
        <w:t xml:space="preserve">Step 1 — Check or install Miniconda.</w:t>
      </w:r>
    </w:p>
    <w:p>
      <w:pPr>
        <w:spacing w:after="60"/>
      </w:pPr>
      <w:r>
        <w:t xml:space="preserve">Miniconda may already be installed. Verify with:</w:t>
      </w:r>
    </w:p>
    <w:p>
      <w:pPr>
        <w:spacing w:after="60"/>
      </w:pPr>
      <w:r>
        <w:rPr>
          <w:rFonts w:ascii="Times New Roman" w:cs="Times New Roman" w:eastAsia="Times New Roman" w:hAnsi="Times New Roman"/>
          <w:sz w:val="20"/>
          <w:szCs w:val="20"/>
        </w:rPr>
        <w:t xml:space="preserve">conda --version</w:t>
      </w:r>
    </w:p>
    <w:p>
      <w:pPr>
        <w:spacing w:after="60"/>
      </w:pPr>
      <w:r>
        <w:t xml:space="preserve">If not found, download and install it, then run conda init bash and reopen the terminal:</w:t>
      </w:r>
    </w:p>
    <w:p>
      <w:pPr>
        <w:spacing w:after="60"/>
      </w:pPr>
      <w:r>
        <w:rPr>
          <w:rFonts w:ascii="Times New Roman" w:cs="Times New Roman" w:eastAsia="Times New Roman" w:hAnsi="Times New Roman"/>
          <w:sz w:val="20"/>
          <w:szCs w:val="20"/>
        </w:rPr>
        <w:t xml:space="preserve">wget https://repo.anaconda.com/miniconda/Miniconda3-latest-Linux-x86_64.sh -O ~/miniconda.sh</w:t>
      </w:r>
    </w:p>
    <w:p>
      <w:pPr>
        <w:jc w:val="center"/>
      </w:pPr>
      <w:r>
        <w:rPr/>
        <w:drawing>
          <wp:inline xmlns:wp="http://schemas.openxmlformats.org/drawingml/2006/wordprocessingDrawing">
            <wp:extent cx="1080000" cy="1080000"/>
            <wp:effectExtent l="0" t="0" r="0" b="0"/>
            <wp:docPr id="1" name="qr"/>
            <a:graphic xmlns:a="http://schemas.openxmlformats.org/drawingml/2006/main">
              <a:graphicData uri="http://schemas.openxmlformats.org/drawingml/2006/picture">
                <pic:pic xmlns:pic="http://schemas.openxmlformats.org/drawingml/2006/picture">
                  <pic:nvPicPr>
                    <pic:cNvPr id="0" name="qr"/>
                    <pic:cNvPicPr/>
                  </pic:nvPicPr>
                  <pic:blipFill>
                    <a:blip xmlns:r="http://schemas.openxmlformats.org/officeDocument/2006/relationships" r:embed="rIdQR205"/>
                    <a:stretch>
                      <a:fillRect/>
                    </a:stretch>
                  </pic:blipFill>
                  <pic:spPr>
                    <a:xfrm>
                      <a:off x="0" y="0"/>
                      <a:ext cx="1080000" cy="1080000"/>
                    </a:xfrm>
                    <a:prstGeom prst="rect">
                      <a:avLst/>
                    </a:prstGeom>
                  </pic:spPr>
                </pic:pic>
              </a:graphicData>
            </a:graphic>
          </wp:inline>
        </w:drawing>
      </w:r>
    </w:p>
    <w:p>
      <w:pPr>
        <w:spacing w:after="60"/>
      </w:pPr>
      <w:r>
        <w:rPr>
          <w:rFonts w:ascii="Times New Roman" w:cs="Times New Roman" w:eastAsia="Times New Roman" w:hAnsi="Times New Roman"/>
          <w:sz w:val="20"/>
          <w:szCs w:val="20"/>
        </w:rPr>
        <w:t xml:space="preserve">bash ~/miniconda.sh -b -p ~/miniconda3 &amp;&amp; ~/miniconda3/bin/conda init bash</w:t>
      </w:r>
    </w:p>
    <w:p>
      <w:pPr>
        <w:spacing w:after="60"/>
      </w:pPr>
      <w:r>
        <w:rPr>
          <w:b/>
          <w:bCs/>
        </w:rPr>
        <w:t xml:space="preserve">Step 2 — Create the CASA conda environment.</w:t>
      </w:r>
    </w:p>
    <w:p>
      <w:pPr>
        <w:spacing w:after="60"/>
      </w:pPr>
      <w:r>
        <w:rPr>
          <w:rFonts w:ascii="Times New Roman" w:cs="Times New Roman" w:eastAsia="Times New Roman" w:hAnsi="Times New Roman"/>
          <w:sz w:val="20"/>
          <w:szCs w:val="20"/>
        </w:rPr>
        <w:t xml:space="preserve">conda create -n casa_env python=3.12 -y &amp;&amp; conda activate casa_env</w:t>
      </w:r>
    </w:p>
    <w:p>
      <w:pPr>
        <w:spacing w:after="60"/>
      </w:pPr>
      <w:r>
        <w:rPr>
          <w:b/>
          <w:bCs/>
        </w:rPr>
        <w:t xml:space="preserve">Step 3 — Download the CASA RHEL8 tarball (~803 MB).</w:t>
      </w:r>
    </w:p>
    <w:p>
      <w:pPr>
        <w:spacing w:after="60"/>
      </w:pPr>
      <w:r>
        <w:rPr>
          <w:rFonts w:ascii="Times New Roman" w:cs="Times New Roman" w:eastAsia="Times New Roman" w:hAnsi="Times New Roman"/>
          <w:sz w:val="20"/>
          <w:szCs w:val="20"/>
        </w:rPr>
        <w:t xml:space="preserve">wget https://casa.nrao.edu/download/distro/casa/release/rhel/casa-6.7.5-18-py3.12.el8.tar.xz -O ~/casa-6.7.5.tar.xz</w:t>
      </w:r>
    </w:p>
    <w:p>
      <w:pPr>
        <w:jc w:val="center"/>
      </w:pPr>
      <w:r>
        <w:rPr/>
        <w:drawing>
          <wp:inline xmlns:wp="http://schemas.openxmlformats.org/drawingml/2006/wordprocessingDrawing">
            <wp:extent cx="1080000" cy="1080000"/>
            <wp:effectExtent l="0" t="0" r="0" b="0"/>
            <wp:docPr id="1" name="qr"/>
            <a:graphic xmlns:a="http://schemas.openxmlformats.org/drawingml/2006/main">
              <a:graphicData uri="http://schemas.openxmlformats.org/drawingml/2006/picture">
                <pic:pic xmlns:pic="http://schemas.openxmlformats.org/drawingml/2006/picture">
                  <pic:nvPicPr>
                    <pic:cNvPr id="0" name="qr"/>
                    <pic:cNvPicPr/>
                  </pic:nvPicPr>
                  <pic:blipFill>
                    <a:blip xmlns:r="http://schemas.openxmlformats.org/officeDocument/2006/relationships" r:embed="rIdQR206"/>
                    <a:stretch>
                      <a:fillRect/>
                    </a:stretch>
                  </pic:blipFill>
                  <pic:spPr>
                    <a:xfrm>
                      <a:off x="0" y="0"/>
                      <a:ext cx="1080000" cy="1080000"/>
                    </a:xfrm>
                    <a:prstGeom prst="rect">
                      <a:avLst/>
                    </a:prstGeom>
                  </pic:spPr>
                </pic:pic>
              </a:graphicData>
            </a:graphic>
          </wp:inline>
        </w:drawing>
      </w:r>
    </w:p>
    <w:p>
      <w:pPr>
        <w:jc w:val="center"/>
      </w:pPr>
      <w:r>
        <w:rPr/>
        <w:drawing>
          <wp:inline xmlns:wp="http://schemas.openxmlformats.org/drawingml/2006/wordprocessingDrawing">
            <wp:extent cx="1080000" cy="1080000"/>
            <wp:effectExtent l="0" t="0" r="0" b="0"/>
            <wp:docPr id="1" name="qr"/>
            <a:graphic xmlns:a="http://schemas.openxmlformats.org/drawingml/2006/main">
              <a:graphicData uri="http://schemas.openxmlformats.org/drawingml/2006/picture">
                <pic:pic xmlns:pic="http://schemas.openxmlformats.org/drawingml/2006/picture">
                  <pic:nvPicPr>
                    <pic:cNvPr id="0" name="qr"/>
                    <pic:cNvPicPr/>
                  </pic:nvPicPr>
                  <pic:blipFill>
                    <a:blip xmlns:r="http://schemas.openxmlformats.org/officeDocument/2006/relationships" r:embed="rIdQR203"/>
                    <a:stretch>
                      <a:fillRect/>
                    </a:stretch>
                  </pic:blipFill>
                  <pic:spPr>
                    <a:xfrm>
                      <a:off x="0" y="0"/>
                      <a:ext cx="1080000" cy="1080000"/>
                    </a:xfrm>
                    <a:prstGeom prst="rect">
                      <a:avLst/>
                    </a:prstGeom>
                  </pic:spPr>
                </pic:pic>
              </a:graphicData>
            </a:graphic>
          </wp:inline>
        </w:drawing>
      </w:r>
    </w:p>
    <w:p>
      <w:pPr>
        <w:spacing w:after="60"/>
      </w:pPr>
      <w:r>
        <w:rPr>
          <w:b/>
          <w:bCs/>
        </w:rPr>
        <w:t xml:space="preserve">Step 4 — Extract and remove the tarball.</w:t>
      </w:r>
    </w:p>
    <w:p>
      <w:pPr>
        <w:spacing w:after="60"/>
      </w:pPr>
      <w:r>
        <w:rPr>
          <w:rFonts w:ascii="Times New Roman" w:cs="Times New Roman" w:eastAsia="Times New Roman" w:hAnsi="Times New Roman"/>
          <w:sz w:val="20"/>
          <w:szCs w:val="20"/>
        </w:rPr>
        <w:t xml:space="preserve">tar -xf ~/casa-6.7.5.tar.xz -C ~/ &amp;&amp; rm ~/casa-6.7.5.tar.xz</w:t>
      </w:r>
    </w:p>
    <w:p>
      <w:pPr>
        <w:spacing w:after="60"/>
      </w:pPr>
      <w:r>
        <w:t xml:space="preserve">CASA is now installed at ~/casa-6.7.5-18-py3.12.el8/.</w:t>
      </w:r>
    </w:p>
    <w:p>
      <w:pPr>
        <w:spacing w:after="60"/>
      </w:pPr>
      <w:r>
        <w:rPr>
          <w:b/>
          <w:bCs/>
        </w:rPr>
        <w:t xml:space="preserve">Step 5 — Download the CASA measures data (~336 MB).</w:t>
      </w:r>
    </w:p>
    <w:p>
      <w:pPr>
        <w:spacing w:after="60"/>
      </w:pPr>
      <w:r>
        <w:t xml:space="preserve">CASA requires ephemeris and coordinate tables to function correctly:</w:t>
      </w:r>
    </w:p>
    <w:p>
      <w:pPr>
        <w:spacing w:after="60"/>
      </w:pPr>
      <w:r>
        <w:rPr>
          <w:rFonts w:ascii="Times New Roman" w:cs="Times New Roman" w:eastAsia="Times New Roman" w:hAnsi="Times New Roman"/>
          <w:sz w:val="20"/>
          <w:szCs w:val="20"/>
        </w:rPr>
        <w:t xml:space="preserve">mkdir -p ~/.casa/data &amp;&amp; ~/casa-6.7.5-18-py3.12.el8/bin/python3 -m casaconfig --measurespath ~/.casa/data --pull-data</w:t>
      </w:r>
    </w:p>
    <w:p>
      <w:pPr>
        <w:spacing w:after="60"/>
      </w:pPr>
      <w:r>
        <w:rPr>
          <w:b/>
          <w:bCs/>
        </w:rPr>
        <w:t xml:space="preserve">Step 6 — Add a convenience alias and verify.</w:t>
      </w:r>
    </w:p>
    <w:p>
      <w:pPr>
        <w:spacing w:after="60"/>
      </w:pPr>
      <w:r>
        <w:rPr>
          <w:rFonts w:ascii="Times New Roman" w:cs="Times New Roman" w:eastAsia="Times New Roman" w:hAnsi="Times New Roman"/>
          <w:sz w:val="20"/>
          <w:szCs w:val="20"/>
        </w:rPr>
        <w:t xml:space="preserve">echo 'alias casa-python="~/casa-6.7.5-18-py3.12.el8/bin/python3"' &gt;&gt; ~/.bashrc &amp;&amp; source ~/.bashrc</w:t>
      </w:r>
    </w:p>
    <w:p>
      <w:pPr>
        <w:spacing w:after="60"/>
      </w:pPr>
      <w:r>
        <w:rPr>
          <w:rFonts w:ascii="Times New Roman" w:cs="Times New Roman" w:eastAsia="Times New Roman" w:hAnsi="Times New Roman"/>
          <w:sz w:val="20"/>
          <w:szCs w:val="20"/>
        </w:rPr>
        <w:t xml:space="preserve">casa-python -c "import casatools; print(casatools.version_string())"</w:t>
      </w:r>
    </w:p>
    <w:p>
      <w:pPr>
        <w:spacing w:after="120"/>
      </w:pPr>
      <w:r>
        <w:t xml:space="preserve">Expected output: 6.7.5-18</w:t>
      </w:r>
    </w:p>
    <w:p>
      <w:pPr>
        <w:pStyle w:val="Heading2"/>
        <w:spacing w:after="100" w:before="200"/>
      </w:pPr>
      <w:r>
        <w:t xml:space="preserve">8.2 ATCA calibration workflow in CASA</w:t>
      </w:r>
    </w:p>
    <w:p>
      <w:pPr>
        <w:spacing w:after="120"/>
      </w:pPr>
      <w:r>
        <w:t xml:space="preserve">The calibration workflow for the C1025/NGC 253 dataset follows the standard ATCA HI reduction sequence:</w:t>
      </w:r>
    </w:p>
    <w:p>
      <w:pPr>
        <w:spacing w:after="60"/>
      </w:pPr>
      <w:r>
        <w:rPr>
          <w:b/>
          <w:bCs/>
        </w:rPr>
        <w:t xml:space="preserve">Step 1 — Import RPFITS into a Measurement Set.</w:t>
      </w:r>
    </w:p>
    <w:p>
      <w:pPr>
        <w:spacing w:after="60"/>
      </w:pPr>
      <w:r>
        <w:t xml:space="preserve">Use the CASA task importatca to convert the RPFITS file into a CASA Measurement Set (MS). The MS is the native data container for CASA and stores visibilities, flags, and metadata in a casacore table format.</w:t>
      </w:r>
    </w:p>
    <w:p>
      <w:pPr>
        <w:spacing w:after="60"/>
      </w:pPr>
      <w:r>
        <w:rPr>
          <w:rFonts w:ascii="Times New Roman" w:cs="Times New Roman" w:eastAsia="Times New Roman" w:hAnsi="Times New Roman"/>
          <w:sz w:val="20"/>
          <w:szCs w:val="20"/>
        </w:rPr>
        <w:t xml:space="preserve">importatca(files=['2002-02-09_2302.C1025'], vis='ngc253.ms')</w:t>
      </w:r>
    </w:p>
    <w:p>
      <w:pPr>
        <w:spacing w:after="60"/>
      </w:pPr>
      <w:r>
        <w:rPr>
          <w:b/>
          <w:bCs/>
        </w:rPr>
        <w:t xml:space="preserve">Step 2 — Bandpass calibration.</w:t>
      </w:r>
    </w:p>
    <w:p>
      <w:pPr>
        <w:spacing w:after="60"/>
      </w:pPr>
      <w:r>
        <w:t xml:space="preserve">Use the primary flux calibrator 1934-638 (scans 1-2) to measure and correct the bandpass shape — the smooth bell-shaped amplitude profile visible in the raw data (Section 7). This removes the instrumental frequency response from all subsequent data.</w:t>
      </w:r>
    </w:p>
    <w:p>
      <w:pPr>
        <w:spacing w:after="60"/>
      </w:pPr>
      <w:r>
        <w:rPr>
          <w:b/>
          <w:bCs/>
        </w:rPr>
        <w:t xml:space="preserve">Step 3 — Gain and phase calibration.</w:t>
      </w:r>
    </w:p>
    <w:p>
      <w:pPr>
        <w:spacing w:after="60"/>
      </w:pPr>
      <w:r>
        <w:t xml:space="preserve">Use the secondary/phase calibrator 0023-263 (scan 3) to solve for time-variable gain and phase corrections for each antenna. These solutions are then applied (interpolated) to the NGC 253 target scan.</w:t>
      </w:r>
    </w:p>
    <w:p>
      <w:pPr>
        <w:spacing w:after="60"/>
      </w:pPr>
      <w:r>
        <w:rPr>
          <w:b/>
          <w:bCs/>
        </w:rPr>
        <w:t xml:space="preserve">Step 4 — Apply calibration and extract spectrum.</w:t>
      </w:r>
    </w:p>
    <w:p>
      <w:pPr>
        <w:spacing w:after="60"/>
      </w:pPr>
      <w:r>
        <w:t xml:space="preserve">Apply the bandpass and gain/phase solutions to the NGC 253 visibilities. Then image the calibrated data (tclean) or extract a spectrum directly from the calibrated visibilities using uvcontsub (continuum subtraction) followed by specflux or a moment-0 map. The output is a calibrated HI spectrum or data cube ready for import into FRO.</w:t>
      </w:r>
    </w:p>
    <w:p>
      <w:pPr>
        <w:spacing w:after="60"/>
      </w:pPr>
      <w:r>
        <w:rPr>
          <w:b/>
          <w:bCs/>
        </w:rPr>
        <w:t xml:space="preserve">Step 5 — Import into FRO.</w:t>
      </w:r>
    </w:p>
    <w:p>
      <w:pPr>
        <w:spacing w:after="120"/>
      </w:pPr>
      <w:r>
        <w:t xml:space="preserve">The calibrated spectrum or cube produced by CASA is read by atca_to_fro.py and written into the FRO HDF5 v17 format. At this stage the data are calibrated visibility-based spectra, not raw interferometric visibilities — consistent with the Option B decision.</w:t>
      </w:r>
    </w:p>
    <w:p>
      <w:pPr>
        <w:pStyle w:val="Heading2"/>
        <w:spacing w:after="100" w:before="200"/>
      </w:pPr>
      <w:r>
        <w:t xml:space="preserve">8.3 Why CASA and not MIRIAD</w:t>
      </w:r>
    </w:p>
    <w:p>
      <w:pPr>
        <w:spacing w:after="120"/>
      </w:pPr>
      <w:r>
        <w:t xml:space="preserve">MIRIAD is the ATNF-native reduction package for ATCA data and directly supports the RPFITS format. However, CASA was chosen for FRO for three reasons: (1) its modern Python-based scripting interface (casatools/casatasks) integrates naturally with the FRO Python pipeline; (2) it is the primary tool for ALMA and VLA, so expertise built here is reusable for any future interferometric source the project may encounter; (3) the pip-wheel installation is straightforward on Ubuntu without requiring legacy Fortran toolchains. MIRIAD remains a valid alternative if CASA installation proves problematic.</w:t>
      </w:r>
    </w:p>
    <w:p>
      <w:pPr>
        <w:pStyle w:val="Heading1"/>
        <w:spacing w:after="150" w:before="300"/>
      </w:pPr>
      <w:r>
        <w:t xml:space="preserve">9. References</w:t>
      </w:r>
    </w:p>
    <w:p>
      <w:pPr>
        <w:pStyle w:val="ListParagraph"/>
        <w:numPr>
          <w:ilvl w:val="0"/>
          <w:numId w:val="1"/>
        </w:numPr>
        <w:spacing w:after="60"/>
      </w:pPr>
      <w:r>
        <w:t xml:space="preserve">ATNF / ATCA: https://www.narrabri.atnf.csiro.au/</w:t>
      </w:r>
    </w:p>
    <w:p>
      <w:pPr>
        <w:jc w:val="center"/>
      </w:pPr>
      <w:r>
        <w:rPr/>
        <w:drawing>
          <wp:inline xmlns:wp="http://schemas.openxmlformats.org/drawingml/2006/wordprocessingDrawing">
            <wp:extent cx="1080000" cy="1080000"/>
            <wp:effectExtent l="0" t="0" r="0" b="0"/>
            <wp:docPr id="1" name="qr"/>
            <a:graphic xmlns:a="http://schemas.openxmlformats.org/drawingml/2006/main">
              <a:graphicData uri="http://schemas.openxmlformats.org/drawingml/2006/picture">
                <pic:pic xmlns:pic="http://schemas.openxmlformats.org/drawingml/2006/picture">
                  <pic:nvPicPr>
                    <pic:cNvPr id="0" name="qr"/>
                    <pic:cNvPicPr/>
                  </pic:nvPicPr>
                  <pic:blipFill>
                    <a:blip xmlns:r="http://schemas.openxmlformats.org/officeDocument/2006/relationships" r:embed="rIdQR200"/>
                    <a:stretch>
                      <a:fillRect/>
                    </a:stretch>
                  </pic:blipFill>
                  <pic:spPr>
                    <a:xfrm>
                      <a:off x="0" y="0"/>
                      <a:ext cx="1080000" cy="1080000"/>
                    </a:xfrm>
                    <a:prstGeom prst="rect">
                      <a:avLst/>
                    </a:prstGeom>
                  </pic:spPr>
                </pic:pic>
              </a:graphicData>
            </a:graphic>
          </wp:inline>
        </w:drawing>
      </w:r>
    </w:p>
    <w:p>
      <w:pPr>
        <w:pStyle w:val="ListParagraph"/>
        <w:numPr>
          <w:ilvl w:val="0"/>
          <w:numId w:val="1"/>
        </w:numPr>
        <w:spacing w:after="60"/>
      </w:pPr>
      <w:r>
        <w:t xml:space="preserve">RPFITS package (conda-forge): https://anaconda.org/conda-forge/rpfits</w:t>
      </w:r>
    </w:p>
    <w:p>
      <w:pPr>
        <w:jc w:val="center"/>
      </w:pPr>
      <w:r>
        <w:rPr/>
        <w:drawing>
          <wp:inline xmlns:wp="http://schemas.openxmlformats.org/drawingml/2006/wordprocessingDrawing">
            <wp:extent cx="1080000" cy="1080000"/>
            <wp:effectExtent l="0" t="0" r="0" b="0"/>
            <wp:docPr id="1" name="qr"/>
            <a:graphic xmlns:a="http://schemas.openxmlformats.org/drawingml/2006/main">
              <a:graphicData uri="http://schemas.openxmlformats.org/drawingml/2006/picture">
                <pic:pic xmlns:pic="http://schemas.openxmlformats.org/drawingml/2006/picture">
                  <pic:nvPicPr>
                    <pic:cNvPr id="0" name="qr"/>
                    <pic:cNvPicPr/>
                  </pic:nvPicPr>
                  <pic:blipFill>
                    <a:blip xmlns:r="http://schemas.openxmlformats.org/officeDocument/2006/relationships" r:embed="rIdQR201"/>
                    <a:stretch>
                      <a:fillRect/>
                    </a:stretch>
                  </pic:blipFill>
                  <pic:spPr>
                    <a:xfrm>
                      <a:off x="0" y="0"/>
                      <a:ext cx="1080000" cy="1080000"/>
                    </a:xfrm>
                    <a:prstGeom prst="rect">
                      <a:avLst/>
                    </a:prstGeom>
                  </pic:spPr>
                </pic:pic>
              </a:graphicData>
            </a:graphic>
          </wp:inline>
        </w:drawing>
      </w:r>
    </w:p>
    <w:p>
      <w:pPr>
        <w:pStyle w:val="ListParagraph"/>
        <w:numPr>
          <w:ilvl w:val="0"/>
          <w:numId w:val="1"/>
        </w:numPr>
        <w:spacing w:after="60"/>
      </w:pPr>
      <w:r>
        <w:t xml:space="preserve">OPAL (proposal system): https://opal.atnf.csiro.au/</w:t>
      </w:r>
    </w:p>
    <w:p>
      <w:pPr>
        <w:pStyle w:val="ListParagraph"/>
        <w:numPr>
          <w:ilvl w:val="0"/>
          <w:numId w:val="1"/>
        </w:numPr>
        <w:spacing w:after="60"/>
      </w:pPr>
      <w:r>
        <w:t xml:space="preserve">ATOA (data archive): companion system to OPAL</w:t>
      </w:r>
    </w:p>
    <w:p>
      <w:pPr>
        <w:pStyle w:val="ListParagraph"/>
        <w:numPr>
          <w:ilvl w:val="0"/>
          <w:numId w:val="1"/>
        </w:numPr>
        <w:spacing w:after="60"/>
      </w:pPr>
      <w:r>
        <w:t xml:space="preserve">CASA: https://casa.nrao.edu/</w:t>
      </w:r>
    </w:p>
    <w:p>
      <w:pPr>
        <w:pStyle w:val="ListParagraph"/>
        <w:numPr>
          <w:ilvl w:val="0"/>
          <w:numId w:val="1"/>
        </w:numPr>
        <w:spacing w:after="60"/>
      </w:pPr>
      <w:r>
        <w:t xml:space="preserve">MIRIAD (ATNF): https://www.atnf.csiro.au/computing/software/miriad/</w:t>
      </w:r>
    </w:p>
    <w:p>
      <w:pPr>
        <w:jc w:val="center"/>
      </w:pPr>
      <w:r>
        <w:rPr/>
        <w:drawing>
          <wp:inline xmlns:wp="http://schemas.openxmlformats.org/drawingml/2006/wordprocessingDrawing">
            <wp:extent cx="1080000" cy="1080000"/>
            <wp:effectExtent l="0" t="0" r="0" b="0"/>
            <wp:docPr id="1" name="qr"/>
            <a:graphic xmlns:a="http://schemas.openxmlformats.org/drawingml/2006/main">
              <a:graphicData uri="http://schemas.openxmlformats.org/drawingml/2006/picture">
                <pic:pic xmlns:pic="http://schemas.openxmlformats.org/drawingml/2006/picture">
                  <pic:nvPicPr>
                    <pic:cNvPr id="0" name="qr"/>
                    <pic:cNvPicPr/>
                  </pic:nvPicPr>
                  <pic:blipFill>
                    <a:blip xmlns:r="http://schemas.openxmlformats.org/officeDocument/2006/relationships" r:embed="rIdQR204"/>
                    <a:stretch>
                      <a:fillRect/>
                    </a:stretch>
                  </pic:blipFill>
                  <pic:spPr>
                    <a:xfrm>
                      <a:off x="0" y="0"/>
                      <a:ext cx="1080000" cy="1080000"/>
                    </a:xfrm>
                    <a:prstGeom prst="rect">
                      <a:avLst/>
                    </a:prstGeom>
                  </pic:spPr>
                </pic:pic>
              </a:graphicData>
            </a:graphic>
          </wp:inline>
        </w:drawing>
      </w:r>
    </w:p>
    <w:sectPr>
      <w:footerReference w:type="default" r:id="rIdFooter1"/>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Footer1" Type="http://schemas.openxmlformats.org/officeDocument/2006/relationships/footer" Target="footer1.xml"/><Relationship Id="rIdQR200" Type="http://schemas.openxmlformats.org/officeDocument/2006/relationships/image" Target="media/qr_atnf.png"/><Relationship Id="rIdQR201" Type="http://schemas.openxmlformats.org/officeDocument/2006/relationships/image" Target="media/qr_rpfits.png"/><Relationship Id="rIdQR202" Type="http://schemas.openxmlformats.org/officeDocument/2006/relationships/image" Target="media/qr_opal.png"/><Relationship Id="rIdQR203" Type="http://schemas.openxmlformats.org/officeDocument/2006/relationships/image" Target="media/qr_casa.png"/><Relationship Id="rIdQR204" Type="http://schemas.openxmlformats.org/officeDocument/2006/relationships/image" Target="media/qr_miriad.png"/><Relationship Id="rIdQR205" Type="http://schemas.openxmlformats.org/officeDocument/2006/relationships/image" Target="media/qr_miniconda.png"/><Relationship Id="rIdQR206" Type="http://schemas.openxmlformats.org/officeDocument/2006/relationships/image" Target="media/qr_casa_tarball.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2026-07-25T15:21:35.682Z</dcterms:created>
  <dcterms:modified xsi:type="dcterms:W3CDTF">2026-07-25T15:21:35.694Z</dcterms:modified>
</cp:coreProperties>
</file>

<file path=docProps/custom.xml><?xml version="1.0" encoding="utf-8"?>
<Properties xmlns="http://schemas.openxmlformats.org/officeDocument/2006/custom-properties" xmlns:vt="http://schemas.openxmlformats.org/officeDocument/2006/docPropsVTypes"/>
</file>