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Struttura dati ATCA / RPFITS</w:t>
      </w:r>
    </w:p>
    <w:p>
      <w:pPr>
        <w:spacing w:after="400"/>
        <w:jc w:val="center"/>
      </w:pPr>
      <w:r>
        <w:t xml:space="preserve">Progetto FRO / HALO — Riferimento tecnico</w:t>
      </w:r>
    </w:p>
    <w:p>
      <w:pPr>
        <w:spacing w:after="120"/>
        <w:jc w:val="center"/>
      </w:pPr>
      <w:r>
        <w:rPr>
          <w:i/>
          <w:iCs/>
        </w:rPr>
        <w:t xml:space="preserve">Versione documento: 1.4 — 8 agosto 2026</w:t>
      </w:r>
    </w:p>
    <w:p>
      <w:pPr>
        <w:pStyle w:val="Heading1"/>
        <w:spacing w:after="150" w:before="300"/>
      </w:pPr>
      <w:r>
        <w:t xml:space="preserve">1. Panoramica</w:t>
      </w:r>
    </w:p>
    <w:p>
      <w:pPr>
        <w:spacing w:after="120"/>
      </w:pPr>
      <w:r>
        <w:t xml:space="preserve">L'Australia Telescope Compact Array (ATCA) è un radiointerferometro gestito dall'Australia Telescope National Facility (ATNF) del CSIRO, situato vicino a Narrabri, Nuovo Galles del Sud, Australia. È composto da sei antenne da 22 metri, riconfigurabili lungo un binario est-ovest (e uno nord-sud), che offrono baseline da poche decine di metri fino a circa 6 km a seconda della configurazione dell'array in uso.</w:t>
      </w:r>
    </w:p>
    <w:p>
      <w:pPr>
        <w:spacing w:after="120"/>
      </w:pPr>
      <w:r>
        <w:t xml:space="preserve">A differenza di tutte le altre fonti dati finora integrate in FRO (SALSA, SRT, GBT), ATCA è un interferometro, non un radiotelescopio a singolo piatto (single-dish). Registra visibilità complesse per ogni coppia di antenne (baseline), non un singolo spettro auto-correlato per puntamento. Questo ha conseguenze significative su come i dati possano essere importati in FRO, discusse nella Sezione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Pr>
          <w:p>
            <w:r>
              <w:rPr>
                <w:b/>
                <w:bCs/>
              </w:rPr>
              <w:t xml:space="preserve">Campo</w:t>
            </w:r>
          </w:p>
        </w:tc>
        <w:tc>
          <w:tcPr>
            <w:tcW w:type="dxa" w:w="6000"/>
            <w:shd w:fill="D9E2F3" w:val="clear"/>
          </w:tcPr>
          <w:p>
            <w:r>
              <w:rPr>
                <w:b/>
                <w:bCs/>
              </w:rPr>
              <w:t xml:space="preserve">Valore</w:t>
            </w:r>
          </w:p>
        </w:tc>
      </w:tr>
      <w:tr>
        <w:tc>
          <w:tcPr>
            <w:tcW w:type="dxa" w:w="3000"/>
          </w:tcPr>
          <w:p>
            <w:r>
              <w:rPr>
                <w:b w:val="false"/>
                <w:bCs w:val="false"/>
              </w:rPr>
              <w:t xml:space="preserve">Telescopio</w:t>
            </w:r>
          </w:p>
        </w:tc>
        <w:tc>
          <w:tcPr>
            <w:tcW w:type="dxa" w:w="6000"/>
          </w:tcPr>
          <w:p>
            <w:r>
              <w:rPr>
                <w:b w:val="false"/>
                <w:bCs w:val="false"/>
              </w:rPr>
              <w:t xml:space="preserve">Australia Telescope Compact Array (ATCA)</w:t>
            </w:r>
          </w:p>
        </w:tc>
      </w:tr>
      <w:tr>
        <w:tc>
          <w:tcPr>
            <w:tcW w:type="dxa" w:w="3000"/>
          </w:tcPr>
          <w:p>
            <w:r>
              <w:rPr>
                <w:b w:val="false"/>
                <w:bCs w:val="false"/>
              </w:rPr>
              <w:t xml:space="preserve">Gestore</w:t>
            </w:r>
          </w:p>
        </w:tc>
        <w:tc>
          <w:tcPr>
            <w:tcW w:type="dxa" w:w="6000"/>
          </w:tcPr>
          <w:p>
            <w:r>
              <w:rPr>
                <w:b w:val="false"/>
                <w:bCs w:val="false"/>
              </w:rPr>
              <w:t xml:space="preserve">CSIRO / Australia Telescope National Facility (ATNF)</w:t>
            </w:r>
          </w:p>
        </w:tc>
      </w:tr>
      <w:tr>
        <w:tc>
          <w:tcPr>
            <w:tcW w:type="dxa" w:w="3000"/>
          </w:tcPr>
          <w:p>
            <w:r>
              <w:rPr>
                <w:b w:val="false"/>
                <w:bCs w:val="false"/>
              </w:rPr>
              <w:t xml:space="preserve">Località</w:t>
            </w:r>
          </w:p>
        </w:tc>
        <w:tc>
          <w:tcPr>
            <w:tcW w:type="dxa" w:w="6000"/>
          </w:tcPr>
          <w:p>
            <w:r>
              <w:rPr>
                <w:b w:val="false"/>
                <w:bCs w:val="false"/>
              </w:rPr>
              <w:t xml:space="preserve">Narrabri, Nuovo Galles del Sud, Australia</w:t>
            </w:r>
          </w:p>
        </w:tc>
      </w:tr>
      <w:tr>
        <w:tc>
          <w:tcPr>
            <w:tcW w:type="dxa" w:w="3000"/>
          </w:tcPr>
          <w:p>
            <w:r>
              <w:rPr>
                <w:b w:val="false"/>
                <w:bCs w:val="false"/>
              </w:rPr>
              <w:t xml:space="preserve">Configurazione array</w:t>
            </w:r>
          </w:p>
        </w:tc>
        <w:tc>
          <w:tcPr>
            <w:tcW w:type="dxa" w:w="6000"/>
          </w:tcPr>
          <w:p>
            <w:r>
              <w:rPr>
                <w:b w:val="false"/>
                <w:bCs w:val="false"/>
              </w:rPr>
              <w:t xml:space="preserve">6 antenne da 22 m (questo dataset: configurazione 1.5A)</w:t>
            </w:r>
          </w:p>
        </w:tc>
      </w:tr>
      <w:tr>
        <w:tc>
          <w:tcPr>
            <w:tcW w:type="dxa" w:w="3000"/>
          </w:tcPr>
          <w:p>
            <w:r>
              <w:rPr>
                <w:b w:val="false"/>
                <w:bCs w:val="false"/>
              </w:rPr>
              <w:t xml:space="preserve">Formato dati</w:t>
            </w:r>
          </w:p>
        </w:tc>
        <w:tc>
          <w:tcPr>
            <w:tcW w:type="dxa" w:w="6000"/>
          </w:tcPr>
          <w:p>
            <w:r>
              <w:rPr>
                <w:b w:val="false"/>
                <w:bCs w:val="false"/>
              </w:rPr>
              <w:t xml:space="preserve">RPFITS (formato binario ATNF, non FITS standard)</w:t>
            </w:r>
          </w:p>
        </w:tc>
      </w:tr>
      <w:tr>
        <w:tc>
          <w:tcPr>
            <w:tcW w:type="dxa" w:w="3000"/>
          </w:tcPr>
          <w:p>
            <w:r>
              <w:rPr>
                <w:b w:val="false"/>
                <w:bCs w:val="false"/>
              </w:rPr>
              <w:t xml:space="preserve">ID progetto (questo file)</w:t>
            </w:r>
          </w:p>
        </w:tc>
        <w:tc>
          <w:tcPr>
            <w:tcW w:type="dxa" w:w="6000"/>
          </w:tcPr>
          <w:p>
            <w:r>
              <w:rPr>
                <w:b w:val="false"/>
                <w:bCs w:val="false"/>
              </w:rPr>
              <w:t xml:space="preserve">C1025</w:t>
            </w:r>
          </w:p>
        </w:tc>
      </w:tr>
      <w:tr>
        <w:tc>
          <w:tcPr>
            <w:tcW w:type="dxa" w:w="3000"/>
          </w:tcPr>
          <w:p>
            <w:r>
              <w:rPr>
                <w:b w:val="false"/>
                <w:bCs w:val="false"/>
              </w:rPr>
              <w:t xml:space="preserve">PI</w:t>
            </w:r>
          </w:p>
        </w:tc>
        <w:tc>
          <w:tcPr>
            <w:tcW w:type="dxa" w:w="6000"/>
          </w:tcPr>
          <w:p>
            <w:r>
              <w:rPr>
                <w:b w:val="false"/>
                <w:bCs w:val="false"/>
              </w:rPr>
              <w:t xml:space="preserve">R. Boomsma</w:t>
            </w:r>
          </w:p>
        </w:tc>
      </w:tr>
      <w:tr>
        <w:tc>
          <w:tcPr>
            <w:tcW w:type="dxa" w:w="3000"/>
          </w:tcPr>
          <w:p>
            <w:r>
              <w:rPr>
                <w:b w:val="false"/>
                <w:bCs w:val="false"/>
              </w:rPr>
              <w:t xml:space="preserve">Data osservazione</w:t>
            </w:r>
          </w:p>
        </w:tc>
        <w:tc>
          <w:tcPr>
            <w:tcW w:type="dxa" w:w="6000"/>
          </w:tcPr>
          <w:p>
            <w:r>
              <w:rPr>
                <w:b w:val="false"/>
                <w:bCs w:val="false"/>
              </w:rPr>
              <w:t xml:space="preserve">09-02-2002</w:t>
            </w:r>
          </w:p>
        </w:tc>
      </w:tr>
      <w:tr>
        <w:tc>
          <w:tcPr>
            <w:tcW w:type="dxa" w:w="3000"/>
          </w:tcPr>
          <w:p>
            <w:r>
              <w:rPr>
                <w:b w:val="false"/>
                <w:bCs w:val="false"/>
              </w:rPr>
              <w:t xml:space="preserve">Target</w:t>
            </w:r>
          </w:p>
        </w:tc>
        <w:tc>
          <w:tcPr>
            <w:tcW w:type="dxa" w:w="6000"/>
          </w:tcPr>
          <w:p>
            <w:r>
              <w:rPr>
                <w:b w:val="false"/>
                <w:bCs w:val="false"/>
              </w:rPr>
              <w:t xml:space="preserve">NGC 253</w:t>
            </w:r>
          </w:p>
        </w:tc>
      </w:tr>
      <w:tr>
        <w:tc>
          <w:tcPr>
            <w:tcW w:type="dxa" w:w="3000"/>
          </w:tcPr>
          <w:p>
            <w:r>
              <w:rPr>
                <w:b w:val="false"/>
                <w:bCs w:val="false"/>
              </w:rPr>
              <w:t xml:space="preserve">Frequenza (IF0, banda HI)</w:t>
            </w:r>
          </w:p>
        </w:tc>
        <w:tc>
          <w:tcPr>
            <w:tcW w:type="dxa" w:w="6000"/>
          </w:tcPr>
          <w:p>
            <w:r>
              <w:rPr>
                <w:b w:val="false"/>
                <w:bCs w:val="false"/>
              </w:rPr>
              <w:t xml:space="preserve">1419 MHz, banda 8 MHz, 513 canali, 2 polarizzazioni</w:t>
            </w:r>
          </w:p>
        </w:tc>
      </w:tr>
      <w:tr>
        <w:tc>
          <w:tcPr>
            <w:tcW w:type="dxa" w:w="3000"/>
          </w:tcPr>
          <w:p>
            <w:r>
              <w:rPr>
                <w:b w:val="false"/>
                <w:bCs w:val="false"/>
              </w:rPr>
              <w:t xml:space="preserve">Frequenza (IF1)</w:t>
            </w:r>
          </w:p>
        </w:tc>
        <w:tc>
          <w:tcPr>
            <w:tcW w:type="dxa" w:w="6000"/>
          </w:tcPr>
          <w:p>
            <w:r>
              <w:rPr>
                <w:b w:val="false"/>
                <w:bCs w:val="false"/>
              </w:rPr>
              <w:t xml:space="preserve">2496 MHz, banda 128 MHz, 33 canali, 4 polarizzazioni (full Stokes)</w:t>
            </w:r>
          </w:p>
        </w:tc>
      </w:tr>
    </w:tbl>
    <w:p>
      <w:pPr>
        <w:pStyle w:val="Heading1"/>
        <w:spacing w:after="150" w:before="300"/>
      </w:pPr>
      <w:r>
        <w:t xml:space="preserve">2. Il formato RPFITS</w:t>
      </w:r>
    </w:p>
    <w:p>
      <w:pPr>
        <w:spacing w:after="120"/>
      </w:pPr>
      <w:r>
        <w:t xml:space="preserve">RPFITS ("Radio Physics FITS") è un formato dati binario sviluppato dall'ATNF per i suoi telescopi (ATCA, Parkes, Mopra). Nonostante il nome, non è un file FITS standard — non può essere aperto con astropy.io.fits né con nessun lettore FITS generico. È un flusso binario sequenziale a blocchi di 2560 byte, storicamente scritto e letto tramite una libreria Fortran.</w:t>
      </w:r>
    </w:p>
    <w:p>
      <w:pPr>
        <w:pStyle w:val="ListParagraph"/>
        <w:numPr>
          <w:ilvl w:val="0"/>
          <w:numId w:val="1"/>
        </w:numPr>
        <w:spacing w:after="60"/>
      </w:pPr>
      <w:r>
        <w:t xml:space="preserve">I metadati (nome sorgente, RA/Dec, configurazione IF/frequenze, tabella antenne, ecc.) non vengono passati come argomenti di funzione, ma esposti tramite blocchi COMMON Fortran (param_, names_, if_, su_, anten_, doubles_, iostat_, …).</w:t>
      </w:r>
    </w:p>
    <w:p>
      <w:pPr>
        <w:pStyle w:val="ListParagraph"/>
        <w:numPr>
          <w:ilvl w:val="0"/>
          <w:numId w:val="1"/>
        </w:numPr>
        <w:spacing w:after="60"/>
      </w:pPr>
      <w:r>
        <w:t xml:space="preserve">Nella libreria esistono solo due punti di ingresso: rpfitsin_ (lettura) e rpfitsout_ (scrittura).</w:t>
      </w:r>
    </w:p>
    <w:p>
      <w:pPr>
        <w:pStyle w:val="ListParagraph"/>
        <w:numPr>
          <w:ilvl w:val="0"/>
          <w:numId w:val="1"/>
        </w:numPr>
        <w:spacing w:after="60"/>
      </w:pPr>
      <w:r>
        <w:t xml:space="preserve">La macchina a stati di lettura/scrittura è controllata da un flag intero, jstat, passato per riferimento a ogni chiamata.</w:t>
      </w:r>
    </w:p>
    <w:p>
      <w:pPr>
        <w:pStyle w:val="Heading2"/>
        <w:spacing w:after="100" w:before="200"/>
      </w:pPr>
      <w:r>
        <w:t xml:space="preserve">2.1 Semantica di jstat (come usata dal nostro lettore)</w:t>
      </w:r>
    </w:p>
    <w:p>
      <w:pPr>
        <w:pStyle w:val="ListParagraph"/>
        <w:numPr>
          <w:ilvl w:val="0"/>
          <w:numId w:val="1"/>
        </w:numPr>
        <w:spacing w:after="60"/>
      </w:pPr>
      <w:r>
        <w:t xml:space="preserve">jstat = -3  →  apri il file in lettura</w:t>
      </w:r>
    </w:p>
    <w:p>
      <w:pPr>
        <w:pStyle w:val="ListParagraph"/>
        <w:numPr>
          <w:ilvl w:val="0"/>
          <w:numId w:val="1"/>
        </w:numPr>
        <w:spacing w:after="60"/>
      </w:pPr>
      <w:r>
        <w:t xml:space="preserve">jstat = -1  →  leggi l'header dello scan successivo</w:t>
      </w:r>
    </w:p>
    <w:p>
      <w:pPr>
        <w:pStyle w:val="ListParagraph"/>
        <w:numPr>
          <w:ilvl w:val="0"/>
          <w:numId w:val="1"/>
        </w:numPr>
        <w:spacing w:after="60"/>
      </w:pPr>
      <w:r>
        <w:t xml:space="preserve">jstat =  0  →  prova a leggere un record dati (una singola visibilità per una baseline, un IF, un set di polarizzazioni)</w:t>
      </w:r>
    </w:p>
    <w:p>
      <w:pPr>
        <w:pStyle w:val="ListParagraph"/>
        <w:numPr>
          <w:ilvl w:val="0"/>
          <w:numId w:val="1"/>
        </w:numPr>
        <w:spacing w:after="60"/>
      </w:pPr>
      <w:r>
        <w:t xml:space="preserve">jstat =  1  →  chiudi il file</w:t>
      </w:r>
    </w:p>
    <w:p>
      <w:pPr>
        <w:spacing w:after="120"/>
      </w:pPr>
      <w:r>
        <w:t xml:space="preserve">In una chiamata di lettura dati (jstat = 0 in ingresso), il valore di ritorno di jstat indica cosa è realmente successo:</w:t>
      </w:r>
    </w:p>
    <w:p>
      <w:pPr>
        <w:pStyle w:val="ListParagraph"/>
        <w:numPr>
          <w:ilvl w:val="0"/>
          <w:numId w:val="1"/>
        </w:numPr>
        <w:spacing w:after="60"/>
      </w:pPr>
      <w:r>
        <w:t xml:space="preserve">0 → un record dati è stato letto con successo; vis[]/wgt[] sono validi</w:t>
      </w:r>
    </w:p>
    <w:p>
      <w:pPr>
        <w:pStyle w:val="ListParagraph"/>
        <w:numPr>
          <w:ilvl w:val="0"/>
          <w:numId w:val="1"/>
        </w:numPr>
        <w:spacing w:after="60"/>
      </w:pPr>
      <w:r>
        <w:t xml:space="preserve">1 → fine dello scan corrente raggiunta; un nuovo header è in attesa (richiamare con jstat = -1)</w:t>
      </w:r>
    </w:p>
    <w:p>
      <w:pPr>
        <w:pStyle w:val="ListParagraph"/>
        <w:numPr>
          <w:ilvl w:val="0"/>
          <w:numId w:val="1"/>
        </w:numPr>
        <w:spacing w:after="60"/>
      </w:pPr>
      <w:r>
        <w:t xml:space="preserve">3 → fine del file</w:t>
      </w:r>
    </w:p>
    <w:p>
      <w:pPr>
        <w:pStyle w:val="ListParagraph"/>
        <w:numPr>
          <w:ilvl w:val="0"/>
          <w:numId w:val="1"/>
        </w:numPr>
        <w:spacing w:after="60"/>
      </w:pPr>
      <w:r>
        <w:t xml:space="preserve">Altri valori (abbiamo osservato 5) corrispondono a tabelle intermedie (tabella di flag, tabella sorgenti, record syscal) che la libreria gestisce internamente — il comportamento corretto è semplicemente continuare a chiamare con jstat = 0 finché non si ottiene 1 o 3, senza trattarli come errori.</w:t>
      </w:r>
    </w:p>
    <w:p>
      <w:pPr>
        <w:spacing w:after="120"/>
      </w:pPr>
      <w:r>
        <w:t xml:space="preserve">Questo comportamento a macchina a stati è stato confermato su un esempio Fortran reale (fakeotf.for, parte della distribuzione Miriad/ATNF), non ipotizzato.</w:t>
      </w:r>
    </w:p>
    <w:p>
      <w:pPr>
        <w:pStyle w:val="Heading1"/>
        <w:spacing w:after="150" w:before="300"/>
      </w:pPr>
      <w:r>
        <w:t xml:space="preserve">3. Il nostro binding ctypes</w:t>
      </w:r>
    </w:p>
    <w:p>
      <w:pPr>
        <w:spacing w:after="120"/>
      </w:pPr>
      <w:r>
        <w:t xml:space="preserve">All'inizio di questo lavoro non esisteva alcun binding Python pronto per RPFITS (a differenza, ad esempio, di astropy per il FITS standard). Abbiamo costruito un binding minimale usando il modulo ctypes di Python, chiamando direttamente librpfits.so, senza alcun codice wrapper C o Fortran intermedio.</w:t>
      </w:r>
    </w:p>
    <w:p>
      <w:pPr>
        <w:pStyle w:val="ListParagraph"/>
        <w:numPr>
          <w:ilvl w:val="0"/>
          <w:numId w:val="1"/>
        </w:numPr>
        <w:spacing w:after="60"/>
      </w:pPr>
      <w:r>
        <w:t xml:space="preserve">Libreria e header ottenuti via conda-forge, pacchetto rpfits 2.25, installato in un ambiente conda dedicato (rpfits_env, Python 3.11) tenuto separato dall'ambiente Python 3.14 principale di FRO.</w:t>
      </w:r>
    </w:p>
    <w:p>
      <w:pPr>
        <w:pStyle w:val="ListParagraph"/>
        <w:numPr>
          <w:ilvl w:val="0"/>
          <w:numId w:val="1"/>
        </w:numPr>
        <w:spacing w:after="60"/>
      </w:pPr>
      <w:r>
        <w:t xml:space="preserve">I nomi dei simboli nella libreria compilata sono stati verificati con nm -D contro le dichiarazioni in RPFITS.h prima di scrivere qualunque codice di binding — nessun problema di name-mangling Fortran è stato riscontrato.</w:t>
      </w:r>
    </w:p>
    <w:p>
      <w:pPr>
        <w:pStyle w:val="ListParagraph"/>
        <w:numPr>
          <w:ilvl w:val="0"/>
          <w:numId w:val="1"/>
        </w:numPr>
        <w:spacing w:after="60"/>
      </w:pPr>
      <w:r>
        <w:t xml:space="preserve">I blocchi COMMON sono mappati come sottoclassi di ctypes.Structure e collegati alla libreria con Structure.in_dll(lib, "nome_simbolo").</w:t>
      </w:r>
    </w:p>
    <w:p>
      <w:pPr>
        <w:pStyle w:val="ListParagraph"/>
        <w:numPr>
          <w:ilvl w:val="0"/>
          <w:numId w:val="1"/>
        </w:numPr>
        <w:spacing w:after="60"/>
      </w:pPr>
      <w:r>
        <w:t xml:space="preserve">Un bug critico iniziale: i buffer vis/wgt devono essere allocati abbastanza grandi da contenere 2 x nPol x nChan (vis) e nPol x nChan (wgt) float per l'IF più grande in uso. Buffer sottodimensionati (inizialmente 4 float) hanno causato corruzione dell'heap e un segmentation fault ritardato e difficile da diagnosticare. Si usano buffer da 500.000 float come margine di sicurezza.</w:t>
      </w:r>
    </w:p>
    <w:p>
      <w:pPr>
        <w:pStyle w:val="Heading1"/>
        <w:spacing w:after="150" w:before="300"/>
      </w:pPr>
      <w:r>
        <w:t xml:space="preserve">4. Dataset di test: NGC 253 (progetto C1025)</w:t>
      </w:r>
    </w:p>
    <w:p>
      <w:pPr>
        <w:spacing w:after="120"/>
      </w:pPr>
      <w:r>
        <w:t xml:space="preserve">Un file RPFITS reale, pubblicamente archiviato, è stato ottenuto tramite l'archivio online ATNF (ATOA) per il progetto C1025 (PI: R. Boomsma), osservato il 09-02-2002, configurazione array 1.5A.</w:t>
      </w:r>
    </w:p>
    <w:p>
      <w:pPr>
        <w:spacing w:after="120"/>
      </w:pPr>
      <w:r>
        <w:t xml:space="preserve">Il file contiene esattamente 4 scan (non i ~287 stimati inizialmente dal conteggio scan a livello di progetto su ATOA, che copre l'intero progetto, non questo singolo file):</w:t>
      </w:r>
    </w:p>
    <w:p>
      <w:pPr>
        <w:pStyle w:val="ListParagraph"/>
        <w:numPr>
          <w:ilvl w:val="0"/>
          <w:numId w:val="1"/>
        </w:numPr>
        <w:spacing w:after="60"/>
      </w:pPr>
      <w:r>
        <w:t xml:space="preserve">Scan 1-2: calibratore 1934-638 (calibratore di flusso primario standard di ATCA)</w:t>
      </w:r>
    </w:p>
    <w:p>
      <w:pPr>
        <w:pStyle w:val="ListParagraph"/>
        <w:numPr>
          <w:ilvl w:val="0"/>
          <w:numId w:val="1"/>
        </w:numPr>
        <w:spacing w:after="60"/>
      </w:pPr>
      <w:r>
        <w:t xml:space="preserve">Scan 3: calibratore 0023-263 (calibratore secondario/di fase)</w:t>
      </w:r>
    </w:p>
    <w:p>
      <w:pPr>
        <w:pStyle w:val="ListParagraph"/>
        <w:numPr>
          <w:ilvl w:val="0"/>
          <w:numId w:val="1"/>
        </w:numPr>
        <w:spacing w:after="60"/>
      </w:pPr>
      <w:r>
        <w:t xml:space="preserve">Scan 4: NGC 253 (target scientifico, 416 record dati)</w:t>
      </w:r>
    </w:p>
    <w:p>
      <w:pPr>
        <w:spacing w:after="120"/>
      </w:pPr>
      <w:r>
        <w:t xml:space="preserve">Ogni scan ha 2 IF: IF0 a 1419 MHz (banda 8 MHz, 513 canali, 2 polarizzazioni — la banda HI di interesse) e IF1 a 2496 MHz (banda 128 MHz, 33 canali, 4 polarizzazioni, full Stokes — non rilevante per il lavoro HI).</w:t>
      </w:r>
    </w:p>
    <w:p>
      <w:pPr>
        <w:spacing w:after="120"/>
      </w:pPr>
      <w:r>
        <w:t xml:space="preserve">RA/Dec dell'header (0.2076 / -0.4415 rad) convertiti danno circa 00h47m38s / -25.30°, corrispondenti alla nota posizione catalogata di NGC 253 — una verifica indipendente che il parsing sia corretto.</w:t>
      </w:r>
    </w:p>
    <w:p>
      <w:pPr>
        <w:spacing w:after="120"/>
      </w:pPr>
      <w:r>
        <w:t xml:space="preserve">I codici baseline seguono la convenzione ATNF baseline = 256×ant1 + ant2. Decodificando i valori osservati (258, 259, ..., 1286) si ottengono esattamente le 15 coppie possibili di antenne di un array a 6 antenne — conferma che i dati sono visibilità interferometriche grezze, una baseline alla volta, non spettri single-dish. Un valore di baseline pari a -1 è stato osservato sul primo record di uno scan; non è una vera coppia di antenne, ma un record syscal/Tsys intercalato nel flusso dati (peso = 0 su tutti i canali), comportamento normale di RPFITS.</w:t>
      </w:r>
    </w:p>
    <w:p>
      <w:pPr>
        <w:pStyle w:val="Heading1"/>
        <w:spacing w:after="150" w:before="300"/>
      </w:pPr>
      <w:r>
        <w:t xml:space="preserve">5. Accesso ai dati</w:t>
      </w:r>
    </w:p>
    <w:p>
      <w:pPr>
        <w:spacing w:after="120"/>
      </w:pPr>
      <w:r>
        <w:t xml:space="preserve">La registrazione è stata completata su OPAL (https://opal.atnf.csiro.au/), il sistema ATNF Online Proposal Applications &amp; Links, che dà accesso anche all'archivio dati collegato ATOA (Australia Telescope Online Archive). Non sono state trovate osservazioni HI pubbliche di NGC 6822; è stata quindi scelta NGC 253 (progetto C1025) come caso di test di lavoro.</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2"/>
                    <a:stretch>
                      <a:fillRect/>
                    </a:stretch>
                  </pic:blipFill>
                  <pic:spPr>
                    <a:xfrm>
                      <a:off x="0" y="0"/>
                      <a:ext cx="1080000" cy="1080000"/>
                    </a:xfrm>
                    <a:prstGeom prst="rect">
                      <a:avLst/>
                    </a:prstGeom>
                  </pic:spPr>
                </pic:pic>
              </a:graphicData>
            </a:graphic>
          </wp:inline>
        </w:drawing>
      </w:r>
    </w:p>
    <w:p>
      <w:pPr>
        <w:pStyle w:val="Heading1"/>
        <w:spacing w:after="150" w:before="300"/>
      </w:pPr>
      <w:r>
        <w:t xml:space="preserve">6. Decisione architetturale: visibilità grezze vs. dati già ridotti</w:t>
      </w:r>
    </w:p>
    <w:p>
      <w:pPr>
        <w:spacing w:after="120"/>
      </w:pPr>
      <w:r>
        <w:t xml:space="preserve">Sono stati considerati due possibili approcci per integrare ATCA (ed eventuali future fonti interferometriche) in FRO:</w:t>
      </w:r>
    </w:p>
    <w:p>
      <w:pPr>
        <w:pStyle w:val="ListParagraph"/>
        <w:numPr>
          <w:ilvl w:val="0"/>
          <w:numId w:val="1"/>
        </w:numPr>
        <w:spacing w:after="60"/>
      </w:pPr>
      <w:r>
        <w:t xml:space="preserve">Opzione A — un formato FRO "interferometrico" separato, che memorizza le visibilità grezze per baseline con provenienza completa, coerente con il principio FRO "non si butta mai nulla dalla fonte", ma un nuovo modello dati sostanzioso, strutturalmente molto diverso dal gruppo Spectra single-dish esistente.</w:t>
      </w:r>
    </w:p>
    <w:p>
      <w:pPr>
        <w:pStyle w:val="ListParagraph"/>
        <w:numPr>
          <w:ilvl w:val="0"/>
          <w:numId w:val="1"/>
        </w:numPr>
        <w:spacing w:after="60"/>
      </w:pPr>
      <w:r>
        <w:t xml:space="preserve">Opzione B — trattare ATCA come una fonte a "cubo già ridotto" (analogamente ai futuri parser cubo FAST/THINGS/FEASTS): eseguire calibrazione e imaging esternamente con software dedicato, poi importare in FRO solo il prodotto finale calibrato (uno spettro estratto o una mappa di momento).</w:t>
      </w:r>
    </w:p>
    <w:p>
      <w:pPr>
        <w:spacing w:after="120"/>
      </w:pPr>
      <w:r>
        <w:t xml:space="preserve">Decisione: è stata adottata l'Opzione B. Costruire un intero formato FRO per visibilità grezze è un investimento ingegneristico rilevante che, da solo, non produrrebbe comunque nulla di scientificamente utilizzabile — servirebbe comunque software di calibrazione/imaging a valle. Dato che ATCA è (per ora) un singolo file di test archivistico e non una fonte dati primaria ricorrente per FRO, l'Opzione B offre un rapporto sforzo/beneficio molto migliore.</w:t>
      </w:r>
    </w:p>
    <w:p>
      <w:pPr>
        <w:spacing w:after="120"/>
      </w:pPr>
      <w:r>
        <w:t xml:space="preserve">CASA (Common Astronomy Software Applications, NRAO/ESO/NAOJ) è stato scelto come strumento di calibrazione/imaging, in preferenza a MIRIAD (l'alternativa nativa ATNF), sulla base del suo workflow più moderno basato su Python e della migliore riusabilità a lungo termine per altri dati interferometrici, non-ATCA, che il progetto potrebbe incontrare in futuro. Entrambi i pacchetti sono gratuiti e open source; la scelta non è stata una questione di costo.</w:t>
      </w:r>
    </w:p>
    <w:p>
      <w:pPr>
        <w:pStyle w:val="Heading1"/>
        <w:spacing w:after="150" w:before="300"/>
      </w:pPr>
      <w:r>
        <w:t xml:space="preserve">7. Note scientifiche / diagnostiche</w:t>
      </w:r>
    </w:p>
    <w:p>
      <w:pPr>
        <w:spacing w:after="120"/>
      </w:pPr>
      <w:r>
        <w:t xml:space="preserve">È stato estratto uno spettro grezzo di ampiezza/fase per la baseline 258 (antenne 1-2), IF0, prima integrazione dello scan NGC 253, senza alcuna calibrazione applicata:</w:t>
      </w:r>
    </w:p>
    <w:p>
      <w:pPr>
        <w:pStyle w:val="ListParagraph"/>
        <w:numPr>
          <w:ilvl w:val="0"/>
          <w:numId w:val="1"/>
        </w:numPr>
        <w:spacing w:after="60"/>
      </w:pPr>
      <w:r>
        <w:t xml:space="preserve">L'ampiezza mostra un profilo liscio a campana lungo i 513 canali (circa 0.3 Jy ai bordi banda, che sale a 4-7 Jy al centro) — questa è la forma della banda passante grezza del ricevitore/correlatore, non una rivelazione HI. Questa forma compare su qualunque baseline non calibrata, indipendentemente dal target, e non va scambiata per una vera struttura spettrale.</w:t>
      </w:r>
    </w:p>
    <w:p>
      <w:pPr>
        <w:pStyle w:val="ListParagraph"/>
        <w:numPr>
          <w:ilvl w:val="0"/>
          <w:numId w:val="1"/>
        </w:numPr>
        <w:spacing w:after="60"/>
      </w:pPr>
      <w:r>
        <w:t xml:space="preserve">La fase è essenzialmente rumore casuale tra circa -60° e +30°, senza alcuna pendenza coerente — atteso per una singola integrazione non calibrata su una singola baseline.</w:t>
      </w:r>
    </w:p>
    <w:p>
      <w:pPr>
        <w:pStyle w:val="ListParagraph"/>
        <w:numPr>
          <w:ilvl w:val="0"/>
          <w:numId w:val="1"/>
        </w:numPr>
        <w:spacing w:after="60"/>
      </w:pPr>
      <w:r>
        <w:t xml:space="preserve">Una vera riga HI, se presente, apparirebbe come una piccola increspatura sovrapposta a questa forma di banda passante; non è identificabile a occhio prima di applicare la calibrazione di banda passante e di guadagno/fase (usando rispettivamente gli scan dei calibratori 1934-638 e 0023-263).</w:t>
      </w:r>
    </w:p>
    <w:p>
      <w:pPr>
        <w:pStyle w:val="Heading1"/>
        <w:spacing w:after="150" w:before="300"/>
      </w:pPr>
      <w:r>
        <w:t xml:space="preserve">8. CASA: installazione e ruolo nel workflow ATCA</w:t>
      </w:r>
    </w:p>
    <w:p>
      <w:pPr>
        <w:spacing w:after="120"/>
      </w:pPr>
      <w:r>
        <w:t xml:space="preserve">CASA (Common Astronomy Software Applications) è il software standard per la calibrazione e l’imaging di dati interferometrici radio, sviluppato e mantenuto da un consorzio internazionale guidato dal National Radio Astronomy Observatory (NRAO), con contributi di ESO e NAOJ. È lo strumento primario di riduzione dati per ALMA e VLA e supporta un’ampia gamma di altri interferometri, incluso ATCA. CASA è gratuito e open source.</w:t>
      </w:r>
    </w:p>
    <w:p>
      <w:pPr>
        <w:spacing w:after="120"/>
      </w:pPr>
      <w:r>
        <w:t xml:space="preserve">Nel workflow FRO/ATCA, CASA svolge il ruolo definito dalla decisione architetturale Option B (Sezione 6): converte le visibilità grezze RPFITS in un prodotto calibrato (uno spettro HI estratto o una mappa di momento) che viene poi acquisito da atca_to_fro.py nel formato FRO HDF5 v17. CASA non è usato per leggere RPFITS direttamente in Python — quello step è gestito dal nostro binding ctypes (Sezione 3). CASA opera invece su un Measurement Set (MS), il contenitore dati standard CASA/ALMA, prodotto importando il file RPFITS tramite il task CASA importatca.</w:t>
      </w:r>
    </w:p>
    <w:p>
      <w:pPr>
        <w:pStyle w:val="Heading2"/>
        <w:spacing w:after="100" w:before="200"/>
      </w:pPr>
      <w:r>
        <w:t xml:space="preserve">8.1 Versione CASA e metodo di installazione</w:t>
      </w:r>
    </w:p>
    <w:p>
      <w:pPr>
        <w:spacing w:after="120"/>
      </w:pPr>
      <w:r>
        <w:t xml:space="preserve">La versione stabile corrente è CASA 6.7.5-18 (Python 3.12). Il metodo di installazione raccomandato per Ubuntu è il tarball RHEL8 precompilato, che include internamente tutte le librerie necessarie ed evita conflitti di dipendenze con il sistema host. Il metodo pip-wheel è stato tentato per primo ma ha fallito a causa di un conflitto di versione OpenSSL (la libssl.so.3 interna al wheel casatools richiedeva il simbolo OPENSSL_3.0.1, assente sia nelle librerie OpenSSL di conda che in quelle di sistema). Il metodo tarball ha risolto completamente il problema. CASA non è compatibile con l’ambiente Python 3.14 principale di FRO ed è tenuto completamente separato.</w:t>
      </w:r>
    </w:p>
    <w:p>
      <w:pPr>
        <w:spacing w:after="120"/>
      </w:pPr>
      <w:r>
        <w:t xml:space="preserve">Procedura di installazione (una tantum):</w:t>
      </w:r>
    </w:p>
    <w:p>
      <w:pPr>
        <w:spacing w:after="60"/>
      </w:pPr>
      <w:r>
        <w:rPr>
          <w:b/>
          <w:bCs/>
        </w:rPr>
        <w:t xml:space="preserve">Passo 1 — Verificare o installare Miniconda.</w:t>
      </w:r>
    </w:p>
    <w:p>
      <w:pPr>
        <w:spacing w:after="60"/>
      </w:pPr>
      <w:r>
        <w:t xml:space="preserve">Miniconda potrebbe essere già installato. Verificare con:</w:t>
      </w:r>
    </w:p>
    <w:p>
      <w:pPr>
        <w:spacing w:after="60"/>
      </w:pPr>
      <w:r>
        <w:rPr>
          <w:rFonts w:ascii="Times New Roman" w:cs="Times New Roman" w:eastAsia="Times New Roman" w:hAnsi="Times New Roman"/>
          <w:sz w:val="20"/>
          <w:szCs w:val="20"/>
        </w:rPr>
        <w:t xml:space="preserve">conda --version</w:t>
      </w:r>
    </w:p>
    <w:p>
      <w:pPr>
        <w:spacing w:after="60"/>
      </w:pPr>
      <w:r>
        <w:t xml:space="preserve">Se non trovato, scaricare e installare, poi eseguire conda init bash e riaprire il terminale:</w:t>
      </w:r>
    </w:p>
    <w:p>
      <w:pPr>
        <w:spacing w:after="60"/>
      </w:pPr>
      <w:r>
        <w:rPr>
          <w:rFonts w:ascii="Times New Roman" w:cs="Times New Roman" w:eastAsia="Times New Roman" w:hAnsi="Times New Roman"/>
          <w:sz w:val="20"/>
          <w:szCs w:val="20"/>
        </w:rPr>
        <w:t xml:space="preserve">wget https://repo.anaconda.com/miniconda/Miniconda3-latest-Linux-x86_64.sh -O ~/miniconda.sh</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5"/>
                    <a:stretch>
                      <a:fillRect/>
                    </a:stretch>
                  </pic:blipFill>
                  <pic:spPr>
                    <a:xfrm>
                      <a:off x="0" y="0"/>
                      <a:ext cx="1080000" cy="1080000"/>
                    </a:xfrm>
                    <a:prstGeom prst="rect">
                      <a:avLst/>
                    </a:prstGeom>
                  </pic:spPr>
                </pic:pic>
              </a:graphicData>
            </a:graphic>
          </wp:inline>
        </w:drawing>
      </w:r>
    </w:p>
    <w:p>
      <w:pPr>
        <w:spacing w:after="60"/>
      </w:pPr>
      <w:r>
        <w:rPr>
          <w:rFonts w:ascii="Times New Roman" w:cs="Times New Roman" w:eastAsia="Times New Roman" w:hAnsi="Times New Roman"/>
          <w:sz w:val="20"/>
          <w:szCs w:val="20"/>
        </w:rPr>
        <w:t xml:space="preserve">bash ~/miniconda.sh -b -p ~/miniconda3 &amp;&amp; ~/miniconda3/bin/conda init bash</w:t>
      </w:r>
    </w:p>
    <w:p>
      <w:pPr>
        <w:spacing w:after="60"/>
      </w:pPr>
      <w:r>
        <w:rPr>
          <w:b/>
          <w:bCs/>
        </w:rPr>
        <w:t xml:space="preserve">Passo 2 — Creare l’ambiente conda CASA.</w:t>
      </w:r>
    </w:p>
    <w:p>
      <w:pPr>
        <w:spacing w:after="60"/>
      </w:pPr>
      <w:r>
        <w:rPr>
          <w:rFonts w:ascii="Times New Roman" w:cs="Times New Roman" w:eastAsia="Times New Roman" w:hAnsi="Times New Roman"/>
          <w:sz w:val="20"/>
          <w:szCs w:val="20"/>
        </w:rPr>
        <w:t xml:space="preserve">conda create -n casa_env python=3.12 -y &amp;&amp; conda activate casa_env</w:t>
      </w:r>
    </w:p>
    <w:p>
      <w:pPr>
        <w:spacing w:after="60"/>
      </w:pPr>
      <w:r>
        <w:rPr>
          <w:b/>
          <w:bCs/>
        </w:rPr>
        <w:t xml:space="preserve">Passo 3 — Scaricare il tarball RHEL8 di CASA (~803 MB).</w:t>
      </w:r>
    </w:p>
    <w:p>
      <w:pPr>
        <w:spacing w:after="60"/>
      </w:pPr>
      <w:r>
        <w:rPr>
          <w:rFonts w:ascii="Times New Roman" w:cs="Times New Roman" w:eastAsia="Times New Roman" w:hAnsi="Times New Roman"/>
          <w:sz w:val="20"/>
          <w:szCs w:val="20"/>
        </w:rPr>
        <w:t xml:space="preserve">wget https://casa.nrao.edu/download/distro/casa/release/rhel/casa-6.7.5-18-py3.12.el8.tar.xz -O ~/casa-6.7.5.tar.xz</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6"/>
                    <a:stretch>
                      <a:fillRect/>
                    </a:stretch>
                  </pic:blipFill>
                  <pic:spPr>
                    <a:xfrm>
                      <a:off x="0" y="0"/>
                      <a:ext cx="1080000" cy="1080000"/>
                    </a:xfrm>
                    <a:prstGeom prst="rect">
                      <a:avLst/>
                    </a:prstGeom>
                  </pic:spPr>
                </pic:pic>
              </a:graphicData>
            </a:graphic>
          </wp:inline>
        </w:drawing>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3"/>
                    <a:stretch>
                      <a:fillRect/>
                    </a:stretch>
                  </pic:blipFill>
                  <pic:spPr>
                    <a:xfrm>
                      <a:off x="0" y="0"/>
                      <a:ext cx="1080000" cy="1080000"/>
                    </a:xfrm>
                    <a:prstGeom prst="rect">
                      <a:avLst/>
                    </a:prstGeom>
                  </pic:spPr>
                </pic:pic>
              </a:graphicData>
            </a:graphic>
          </wp:inline>
        </w:drawing>
      </w:r>
    </w:p>
    <w:p>
      <w:pPr>
        <w:spacing w:after="60"/>
      </w:pPr>
      <w:r>
        <w:rPr>
          <w:b/>
          <w:bCs/>
        </w:rPr>
        <w:t xml:space="preserve">Passo 4 — Estrarre ed eliminare il tarball.</w:t>
      </w:r>
    </w:p>
    <w:p>
      <w:pPr>
        <w:spacing w:after="60"/>
      </w:pPr>
      <w:r>
        <w:rPr>
          <w:rFonts w:ascii="Times New Roman" w:cs="Times New Roman" w:eastAsia="Times New Roman" w:hAnsi="Times New Roman"/>
          <w:sz w:val="20"/>
          <w:szCs w:val="20"/>
        </w:rPr>
        <w:t xml:space="preserve">tar -xf ~/casa-6.7.5.tar.xz -C ~/ &amp;&amp; rm ~/casa-6.7.5.tar.xz</w:t>
      </w:r>
    </w:p>
    <w:p>
      <w:pPr>
        <w:spacing w:after="60"/>
      </w:pPr>
      <w:r>
        <w:t xml:space="preserve">CASA è ora installato in ~/casa-6.7.5-18-py3.12.el8/.</w:t>
      </w:r>
    </w:p>
    <w:p>
      <w:pPr>
        <w:spacing w:after="60"/>
      </w:pPr>
      <w:r>
        <w:rPr>
          <w:b/>
          <w:bCs/>
        </w:rPr>
        <w:t xml:space="preserve">Passo 5 — Scaricare i dati di misura CASA (~336 MB).</w:t>
      </w:r>
    </w:p>
    <w:p>
      <w:pPr>
        <w:spacing w:after="60"/>
      </w:pPr>
      <w:r>
        <w:t xml:space="preserve">CASA richiede tabelle di effemeridi e coordinate per funzionare correttamente:</w:t>
      </w:r>
    </w:p>
    <w:p>
      <w:pPr>
        <w:spacing w:after="60"/>
      </w:pPr>
      <w:r>
        <w:rPr>
          <w:rFonts w:ascii="Times New Roman" w:cs="Times New Roman" w:eastAsia="Times New Roman" w:hAnsi="Times New Roman"/>
          <w:sz w:val="20"/>
          <w:szCs w:val="20"/>
        </w:rPr>
        <w:t xml:space="preserve">mkdir -p ~/.casa/data &amp;&amp; ~/casa-6.7.5-18-py3.12.el8/bin/python3 -m casaconfig --measurespath ~/.casa/data --pull-data</w:t>
      </w:r>
    </w:p>
    <w:p>
      <w:pPr>
        <w:spacing w:after="60"/>
      </w:pPr>
      <w:r>
        <w:rPr>
          <w:b/>
          <w:bCs/>
        </w:rPr>
        <w:t xml:space="preserve">Passo 6 — Aggiungere un alias e verificare.</w:t>
      </w:r>
    </w:p>
    <w:p>
      <w:pPr>
        <w:spacing w:after="60"/>
      </w:pPr>
      <w:r>
        <w:rPr>
          <w:rFonts w:ascii="Times New Roman" w:cs="Times New Roman" w:eastAsia="Times New Roman" w:hAnsi="Times New Roman"/>
          <w:sz w:val="20"/>
          <w:szCs w:val="20"/>
        </w:rPr>
        <w:t xml:space="preserve">echo 'alias casa-python="~/casa-6.7.5-18-py3.12.el8/bin/python3"' &gt;&gt; ~/.bashrc &amp;&amp; source ~/.bashrc</w:t>
      </w:r>
    </w:p>
    <w:p>
      <w:pPr>
        <w:spacing w:after="60"/>
      </w:pPr>
      <w:r>
        <w:rPr>
          <w:rFonts w:ascii="Times New Roman" w:cs="Times New Roman" w:eastAsia="Times New Roman" w:hAnsi="Times New Roman"/>
          <w:sz w:val="20"/>
          <w:szCs w:val="20"/>
        </w:rPr>
        <w:t xml:space="preserve">casa-python -c "import casatools; print(casatools.version_string())"</w:t>
      </w:r>
    </w:p>
    <w:p>
      <w:pPr>
        <w:spacing w:after="120"/>
      </w:pPr>
      <w:r>
        <w:t xml:space="preserve">Output atteso: 6.7.5-18</w:t>
      </w:r>
    </w:p>
    <w:p>
      <w:pPr>
        <w:pStyle w:val="Heading2"/>
        <w:spacing w:after="100" w:before="200"/>
      </w:pPr>
      <w:r>
        <w:t xml:space="preserve">8.2 Workflow di calibrazione ATCA in CASA</w:t>
      </w:r>
    </w:p>
    <w:p>
      <w:pPr>
        <w:spacing w:after="120"/>
      </w:pPr>
      <w:r>
        <w:t xml:space="preserve">Il workflow di calibrazione per il dataset C1025/NGC 253 segue la sequenza standard di riduzione HI ATCA:</w:t>
      </w:r>
    </w:p>
    <w:p>
      <w:pPr>
        <w:spacing w:after="60"/>
      </w:pPr>
      <w:r>
        <w:rPr>
          <w:b/>
          <w:bCs/>
        </w:rPr>
        <w:t xml:space="preserve">Passo 1 — Importare RPFITS in un Measurement Set.</w:t>
      </w:r>
    </w:p>
    <w:p>
      <w:pPr>
        <w:spacing w:after="60"/>
      </w:pPr>
      <w:r>
        <w:t xml:space="preserve">Usare il task CASA importatca per convertire il file RPFITS in un Measurement Set (MS) CASA. L’MS è il contenitore dati nativo di CASA e memorizza visibilità, flag e metadati in formato tabella casacore.</w:t>
      </w:r>
    </w:p>
    <w:p>
      <w:pPr>
        <w:spacing w:after="60"/>
      </w:pPr>
      <w:r>
        <w:rPr>
          <w:rFonts w:ascii="Times New Roman" w:cs="Times New Roman" w:eastAsia="Times New Roman" w:hAnsi="Times New Roman"/>
          <w:sz w:val="20"/>
          <w:szCs w:val="20"/>
        </w:rPr>
        <w:t xml:space="preserve">importatca(files=['2002-02-09_2302.C1025'], vis='ngc253.ms')</w:t>
      </w:r>
    </w:p>
    <w:p>
      <w:pPr>
        <w:spacing w:after="60"/>
      </w:pPr>
      <w:r>
        <w:rPr>
          <w:b/>
          <w:bCs/>
        </w:rPr>
        <w:t xml:space="preserve">Passo 2 — Calibrazione di bandpass.</w:t>
      </w:r>
    </w:p>
    <w:p>
      <w:pPr>
        <w:spacing w:after="60"/>
      </w:pPr>
      <w:r>
        <w:t xml:space="preserve">Usare il calibratore di flusso primario 1934-638 (scan 1-2) per misurare e correggere la forma della banda passante — il profilo liscio a campana visibile nei dati grezzi (Sezione 7). Questo rimuove la risposta in frequenza strumentale da tutti i dati successivi.</w:t>
      </w:r>
    </w:p>
    <w:p>
      <w:pPr>
        <w:spacing w:after="60"/>
      </w:pPr>
      <w:r>
        <w:rPr>
          <w:b/>
          <w:bCs/>
        </w:rPr>
        <w:t xml:space="preserve">Passo 3 — Calibrazione di guadagno e fase.</w:t>
      </w:r>
    </w:p>
    <w:p>
      <w:pPr>
        <w:spacing w:after="60"/>
      </w:pPr>
      <w:r>
        <w:t xml:space="preserve">Usare il calibratore secondario/di fase 0023-263 (scan 3) per risolvere le correzioni di guadagno e fase variabili nel tempo per ciascuna antenna. Queste soluzioni vengono poi applicate (interpolate) allo scan target NGC 253.</w:t>
      </w:r>
    </w:p>
    <w:p>
      <w:pPr>
        <w:spacing w:after="60"/>
      </w:pPr>
      <w:r>
        <w:rPr>
          <w:b/>
          <w:bCs/>
        </w:rPr>
        <w:t xml:space="preserve">Passo 4 — Applicare la calibrazione ed estrarre lo spettro.</w:t>
      </w:r>
    </w:p>
    <w:p>
      <w:pPr>
        <w:spacing w:after="60"/>
      </w:pPr>
      <w:r>
        <w:t xml:space="preserve">Applicare le soluzioni di bandpass e guadagno/fase alle visibilità di NGC 253. Quindi fare l’imaging dei dati calibrati (tclean) oppure estrarre uno spettro direttamente dalle visibilità calibrate usando uvcontsub (sottrazione del continuo) seguito da specflux o una mappa di momento-0. L’output è uno spettro HI calibrato o un cubo dati pronto per l’importazione in FRO.</w:t>
      </w:r>
    </w:p>
    <w:p>
      <w:pPr>
        <w:spacing w:after="60"/>
      </w:pPr>
      <w:r>
        <w:rPr>
          <w:b/>
          <w:bCs/>
        </w:rPr>
        <w:t xml:space="preserve">Passo 5 — Importare in FRO.</w:t>
      </w:r>
    </w:p>
    <w:p>
      <w:pPr>
        <w:spacing w:after="120"/>
      </w:pPr>
      <w:r>
        <w:t xml:space="preserve">Lo spettro o cubo calibrato prodotto da CASA viene letto da atca_to_fro.py e scritto nel formato FRO HDF5 v17. A questo punto i dati sono spettri calibrati basati su visibilità, non visibilità interferometriche grezze — coerente con la decisione Option B.</w:t>
      </w:r>
    </w:p>
    <w:p>
      <w:pPr>
        <w:pStyle w:val="Heading2"/>
        <w:spacing w:after="100" w:before="200"/>
      </w:pPr>
      <w:r>
        <w:t xml:space="preserve">8.3 Perché CASA e non MIRIAD</w:t>
      </w:r>
    </w:p>
    <w:p>
      <w:pPr>
        <w:spacing w:after="120"/>
      </w:pPr>
      <w:r>
        <w:t xml:space="preserve">MIRIAD è il pacchetto di riduzione nativo ATNF per i dati ATCA e supporta direttamente il formato RPFITS. Tuttavia CASA è stato scelto per FRO per tre motivi: (1) la sua moderna interfaccia di scripting Python (casatools/casatasks) si integra naturalmente con la pipeline Python FRO; (2) è lo strumento primario per ALMA e VLA, quindi le competenze acquisite qui sono riusabili per qualsiasi futura fonte interferometrica che il progetto potrà incontrare; (3) l’installazione pip-wheel è semplice su Ubuntu senza richiedere toolchain Fortran legacy. MIRIAD rimane un’alternativa valida se l’installazione di CASA dovesse risultare problematica.</w:t>
      </w:r>
    </w:p>
    <w:p>
      <w:pPr>
        <w:pStyle w:val="Heading1"/>
        <w:spacing w:after="150" w:before="300"/>
      </w:pPr>
      <w:r>
        <w:t xml:space="preserve">9. Riferimenti</w:t>
      </w:r>
    </w:p>
    <w:p>
      <w:pPr>
        <w:pStyle w:val="ListParagraph"/>
        <w:numPr>
          <w:ilvl w:val="0"/>
          <w:numId w:val="1"/>
        </w:numPr>
        <w:spacing w:after="60"/>
      </w:pPr>
      <w:r>
        <w:t xml:space="preserve">ATNF / ATCA: https://www.narrabri.atnf.csiro.au/</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0"/>
                    <a:stretch>
                      <a:fillRect/>
                    </a:stretch>
                  </pic:blipFill>
                  <pic:spPr>
                    <a:xfrm>
                      <a:off x="0" y="0"/>
                      <a:ext cx="1080000" cy="1080000"/>
                    </a:xfrm>
                    <a:prstGeom prst="rect">
                      <a:avLst/>
                    </a:prstGeom>
                  </pic:spPr>
                </pic:pic>
              </a:graphicData>
            </a:graphic>
          </wp:inline>
        </w:drawing>
      </w:r>
    </w:p>
    <w:p>
      <w:pPr>
        <w:pStyle w:val="ListParagraph"/>
        <w:numPr>
          <w:ilvl w:val="0"/>
          <w:numId w:val="1"/>
        </w:numPr>
        <w:spacing w:after="60"/>
      </w:pPr>
      <w:r>
        <w:t xml:space="preserve">Pacchetto RPFITS (conda-forge): https://anaconda.org/conda-forge/rpfits</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1"/>
                    <a:stretch>
                      <a:fillRect/>
                    </a:stretch>
                  </pic:blipFill>
                  <pic:spPr>
                    <a:xfrm>
                      <a:off x="0" y="0"/>
                      <a:ext cx="1080000" cy="1080000"/>
                    </a:xfrm>
                    <a:prstGeom prst="rect">
                      <a:avLst/>
                    </a:prstGeom>
                  </pic:spPr>
                </pic:pic>
              </a:graphicData>
            </a:graphic>
          </wp:inline>
        </w:drawing>
      </w:r>
    </w:p>
    <w:p>
      <w:pPr>
        <w:pStyle w:val="ListParagraph"/>
        <w:numPr>
          <w:ilvl w:val="0"/>
          <w:numId w:val="1"/>
        </w:numPr>
        <w:spacing w:after="60"/>
      </w:pPr>
      <w:r>
        <w:t xml:space="preserve">OPAL (sistema proposte): https://opal.atnf.csiro.au/</w:t>
      </w:r>
    </w:p>
    <w:p>
      <w:pPr>
        <w:pStyle w:val="ListParagraph"/>
        <w:numPr>
          <w:ilvl w:val="0"/>
          <w:numId w:val="1"/>
        </w:numPr>
        <w:spacing w:after="60"/>
      </w:pPr>
      <w:r>
        <w:t xml:space="preserve">ATOA (archivio dati): sistema collegato a OPAL</w:t>
      </w:r>
    </w:p>
    <w:p>
      <w:pPr>
        <w:pStyle w:val="ListParagraph"/>
        <w:numPr>
          <w:ilvl w:val="0"/>
          <w:numId w:val="1"/>
        </w:numPr>
        <w:spacing w:after="60"/>
      </w:pPr>
      <w:r>
        <w:t xml:space="preserve">CASA: https://casa.nrao.edu/</w:t>
      </w:r>
    </w:p>
    <w:p>
      <w:pPr>
        <w:pStyle w:val="ListParagraph"/>
        <w:numPr>
          <w:ilvl w:val="0"/>
          <w:numId w:val="1"/>
        </w:numPr>
        <w:spacing w:after="60"/>
      </w:pPr>
      <w:r>
        <w:t xml:space="preserve">MIRIAD (ATNF): https://www.atnf.csiro.au/computing/software/miriad/</w:t>
      </w:r>
    </w:p>
    <w:p>
      <w:pPr>
        <w:jc w:val="center"/>
      </w:pPr>
      <w:r>
        <w:rPr/>
        <w:drawing>
          <wp:inline xmlns:wp="http://schemas.openxmlformats.org/drawingml/2006/wordprocessingDrawing">
            <wp:extent cx="1080000" cy="1080000"/>
            <wp:effectExtent l="0" t="0" r="0" b="0"/>
            <wp:docPr id="1" name="qr"/>
            <a:graphic xmlns:a="http://schemas.openxmlformats.org/drawingml/2006/main">
              <a:graphicData uri="http://schemas.openxmlformats.org/drawingml/2006/picture">
                <pic:pic xmlns:pic="http://schemas.openxmlformats.org/drawingml/2006/picture">
                  <pic:nvPicPr>
                    <pic:cNvPr id="0" name="qr"/>
                    <pic:cNvPicPr/>
                  </pic:nvPicPr>
                  <pic:blipFill>
                    <a:blip xmlns:r="http://schemas.openxmlformats.org/officeDocument/2006/relationships" r:embed="rIdQR204"/>
                    <a:stretch>
                      <a:fillRect/>
                    </a:stretch>
                  </pic:blipFill>
                  <pic:spPr>
                    <a:xfrm>
                      <a:off x="0" y="0"/>
                      <a:ext cx="1080000" cy="1080000"/>
                    </a:xfrm>
                    <a:prstGeom prst="rect">
                      <a:avLst/>
                    </a:prstGeom>
                  </pic:spPr>
                </pic:pic>
              </a:graphicData>
            </a:graphic>
          </wp:inline>
        </w:drawing>
      </w:r>
    </w:p>
    <w:sectPr>
      <w:footerReference w:type="default" r:id="rIdFooter1"/>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Footer1" Type="http://schemas.openxmlformats.org/officeDocument/2006/relationships/footer" Target="footer1.xml"/><Relationship Id="rIdQR200" Type="http://schemas.openxmlformats.org/officeDocument/2006/relationships/image" Target="media/qr_atnf.png"/><Relationship Id="rIdQR201" Type="http://schemas.openxmlformats.org/officeDocument/2006/relationships/image" Target="media/qr_rpfits.png"/><Relationship Id="rIdQR202" Type="http://schemas.openxmlformats.org/officeDocument/2006/relationships/image" Target="media/qr_opal.png"/><Relationship Id="rIdQR203" Type="http://schemas.openxmlformats.org/officeDocument/2006/relationships/image" Target="media/qr_casa.png"/><Relationship Id="rIdQR204" Type="http://schemas.openxmlformats.org/officeDocument/2006/relationships/image" Target="media/qr_miriad.png"/><Relationship Id="rIdQR205" Type="http://schemas.openxmlformats.org/officeDocument/2006/relationships/image" Target="media/qr_miniconda.png"/><Relationship Id="rIdQR206" Type="http://schemas.openxmlformats.org/officeDocument/2006/relationships/image" Target="media/qr_casa_tarball.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2026-07-25T15:22:25.828Z</dcterms:created>
  <dcterms:modified xsi:type="dcterms:W3CDTF">2026-07-25T15:22:25.829Z</dcterms:modified>
</cp:coreProperties>
</file>

<file path=docProps/custom.xml><?xml version="1.0" encoding="utf-8"?>
<Properties xmlns="http://schemas.openxmlformats.org/officeDocument/2006/custom-properties" xmlns:vt="http://schemas.openxmlformats.org/officeDocument/2006/docPropsVTypes"/>
</file>