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4="http://schemas.microsoft.com/office/word/2010/wordml" xmlns:w15="http://schemas.microsoft.com/office/word/2012/wordml" xmlns:a="http://schemas.openxmlformats.org/drawingml/2006/main" mc:Ignorable="w14 w15">
  <w:body>
    <w:p>
      <w:pPr>
        <w:pStyle w:val="Title"/>
        <w:jc w:val="center"/>
      </w:pPr>
      <w:r>
        <w:t>Effelsberg / MBFITS Data Structure</w:t>
      </w:r>
    </w:p>
    <w:p>
      <w:pPr>
        <w:jc w:val="center"/>
      </w:pPr>
      <w:r>
        <w:rPr>
          <w:i/>
          <w:iCs/>
        </w:rPr>
        <w:t>FRO / HALO Project — Technical Reference</w:t>
      </w:r>
    </w:p>
    <w:p>
      <w:pPr>
        <w:jc w:val="center"/>
      </w:pPr>
      <w:r>
        <w:rPr>
          <w:i/>
          <w:iCs/>
        </w:rPr>
        <w:t>Document version: 1.1 — 11 August 2026</w:t>
      </w:r>
    </w:p>
    <w:p>
      <w:pPr>
        <w:pStyle w:val="Heading1"/>
      </w:pPr>
      <w:r>
        <w:t>1. Overview</w:t>
      </w:r>
    </w:p>
    <w:p>
      <w:r>
        <w:t xml:space="preserve">The Effelsberg 100-m radio telescope is operated by the Max-Planck-Institut für Radioastronomie (MPIfR) in Bonn, Germany. It is a single-dish alt-azimuth telescope, second in size only to FAST (500 m), operational since 1972 and still among the largest and most sensitive radio telescopes in the world. It operates across a wide frequency range (300 MHz – 95 GHz) with several interchangeable receivers.</w:t>
      </w:r>
    </w:p>
    <w:p>
      <w:r>
        <w:t xml:space="preserve">The parser effelsberg_to_fro.py reads MBFITS-format observations from the Effelsberg 100-m radio telescope and converts them into FRO HDF5 v17 format. This is the same MBFITS data format already handled by the APEX parser (mbfits_to_fro.py), with which it shares the frequency-axis reading logic; Effelsberg-specific differences are described in Section 4. The reference dataset for validation is scan 6723 (project 02-26) on the dwarf galaxy Holmberg I (UGC 5139), taken with the P217mm-EDD receiver/backend (21 cm band).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5760"/>
      </w:tblGrid>
      <w:tr>
        <w:tc>
          <w:tcPr>
            <w:tcW w:w="3240" w:type="dxa"/>
            <w:shd w:val="clear" w:color="auto" w:fill="D9E1F2"/>
          </w:tcPr>
          <w:p>
            <w:r>
              <w:rPr>
                <w:b/>
                <w:bCs/>
              </w:rPr>
              <w:t>Field</w:t>
            </w:r>
          </w:p>
        </w:tc>
        <w:tc>
          <w:tcPr>
            <w:tcW w:w="5760" w:type="dxa"/>
            <w:shd w:val="clear" w:color="auto" w:fill="D9E1F2"/>
          </w:tcPr>
          <w:p>
            <w:r>
              <w:rPr>
                <w:b/>
                <w:bCs/>
              </w:rPr>
              <w:t>Value</w:t>
            </w:r>
          </w:p>
        </w:tc>
      </w:tr>
      <w:tr>
        <w:tc>
          <w:tcPr>
            <w:tcW w:w="3240" w:type="dxa"/>
            <w:shd w:val="clear" w:color="auto" w:fill="auto"/>
          </w:tcPr>
          <w:p>
            <w:r>
              <w:rPr>
                <w:b/>
                <w:bCs/>
              </w:rPr>
              <w:t>Telescope</w:t>
            </w:r>
          </w:p>
        </w:tc>
        <w:tc>
          <w:tcPr>
            <w:tcW w:w="5760" w:type="dxa"/>
            <w:shd w:val="clear" w:color="auto" w:fill="auto"/>
          </w:tcPr>
          <w:p>
            <w:r>
              <w:t>Effelsberg 100m Radio Telescope</w:t>
            </w:r>
          </w:p>
        </w:tc>
      </w:tr>
      <w:tr>
        <w:tc>
          <w:tcPr>
            <w:tcW w:w="3240" w:type="dxa"/>
            <w:shd w:val="clear" w:color="auto" w:fill="auto"/>
          </w:tcPr>
          <w:p>
            <w:r>
              <w:rPr>
                <w:b/>
                <w:bCs/>
              </w:rPr>
              <w:t>Operator</w:t>
            </w:r>
          </w:p>
        </w:tc>
        <w:tc>
          <w:tcPr>
            <w:tcW w:w="5760" w:type="dxa"/>
            <w:shd w:val="clear" w:color="auto" w:fill="auto"/>
          </w:tcPr>
          <w:p>
            <w:r>
              <w:t>MPIfR (Max-Planck-Institut für Radioastronomie), Bonn</w:t>
            </w:r>
          </w:p>
        </w:tc>
      </w:tr>
      <w:tr>
        <w:tc>
          <w:tcPr>
            <w:tcW w:w="3240" w:type="dxa"/>
            <w:shd w:val="clear" w:color="auto" w:fill="auto"/>
          </w:tcPr>
          <w:p>
            <w:r>
              <w:rPr>
                <w:b/>
                <w:bCs/>
              </w:rPr>
              <w:t>Location</w:t>
            </w:r>
          </w:p>
        </w:tc>
        <w:tc>
          <w:tcPr>
            <w:tcW w:w="5760" w:type="dxa"/>
            <w:shd w:val="clear" w:color="auto" w:fill="auto"/>
          </w:tcPr>
          <w:p>
            <w:r>
              <w:t>Effelsberg, Germany — altitude 369 m a.s.l.</w:t>
            </w:r>
          </w:p>
        </w:tc>
      </w:tr>
      <w:tr>
        <w:tc>
          <w:tcPr>
            <w:tcW w:w="3240" w:type="dxa"/>
            <w:shd w:val="clear" w:color="auto" w:fill="auto"/>
          </w:tcPr>
          <w:p>
            <w:r>
              <w:rPr>
                <w:b/>
                <w:bCs/>
              </w:rPr>
              <w:t>Coordinates</w:t>
            </w:r>
          </w:p>
        </w:tc>
        <w:tc>
          <w:tcPr>
            <w:tcW w:w="5760" w:type="dxa"/>
            <w:shd w:val="clear" w:color="auto" w:fill="auto"/>
          </w:tcPr>
          <w:p>
            <w:r>
              <w:t>lat 50.5248°N, lon 6.8836°E</w:t>
            </w:r>
          </w:p>
        </w:tc>
      </w:tr>
      <w:tr>
        <w:tc>
          <w:tcPr>
            <w:tcW w:w="3240" w:type="dxa"/>
            <w:shd w:val="clear" w:color="auto" w:fill="auto"/>
          </w:tcPr>
          <w:p>
            <w:r>
              <w:rPr>
                <w:b/>
                <w:bCs/>
              </w:rPr>
              <w:t>Data format</w:t>
            </w:r>
          </w:p>
        </w:tc>
        <w:tc>
          <w:tcPr>
            <w:tcW w:w="5760" w:type="dxa"/>
            <w:shd w:val="clear" w:color="auto" w:fill="auto"/>
          </w:tcPr>
          <w:p>
            <w:r>
              <w:t>MBFITS v1.67</w:t>
            </w:r>
          </w:p>
        </w:tc>
      </w:tr>
      <w:tr>
        <w:tc>
          <w:tcPr>
            <w:tcW w:w="3240" w:type="dxa"/>
            <w:shd w:val="clear" w:color="auto" w:fill="auto"/>
          </w:tcPr>
          <w:p>
            <w:r>
              <w:rPr>
                <w:b/>
                <w:bCs/>
              </w:rPr>
              <w:t>Frontend/Backend</w:t>
            </w:r>
          </w:p>
        </w:tc>
        <w:tc>
          <w:tcPr>
            <w:tcW w:w="5760" w:type="dxa"/>
            <w:shd w:val="clear" w:color="auto" w:fill="auto"/>
          </w:tcPr>
          <w:p>
            <w:r>
              <w:t>P217mm-EDD (21 cm receiver + EDD digital backend)</w:t>
            </w:r>
          </w:p>
        </w:tc>
      </w:tr>
      <w:tr>
        <w:tc>
          <w:tcPr>
            <w:tcW w:w="3240" w:type="dxa"/>
            <w:shd w:val="clear" w:color="auto" w:fill="auto"/>
          </w:tcPr>
          <w:p>
            <w:r>
              <w:rPr>
                <w:b/>
                <w:bCs/>
              </w:rPr>
              <w:t>Scan ID (this file)</w:t>
            </w:r>
          </w:p>
        </w:tc>
        <w:tc>
          <w:tcPr>
            <w:tcW w:w="5760" w:type="dxa"/>
            <w:shd w:val="clear" w:color="auto" w:fill="auto"/>
          </w:tcPr>
          <w:p>
            <w:r>
              <w:t>6723 — project 02-26</w:t>
            </w:r>
          </w:p>
        </w:tc>
      </w:tr>
      <w:tr>
        <w:tc>
          <w:tcPr>
            <w:tcW w:w="3240" w:type="dxa"/>
            <w:shd w:val="clear" w:color="auto" w:fill="auto"/>
          </w:tcPr>
          <w:p>
            <w:r>
              <w:rPr>
                <w:b/>
                <w:bCs/>
              </w:rPr>
              <w:t>Observer/Operator</w:t>
            </w:r>
          </w:p>
        </w:tc>
        <w:tc>
          <w:tcPr>
            <w:tcW w:w="5760" w:type="dxa"/>
            <w:shd w:val="clear" w:color="auto" w:fill="auto"/>
          </w:tcPr>
          <w:p>
            <w:r>
              <w:t>SAINTONGE/WS</w:t>
            </w:r>
          </w:p>
        </w:tc>
      </w:tr>
      <w:tr>
        <w:tc>
          <w:tcPr>
            <w:tcW w:w="3240" w:type="dxa"/>
            <w:shd w:val="clear" w:color="auto" w:fill="auto"/>
          </w:tcPr>
          <w:p>
            <w:r>
              <w:rPr>
                <w:b/>
                <w:bCs/>
              </w:rPr>
              <w:t>Observation date</w:t>
            </w:r>
          </w:p>
        </w:tc>
        <w:tc>
          <w:tcPr>
            <w:tcW w:w="5760" w:type="dxa"/>
            <w:shd w:val="clear" w:color="auto" w:fill="auto"/>
          </w:tcPr>
          <w:p>
            <w:r>
              <w:t>23-06-2026</w:t>
            </w:r>
          </w:p>
        </w:tc>
      </w:tr>
      <w:tr>
        <w:tc>
          <w:tcPr>
            <w:tcW w:w="3240" w:type="dxa"/>
            <w:shd w:val="clear" w:color="auto" w:fill="auto"/>
          </w:tcPr>
          <w:p>
            <w:r>
              <w:rPr>
                <w:b/>
                <w:bCs/>
              </w:rPr>
              <w:t>Target</w:t>
            </w:r>
          </w:p>
        </w:tc>
        <w:tc>
          <w:tcPr>
            <w:tcW w:w="5760" w:type="dxa"/>
            <w:shd w:val="clear" w:color="auto" w:fill="auto"/>
          </w:tcPr>
          <w:p>
            <w:r>
              <w:t>Holmberg I (UGC 5139)</w:t>
            </w:r>
          </w:p>
        </w:tc>
      </w:tr>
      <w:tr>
        <w:tc>
          <w:tcPr>
            <w:tcW w:w="3240" w:type="dxa"/>
            <w:shd w:val="clear" w:color="auto" w:fill="auto"/>
          </w:tcPr>
          <w:p>
            <w:r>
              <w:rPr>
                <w:b/>
                <w:bCs/>
              </w:rPr>
              <w:t>Nominal centre frequency</w:t>
            </w:r>
          </w:p>
        </w:tc>
        <w:tc>
          <w:tcPr>
            <w:tcW w:w="5760" w:type="dxa"/>
            <w:shd w:val="clear" w:color="auto" w:fill="auto"/>
          </w:tcPr>
          <w:p>
            <w:r>
              <w:t>1400 MHz (nominal RESTFREQ; HI line: 1420.405752 MHz)</w:t>
            </w:r>
          </w:p>
        </w:tc>
      </w:tr>
      <w:tr>
        <w:tc>
          <w:tcPr>
            <w:tcW w:w="3240" w:type="dxa"/>
            <w:shd w:val="clear" w:color="auto" w:fill="auto"/>
          </w:tcPr>
          <w:p>
            <w:r>
              <w:rPr>
                <w:b/>
                <w:bCs/>
              </w:rPr>
              <w:t>Bandwidth</w:t>
            </w:r>
          </w:p>
        </w:tc>
        <w:tc>
          <w:tcPr>
            <w:tcW w:w="5760" w:type="dxa"/>
            <w:shd w:val="clear" w:color="auto" w:fill="auto"/>
          </w:tcPr>
          <w:p>
            <w:r>
              <w:t>400 MHz (1200–1600 MHz)</w:t>
            </w:r>
          </w:p>
        </w:tc>
      </w:tr>
      <w:tr>
        <w:tc>
          <w:tcPr>
            <w:tcW w:w="3240" w:type="dxa"/>
            <w:shd w:val="clear" w:color="auto" w:fill="auto"/>
          </w:tcPr>
          <w:p>
            <w:r>
              <w:rPr>
                <w:b/>
                <w:bCs/>
              </w:rPr>
              <w:t>Channels per spectrum</w:t>
            </w:r>
          </w:p>
        </w:tc>
        <w:tc>
          <w:tcPr>
            <w:tcW w:w="5760" w:type="dxa"/>
            <w:shd w:val="clear" w:color="auto" w:fill="auto"/>
          </w:tcPr>
          <w:p>
            <w:r>
              <w:t>262144</w:t>
            </w:r>
          </w:p>
        </w:tc>
      </w:tr>
      <w:tr>
        <w:tc>
          <w:tcPr>
            <w:tcW w:w="3240" w:type="dxa"/>
            <w:shd w:val="clear" w:color="auto" w:fill="auto"/>
          </w:tcPr>
          <w:p>
            <w:r>
              <w:rPr>
                <w:b/>
                <w:bCs/>
              </w:rPr>
              <w:t>Frequency resolution</w:t>
            </w:r>
          </w:p>
        </w:tc>
        <w:tc>
          <w:tcPr>
            <w:tcW w:w="5760" w:type="dxa"/>
            <w:shd w:val="clear" w:color="auto" w:fill="auto"/>
          </w:tcPr>
          <w:p>
            <w:r>
              <w:t>1525.879 Hz/channel</w:t>
            </w:r>
          </w:p>
        </w:tc>
      </w:tr>
      <w:tr>
        <w:tc>
          <w:tcPr>
            <w:tcW w:w="3240" w:type="dxa"/>
            <w:shd w:val="clear" w:color="auto" w:fill="auto"/>
          </w:tcPr>
          <w:p>
            <w:r>
              <w:rPr>
                <w:b/>
                <w:bCs/>
              </w:rPr>
              <w:t>Polarisations (NUSEFEED)</w:t>
            </w:r>
          </w:p>
        </w:tc>
        <w:tc>
          <w:tcPr>
            <w:tcW w:w="5760" w:type="dxa"/>
            <w:shd w:val="clear" w:color="auto" w:fill="auto"/>
          </w:tcPr>
          <w:p>
            <w:r>
              <w:t>2 (pol1/pol2)</w:t>
            </w:r>
          </w:p>
        </w:tc>
      </w:tr>
      <w:tr>
        <w:tc>
          <w:tcPr>
            <w:tcW w:w="3240" w:type="dxa"/>
            <w:shd w:val="clear" w:color="auto" w:fill="auto"/>
          </w:tcPr>
          <w:p>
            <w:r>
              <w:rPr>
                <w:b/>
                <w:bCs/>
              </w:rPr>
              <w:t>Number of subscans</w:t>
            </w:r>
          </w:p>
        </w:tc>
        <w:tc>
          <w:tcPr>
            <w:tcW w:w="5760" w:type="dxa"/>
            <w:shd w:val="clear" w:color="auto" w:fill="auto"/>
          </w:tcPr>
          <w:p>
            <w:r>
              <w:t>4 (OFF-ON-OFF-ON pattern)</w:t>
            </w:r>
          </w:p>
        </w:tc>
      </w:tr>
      <w:tr>
        <w:tc>
          <w:tcPr>
            <w:tcW w:w="3240" w:type="dxa"/>
            <w:shd w:val="clear" w:color="auto" w:fill="auto"/>
          </w:tcPr>
          <w:p>
            <w:r>
              <w:rPr>
                <w:b/>
                <w:bCs/>
              </w:rPr>
              <w:t>Total integrations</w:t>
            </w:r>
          </w:p>
        </w:tc>
        <w:tc>
          <w:tcPr>
            <w:tcW w:w="5760" w:type="dxa"/>
            <w:shd w:val="clear" w:color="auto" w:fill="auto"/>
          </w:tcPr>
          <w:p>
            <w:r>
              <w:t>3758 (→ 7516 spectra in the .fro file)</w:t>
            </w:r>
          </w:p>
        </w:tc>
      </w:tr>
    </w:tbl>
    <w:p/>
    <w:p>
      <w:pPr>
        <w:pStyle w:val="Heading1"/>
      </w:pPr>
      <w:r>
        <w:t>2. The MBFITS Format</w:t>
      </w:r>
    </w:p>
    <w:p>
      <w:r>
        <w:t xml:space="preserve">MBFITS (Measurement Baseline FITS) is the standard data format for single-dish observations at IRAM and MPIfR telescopes, including Effelsberg. Unlike standard FITS, an MBFITS observation is structured as a directory containing multiple FITS files with specific roles, not a single monolithic file.</w:t>
      </w:r>
    </w:p>
    <w:p>
      <w:r>
        <w:t xml:space="preserve">Structure of an Effelsberg MBFITS directory:</w:t>
      </w:r>
    </w:p>
    <w:p>
      <w:pPr>
        <w:pStyle w:val="ListParagraph"/>
        <w:numPr>
          <w:ilvl w:val="0"/>
          <w:numId w:val="1"/>
        </w:numPr>
      </w:pPr>
      <w:r>
        <w:t xml:space="preserve">GROUPING.fits — primary observation header (OBJECT, TELESCOP, SCANTYPE, SCANMODE, PROJID). The top-level summary .fits file is a relative symlink to this file.</w:t>
      </w:r>
    </w:p>
    <w:p>
      <w:pPr>
        <w:pStyle w:val="ListParagraph"/>
        <w:numPr>
          <w:ilvl w:val="0"/>
          <w:numId w:val="1"/>
        </w:numPr>
      </w:pPr>
      <w:r>
        <w:t xml:space="preserve">SCAN.fits — FEBE column with the name of the frontend-backend combination.</w:t>
      </w:r>
    </w:p>
    <w:p>
      <w:pPr>
        <w:pStyle w:val="ListParagraph"/>
        <w:numPr>
          <w:ilvl w:val="0"/>
          <w:numId w:val="1"/>
        </w:numPr>
      </w:pPr>
      <w:r>
        <w:t xml:space="preserve">FEBE-FEBEPAR.fits — frontend/backend parameters: number of feeds (NUSEFEED), polarisation type (POLTY), backend sections (BESECTS/USEFEED).</w:t>
      </w:r>
    </w:p>
    <w:p>
      <w:pPr>
        <w:pStyle w:val="ListParagraph"/>
        <w:numPr>
          <w:ilvl w:val="0"/>
          <w:numId w:val="1"/>
        </w:numPr>
      </w:pPr>
      <w:r>
        <w:t xml:space="preserve">Numbered subscan subfolder/ — contains FEBE-ARRAYDATA-N.fits (spectral data) and FEBE-DATAPAR.fits (per-integration pointing and state).</w:t>
      </w:r>
    </w:p>
    <w:p>
      <w:r>
        <w:t xml:space="preserve">The frequency axis is derived from the header keywords: 1CRPX2F (reference channel), 1CRVL2F (reference frequency in MHz), 11CD2F (frequency step in MHz/channel), CHANNELS (number of channels).</w:t>
      </w:r>
    </w:p>
    <w:p>
      <w:pPr>
        <w:pStyle w:val="Heading1"/>
      </w:pPr>
      <w:r>
        <w:t>3. Data Provenance</w:t>
      </w:r>
    </w:p>
    <w:p>
      <w:r>
        <w:t xml:space="preserve">Unlike APEX/COHRS/EBHIS, this is not a downloadable public archive: it is a proprietary observation (Effelsberg project 02-26), provided directly by Dr. Uwe Bach (MPIfR) for parser development and validation. The data are archived locally in ~/FRO/Parsers/Effelsberg/Surveys/Holmberg1/Holmberg1 Raw/ (archive Holmberg1_Ef_data.tag.gz, ~3.4 GB uncompressed, plus the images Holmberg1.png/Holmberg1_zoom.png and the session's observation.log). The extracted MBFITS tree lives in Surveys/Holmberg1/Holmberg1_MBFITS_Profiles/.</w:t>
      </w:r>
    </w:p>
    <w:p>
      <w:pPr>
        <w:pStyle w:val="Heading1"/>
      </w:pPr>
      <w:r>
        <w:t>4. MBFITS Effelsberg vs. APEX Differences</w:t>
      </w:r>
    </w:p>
    <w:p>
      <w:r>
        <w:t xml:space="preserve">The APEX parser (mbfits_to_fro.py) was developed on the APEX-48698 dataset (NUSEFEED=1, a single channel per integration). The Effelsberg dataset presents two real structural differences:</w:t>
      </w:r>
    </w:p>
    <w:p>
      <w:r>
        <w:rPr>
          <w:b/>
          <w:bCs/>
        </w:rPr>
        <w:t>NUSEFEED=2 (polarisation channels).</w:t>
      </w:r>
    </w:p>
    <w:p>
      <w:r>
        <w:t xml:space="preserve">In this scan every ARRAYDATA row holds 2 channels (data shape: integrations × 2 × channels), not a separate spatial beam. FEBEPAR shows USEFEED=[1,1] and BESECTS=[1,2], i.e. the two backend sections applied to the same physical feed. POLTY in the source FEBEPAR is undefined ("N"), so the parser labels the two channels generically pol1/pol2 rather than H/V or L/R. Each integration therefore produces 2 spectra in the .fro file.</w:t>
      </w:r>
    </w:p>
    <w:p>
      <w:r>
        <w:rPr>
          <w:b/>
          <w:bCs/>
        </w:rPr>
        <w:t>PHASE column in DATAPAR.</w:t>
      </w:r>
    </w:p>
    <w:p>
      <w:r>
        <w:t xml:space="preserve">DATAPAR contains a PHASE column (values 1/2) not used by the APEX parser. In the Holmberg1 data this alternates row by row at constant RA/DEC within a subscan (WOBUSED=F), so it is not a sky-position switch but an internal signal/reference switching phase of the backend. The parser writes the raw PHASE value into each spectrum's Quality/flag_cal field; separating signal from reference is left to the analysis stage.</w:t>
      </w:r>
    </w:p>
    <w:p>
      <w:pPr>
        <w:pStyle w:val="Heading1"/>
      </w:pPr>
      <w:r>
        <w:t>5. Reference Dataset: Holmberg I (scan 6723)</w:t>
      </w:r>
    </w:p>
    <w:p>
      <w:r>
        <w:rPr>
          <w:b/>
          <w:bCs/>
        </w:rPr>
        <w:t>Why this target:</w:t>
      </w:r>
    </w:p>
    <w:p>
      <w:r>
        <w:t xml:space="preserve">Holmberg I (UGC 5139) is a dwarf irregular galaxy in the M81 group, known in the literature for its neutral hydrogen content (21 cm HI line). Scan 6723 (project 02-26, observer/operator "SAINTONGE/WS" as recorded in the observation log) is an ON/OFF pointing on the source.</w:t>
      </w:r>
    </w:p>
    <w:p>
      <w:r>
        <w:rPr>
          <w:b/>
          <w:bCs/>
        </w:rPr>
        <w:t>What was verified:</w:t>
      </w:r>
    </w:p>
    <w:p>
      <w:r>
        <w:t xml:space="preserve">The parser was run end-to-end on the real raw data. The 4 subscans contain 980, 898, 984 and 896 integrations respectively (3758 total), each written as 2 spectra (pol1/pol2) for a total of 7516 spectra in the output .fro file. Comparing LONGOFF/LATOFF across the 4 subscans confirms an OFF-ON-OFF-ON position-switching pattern (subscans 1 and 3 with ~3.09° offset from the nominal position = OFF/reference; subscans 2 and 4 with ~0° offset = ON/source), consistent with the flag_track written by the parser. No spectral analysis (baselining, line search) has been performed yet: this document describes raw-data import validation only.</w:t>
      </w:r>
    </w:p>
    <w:p>
      <w:r>
        <w:t xml:space="preserve">Technical characteristics: 262144 channels per spectrum, 400 MHz bandwidth, 1525.879 Hz/channel frequency resolution, frequency range 1200.002–1600.0 MHz. The header RESTFREQ is exactly 1.400000 GHz: this is a nominal tuning value, not the precise HI line rest frequency (1420.405752 MHz); LSR velocity conversion should use the true line rest frequency, not RESTFREQ.</w:t>
      </w:r>
    </w:p>
    <w:p>
      <w:pPr>
        <w:pStyle w:val="Heading1"/>
      </w:pPr>
      <w:r>
        <w:t>6. Operating Procedure</w:t>
      </w:r>
    </w:p>
    <w:p>
      <w:r>
        <w:rPr>
          <w:b/>
          <w:bCs/>
        </w:rPr>
        <w:t>Step 1 — Extract the MBFITS archive.</w:t>
      </w:r>
    </w:p>
    <w:p>
      <w:r>
        <w:t xml:space="preserve">Decompress Holmberg1_Ef_data.tag.gz into the Holmberg1_MBFITS_Profiles/ folder (the archive is a standard tar.gz despite the .tag.gz extension):
tar -xzf Holmberg1_Ef_data.tag.gz -C Holmberg1_MBFITS_Profiles/</w:t>
      </w:r>
    </w:p>
    <w:p>
      <w:r>
        <w:rPr>
          <w:b/>
          <w:bCs/>
        </w:rPr>
        <w:t>Step 2 — Run the parser.</w:t>
      </w:r>
    </w:p>
    <w:p>
      <w:r>
        <w:t xml:space="preserve">env -u LD_LIBRARY_PATH python3 ~/FRO/Parsers/Effelsberg/effelsberg_to_fro.py [MBFITS_DIR] [OUTPUT_DIR]
With no arguments it uses the Holmberg1 default paths. One .fro file is written per baseband into Holmberg1_FRO/.</w:t>
      </w:r>
    </w:p>
    <w:p>
      <w:r>
        <w:rPr>
          <w:b/>
          <w:bCs/>
        </w:rPr>
        <w:t>Step 3 — Verify and archive.</w:t>
      </w:r>
    </w:p>
    <w:p>
      <w:r>
        <w:t xml:space="preserve">Check the summary printed by read_fro_summary() (spectrum count, RA/DEC/GLON/GLAT range, non-tracking row count). Run the fro-backup alias to mirror ~/FRO/ into ~/FRO_Backup/.</w:t>
      </w:r>
    </w:p>
    <w:p>
      <w:r>
        <w:rPr>
          <w:b/>
          <w:bCs/>
        </w:rPr>
        <w:t>Step 4 — Generate plots.</w:t>
      </w:r>
    </w:p>
    <w:p>
      <w:r>
        <w:t xml:space="preserve">env -u LD_LIBRARY_PATH python3 ~/FRO/Parsers/Effelsberg/plot_holmberg1.py
Produces two interactive HTML files in Surveys/Holmberg1/Plots/ (fullband + HI zoom with Vsys=141.5 km/s).</w:t>
      </w:r>
    </w:p>
    <w:p>
      <w:pPr>
        <w:pStyle w:val="Heading1"/>
      </w:pPr>
      <w:r>
        <w:t>7. Parser: effelsberg_to_fro.py</w:t>
      </w:r>
    </w:p>
    <w:p>
      <w:r>
        <w:t xml:space="preserve">Location: ~/FRO/Parsers/Effelsberg/. One .fro file per baseband (a single baseband in this scan), all subscans merged into the same file. Observation metadata (OBJECT, TELESCOP, SCANTYPE, SCANMODE, PROJID) is read from the primary header (HDU0) of GROUPING.fits inside the observation directory — not from a hypothetical external file, since in the archive the top-level summary .fits is actually a relative symlink to this same GROUPING.fits.</w:t>
      </w:r>
    </w:p>
    <w:p>
      <w:r>
        <w:t xml:space="preserve">facility='Effelsberg 100m RT' (from TELESCOP), target='HOI' (from OBJECT). polarization='pol1'/'pol2' for the two NUSEFEED channels. flag_cal = raw DATAPAR PHASE value (1.0 or 2.0). flag_track = 1 when the (LONGOFF, LATOFF) distance from the nominal position is below 1.0° (ON, constant ON_OFF_OFFSET_THRESHOLD_DEG in the script), 0 otherwise (OFF). Site coordinates and temperature-calibration notes are consistent with ebhis_to_fro.py in the same folder. Nothing is hardcoded: MBFITS path from argv or default, all frequency/polarisation/pointing parameters read from the FITS headers.</w:t>
      </w:r>
    </w:p>
    <w:p>
      <w:pPr>
        <w:pStyle w:val="Heading1"/>
      </w:pPr>
      <w:r>
        <w:t>8. ezRA Compatibility</w:t>
      </w:r>
    </w:p>
    <w:p>
      <w:r>
        <w:t xml:space="preserve">The internal HDF5 layout of format v17 (/Observatory, /Spectra, /Time, /Pointing) is the same one expected by fro_to_ezra.py, so .fro files produced by this parser convert to ezRA/ezCon.py's text format without changes to the conversion script.</w:t>
      </w:r>
    </w:p>
    <w:p>
      <w:pPr>
        <w:pStyle w:val="Heading1"/>
      </w:pPr>
      <w:r>
        <w:t>9. Visualisation: plot_holmberg1.py</w:t>
      </w:r>
    </w:p>
    <w:p>
      <w:r>
        <w:t xml:space="preserve">The script plot_holmberg1.py (~/FRO/Parsers/Effelsberg/) generates two interactive HTML plots directly from the raw MBFITS data (read from the baseband .fits file, without going through the .fro file). Output files are placed in Surveys/Holmberg1/Plots/ and require plotly-2.27.0.min.js in the same folder (local library, no network connection needed).</w:t>
      </w:r>
    </w:p>
    <w:p>
      <w:r>
        <w:rPr>
          <w:b/>
          <w:bCs/>
        </w:rPr>
        <w:t>Output 1 — Full band:</w:t>
      </w:r>
    </w:p>
    <w:p>
      <w:r>
        <w:t xml:space="preserve">EFFBG_2026-06-23_6723_02-26_P217mm-EDD_bb1_fullband_PHASE_ONOFF.html — Mean spectrum averaged over all integrations, X axis in frequency (MHz, 1200–1600 MHz), Y axis in antenna temperature Ta (K, Tsys≈300K, not calibrated). The two traces correspond to switching phases PHASE=1 and PHASE=2. Rubber-band zoom by dragging, fixed coordinate readout top-left, double-click to reset.</w:t>
      </w:r>
    </w:p>
    <w:p>
      <w:r>
        <w:rPr>
          <w:b/>
          <w:bCs/>
        </w:rPr>
        <w:t>Output 2 — HI line zoom:</w:t>
      </w:r>
    </w:p>
    <w:p>
      <w:r>
        <w:t xml:space="preserve">EFFBG_2026-06-23_6723_02-26_P217mm-EDD_bb1_HI_zoom_PHASE_ONOFF.html — Same plot structure as the fullband, but the X axis is in LSR velocity (km/s) over the range Vsys±600 km/s centred on Vsys=141.5 km/s (Ott et al. 2001). Two vertical reference lines: v=0 km/s (green) and Vsys=141.5 km/s (purple).</w:t>
      </w:r>
    </w:p>
    <w:p>
      <w:pPr>
        <w:pStyle w:val="Heading1"/>
      </w:pPr>
      <w:r>
        <w:t>10. References</w:t>
      </w:r>
    </w:p>
    <w:p>
      <w:r>
        <w:t xml:space="preserve">FRO format specification: fro_format_v17.py (~/FRO/FRO_System/).</w:t>
      </w:r>
    </w:p>
    <w:p>
      <w:r>
        <w:t xml:space="preserve">MBFITS format: same standard described in APEX_MBFITS_Data_Structure_EN_v1.1.docx (~/FRO/Parsers/APEX/), shared between APEX and Effelsberg.</w:t>
      </w:r>
    </w:p>
    <w:p>
      <w:r>
        <w:t xml:space="preserve">MPIfR Effelsberg 100m: https://www.mpifr-bonn.mpg.de/effelsberg</w:t>
      </w:r>
    </w:p>
    <w:p>
      <w: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0"/>
                    <a:stretch>
                      <a:fillRect/>
                    </a:stretch>
                  </pic:blipFill>
                  <pic:spPr>
                    <a:xfrm>
                      <a:off x="0" y="0"/>
                      <a:ext cx="1080000" cy="1080000"/>
                    </a:xfrm>
                    <a:prstGeom prst="rect">
                      <a:avLst/>
                    </a:prstGeom>
                  </pic:spPr>
                </pic:pic>
              </a:graphicData>
            </a:graphic>
          </wp:inline>
        </w:drawing>
      </w:r>
    </w:p>
    <w:p>
      <w:r>
        <w:t xml:space="preserve">MBFITS format specification: https://www.iram.fr/IRAMFR/GILDAS/doc/html/mbfits-html/mbfits.html</w:t>
      </w:r>
    </w:p>
    <w:p>
      <w: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1"/>
                    <a:stretch>
                      <a:fillRect/>
                    </a:stretch>
                  </pic:blipFill>
                  <pic:spPr>
                    <a:xfrm>
                      <a:off x="0" y="0"/>
                      <a:ext cx="1080000" cy="1080000"/>
                    </a:xfrm>
                    <a:prstGeom prst="rect">
                      <a:avLst/>
                    </a:prstGeom>
                  </pic:spPr>
                </pic:pic>
              </a:graphicData>
            </a:graphic>
          </wp:inline>
        </w:drawing>
      </w:r>
    </w:p>
    <w:p>
      <w:r>
        <w:t xml:space="preserve">Note: no specific Holmberg I bibliographic citations were included to avoid reporting unverified references; to be added if Francesco specifies a preferred DOI/paper.</w:t>
      </w:r>
    </w:p>
    <w:sectPr>
      <w:footerReference w:type="default" r:id="rIdFooter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ooter1" Type="http://schemas.openxmlformats.org/officeDocument/2006/relationships/footer" Target="footer1.xml"/><Relationship Id="rIdQR200" Type="http://schemas.openxmlformats.org/officeDocument/2006/relationships/image" Target="media/qr_atnf.png"/><Relationship Id="rIdQR201" Type="http://schemas.openxmlformats.org/officeDocument/2006/relationships/image" Target="media/qr_rpfits.png"/><Relationship Id="rIdQR202" Type="http://schemas.openxmlformats.org/officeDocument/2006/relationships/image" Target="media/qr_opal.png"/><Relationship Id="rIdQR203" Type="http://schemas.openxmlformats.org/officeDocument/2006/relationships/image" Target="media/qr_casa.png"/><Relationship Id="rIdQR204" Type="http://schemas.openxmlformats.org/officeDocument/2006/relationships/image" Target="media/qr_miriad.png"/><Relationship Id="rIdQR205" Type="http://schemas.openxmlformats.org/officeDocument/2006/relationships/image" Target="media/qr_miniconda.png"/><Relationship Id="rIdQR206" Type="http://schemas.openxmlformats.org/officeDocument/2006/relationships/image" Target="media/qr_casa_tarball.png"/><Relationship Id="rIdQR200" Type="http://schemas.openxmlformats.org/officeDocument/2006/relationships/image" Target="media/qr_mpifr.png"/><Relationship Id="rIdQR201" Type="http://schemas.openxmlformats.org/officeDocument/2006/relationships/image" Target="media/qr_mbfit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2026-07-25T15:22:25.828Z</dcterms:created>
  <dcterms:modified xsi:type="dcterms:W3CDTF">2026-07-25T15:22:25.829Z</dcterms:modified>
</cp:coreProperties>
</file>

<file path=docProps/custom.xml><?xml version="1.0" encoding="utf-8"?>
<Properties xmlns="http://schemas.openxmlformats.org/officeDocument/2006/custom-properties" xmlns:vt="http://schemas.openxmlformats.org/officeDocument/2006/docPropsVTypes"/>
</file>