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a="http://schemas.openxmlformats.org/drawingml/2006/main" mc:Ignorable="w14 w15">
  <w:body>
    <w:p>
      <w:pPr>
        <w:pStyle w:val="Title"/>
        <w:jc w:val="center"/>
      </w:pPr>
      <w:r>
        <w:t>Struttura Dati Effelsberg / MBFITS</w:t>
      </w:r>
    </w:p>
    <w:p>
      <w:pPr>
        <w:jc w:val="center"/>
      </w:pPr>
      <w:r>
        <w:rPr>
          <w:i/>
          <w:iCs/>
        </w:rPr>
        <w:t>Progetto FRO / HALO — Riferimento tecnico</w:t>
      </w:r>
    </w:p>
    <w:p>
      <w:pPr>
        <w:jc w:val="center"/>
      </w:pPr>
      <w:r>
        <w:rPr>
          <w:i/>
          <w:iCs/>
        </w:rPr>
        <w:t>Versione documento: 1.1 — 11 agosto 2026</w:t>
      </w:r>
    </w:p>
    <w:p>
      <w:pPr>
        <w:pStyle w:val="Heading1"/>
      </w:pPr>
      <w:r>
        <w:t>1. Panoramica</w:t>
      </w:r>
    </w:p>
    <w:p>
      <w:r>
        <w:t xml:space="preserve">Il radiotelescopio Effelsberg da 100 m è gestito dal Max-Planck-Institut für Radioastronomie (MPIfR) di Bonn, Germania. È un telescopio single-dish a montatura altazimutale, secondo per dimensioni solo a FAST (500 m), operativo dal 1972 e tuttora tra i più grandi e sensibili radiotelescopei del mondo. Opera in un ampio intervallo di frequenze (300 MHz – 95 GHz) con diversi ricevitori intercambiabili.</w:t>
      </w:r>
    </w:p>
    <w:p>
      <w:r>
        <w:t xml:space="preserve">Il parser effelsberg_to_fro.py legge osservazioni in formato MBFITS del radiotelescopio Effelsberg e le converte nel formato FRO HDF5 v17. È lo stesso formato MBFITS già gestito dal parser APEX (mbfits_to_fro.py), con cui condivide la logica di lettura dell'asse di frequenza; le differenze specifiche di Effelsberg sono descritte nella Sezione 4. Il set di dati di riferimento per validazione è lo scan 6723 (progetto 02-26) sulla galassia nana Holmberg I (UGC 5139), acquisito con il ricevitore/backend P217mm-EDD (banda 21 cm).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5760"/>
      </w:tblGrid>
      <w:tr>
        <w:tc>
          <w:tcPr>
            <w:tcW w:w="3240" w:type="dxa"/>
            <w:shd w:val="clear" w:color="auto" w:fill="D9E1F2"/>
          </w:tcPr>
          <w:p>
            <w:r>
              <w:rPr>
                <w:b/>
                <w:bCs/>
              </w:rPr>
              <w:t>Campo</w:t>
            </w:r>
          </w:p>
        </w:tc>
        <w:tc>
          <w:tcPr>
            <w:tcW w:w="5760" w:type="dxa"/>
            <w:shd w:val="clear" w:color="auto" w:fill="D9E1F2"/>
          </w:tcPr>
          <w:p>
            <w:r>
              <w:rPr>
                <w:b/>
                <w:bCs/>
              </w:rPr>
              <w:t>Valore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Telescopio</w:t>
            </w:r>
          </w:p>
        </w:tc>
        <w:tc>
          <w:tcPr>
            <w:tcW w:w="5760" w:type="dxa"/>
            <w:shd w:val="clear" w:color="auto" w:fill="auto"/>
          </w:tcPr>
          <w:p>
            <w:r>
              <w:t>Effelsberg 100m Radio Telescope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Gestore</w:t>
            </w:r>
          </w:p>
        </w:tc>
        <w:tc>
          <w:tcPr>
            <w:tcW w:w="5760" w:type="dxa"/>
            <w:shd w:val="clear" w:color="auto" w:fill="auto"/>
          </w:tcPr>
          <w:p>
            <w:r>
              <w:t>MPIfR (Max-Planck-Institut für Radioastronomie), Bonn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Località</w:t>
            </w:r>
          </w:p>
        </w:tc>
        <w:tc>
          <w:tcPr>
            <w:tcW w:w="5760" w:type="dxa"/>
            <w:shd w:val="clear" w:color="auto" w:fill="auto"/>
          </w:tcPr>
          <w:p>
            <w:r>
              <w:t>Effelsberg, Germania — quota 369 m s.l.m.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Coordinate</w:t>
            </w:r>
          </w:p>
        </w:tc>
        <w:tc>
          <w:tcPr>
            <w:tcW w:w="5760" w:type="dxa"/>
            <w:shd w:val="clear" w:color="auto" w:fill="auto"/>
          </w:tcPr>
          <w:p>
            <w:r>
              <w:t>lat 50.5248°N, lon 6.8836°E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Formato dati</w:t>
            </w:r>
          </w:p>
        </w:tc>
        <w:tc>
          <w:tcPr>
            <w:tcW w:w="5760" w:type="dxa"/>
            <w:shd w:val="clear" w:color="auto" w:fill="auto"/>
          </w:tcPr>
          <w:p>
            <w:r>
              <w:t>MBFITS v1.67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Frontend/Backend</w:t>
            </w:r>
          </w:p>
        </w:tc>
        <w:tc>
          <w:tcPr>
            <w:tcW w:w="5760" w:type="dxa"/>
            <w:shd w:val="clear" w:color="auto" w:fill="auto"/>
          </w:tcPr>
          <w:p>
            <w:r>
              <w:t>P217mm-EDD (ricevitore 21 cm + backend EDD)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ID scan (questo file)</w:t>
            </w:r>
          </w:p>
        </w:tc>
        <w:tc>
          <w:tcPr>
            <w:tcW w:w="5760" w:type="dxa"/>
            <w:shd w:val="clear" w:color="auto" w:fill="auto"/>
          </w:tcPr>
          <w:p>
            <w:r>
              <w:t>6723 — progetto 02-26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Osservatore/Operatore</w:t>
            </w:r>
          </w:p>
        </w:tc>
        <w:tc>
          <w:tcPr>
            <w:tcW w:w="5760" w:type="dxa"/>
            <w:shd w:val="clear" w:color="auto" w:fill="auto"/>
          </w:tcPr>
          <w:p>
            <w:r>
              <w:t>SAINTONGE/WS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Data osservazione</w:t>
            </w:r>
          </w:p>
        </w:tc>
        <w:tc>
          <w:tcPr>
            <w:tcW w:w="5760" w:type="dxa"/>
            <w:shd w:val="clear" w:color="auto" w:fill="auto"/>
          </w:tcPr>
          <w:p>
            <w:r>
              <w:t>23-06-2026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Target</w:t>
            </w:r>
          </w:p>
        </w:tc>
        <w:tc>
          <w:tcPr>
            <w:tcW w:w="5760" w:type="dxa"/>
            <w:shd w:val="clear" w:color="auto" w:fill="auto"/>
          </w:tcPr>
          <w:p>
            <w:r>
              <w:t>Holmberg I (UGC 5139)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Frequenza centrale nominale</w:t>
            </w:r>
          </w:p>
        </w:tc>
        <w:tc>
          <w:tcPr>
            <w:tcW w:w="5760" w:type="dxa"/>
            <w:shd w:val="clear" w:color="auto" w:fill="auto"/>
          </w:tcPr>
          <w:p>
            <w:r>
              <w:t>1400 MHz (RESTFREQ nominale; riga HI: 1420.405752 MHz)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Banda</w:t>
            </w:r>
          </w:p>
        </w:tc>
        <w:tc>
          <w:tcPr>
            <w:tcW w:w="5760" w:type="dxa"/>
            <w:shd w:val="clear" w:color="auto" w:fill="auto"/>
          </w:tcPr>
          <w:p>
            <w:r>
              <w:t>400 MHz (1200–1600 MHz)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Canali per spettro</w:t>
            </w:r>
          </w:p>
        </w:tc>
        <w:tc>
          <w:tcPr>
            <w:tcW w:w="5760" w:type="dxa"/>
            <w:shd w:val="clear" w:color="auto" w:fill="auto"/>
          </w:tcPr>
          <w:p>
            <w:r>
              <w:t>262144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Risoluzione in frequenza</w:t>
            </w:r>
          </w:p>
        </w:tc>
        <w:tc>
          <w:tcPr>
            <w:tcW w:w="5760" w:type="dxa"/>
            <w:shd w:val="clear" w:color="auto" w:fill="auto"/>
          </w:tcPr>
          <w:p>
            <w:r>
              <w:t>1525.879 Hz/canale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Polarizzazioni (NUSEFEED)</w:t>
            </w:r>
          </w:p>
        </w:tc>
        <w:tc>
          <w:tcPr>
            <w:tcW w:w="5760" w:type="dxa"/>
            <w:shd w:val="clear" w:color="auto" w:fill="auto"/>
          </w:tcPr>
          <w:p>
            <w:r>
              <w:t>2 (pol1/pol2)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Numero di subscan</w:t>
            </w:r>
          </w:p>
        </w:tc>
        <w:tc>
          <w:tcPr>
            <w:tcW w:w="5760" w:type="dxa"/>
            <w:shd w:val="clear" w:color="auto" w:fill="auto"/>
          </w:tcPr>
          <w:p>
            <w:r>
              <w:t>4 (pattern OFF-ON-OFF-ON)</w:t>
            </w:r>
          </w:p>
        </w:tc>
      </w:tr>
      <w:tr>
        <w:tc>
          <w:tcPr>
            <w:tcW w:w="3240" w:type="dxa"/>
            <w:shd w:val="clear" w:color="auto" w:fill="auto"/>
          </w:tcPr>
          <w:p>
            <w:r>
              <w:rPr>
                <w:b/>
                <w:bCs/>
              </w:rPr>
              <w:t>Integrazioni totali</w:t>
            </w:r>
          </w:p>
        </w:tc>
        <w:tc>
          <w:tcPr>
            <w:tcW w:w="5760" w:type="dxa"/>
            <w:shd w:val="clear" w:color="auto" w:fill="auto"/>
          </w:tcPr>
          <w:p>
            <w:r>
              <w:t>3758 (→ 7516 spettri nel file .fro)</w:t>
            </w:r>
          </w:p>
        </w:tc>
      </w:tr>
    </w:tbl>
    <w:p/>
    <w:p>
      <w:pPr>
        <w:pStyle w:val="Heading1"/>
      </w:pPr>
      <w:r>
        <w:t>2. Il Formato MBFITS</w:t>
      </w:r>
    </w:p>
    <w:p>
      <w:r>
        <w:t xml:space="preserve">MBFITS (Measurement Baseline FITS) è il formato dati standard per le osservazioni single-dish dei radiotelescopi IRAM e MPIfR, incluso Effelsberg. A differenza del FITS standard, un'osservazione MBFITS è strutturata come una directory contenente più file FITS con ruoli specifici, non un singolo file monolitico.</w:t>
      </w:r>
    </w:p>
    <w:p>
      <w:r>
        <w:t xml:space="preserve">Struttura di una directory MBFITS Effelsberg:</w:t>
      </w:r>
    </w:p>
    <w:p>
      <w:pPr>
        <w:pStyle w:val="ListParagraph"/>
        <w:numPr>
          <w:ilvl w:val="0"/>
          <w:numId w:val="1"/>
        </w:numPr>
      </w:pPr>
      <w:r>
        <w:t xml:space="preserve">GROUPING.fits — header primario dell'osservazione (OBJECT, TELESCOP, SCANTYPE, SCANMODE, PROJID). Il file .fits di riepilogo a livello superiore è un symlink relativo a questo file.</w:t>
      </w:r>
    </w:p>
    <w:p>
      <w:pPr>
        <w:pStyle w:val="ListParagraph"/>
        <w:numPr>
          <w:ilvl w:val="0"/>
          <w:numId w:val="1"/>
        </w:numPr>
      </w:pPr>
      <w:r>
        <w:t xml:space="preserve">SCAN.fits — colonna FEBE con il nome della combinazione frontend-backend.</w:t>
      </w:r>
    </w:p>
    <w:p>
      <w:pPr>
        <w:pStyle w:val="ListParagraph"/>
        <w:numPr>
          <w:ilvl w:val="0"/>
          <w:numId w:val="1"/>
        </w:numPr>
      </w:pPr>
      <w:r>
        <w:t xml:space="preserve">FEBE-FEBEPAR.fits — parametri del frontend/backend: numero di feed (NUSEFEED), tipo di polarizzazione (POLTY), sezioni del backend (BESECTS/USEFEED).</w:t>
      </w:r>
    </w:p>
    <w:p>
      <w:pPr>
        <w:pStyle w:val="ListParagraph"/>
        <w:numPr>
          <w:ilvl w:val="0"/>
          <w:numId w:val="1"/>
        </w:numPr>
      </w:pPr>
      <w:r>
        <w:t xml:space="preserve">Sottocartella numerata per ogni subscan/ — contiene FEBE-ARRAYDATA-N.fits (dati spettrali) e FEBE-DATAPAR.fits (puntamento e stato per ogni integrazione).</w:t>
      </w:r>
    </w:p>
    <w:p>
      <w:r>
        <w:t xml:space="preserve">L'asse di frequenza si ricava dalle parole chiave header: 1CRPX2F (canale di riferimento), 1CRVL2F (frequenza di riferimento in MHz), 11CD2F (passo in frequenza in MHz/canale), CHANNELS (numero di canali).</w:t>
      </w:r>
    </w:p>
    <w:p>
      <w:pPr>
        <w:pStyle w:val="Heading1"/>
      </w:pPr>
      <w:r>
        <w:t>3. Provenienza dei Dati</w:t>
      </w:r>
    </w:p>
    <w:p>
      <w:r>
        <w:t xml:space="preserve">A differenza di APEX/COHRS/EBHIS, questo non è un archivio pubblico scaricabile: è un'osservazione propria (progetto Effelsberg 02-26), fornita direttamente da Dr. Uwe Bach (MPIfR) per lo sviluppo e la validazione del parser. I dati sono archiviati localmente in ~/FRO/Parsers/Effelsberg/Surveys/Holmberg1/Holmberg1 Raw/ (archivio Holmberg1_Ef_data.tag.gz, ~3.4 GB decompresso, più le immagini Holmberg1.png/Holmberg1_zoom.png e observation.log del turno osservativo). L'archivio MBFITS estratto risiede in Surveys/Holmberg1/Holmberg1_MBFITS_Profiles/.</w:t>
      </w:r>
    </w:p>
    <w:p>
      <w:pPr>
        <w:pStyle w:val="Heading1"/>
      </w:pPr>
      <w:r>
        <w:t>4. Differenze MBFITS Effelsberg rispetto ad APEX</w:t>
      </w:r>
    </w:p>
    <w:p>
      <w:r>
        <w:t xml:space="preserve">Il parser APEX (mbfits_to_fro.py) è stato sviluppato sul dataset APEX-48698 (NUSEFEED=1, un solo canale per integrazione). Il dataset Effelsberg presenta due differenze strutturali reali:</w:t>
      </w:r>
    </w:p>
    <w:p>
      <w:r>
        <w:rPr>
          <w:b/>
          <w:bCs/>
        </w:rPr>
        <w:t>NUSEFEED=2 (canali di polarizzazione).</w:t>
      </w:r>
    </w:p>
    <w:p>
      <w:r>
        <w:t xml:space="preserve">In questo scan ogni riga di ARRAYDATA contiene 2 canali (forma dei dati: integrazioni × 2 × canali), non un fascio spaziale separato. FEBEPAR mostra USEFEED=[1,1] e BESECTS=[1,2], cioè le due sezioni del backend applicate allo stesso feed fisico. POLTY nel FEBEPAR sorgente è indefinito ("N"), quindi il parser etichetta i due canali genericamente pol1/pol2 invece di H/V o L/R. Ogni integrazione produce 2 spettri nel file .fro.</w:t>
      </w:r>
    </w:p>
    <w:p>
      <w:r>
        <w:rPr>
          <w:b/>
          <w:bCs/>
        </w:rPr>
        <w:t>Colonna PHASE in DATAPAR.</w:t>
      </w:r>
    </w:p>
    <w:p>
      <w:r>
        <w:t xml:space="preserve">DATAPAR contiene una colonna PHASE (valori 1/2) assente nell'uso che ne fa il parser APEX. Nei dati di Holmberg1 questa alterna riga per riga a RA/DEC costanti entro un subscan (WOBUSED=F), quindi non è uno spostamento in cielo ma una fase di switching segnale/riferimento interna al backend. Il parser scrive il valore PHASE grezzo nel campo Quality/flag_cal di ogni spettro; la separazione segnale/riferimento è lasciata alla fase di analisi.</w:t>
      </w:r>
    </w:p>
    <w:p>
      <w:pPr>
        <w:pStyle w:val="Heading1"/>
      </w:pPr>
      <w:r>
        <w:t>5. Dataset di Riferimento: Holmberg I (scan 6723)</w:t>
      </w:r>
    </w:p>
    <w:p>
      <w:r>
        <w:rPr>
          <w:b/>
          <w:bCs/>
        </w:rPr>
        <w:t>Perché questo target:</w:t>
      </w:r>
    </w:p>
    <w:p>
      <w:r>
        <w:t xml:space="preserve">Holmberg I (UGC 5139) è una galassia nana irregolare del gruppo di M81, nota in letteratura per il suo contenuto di idrogeno neutro (riga HI a 21 cm). Lo scan 6723 (progetto 02-26, osservatore/operatore "SAINTONGE/WS" come registrato nel file di log dell'osservazione) è un puntamento ON/OFF sulla sorgente.</w:t>
      </w:r>
    </w:p>
    <w:p>
      <w:r>
        <w:rPr>
          <w:b/>
          <w:bCs/>
        </w:rPr>
        <w:t>Cosa è stato verificato:</w:t>
      </w:r>
    </w:p>
    <w:p>
      <w:r>
        <w:t xml:space="preserve">Il parser è stato eseguito end-to-end sui dati grezzi reali. Le 4 sottoscansioni contengono rispettivamente 980, 898, 984 e 896 integrazioni (3758 totali), ciascuna scritta come 2 spettri (pol1/pol2) per un totale di 7516 spettri nel file .fro prodotto. Il confronto tra i valori LONGOFF/LATOFF dei 4 subscan conferma un pattern di position-switching OFF-ON-OFF-ON (subscan 1 e 3 con offset ~3.09° dalla posizione nominale = OFF/riferimento; subscan 2 e 4 con offset ~0° = ON/sorgente), coerente con il flag_track scritto dal parser. Non è stata ancora eseguita alcuna analisi spettrale (baseline, ricerca riga): questo documento descrive la sola validazione dell'importazione dati grezzi.</w:t>
      </w:r>
    </w:p>
    <w:p>
      <w:r>
        <w:t xml:space="preserve">Caratteristiche tecniche: 262144 canali per spettro, larghezza di banda 400 MHz, risoluzione in frequenza 1525.879 Hz/canale, intervallo di frequenza 1200.002–1600.0 MHz. RESTFREQ nell'header è 1.400000 GHz esatto: è un valore nominale di sintonia, non la frequenza di riposo precisa della riga HI (1420.405752 MHz); la conversione in velocità LSR andrà fatta con la frequenza di riposo reale della riga, non con RESTFREQ.</w:t>
      </w:r>
    </w:p>
    <w:p>
      <w:pPr>
        <w:pStyle w:val="Heading1"/>
      </w:pPr>
      <w:r>
        <w:t>6. Modalità Operativa</w:t>
      </w:r>
    </w:p>
    <w:p>
      <w:r>
        <w:rPr>
          <w:b/>
          <w:bCs/>
        </w:rPr>
        <w:t>Passo 1 — Estrarre l'archivio MBFITS.</w:t>
      </w:r>
    </w:p>
    <w:p>
      <w:r>
        <w:t xml:space="preserve">Decomprimere Holmberg1_Ef_data.tag.gz nella cartella Holmberg1_MBFITS_Profiles/ (l'archivio è in formato tar.gz standard nonostante l'estensione .tag.gz):
tar -xzf Holmberg1_Ef_data.tag.gz -C Holmberg1_MBFITS_Profiles/</w:t>
      </w:r>
    </w:p>
    <w:p>
      <w:r>
        <w:rPr>
          <w:b/>
          <w:bCs/>
        </w:rPr>
        <w:t>Passo 2 — Eseguire il parser.</w:t>
      </w:r>
    </w:p>
    <w:p>
      <w:r>
        <w:t xml:space="preserve">env -u LD_LIBRARY_PATH python3 ~/FRO/Parsers/Effelsberg/effelsberg_to_fro.py [MBFITS_DIR] [OUTPUT_DIR]
Senza argomenti usa i percorsi di default per Holmberg1. Un file .fro viene scritto per baseband in Holmberg1_FRO/.</w:t>
      </w:r>
    </w:p>
    <w:p>
      <w:r>
        <w:rPr>
          <w:b/>
          <w:bCs/>
        </w:rPr>
        <w:t>Passo 3 — Verificare e archiviare.</w:t>
      </w:r>
    </w:p>
    <w:p>
      <w:r>
        <w:t xml:space="preserve">Controllare il riepilogo stampato da read_fro_summary() (conteggio spettri, range RA/DEC/GLON/GLAT, righe non-tracking). Eseguire l'alias fro-backup per rispecchiare ~/FRO/ in ~/FRO_Backup/.</w:t>
      </w:r>
    </w:p>
    <w:p>
      <w:r>
        <w:rPr>
          <w:b/>
          <w:bCs/>
        </w:rPr>
        <w:t>Passo 4 — Generare i plot.</w:t>
      </w:r>
    </w:p>
    <w:p>
      <w:r>
        <w:t xml:space="preserve">env -u LD_LIBRARY_PATH python3 ~/FRO/Parsers/Effelsberg/plot_holmberg1.py
Produce i due HTML interattivi in Surveys/Holmberg1/Plots/ (fullband + HI zoom con Vsys=141.5 km/s).</w:t>
      </w:r>
    </w:p>
    <w:p>
      <w:pPr>
        <w:pStyle w:val="Heading1"/>
      </w:pPr>
      <w:r>
        <w:t>7. Parser: effelsberg_to_fro.py</w:t>
      </w:r>
    </w:p>
    <w:p>
      <w:r>
        <w:t xml:space="preserve">Posizione: ~/FRO/Parsers/Effelsberg/. Un file .fro per baseband (in questo scan: 1 solo baseband), tutte le sottoscansioni unite nello stesso file. Metadati di osservazione (OBJECT, TELESCOP, SCANTYPE, SCANMODE, PROJID) letti dall'header primario (HDU0) di GROUPING.fits dentro la cartella dell'osservazione — non da un ipotetico file esterno, poiché nell'archivio il file .fits di riepilogo a livello superiore è in realtà un symlink relativo a questo stesso GROUPING.fits.</w:t>
      </w:r>
    </w:p>
    <w:p>
      <w:r>
        <w:t xml:space="preserve">facility='Effelsberg 100m RT' (da TELESCOP), target='HOI' (da OBJECT). polarization='pol1'/'pol2' per i due canali NUSEFEED. flag_cal = valore grezzo PHASE (1.0 o 2.0) di DATAPAR. flag_track = 1 se la distanza (LONGOFF, LATOFF) dalla posizione nominale è inferiore a 1.0° (ON, costante ON_OFF_OFFSET_THRESHOLD_DEG nello script), altrimenti 0 (OFF). Sito, coordinate e note di calibrazione temperatura sono coerenti con ebhis_to_fro.py nella stessa cartella. Niente è hardcoded: percorso MBFITS da argv o default, tutti i parametri di frequenza/polarizzazione/puntamento letti dagli header FITS.</w:t>
      </w:r>
    </w:p>
    <w:p>
      <w:pPr>
        <w:pStyle w:val="Heading1"/>
      </w:pPr>
      <w:r>
        <w:t>8. Compatibilità con ezRA</w:t>
      </w:r>
    </w:p>
    <w:p>
      <w:r>
        <w:t xml:space="preserve">La struttura HDF5 interna del formato v17 (/Observatory, /Spectra, /Time, /Pointing) è la stessa attesa da fro_to_ezra.py, quindi i file .fro prodotti da questo parser sono convertibili al formato testuale di ezRA/ezCon.py senza modifiche allo script di conversione.</w:t>
      </w:r>
    </w:p>
    <w:p>
      <w:pPr>
        <w:pStyle w:val="Heading1"/>
      </w:pPr>
      <w:r>
        <w:t>9. Visualizzazione: plot_holmberg1.py</w:t>
      </w:r>
    </w:p>
    <w:p>
      <w:r>
        <w:t xml:space="preserve">Lo script plot_holmberg1.py (~/FRO/Parsers/Effelsberg/) genera due grafici interattivi HTML a partire dai dati grezzi MBFITS (letti direttamente dal file .fits della baseband, senza passare dal file .fro). I file di output sono depositati in Surveys/Holmberg1/Plots/ e richiedono plotly-2.27.0.min.js nella stessa cartella (libreria locale, nessuna connessione di rete necessaria).</w:t>
      </w:r>
    </w:p>
    <w:p>
      <w:r>
        <w:rPr>
          <w:b/>
          <w:bCs/>
        </w:rPr>
        <w:t>Output 1 — Banda completa (fullband):</w:t>
      </w:r>
    </w:p>
    <w:p>
      <w:r>
        <w:t xml:space="preserve">EFFBG_2026-06-23_6723_02-26_P217mm-EDD_bb1_fullband_PHASE_ONOFF.html — Spettro medio su tutte le integrazioni, asse X in frequenza (MHz, 1200–1600 MHz), asse Y in temperatura d'antenna Tₐ (K, Tsys≈300K, non calibrata). Le due tracce corrispondono alle fasi di switching PHASE=1 e PHASE=2. Zoom rubber-band con trascinamento, readout fisso in alto a sinistra, doppio click per reset.</w:t>
      </w:r>
    </w:p>
    <w:p>
      <w:r>
        <w:rPr>
          <w:b/>
          <w:bCs/>
        </w:rPr>
        <w:t>Output 2 — Zoom sulla riga HI:</w:t>
      </w:r>
    </w:p>
    <w:p>
      <w:r>
        <w:t xml:space="preserve">EFFBG_2026-06-23_6723_02-26_P217mm-EDD_bb1_HI_zoom_PHASE_ONOFF.html — Stessa struttura del grafico fullband, ma l'asse X è in velocità LSR (km/s) nell'intervallo Vsys±600 km/s centrato su Vsys=141.5 km/s (Ott et al. 2001). Due linee verticali di riferimento: v=0 km/s (verde) e Vsys=141.5 km/s (viola).</w:t>
      </w:r>
    </w:p>
    <w:p>
      <w:pPr>
        <w:pStyle w:val="Heading1"/>
      </w:pPr>
      <w:r>
        <w:t>10. Riferimenti</w:t>
      </w:r>
    </w:p>
    <w:p>
      <w:r>
        <w:t xml:space="preserve">Specifica formato FRO: fro_format_v17.py (~/FRO/FRO_System/).</w:t>
      </w:r>
    </w:p>
    <w:p>
      <w:r>
        <w:t xml:space="preserve">Formato MBFITS: stesso standard descritto in APEX_MBFITS_Data_Structure_IT_v1.1.docx (~/FRO/Parsers/APEX/), condiviso tra APEX ed Effelsberg.</w:t>
      </w:r>
    </w:p>
    <w:p>
      <w:r>
        <w:t xml:space="preserve">MPIfR Effelsberg 100m: https://www.mpifr-bonn.mpg.de/effelsberg</w:t>
      </w:r>
    </w:p>
    <w:p>
      <w:r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2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Specifica formato MBFITS: https://www.iram.fr/IRAMFR/GILDAS/doc/html/mbfits-html/mbfits.html</w:t>
      </w:r>
    </w:p>
    <w:p>
      <w:r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20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Nota: non sono state incluse citazioni bibliografiche specifiche su Holmberg I per evitare di riportare riferimenti non verificati; da integrare se Francesco indica un DOI/paper di riferimento preferito.</w:t>
      </w:r>
    </w:p>
    <w:sectPr>
      <w:footerReference w:type="default" r:id="rIdFooter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ooter1" Type="http://schemas.openxmlformats.org/officeDocument/2006/relationships/footer" Target="footer1.xml"/><Relationship Id="rIdQR200" Type="http://schemas.openxmlformats.org/officeDocument/2006/relationships/image" Target="media/qr_atnf.png"/><Relationship Id="rIdQR201" Type="http://schemas.openxmlformats.org/officeDocument/2006/relationships/image" Target="media/qr_rpfits.png"/><Relationship Id="rIdQR202" Type="http://schemas.openxmlformats.org/officeDocument/2006/relationships/image" Target="media/qr_opal.png"/><Relationship Id="rIdQR203" Type="http://schemas.openxmlformats.org/officeDocument/2006/relationships/image" Target="media/qr_casa.png"/><Relationship Id="rIdQR204" Type="http://schemas.openxmlformats.org/officeDocument/2006/relationships/image" Target="media/qr_miriad.png"/><Relationship Id="rIdQR205" Type="http://schemas.openxmlformats.org/officeDocument/2006/relationships/image" Target="media/qr_miniconda.png"/><Relationship Id="rIdQR206" Type="http://schemas.openxmlformats.org/officeDocument/2006/relationships/image" Target="media/qr_casa_tarball.png"/><Relationship Id="rIdQR200" Type="http://schemas.openxmlformats.org/officeDocument/2006/relationships/image" Target="media/qr_mpifr.png"/><Relationship Id="rIdQR201" Type="http://schemas.openxmlformats.org/officeDocument/2006/relationships/image" Target="media/qr_mbfits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2026-07-25T15:22:25.828Z</dcterms:created>
  <dcterms:modified xsi:type="dcterms:W3CDTF">2026-07-25T15:22:25.829Z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