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a="http://schemas.openxmlformats.org/drawingml/2006/main" mc:Ignorable="w14 w15">
  <w:body>
    <w:p>
      <w:pPr>
        <w:pStyle w:val="Title"/>
        <w:jc w:val="center"/>
      </w:pPr>
      <w:r>
        <w:t>Descrizione dei Plot — Effelsberg/Holmberg1</w:t>
      </w:r>
    </w:p>
    <w:p>
      <w:pPr>
        <w:jc w:val="center"/>
      </w:pPr>
      <w:r>
        <w:rPr>
          <w:i/>
          <w:iCs/>
        </w:rPr>
        <w:t>Progetto FRO / HALO — Riferimento tecnico</w:t>
      </w:r>
    </w:p>
    <w:p>
      <w:pPr>
        <w:jc w:val="center"/>
      </w:pPr>
      <w:r>
        <w:rPr>
          <w:i/>
          <w:iCs/>
        </w:rPr>
        <w:t>Versione documento: 1.0 — 11 agosto 2026</w:t>
      </w:r>
    </w:p>
    <w:p>
      <w:pPr>
        <w:pStyle w:val="Heading1"/>
      </w:pPr>
      <w:r>
        <w:t>1. Script di Visualizzazione</w:t>
      </w:r>
    </w:p>
    <w:p>
      <w:r>
        <w:t xml:space="preserve">Script: plot_holmberg1.py — posizione: ~/FRO/Parsers/Effelsberg/. Lo script legge direttamente il file FITS della baseband MBFITS (EFFBG_2026-06-23_6723_02-26_P217mm-EDD.fits, nella cartella Holmberg1_MBFITS_Profiles/) senza passare dal file .fro. Produce due file HTML interattivi depositati in Surveys/Holmberg1/Plots/. Richiede plotly-2.27.0.min.js nella stessa cartella degli HTML (libreria locale, nessuna connessione di rete necessaria).</w:t>
      </w:r>
    </w:p>
    <w:p>
      <w:r>
        <w:t xml:space="preserve">Esecuzione:</w:t>
      </w:r>
    </w:p>
    <w:p>
      <w:r>
        <w:t xml:space="preserve">env -u LD_LIBRARY_PATH python3 ~/FRO/Parsers/Effelsberg/plot_holmberg1.py</w:t>
      </w:r>
    </w:p>
    <w:p>
      <w:pPr>
        <w:pStyle w:val="Heading1"/>
      </w:pPr>
      <w:r>
        <w:t>2. Tecnologia di Visualizzazione</w:t>
      </w:r>
    </w:p>
    <w:p>
      <w:r>
        <w:t xml:space="preserve">Entrambi i grafici utilizzano un canvas HTML5 con rendering JavaScript nativo (nessuna dipendenza da framework esterni oltre a plotly-2.27.0.min.js). Funzionalità interattive comuni a tutti gli output:</w:t>
      </w:r>
    </w:p>
    <w:p>
      <w:pPr>
        <w:pStyle w:val="ListParagraph"/>
        <w:numPr>
          <w:ilvl w:val="0"/>
          <w:numId w:val="1"/>
        </w:numPr>
      </w:pPr>
      <w:r>
        <w:t xml:space="preserve">Zoom rubber-band: trascinare il mouse sull'area del grafico per selezionare una regione; il grafico si ridisegna automaticamente sull'intervallo selezionato.</w:t>
      </w:r>
    </w:p>
    <w:p>
      <w:pPr>
        <w:pStyle w:val="ListParagraph"/>
        <w:numPr>
          <w:ilvl w:val="0"/>
          <w:numId w:val="1"/>
        </w:numPr>
      </w:pPr>
      <w:r>
        <w:t xml:space="preserve">Readout fisso: un riquadro fisso in alto a sinistra mostra in tempo reale le coordinate (frequenza o velocità + temperatura d'antenna) del punto sotto il cursore.</w:t>
      </w:r>
    </w:p>
    <w:p>
      <w:pPr>
        <w:pStyle w:val="ListParagraph"/>
        <w:numPr>
          <w:ilvl w:val="0"/>
          <w:numId w:val="1"/>
        </w:numPr>
      </w:pPr>
      <w:r>
        <w:t xml:space="preserve">Reset zoom: doppio click sull'area del grafico, oppure pulsante "Reset zoom" in alto a destra, per tornare alla vista completa.</w:t>
      </w:r>
    </w:p>
    <w:p>
      <w:pPr>
        <w:pStyle w:val="ListParagraph"/>
        <w:numPr>
          <w:ilvl w:val="0"/>
          <w:numId w:val="1"/>
        </w:numPr>
      </w:pPr>
      <w:r>
        <w:t xml:space="preserve">Stampa: il readout e il pulsante Reset sono nascosti in modalità stampa (@media print).</w:t>
      </w:r>
    </w:p>
    <w:p>
      <w:pPr>
        <w:pStyle w:val="Heading1"/>
      </w:pPr>
      <w:r>
        <w:t>3. Output 1 — Banda Completa (fullband)</w:t>
      </w:r>
    </w:p>
    <w:p>
      <w:r>
        <w:rPr>
          <w:b/>
          <w:bCs/>
        </w:rPr>
        <w:t>Nome file:</w:t>
      </w:r>
    </w:p>
    <w:p>
      <w:r>
        <w:t xml:space="preserve">EFFBG_2026-06-23_6723_02-26_P217mm-EDD_bb1_fullband_PHASE_ONOFF.html</w:t>
      </w:r>
    </w:p>
    <w:p>
      <w:r>
        <w:rPr>
          <w:b/>
          <w:bCs/>
        </w:rPr>
        <w:t>Titolo del grafico:</w:t>
      </w:r>
    </w:p>
    <w:p>
      <w:r>
        <w:t xml:space="preserve">Effelsberg 100m — HOI — P217mm-EDD — Full band, PHASE/ON-OFF</w:t>
      </w:r>
    </w:p>
    <w:p>
      <w:r>
        <w:rPr>
          <w:b/>
          <w:bCs/>
        </w:rPr>
        <w:t>Asse X:</w:t>
      </w:r>
    </w:p>
    <w:p>
      <w:r>
        <w:t xml:space="preserve">Frequenza (MHz), intervallo 1200–1600 MHz — intera banda del backend EDD.</w:t>
      </w:r>
    </w:p>
    <w:p>
      <w:r>
        <w:rPr>
          <w:b/>
          <w:bCs/>
        </w:rPr>
        <w:t>Asse Y:</w:t>
      </w:r>
    </w:p>
    <w:p>
      <w:r>
        <w:t xml:space="preserve">Temperatura d'antenna Tₐ (K, Tsys≈300K, non calibrata).</w:t>
      </w:r>
    </w:p>
    <w:p>
      <w:r>
        <w:rPr>
          <w:b/>
          <w:bCs/>
        </w:rPr>
        <w:t>Tracce:</w:t>
      </w:r>
    </w:p>
    <w:p>
      <w:r>
        <w:t xml:space="preserve">Due tracce sovrapposte, una per ciascuna fase di switching del backend: PHASE=1 (blu) e PHASE=2 (arancione). Ogni traccia è la media di tutte le integrazioni del rispettivo gruppo PHASE su tutti e 4 i subscan. La separazione segnale/riferimento non è applicata: le due tracce mostrano il dato grezzo così come registrato.</w:t>
      </w:r>
    </w:p>
    <w:p>
      <w:r>
        <w:rPr>
          <w:b/>
          <w:bCs/>
        </w:rPr>
        <w:t>Linee verticali di riferimento:</w:t>
      </w:r>
    </w:p>
    <w:p>
      <w:r>
        <w:t xml:space="preserve">Nessuna nella vista fullband.</w:t>
      </w:r>
    </w:p>
    <w:p>
      <w:r>
        <w:rPr>
          <w:b/>
          <w:bCs/>
        </w:rPr>
        <w:t>Interpretazione:</w:t>
      </w:r>
    </w:p>
    <w:p>
      <w:r>
        <w:t xml:space="preserve">La struttura in frequenza riflette la risposta in banda del ricevitore P217mm-EDD e del backend EDD su 400 MHz. La riga HI a 1420.405752 MHz è visibile come variazione locale nella zona centrale della banda; il confronto tra PHASE=1 e PHASE=2 permette di identificare visivamente la fase ON-sorgente da quella di riferimento prima di qualsiasi sottrazione di baseline.</w:t>
      </w:r>
    </w:p>
    <w:p>
      <w:pPr>
        <w:pStyle w:val="Heading1"/>
      </w:pPr>
      <w:r>
        <w:t>4. Output 2 — Zoom sulla Riga HI</w:t>
      </w:r>
    </w:p>
    <w:p>
      <w:r>
        <w:rPr>
          <w:b/>
          <w:bCs/>
        </w:rPr>
        <w:t>Nome file:</w:t>
      </w:r>
    </w:p>
    <w:p>
      <w:r>
        <w:t xml:space="preserve">EFFBG_2026-06-23_6723_02-26_P217mm-EDD_bb1_HI_zoom_PHASE_ONOFF.html</w:t>
      </w:r>
    </w:p>
    <w:p>
      <w:r>
        <w:rPr>
          <w:b/>
          <w:bCs/>
        </w:rPr>
        <w:t>Titolo del grafico:</w:t>
      </w:r>
    </w:p>
    <w:p>
      <w:r>
        <w:t xml:space="preserve">Effelsberg 100m — HOI — P217mm-EDD — HI zoom (v=141.5±600 km/s)</w:t>
      </w:r>
    </w:p>
    <w:p>
      <w:r>
        <w:rPr>
          <w:b/>
          <w:bCs/>
        </w:rPr>
        <w:t>Asse X:</w:t>
      </w:r>
    </w:p>
    <w:p>
      <w:r>
        <w:t xml:space="preserve">Velocità LSR (km/s), intervallo Vsys±600 km/s centrato su Vsys=141.5 km/s (velocità sistemica di Holmberg I da Ott et al. 2001). La conversione frequenza→velocità è eseguita con la frequenza di riposo reale della riga HI: 1420.405752 MHz (non il valore nominale RESTFREQ=1.400000 GHz presente nell'header FITS).</w:t>
      </w:r>
    </w:p>
    <w:p>
      <w:r>
        <w:rPr>
          <w:b/>
          <w:bCs/>
        </w:rPr>
        <w:t>Asse Y:</w:t>
      </w:r>
    </w:p>
    <w:p>
      <w:r>
        <w:t xml:space="preserve">Temperatura d'antenna Tₐ (K, Tsys≈300K, non calibrata).</w:t>
      </w:r>
    </w:p>
    <w:p>
      <w:r>
        <w:rPr>
          <w:b/>
          <w:bCs/>
        </w:rPr>
        <w:t>Tracce:</w:t>
      </w:r>
    </w:p>
    <w:p>
      <w:r>
        <w:t xml:space="preserve">Stesse due tracce PHASE=1 e PHASE=2 del grafico fullband, ristrette all'intervallo di velocità mostrato.</w:t>
      </w:r>
    </w:p>
    <w:p>
      <w:r>
        <w:rPr>
          <w:b/>
          <w:bCs/>
        </w:rPr>
        <w:t>Linee verticali di riferimento:</w:t>
      </w:r>
    </w:p>
    <w:p>
      <w:r>
        <w:t xml:space="preserve">v = 0 km/s (linea verde): riposo galattico, frequenza HI non spostata. Vsys = 141.5 km/s (linea viola): velocità sistemica di Holmberg I (Ott et al. 2001, The HI Properties of Nearby Galaxies).</w:t>
      </w:r>
    </w:p>
    <w:p>
      <w:r>
        <w:rPr>
          <w:b/>
          <w:bCs/>
        </w:rPr>
        <w:t>Interpretazione:</w:t>
      </w:r>
    </w:p>
    <w:p>
      <w:r>
        <w:t xml:space="preserve">Questo grafico permette di verificare la presenza della riga HI di emissione di Holmberg I nell'intervallo di velocità atteso. Prima di trarre conclusioni spettrali è necessario applicare la sottrazione della fase di riferimento (PHASE=2 per i subscan OFF) e la sottrazione di baseline; questo plot mostra esclusivamente il dato grezzo importato.</w:t>
      </w:r>
    </w:p>
    <w:p>
      <w:pPr>
        <w:pStyle w:val="Heading1"/>
      </w:pPr>
      <w:r>
        <w:t>5. Percorsi dei File</w:t>
      </w:r>
    </w:p>
    <w:p>
      <w:r>
        <w:t xml:space="preserve">Script: ~/FRO/Parsers/Effelsberg/plot_holmberg1.py</w:t>
      </w:r>
    </w:p>
    <w:p>
      <w:r>
        <w:t xml:space="preserve">Dati sorgente: ~/FRO/Parsers/Effelsberg/Surveys/Holmberg1/Holmberg1_MBFITS_Profiles/EFFBG_2026-06-23_6723_02-26_P217mm-EDD/EFFBG_2026-06-23_6723_02-26_P217mm-EDD.fits</w:t>
      </w:r>
    </w:p>
    <w:p>
      <w:r>
        <w:t xml:space="preserve">Output HTML: ~/FRO/Parsers/Effelsberg/Surveys/Holmberg1/Plots/</w:t>
      </w:r>
    </w:p>
    <w:p>
      <w:r>
        <w:t xml:space="preserve">Libreria JS locale: ~/FRO/Parsers/Effelsberg/Surveys/Holmberg1/Plots/plotly-2.27.0.min.js</w:t>
      </w:r>
    </w:p>
    <w:p>
      <w:pPr>
        <w:pStyle w:val="Heading1"/>
      </w:pPr>
      <w:r>
        <w:t>6. Riferimenti</w:t>
      </w:r>
    </w:p>
    <w:p>
      <w:r>
        <w:t xml:space="preserve">Specifica formato FRO: fro_format_v17.py (~/FRO/FRO_System/).</w:t>
      </w:r>
    </w:p>
    <w:p>
      <w:r>
        <w:t xml:space="preserve">Velocità sistemica Holmberg I: Ott J. et al. 2001 — da utilizzare come riferimento per Vsys=141.5 km/s nelle linee verticali del grafico HI zoom.</w:t>
      </w:r>
    </w:p>
    <w:p>
      <w:r>
        <w:t xml:space="preserve">MPIfR Effelsberg 100m: https://www.mpifr-bonn.mpg.de/effelsberg</w:t>
      </w:r>
    </w:p>
    <w:p>
      <w:r>
        <w:drawing>
          <wp:inline xmlns:wp="http://schemas.openxmlformats.org/drawingml/2006/wordprocessingDrawing">
            <wp:extent cx="1080000" cy="1080000"/>
            <wp:effectExtent l="0" t="0" r="0" b="0"/>
            <wp:docPr id="1" name="q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"/>
                    <pic:cNvPicPr/>
                  </pic:nvPicPr>
                  <pic:blipFill>
                    <a:blip xmlns:r="http://schemas.openxmlformats.org/officeDocument/2006/relationships" r:embed="rIdQR20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Specifica formato MBFITS: https://www.iram.fr/IRAMFR/GILDAS/doc/html/mbfits-html/mbfits.html</w:t>
      </w:r>
    </w:p>
    <w:p>
      <w:r>
        <w:drawing>
          <wp:inline xmlns:wp="http://schemas.openxmlformats.org/drawingml/2006/wordprocessingDrawing">
            <wp:extent cx="1080000" cy="1080000"/>
            <wp:effectExtent l="0" t="0" r="0" b="0"/>
            <wp:docPr id="1" name="q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r"/>
                    <pic:cNvPicPr/>
                  </pic:nvPicPr>
                  <pic:blipFill>
                    <a:blip xmlns:r="http://schemas.openxmlformats.org/officeDocument/2006/relationships" r:embed="rIdQR20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Footer1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Footer1" Type="http://schemas.openxmlformats.org/officeDocument/2006/relationships/footer" Target="footer1.xml"/><Relationship Id="rIdQR200" Type="http://schemas.openxmlformats.org/officeDocument/2006/relationships/image" Target="media/qr_atnf.png"/><Relationship Id="rIdQR201" Type="http://schemas.openxmlformats.org/officeDocument/2006/relationships/image" Target="media/qr_rpfits.png"/><Relationship Id="rIdQR202" Type="http://schemas.openxmlformats.org/officeDocument/2006/relationships/image" Target="media/qr_opal.png"/><Relationship Id="rIdQR203" Type="http://schemas.openxmlformats.org/officeDocument/2006/relationships/image" Target="media/qr_casa.png"/><Relationship Id="rIdQR204" Type="http://schemas.openxmlformats.org/officeDocument/2006/relationships/image" Target="media/qr_miriad.png"/><Relationship Id="rIdQR205" Type="http://schemas.openxmlformats.org/officeDocument/2006/relationships/image" Target="media/qr_miniconda.png"/><Relationship Id="rIdQR206" Type="http://schemas.openxmlformats.org/officeDocument/2006/relationships/image" Target="media/qr_casa_tarball.png"/><Relationship Id="rIdQR200" Type="http://schemas.openxmlformats.org/officeDocument/2006/relationships/image" Target="media/qr_mpifr.png"/><Relationship Id="rIdQR201" Type="http://schemas.openxmlformats.org/officeDocument/2006/relationships/image" Target="media/qr_mbfits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2026-07-25T15:22:25.828Z</dcterms:created>
  <dcterms:modified xsi:type="dcterms:W3CDTF">2026-07-25T15:22:25.829Z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