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jc w:val="center"/>
        <w:rPr/>
      </w:pPr>
      <w:r>
        <w:rPr/>
        <w:t>Struttura dati COHRS e modalit</w:t>
      </w:r>
      <w:r>
        <w:rPr/>
        <w:t>à</w:t>
      </w:r>
      <w:r>
        <w:rPr/>
        <w:t xml:space="preserve"> operativa</w:t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FRO / HALO (Hydrogen Atomic Line Observatory)</w:t>
      </w:r>
    </w:p>
    <w:p>
      <w:pPr>
        <w:pStyle w:val="Normal"/>
        <w:spacing w:lineRule="auto" w:line="360"/>
        <w:jc w:val="center"/>
        <w:rPr>
          <w:i/>
          <w:iCs/>
        </w:rPr>
      </w:pPr>
      <w:r>
        <w:rPr>
          <w:i/>
          <w:iCs/>
        </w:rPr>
        <w:t>Francesco Di Giovanni, Bolzano, Italia</w:t>
      </w:r>
    </w:p>
    <w:p>
      <w:pPr>
        <w:pStyle w:val="Normal"/>
        <w:jc w:val="center"/>
        <w:rPr/>
      </w:pPr>
      <w:r>
        <w:rPr>
          <w:i/>
          <w:iCs/>
        </w:rPr>
        <w:t>Versione documento: 1.1 — 4 agosto 2026</w:t>
      </w:r>
    </w:p>
    <w:p>
      <w:pPr>
        <w:pStyle w:val="Heading1"/>
        <w:rPr/>
      </w:pPr>
      <w:r>
        <w:rPr/>
        <w:t>1. Panoramica della survey</w:t>
      </w:r>
    </w:p>
    <w:p>
      <w:pPr>
        <w:pStyle w:val="Normal"/>
        <w:rPr/>
      </w:pPr>
      <w:r>
        <w:rPr/>
        <w:t xml:space="preserve">Il parser </w:t>
      </w:r>
      <w:r>
        <w:rPr>
          <w:b/>
          <w:bCs/>
        </w:rPr>
        <w:t>cohrs_to_fro.py</w:t>
      </w:r>
      <w:r>
        <w:rPr/>
        <w:t xml:space="preserve"> estrae spettri singoli dai cubi FITS posizione-posizione-velocit</w:t>
      </w:r>
      <w:r>
        <w:rPr/>
        <w:t>à</w:t>
      </w:r>
      <w:r>
        <w:rPr/>
        <w:t xml:space="preserve"> di COHRS e li converte nel formato FRO HDF5 v17. COHRS (12CO(3-2) High-Resolution Survey of the Galactic Plane) </w:t>
      </w:r>
      <w:r>
        <w:rPr/>
        <w:t>è</w:t>
      </w:r>
      <w:r>
        <w:rPr/>
        <w:t xml:space="preserve"> una survey ad ampia copertura del piano galattico settentrionale nella transizione 12CO J=3-2 a 345.796 GHz, realizzata con il JCMT tramite l'array eterodino HARP. Un visualizzatore complementare, </w:t>
      </w:r>
      <w:r>
        <w:rPr>
          <w:b/>
          <w:bCs/>
        </w:rPr>
        <w:t>view_cohrs.py</w:t>
      </w:r>
      <w:r>
        <w:rPr/>
        <w:t>, produce mappe di cielo e diagrammi l-v direttamente dal cubo. Parser e viewer sono stati sviluppati e validati sul tile G30 (regione W43, braccio di Scudo).</w:t>
      </w:r>
    </w:p>
    <w:p>
      <w:pPr>
        <w:pStyle w:val="Heading1"/>
        <w:rPr/>
      </w:pPr>
      <w:r>
        <w:rPr/>
        <w:t>2. Telescopio e strumento</w:t>
      </w:r>
    </w:p>
    <w:p>
      <w:pPr>
        <w:pStyle w:val="Normal"/>
        <w:rPr/>
      </w:pPr>
      <w:r>
        <w:rPr/>
        <w:t>Tipo: telescopio submillimetrico single-dish da 15 m. Sito: Maunakea, Hawaii, USA — quota ~4092 m s.l.m. Coordinate: lat 19.8228 deg, lon -155.4770 deg. Operatore: East Asian Observatory (già Joint Astronomy Centre). Strumento: HARP, array a 16 pixel operante nella banda 325-375 GHz. Beam FWHM a 345 GHz: ~14 arcsec nativo; i cubi COHRS DR2 sono grigliati a 16.6 arcsec. Backend: ACSIS. Modalità osservativa: mappatura on-the-fly (OTF) a intreccio (basket-weave).</w:t>
      </w:r>
    </w:p>
    <w:p>
      <w:pPr>
        <w:pStyle w:val="Heading1"/>
        <w:rPr/>
      </w:pPr>
      <w:r>
        <w:rPr/>
        <w:t>3. Formato del cubo</w:t>
      </w:r>
    </w:p>
    <w:p>
      <w:pPr>
        <w:pStyle w:val="Normal"/>
        <w:rPr/>
      </w:pPr>
      <w:r>
        <w:rPr/>
        <w:t xml:space="preserve">I prodotti dati COHRS DR2 sono cubi FITS 3D con assi (longitudine galattica, latitudine galattica, velocità radiale). Le parole chiave WCS sono lette dinamicamente dall'header: CTYPE3=VRAD con CUNIT3=km/s. L'asse spettrale </w:t>
      </w:r>
      <w:r>
        <w:rPr/>
        <w:t>è</w:t>
      </w:r>
      <w:r>
        <w:rPr/>
        <w:t xml:space="preserve"> già una velocità radiale nel sistema LSRK. BUNIT=K (temperatura d'antenna T_A*). RESTFRQ=345.796 GHz. Tile di riferimento: 303 x 603 x 788 pixel, ricampionato a 0.635 km/s per canale nell'intervallo -200/+300 km/s.</w:t>
      </w:r>
    </w:p>
    <w:p>
      <w:pPr>
        <w:pStyle w:val="Heading1"/>
        <w:rPr/>
      </w:pPr>
      <w:r>
        <w:rPr/>
        <w:t>4. Dataset di riferimento</w:t>
      </w:r>
    </w:p>
    <w:p>
      <w:pPr>
        <w:pStyle w:val="Normal"/>
        <w:rPr/>
      </w:pPr>
      <w:r>
        <w:rPr>
          <w:b/>
          <w:bCs/>
        </w:rPr>
        <w:t>Perch</w:t>
      </w:r>
      <w:r>
        <w:rPr>
          <w:b/>
          <w:bCs/>
        </w:rPr>
        <w:t>é</w:t>
      </w:r>
      <w:r>
        <w:rPr>
          <w:b/>
          <w:bCs/>
        </w:rPr>
        <w:t xml:space="preserve"> questo target:</w:t>
      </w:r>
    </w:p>
    <w:p>
      <w:pPr>
        <w:pStyle w:val="Normal"/>
        <w:spacing w:lineRule="auto" w:line="240"/>
        <w:rPr/>
      </w:pPr>
      <w:r>
        <w:rPr/>
        <w:t>Il tile G30 (COHRS_30p00_0p00_CUBE_3T2_R2.fit) copre GLon ~29.75-30.25 deg, GLat +/-0.5 deg, una delle regioni più ricche del piano galattico settentrionale. Si trova vicino alla tangente del braccio di Scudo-Centauro e include W43, un complesso molecolare mini-starburst.</w:t>
      </w:r>
    </w:p>
    <w:p>
      <w:pPr>
        <w:pStyle w:val="Normal"/>
        <w:rPr/>
      </w:pPr>
      <w:r>
        <w:rPr>
          <w:b/>
          <w:bCs/>
        </w:rPr>
        <w:t>Cosa ci si aspettava:</w:t>
      </w:r>
    </w:p>
    <w:p>
      <w:pPr>
        <w:pStyle w:val="Normal"/>
        <w:rPr/>
      </w:pPr>
      <w:r>
        <w:rPr/>
        <w:t>Forte emissione 12CO(3-2) concentrata sul piano galattico (b~0), con nubi molecolari a velocità LSRK positive (grosso modo +40/+120 km/s) corrispondenti al gas del braccio di Scudo.</w:t>
      </w:r>
    </w:p>
    <w:p>
      <w:pPr>
        <w:pStyle w:val="Normal"/>
        <w:rPr/>
      </w:pPr>
      <w:r>
        <w:rPr>
          <w:b/>
          <w:bCs/>
        </w:rPr>
        <w:t xml:space="preserve">Cosa </w:t>
      </w:r>
      <w:r>
        <w:rPr>
          <w:b/>
          <w:bCs/>
        </w:rPr>
        <w:t>è</w:t>
      </w:r>
      <w:r>
        <w:rPr>
          <w:b/>
          <w:bCs/>
        </w:rPr>
        <w:t xml:space="preserve"> stato ottenuto:</w:t>
      </w:r>
    </w:p>
    <w:p>
      <w:pPr>
        <w:pStyle w:val="Normal"/>
        <w:rPr/>
      </w:pPr>
      <w:r>
        <w:rPr/>
        <w:t>Viewer e parser validati end-to-end. La mappa momento-0 mostra la banda di emissione CO concentrata sul piano, con complessi molecolari brillanti (W_CO fino a ~130 K km/s) allineati lungo b~0. Uno spettro singolo a (GLon=29.95, GLat=-0.05) mostra due picchi CO separati a ~+96 km/s e ~+101 km/s (doppia componente del braccio di Scudo), baseline piatta e rumore ~+/-1 K. Gli spettri sono in formato SVG vettoriale con doppio asse velocità LSRK/frequenza GHz e marcatori rossi automatici sui picchi. Caratteristiche tecniche: cubo 303 x 603 x 788 (GLon x GLat x velocità), float32. Larghezza canale 0.635 km/s, intervallo velocità -200/+300 km/s LSRK. BUNIT=K (T_A*). Frequenza a riposo 345.796 GHz. Zero NaN nel tile di riferimento; picco di brillanza ~34 K.</w:t>
      </w:r>
    </w:p>
    <w:p>
      <w:pPr>
        <w:pStyle w:val="Heading1"/>
        <w:rPr/>
      </w:pPr>
      <w:r>
        <w:rPr/>
        <w:t>5. Accesso ai dati</w:t>
      </w:r>
    </w:p>
    <w:p>
      <w:pPr>
        <w:pStyle w:val="Normal"/>
        <w:rPr/>
      </w:pPr>
      <w:r>
        <w:rPr/>
        <w:t xml:space="preserve">COHRS DR2 (Complete Data Release; Park et al. 2023, ApJS 264, 16) </w:t>
      </w:r>
      <w:r>
        <w:rPr/>
        <w:t>è</w:t>
      </w:r>
      <w:r>
        <w:rPr/>
        <w:t xml:space="preserve"> pubblicamente disponibile su CANFAR (Canadian Astronomy Data Centre), DOI 10.11570/22.0078. La directory dati contiene: RELEASE2_CUBE_REBIN/ (cubi 3D ricampionati a 0.635 km/s, un FITS per tile di 0.5 deg in longitudine, ~1.1 GB ciascuno), RELEASE2_INTEG/ (mappe momento-0 già pronte), RELEASE2_LV/ (diagrammi l-v già pronti) e un README.</w:t>
      </w:r>
    </w:p>
    <w:p>
      <w:pPr>
        <w:pStyle w:val="Heading1"/>
        <w:rPr/>
      </w:pPr>
      <w:r>
        <w:rPr/>
        <w:t>6. Modalit</w:t>
      </w:r>
      <w:r>
        <w:rPr/>
        <w:t>à</w:t>
      </w:r>
      <w:r>
        <w:rPr/>
        <w:t xml:space="preserve"> operativa</w:t>
      </w:r>
    </w:p>
    <w:p>
      <w:pPr>
        <w:pStyle w:val="Normal"/>
        <w:rPr/>
      </w:pPr>
      <w:r>
        <w:rPr/>
        <w:t>Procedura completa dall'identificazione del tile all'output FRO e ai plot:</w:t>
      </w:r>
    </w:p>
    <w:p>
      <w:pPr>
        <w:pStyle w:val="Normal"/>
        <w:rPr/>
      </w:pPr>
      <w:r>
        <w:rPr>
          <w:b/>
          <w:bCs/>
        </w:rPr>
        <w:t>Passo 1 — Identificare il tile.</w:t>
      </w:r>
    </w:p>
    <w:p>
      <w:pPr>
        <w:pStyle w:val="Normal"/>
        <w:spacing w:lineRule="auto" w:line="240"/>
        <w:rPr/>
      </w:pPr>
      <w:r>
        <w:rPr/>
        <w:t>Scegliere una longitudine galattica di interesse lungo il piano settentrionale (COHRS copre GLon 9.5-62.3 deg). I nomi dei tile codificano le coordinate centrali: COHRS_XXpXX_YpYY_CUBE_3T2_R2.fit.</w:t>
      </w:r>
    </w:p>
    <w:p>
      <w:pPr>
        <w:pStyle w:val="Normal"/>
        <w:rPr/>
      </w:pPr>
      <w:r>
        <w:rPr>
          <w:b/>
          <w:bCs/>
        </w:rPr>
        <w:t>Passo 2 — Scaricare il cubo.</w:t>
      </w:r>
    </w:p>
    <w:p>
      <w:pPr>
        <w:pStyle w:val="Normal"/>
        <w:rPr/>
      </w:pPr>
      <w:r>
        <w:rPr/>
        <w:t xml:space="preserve">Dalla directory dati CANFAR (DOI 10.11570/22.0078), aprire RELEASE2_CUBE_REBIN/, verificare la dimensione del file (~1.1 GB) e scaricare il FITS del tile scelto. Salvarlo in ~/FRO/Parsers/JCMT/Surveys/ con il nome originale — il nome del cubo </w:t>
      </w:r>
      <w:r>
        <w:rPr/>
        <w:t xml:space="preserve">è </w:t>
      </w:r>
      <w:r>
        <w:rPr/>
        <w:t>fisso e univoco, assegnato dal team COHRS, e non viene mai rinominato.</w:t>
      </w:r>
    </w:p>
    <w:p>
      <w:pPr>
        <w:pStyle w:val="Normal"/>
        <w:rPr/>
      </w:pPr>
      <w:r>
        <w:rPr>
          <w:b/>
          <w:bCs/>
        </w:rPr>
        <w:t>Passo 3 — Avviare il parser.</w:t>
      </w:r>
    </w:p>
    <w:p>
      <w:pPr>
        <w:pStyle w:val="Normal"/>
        <w:rPr/>
      </w:pPr>
      <w:r>
        <w:rPr/>
        <w:t>Fare doppio clic sul launcher COHRS to FRO sul desktop, oppure eseguire: env -u LD_LIBRARY_PATH python3 ~/FRO/Parsers/JCMT/cohrs_to_fro.py &lt;cubo.fit&gt;. Il parser crea automaticamente una directory epoch con timestamp: ~/FRO/Parsers/JCMT/Surveys/&lt;tag&gt;/&lt;tag&gt;_FRO_YYYYMMDD_HHMMSS/. Ogni epoch contiene: FRO/ (file .fro estratti), Plots/ (grafici generati), Raw/ (source.txt che punta al cubo originale). Il cubo originale non viene mai copiato.</w:t>
      </w:r>
    </w:p>
    <w:p>
      <w:pPr>
        <w:pStyle w:val="Normal"/>
        <w:rPr/>
      </w:pPr>
      <w:r>
        <w:rPr>
          <w:b/>
          <w:bCs/>
        </w:rPr>
        <w:t>Passo 4 — Estrarre gli spettri.</w:t>
      </w:r>
    </w:p>
    <w:p>
      <w:pPr>
        <w:pStyle w:val="Normal"/>
        <w:rPr/>
      </w:pPr>
      <w:r>
        <w:rPr/>
        <w:t>Quando richiesto, inserire GLon e GLat (gradi) di ogni punto di interesse. Il parser estrae lo spettro al pixel pi</w:t>
      </w:r>
      <w:r>
        <w:rPr/>
        <w:t>ù</w:t>
      </w:r>
      <w:r>
        <w:rPr/>
        <w:t xml:space="preserve"> vicino, registra nelle Note le coordinate richieste vs quelle effettive del centro pixel (onest</w:t>
      </w:r>
      <w:r>
        <w:rPr/>
        <w:t>à</w:t>
      </w:r>
      <w:r>
        <w:rPr/>
        <w:t xml:space="preserve"> dei metadati) e scrive un file .fro con timestamp nel nome (es. COHRS_G029.950-00.050_FRO_20260804_141009.fro). Ripetere per quanti punti si desidera nella stessa epoch.</w:t>
      </w:r>
    </w:p>
    <w:p>
      <w:pPr>
        <w:pStyle w:val="Normal"/>
        <w:rPr/>
      </w:pPr>
      <w:r>
        <w:rPr>
          <w:b/>
          <w:bCs/>
        </w:rPr>
        <w:t>Passo 5 — Generare i plot.</w:t>
      </w:r>
    </w:p>
    <w:p>
      <w:pPr>
        <w:pStyle w:val="Normal"/>
        <w:rPr/>
      </w:pPr>
      <w:r>
        <w:rPr/>
        <w:t>A fine estrazione il parser offre di eseguire view_cohrs.py sullo stesso cubo. Il menu del viewer offre: plot degli spettri estratti (SVG vettoriale, doppio asse velocit</w:t>
      </w:r>
      <w:r>
        <w:rPr/>
        <w:t>à</w:t>
      </w:r>
      <w:r>
        <w:rPr/>
        <w:t xml:space="preserve"> LSRK/frequenza GHz, marcatori rossi automatici sui picchi), diagramma l-v (PNG 300 DPI), mappa momento-0 W(CO) (PNG 300 DPI, colormap inferno, interpolazione bilineare), mappa della temperatura d'antenna di picco (PNG 300 DPI, colormap inferno, interpolazione bilineare), mappa della velocit</w:t>
      </w:r>
      <w:r>
        <w:rPr/>
        <w:t>à</w:t>
      </w:r>
      <w:r>
        <w:rPr/>
        <w:t xml:space="preserve"> del picco (PNG 300 DPI, colormap coolwarm), o tutti. I plot senza contorni vanno in Plots/, quelli con contorni in Plots/Plots_contour/.</w:t>
      </w:r>
    </w:p>
    <w:p>
      <w:pPr>
        <w:pStyle w:val="Normal"/>
        <w:rPr/>
      </w:pPr>
      <w:r>
        <w:rPr>
          <w:b/>
          <w:bCs/>
        </w:rPr>
        <w:t>Passo 6 — Verificare e archiviare.</w:t>
      </w:r>
    </w:p>
    <w:p>
      <w:pPr>
        <w:pStyle w:val="Normal"/>
        <w:rPr/>
      </w:pPr>
      <w:r>
        <w:rPr/>
        <w:t xml:space="preserve">Verificare che spettri e mappe siano corretti. Eseguire l'alias rsync fro-backup per rispecchiare ~/FRO/ in ~/FRO_Backup/. Il cubo FITS originale in Surveys/ </w:t>
      </w:r>
      <w:r>
        <w:rPr/>
        <w:t>è</w:t>
      </w:r>
      <w:r>
        <w:rPr/>
        <w:t xml:space="preserve"> l'archivio raw permanente; </w:t>
      </w:r>
      <w:r>
        <w:rPr>
          <w:b/>
          <w:bCs/>
        </w:rPr>
        <w:t>non eliminarlo mai</w:t>
      </w:r>
      <w:r>
        <w:rPr/>
        <w:t>.</w:t>
      </w:r>
    </w:p>
    <w:p>
      <w:pPr>
        <w:pStyle w:val="Heading1"/>
        <w:rPr/>
      </w:pPr>
      <w:r>
        <w:rPr/>
        <w:t>7. Parser: cohrs_to_fro.py</w:t>
      </w:r>
    </w:p>
    <w:p>
      <w:pPr>
        <w:pStyle w:val="Normal"/>
        <w:rPr/>
      </w:pPr>
      <w:r>
        <w:rPr/>
        <w:t xml:space="preserve">Posizione: ~/FRO/Parsers/JCMT/. Launcher: cohrs_to_fro_launcher.sh. Viewer: </w:t>
      </w:r>
      <w:r>
        <w:rPr>
          <w:b/>
          <w:bCs/>
        </w:rPr>
        <w:t>view_cohrs.py</w:t>
      </w:r>
      <w:r>
        <w:rPr/>
        <w:t>. L'asse di velocit</w:t>
      </w:r>
      <w:r>
        <w:rPr/>
        <w:t>à</w:t>
      </w:r>
      <w:r>
        <w:rPr/>
        <w:t xml:space="preserve"> (CTYPE3=VRAD, CUNIT3=km/s, LSRK) </w:t>
      </w:r>
      <w:r>
        <w:rPr/>
        <w:t>è</w:t>
      </w:r>
      <w:r>
        <w:rPr/>
        <w:t xml:space="preserve"> convertito in asse di frequenza via f = f0*(1-v/c), f0 = RESTFRQ dall'header. L'epoca di osservazione </w:t>
      </w:r>
      <w:r>
        <w:rPr/>
        <w:t>è</w:t>
      </w:r>
      <w:r>
        <w:rPr/>
        <w:t xml:space="preserve"> impostata al sentinella UNKNOWN_EPOCH: COHRS </w:t>
      </w:r>
      <w:r>
        <w:rPr/>
        <w:t>è</w:t>
      </w:r>
      <w:r>
        <w:rPr/>
        <w:t xml:space="preserve"> un mosaico OTF che combina pi</w:t>
      </w:r>
      <w:r>
        <w:rPr/>
        <w:t>ù</w:t>
      </w:r>
      <w:r>
        <w:rPr/>
        <w:t xml:space="preserve"> semestri JCMT, quindi l'epoca di un singolo pixel non </w:t>
      </w:r>
      <w:r>
        <w:rPr/>
        <w:t>è</w:t>
      </w:r>
      <w:r>
        <w:rPr/>
        <w:t xml:space="preserve"> definita. Il nome del file .fro include il timestamp dell'epoch. In Raw/ viene scritto source.txt con il percorso assoluto del cubo sorgente — il cubo non viene mai copiato. polarization=unknown, flag_track=-1 (sconosciuto), pointing_source=measured. Niente </w:t>
      </w:r>
      <w:r>
        <w:rPr/>
        <w:t>è</w:t>
      </w:r>
      <w:r>
        <w:rPr/>
        <w:t xml:space="preserve"> hardcoded.</w:t>
      </w:r>
    </w:p>
    <w:p>
      <w:pPr>
        <w:pStyle w:val="Heading1"/>
        <w:rPr/>
      </w:pPr>
      <w:r>
        <w:rPr/>
        <w:t>8. Note scientifiche</w:t>
      </w:r>
    </w:p>
    <w:p>
      <w:pPr>
        <w:pStyle w:val="Normal"/>
        <w:rPr/>
      </w:pPr>
      <w:r>
        <w:rPr/>
        <w:t xml:space="preserve">La mappa momento-0 </w:t>
      </w:r>
      <w:r>
        <w:rPr/>
        <w:t>è</w:t>
      </w:r>
      <w:r>
        <w:rPr/>
        <w:t xml:space="preserve"> presentata come intensit</w:t>
      </w:r>
      <w:r>
        <w:rPr/>
        <w:t>à</w:t>
      </w:r>
      <w:r>
        <w:rPr/>
        <w:t xml:space="preserve"> integrata W(CO) in K km/s, NON come densit</w:t>
      </w:r>
      <w:r>
        <w:rPr/>
        <w:t>à</w:t>
      </w:r>
      <w:r>
        <w:rPr/>
        <w:t xml:space="preserve"> di colonna H2: convertire richiederebbe un fattore X_CO assunto, che </w:t>
      </w:r>
      <w:r>
        <w:rPr/>
        <w:t>è</w:t>
      </w:r>
      <w:r>
        <w:rPr/>
        <w:t xml:space="preserve"> incerto. W(CO) </w:t>
      </w:r>
      <w:r>
        <w:rPr/>
        <w:t>è</w:t>
      </w:r>
      <w:r>
        <w:rPr/>
        <w:t xml:space="preserve"> la quantit</w:t>
      </w:r>
      <w:r>
        <w:rPr/>
        <w:t>à</w:t>
      </w:r>
      <w:r>
        <w:rPr/>
        <w:t xml:space="preserve"> onesta, misurata direttamente. Nel tile G30 l'emissione CO </w:t>
      </w:r>
      <w:r>
        <w:rPr/>
        <w:t>è</w:t>
      </w:r>
      <w:r>
        <w:rPr/>
        <w:t xml:space="preserve"> confinata a velocit</w:t>
      </w:r>
      <w:r>
        <w:rPr/>
        <w:t>à</w:t>
      </w:r>
      <w:r>
        <w:rPr/>
        <w:t xml:space="preserve"> LSRK positive (gas del braccio di Scudo); lo spettro a (29.95, -0.05) mostra una doppia componente risolta a ~+96 e ~+101 km/s, identificata automaticamente dai marcatori di picco. COHRS DR2 registra T_A*; un fattore di efficienza main-beam (~0.61) converte in T_mb ma non </w:t>
      </w:r>
      <w:r>
        <w:rPr/>
        <w:t>è</w:t>
      </w:r>
      <w:r>
        <w:rPr/>
        <w:t xml:space="preserve"> applicato dal parser. Per la mappa della velocit</w:t>
      </w:r>
      <w:r>
        <w:rPr/>
        <w:t>à</w:t>
      </w:r>
      <w:r>
        <w:rPr/>
        <w:t xml:space="preserve"> del picco, i pixel sotto la soglia del 30 percentile sono mascherati. Questa </w:t>
      </w:r>
      <w:r>
        <w:rPr/>
        <w:t>è</w:t>
      </w:r>
      <w:r>
        <w:rPr/>
        <w:t xml:space="preserve"> la prima riga molecolare (CO 345 GHz) integrata nella pipeline FRO.</w:t>
      </w:r>
    </w:p>
    <w:p>
      <w:pPr>
        <w:pStyle w:val="Heading1"/>
        <w:rPr/>
      </w:pPr>
      <w:r>
        <w:rPr/>
        <w:t>9. Campionamento Nyquist</w:t>
      </w:r>
    </w:p>
    <w:p>
      <w:pPr>
        <w:pStyle w:val="Normal"/>
        <w:rPr/>
      </w:pPr>
      <w:r>
        <w:rPr/>
        <w:t xml:space="preserve">Grigliatura COHRS DR2: 16.6 arcsec (beam HARP nativo ~14 arcsec a 345 GHz). Il cubo </w:t>
      </w:r>
      <w:r>
        <w:rPr/>
        <w:t>è</w:t>
      </w:r>
      <w:r>
        <w:rPr/>
        <w:t xml:space="preserve"> gi</w:t>
      </w:r>
      <w:r>
        <w:rPr/>
        <w:t>à</w:t>
      </w:r>
      <w:r>
        <w:rPr/>
        <w:t xml:space="preserve"> campionato al Nyquist dalla survey. Per estrarre spettri indipendenti, scegliere punti di estrazione non pi</w:t>
      </w:r>
      <w:r>
        <w:rPr/>
        <w:t>ù</w:t>
      </w:r>
      <w:r>
        <w:rPr/>
        <w:t xml:space="preserve"> vicini della dimensione del beam (~14-17 arcsec) per evitare spettri ridondanti e correlati.</w:t>
      </w:r>
    </w:p>
    <w:p>
      <w:pPr>
        <w:pStyle w:val="Heading1"/>
        <w:rPr/>
      </w:pPr>
      <w:r>
        <w:rPr/>
        <w:t>10. Riferimenti</w:t>
      </w:r>
    </w:p>
    <w:p>
      <w:pPr>
        <w:pStyle w:val="Normal"/>
        <w:rPr/>
      </w:pPr>
      <w:r>
        <w:rPr/>
        <w:t>Park, G., Currie, M. J., Thomas, H. S., et al. 2023, ApJS 264, 16 — COHRS Complete Data Release (DR2), il dataset processato da questo parser.</w:t>
      </w:r>
    </w:p>
    <w:p>
      <w:pPr>
        <w:pStyle w:val="Normal"/>
        <w:rPr/>
      </w:pPr>
      <w:r>
        <w:rPr/>
        <w:t>Dempsey, J. T., Thomas, H. S., Currie, M. J. 2013, ApJS 209, 8 — primo rilascio dati COHRS (DR1).</w:t>
      </w:r>
    </w:p>
    <w:p>
      <w:pPr>
        <w:pStyle w:val="Normal"/>
        <w:rPr/>
      </w:pPr>
      <w:r>
        <w:rPr/>
        <w:t>Buckle, J. V., Hills, R. E., Smith, H., et al. 2009, MNRAS 399, 1026 — array eterodino HARP/ACSIS e backend al JCMT.</w:t>
      </w:r>
    </w:p>
    <w:p>
      <w:pPr>
        <w:pStyle w:val="Normal"/>
        <w:rPr/>
      </w:pPr>
      <w:r>
        <w:rPr/>
        <w:t>COHRS DR2 su CANFAR: DOI 10.11570/22.0078</w:t>
      </w:r>
    </w:p>
    <w:p>
      <w:pPr>
        <w:pStyle w:val="Normal"/>
        <w:rPr/>
      </w:pPr>
      <w:r>
        <w:rPr/>
        <w:t>Specifica formato FRO: fro_format_v17.py (~/FRO/FRO_System/)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4"/>
      <w:szCs w:val="24"/>
      <w:lang w:val="it-IT" w:eastAsia="zh-CN" w:bidi="hi-IN"/>
    </w:rPr>
  </w:style>
  <w:style w:type="paragraph" w:styleId="Heading1">
    <w:name w:val="heading 1"/>
    <w:basedOn w:val="Titolo"/>
    <w:qFormat/>
    <w:pPr/>
    <w:rPr>
      <w:color w:val="2E74B5"/>
      <w:sz w:val="32"/>
      <w:szCs w:val="32"/>
    </w:rPr>
  </w:style>
  <w:style w:type="paragraph" w:styleId="Heading2">
    <w:name w:val="heading 2"/>
    <w:basedOn w:val="Titolo"/>
    <w:qFormat/>
    <w:pPr/>
    <w:rPr>
      <w:color w:val="2E74B5"/>
      <w:sz w:val="26"/>
      <w:szCs w:val="26"/>
    </w:rPr>
  </w:style>
  <w:style w:type="paragraph" w:styleId="Heading3">
    <w:name w:val="heading 3"/>
    <w:basedOn w:val="Titolo"/>
    <w:qFormat/>
    <w:pPr/>
    <w:rPr>
      <w:color w:val="1F4D78"/>
      <w:sz w:val="24"/>
      <w:szCs w:val="24"/>
    </w:rPr>
  </w:style>
  <w:style w:type="paragraph" w:styleId="Heading4">
    <w:name w:val="heading 4"/>
    <w:basedOn w:val="Titolo"/>
    <w:qFormat/>
    <w:pPr/>
    <w:rPr>
      <w:i/>
      <w:iCs/>
      <w:color w:val="2E74B5"/>
    </w:rPr>
  </w:style>
  <w:style w:type="paragraph" w:styleId="Heading5">
    <w:name w:val="heading 5"/>
    <w:basedOn w:val="Titolo"/>
    <w:qFormat/>
    <w:pPr/>
    <w:rPr>
      <w:color w:val="2E74B5"/>
    </w:rPr>
  </w:style>
  <w:style w:type="paragraph" w:styleId="Heading6">
    <w:name w:val="heading 6"/>
    <w:basedOn w:val="Tito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">
    <w:name w:val="Caratteri nota a piè di pagina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tterinotadichiusura">
    <w:name w:val="Caratteri nota di chiusura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ito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4"/>
      <w:szCs w:val="24"/>
      <w:lang w:val="it-I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4"/>
      <w:szCs w:val="24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LibreOffice/26.2.4.2$Linux_X86_64 LibreOffice_project/620$Build-2</Application>
  <AppVersion>15.0000</AppVersion>
  <Pages>3</Pages>
  <Words>1181</Words>
  <Characters>6926</Characters>
  <CharactersWithSpaces>8075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2026-07-29T17:31:03Z</dcterms:created>
  <dc:creator>Un-named</dc:creator>
  <dc:description/>
  <dc:language>it-IT</dc:language>
  <cp:lastModifiedBy/>
  <dcterms:modified xsi:type="dcterms:W3CDTF">2026-08-06T11:37:38Z</dcterms:modified>
  <cp:revision>3</cp:revision>
  <dc:subject/>
  <dc:title/>
</cp:coreProperties>
</file>