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Parkes / GASS — Note Tecniche del Parser FRO</w:t>
      </w:r>
    </w:p>
    <w:p>
      <w:pPr>
        <w:jc w:val="center"/>
      </w:pPr>
      <w:r>
        <w:rPr>
          <w:i/>
          <w:iCs/>
        </w:rPr>
        <w:t xml:space="preserve">Francesco Radio Observatory (FRO) — HALO</w:t>
      </w:r>
    </w:p>
    <w:p>
      <w:pPr>
        <w:jc w:val="center"/>
      </w:pPr>
      <w:r>
        <w:rPr>
          <w:i/>
          <w:iCs/>
        </w:rPr>
        <w:t xml:space="preserve">Bolzano, Italia — lat 46.4946°, lon 11.3353°, quota 334 m</w:t>
      </w:r>
    </w:p>
    <w:p/>
    <w:p>
      <w:pPr>
        <w:pStyle w:val="Heading1"/>
      </w:pPr>
      <w:r>
        <w:t xml:space="preserve">1. Panoramica della Survey</w:t>
      </w:r>
    </w:p>
    <w:p>
      <w:r>
        <w:t xml:space="preserve">GASS (Galactic All-Sky Survey) è la survey HI a 21 cm dell'intero cielo australe (δ &lt; 1°) realizzata con il radiotelescopio Parkes da 64 m dell'ATNF (Australia Telescope National Facility, CSIRO), situato a Parkes, Nuovo Galles del Sud, Australia. Il parser parkes_gass_to_fro.py converte i dati GASS in formato SDFITS nel formato FRO HDF5 v17. GASS è la survey HI di riferimento per il cielo australe, complementare a EBHIS (emisfero nord). Riferimento: McClure-Griffiths et al. 2009, ApJS 181, 398.</w:t>
      </w:r>
    </w:p>
    <w:p/>
    <w:p>
      <w:pPr>
        <w:pStyle w:val="Heading1"/>
      </w:pPr>
      <w:r>
        <w:t xml:space="preserve">2. Il Telescopio Parkes</w:t>
      </w:r>
    </w:p>
    <w:p>
      <w:r>
        <w:rPr>
          <w:b/>
          <w:bCs/>
        </w:rPr>
        <w:t xml:space="preserve">Parametri principali:</w:t>
      </w:r>
    </w:p>
    <w:p>
      <w:pPr>
        <w:pStyle w:val="ListParagraph"/>
        <w:numPr>
          <w:ilvl w:val="0"/>
          <w:numId w:val="2"/>
        </w:numPr>
      </w:pPr>
      <w:r>
        <w:t xml:space="preserve">Tipo: parabolico da 64 m, superficie solida</w:t>
      </w:r>
    </w:p>
    <w:p>
      <w:pPr>
        <w:pStyle w:val="ListParagraph"/>
        <w:numPr>
          <w:ilvl w:val="0"/>
          <w:numId w:val="2"/>
        </w:numPr>
      </w:pPr>
      <w:r>
        <w:t xml:space="preserve">Sito: Parkes, Nuovo Galles del Sud, Australia — quota ~392 m s.l.m.</w:t>
      </w:r>
    </w:p>
    <w:p>
      <w:pPr>
        <w:pStyle w:val="ListParagraph"/>
        <w:numPr>
          <w:ilvl w:val="0"/>
          <w:numId w:val="2"/>
        </w:numPr>
      </w:pPr>
      <w:r>
        <w:t xml:space="preserve">Coordinate: lat −32.9984°, lon 148.2635°</w:t>
      </w:r>
    </w:p>
    <w:p>
      <w:pPr>
        <w:pStyle w:val="ListParagraph"/>
        <w:numPr>
          <w:ilvl w:val="0"/>
          <w:numId w:val="2"/>
        </w:numPr>
      </w:pPr>
      <w:r>
        <w:t xml:space="preserve">Operatore / Operator: ATNF (Australia Telescope National Facility, CSIRO)</w:t>
      </w:r>
    </w:p>
    <w:p>
      <w:pPr>
        <w:pStyle w:val="ListParagraph"/>
        <w:numPr>
          <w:ilvl w:val="0"/>
          <w:numId w:val="2"/>
        </w:numPr>
      </w:pPr>
      <w:r>
        <w:t xml:space="preserve">Gamma di frequenza: 700 MHz – 26 GHz (con diversi ricevitori)</w:t>
      </w:r>
    </w:p>
    <w:p>
      <w:pPr>
        <w:pStyle w:val="ListParagraph"/>
        <w:numPr>
          <w:ilvl w:val="0"/>
          <w:numId w:val="2"/>
        </w:numPr>
      </w:pPr>
      <w:r>
        <w:t xml:space="preserve">Beam FWHM a 1.4 GHz (ricevitore multibeam): 14.0' (beam centrale), 14.1' (beams 2–7), 14.5' (beams 8–13); beam efficace GASS: ~16' dopo gridding OTF</w:t>
      </w:r>
    </w:p>
    <w:p>
      <w:pPr>
        <w:pStyle w:val="ListParagraph"/>
        <w:numPr>
          <w:ilvl w:val="0"/>
          <w:numId w:val="2"/>
        </w:numPr>
      </w:pPr>
      <w:r>
        <w:t xml:space="preserve">Formato dati: SDFITS (stesso standard GBT/Arecibo)</w:t>
      </w:r>
    </w:p>
    <w:p/>
    <w:p>
      <w:r>
        <w:rPr>
          <w:b/>
          <w:bCs/>
        </w:rPr>
        <w:t xml:space="preserve">Ricevitore multibeam 21 cm (ATNF Multibeam):</w:t>
      </w:r>
    </w:p>
    <w:p>
      <w:pPr>
        <w:pStyle w:val="ListParagraph"/>
        <w:numPr>
          <w:ilvl w:val="0"/>
          <w:numId w:val="2"/>
        </w:numPr>
      </w:pPr>
      <w:r>
        <w:t xml:space="preserve">13 feed in configurazione esagonale (1 centrale + 6 interni + 6 esterni), doppia polarizzazione lineare per feed</w:t>
      </w:r>
    </w:p>
    <w:p>
      <w:pPr>
        <w:pStyle w:val="ListParagraph"/>
        <w:numPr>
          <w:ilvl w:val="0"/>
          <w:numId w:val="2"/>
        </w:numPr>
      </w:pPr>
      <w:r>
        <w:t xml:space="preserve">Banda operativa: 1.23–1.53 GHz (300 MHz di banda); raffreddato criogenicamente</w:t>
      </w:r>
    </w:p>
    <w:p>
      <w:pPr>
        <w:pStyle w:val="ListParagraph"/>
        <w:numPr>
          <w:ilvl w:val="0"/>
          <w:numId w:val="2"/>
        </w:numPr>
      </w:pPr>
      <w:r>
        <w:t xml:space="preserve">Temperatura di sistema: Tsys ≈ 21–33 K (varia per beam e frequenza) — eccellente per survey HI</w:t>
      </w:r>
    </w:p>
    <w:p>
      <w:pPr>
        <w:pStyle w:val="ListParagraph"/>
        <w:numPr>
          <w:ilvl w:val="0"/>
          <w:numId w:val="2"/>
        </w:numPr>
      </w:pPr>
      <w:r>
        <w:t xml:space="preserve">Backend GASS: correlatore digitale, 4096 canali su 8 MHz (risoluzione ~0.82 km/s a 1420 MHz)</w:t>
      </w:r>
    </w:p>
    <w:p>
      <w:pPr>
        <w:pStyle w:val="ListParagraph"/>
        <w:numPr>
          <w:ilvl w:val="0"/>
          <w:numId w:val="2"/>
        </w:numPr>
      </w:pPr>
      <w:r>
        <w:t xml:space="preserve">Separazione tra beam adiacenti: 29.1'; angolo ricevitore a 19.1° rispetto alla direzione di scansione</w:t>
      </w:r>
    </w:p>
    <w:p/>
    <w:p>
      <w:pPr>
        <w:pStyle w:val="Heading1"/>
      </w:pPr>
      <w:r>
        <w:t xml:space="preserve">3. Caratteristiche Tecniche di GASS</w:t>
      </w:r>
    </w:p>
    <w:p>
      <w:pPr>
        <w:pStyle w:val="ListParagraph"/>
        <w:numPr>
          <w:ilvl w:val="0"/>
          <w:numId w:val="2"/>
        </w:numPr>
      </w:pPr>
      <w:r>
        <w:t xml:space="preserve">Frequenza: riga HI a 21 cm, frequenza a riposo 1420.405752 MHz</w:t>
      </w:r>
    </w:p>
    <w:p>
      <w:pPr>
        <w:pStyle w:val="ListParagraph"/>
        <w:numPr>
          <w:ilvl w:val="0"/>
          <w:numId w:val="2"/>
        </w:numPr>
      </w:pPr>
      <w:r>
        <w:t xml:space="preserve">Copertura: cielo australe δ &lt; 1° (complementare a EBHIS δ &gt; −5°)</w:t>
      </w:r>
    </w:p>
    <w:p>
      <w:pPr>
        <w:pStyle w:val="ListParagraph"/>
        <w:numPr>
          <w:ilvl w:val="0"/>
          <w:numId w:val="2"/>
        </w:numPr>
      </w:pPr>
      <w:r>
        <w:t xml:space="preserve">Copertura in velocità: −400 a +500 km/s LSR</w:t>
      </w:r>
    </w:p>
    <w:p>
      <w:pPr>
        <w:pStyle w:val="ListParagraph"/>
        <w:numPr>
          <w:ilvl w:val="0"/>
          <w:numId w:val="2"/>
        </w:numPr>
      </w:pPr>
      <w:r>
        <w:t xml:space="preserve">Risoluzione in velocità: ~0.82 km/s per canale (4096 canali su 8 MHz)</w:t>
      </w:r>
    </w:p>
    <w:p>
      <w:pPr>
        <w:pStyle w:val="ListParagraph"/>
        <w:numPr>
          <w:ilvl w:val="0"/>
          <w:numId w:val="2"/>
        </w:numPr>
      </w:pPr>
      <w:r>
        <w:t xml:space="preserve">Risoluzione angolare: beam efficace ~16' dopo gridding OTF (beam nativo ~14')</w:t>
      </w:r>
    </w:p>
    <w:p>
      <w:pPr>
        <w:pStyle w:val="ListParagraph"/>
        <w:numPr>
          <w:ilvl w:val="0"/>
          <w:numId w:val="2"/>
        </w:numPr>
      </w:pPr>
      <w:r>
        <w:t xml:space="preserve">Passo Nyquist: ~7' (~0.12°) per il beam nativo di 14'  </w:t>
      </w:r>
    </w:p>
    <w:p>
      <w:pPr>
        <w:pStyle w:val="ListParagraph"/>
        <w:numPr>
          <w:ilvl w:val="0"/>
          <w:numId w:val="2"/>
        </w:numPr>
      </w:pPr>
      <w:r>
        <w:t xml:space="preserve">Rumore (rms): ~57 mK per canale di 0.82 km/s (final data product)</w:t>
      </w:r>
    </w:p>
    <w:p>
      <w:pPr>
        <w:pStyle w:val="ListParagraph"/>
        <w:numPr>
          <w:ilvl w:val="0"/>
          <w:numId w:val="2"/>
        </w:numPr>
      </w:pPr>
      <w:r>
        <w:t xml:space="preserve">Integrazione per dump: ~5 s (modalità OTF, scan a 1°/min)</w:t>
      </w:r>
    </w:p>
    <w:p>
      <w:pPr>
        <w:pStyle w:val="ListParagraph"/>
        <w:numPr>
          <w:ilvl w:val="0"/>
          <w:numId w:val="2"/>
        </w:numPr>
      </w:pPr>
      <w:r>
        <w:t xml:space="preserve">Correzione stray radiation: sì (inclusa nel prodotto finale GASS)</w:t>
      </w:r>
    </w:p>
    <w:p>
      <w:pPr>
        <w:pStyle w:val="ListParagraph"/>
        <w:numPr>
          <w:ilvl w:val="0"/>
          <w:numId w:val="2"/>
        </w:numPr>
      </w:pPr>
      <w:r>
        <w:t xml:space="preserve">Riferimento: McClure-Griffiths et al. 2009, ApJS 181, 398</w:t>
      </w:r>
    </w:p>
    <w:p/>
    <w:p>
      <w:pPr>
        <w:pStyle w:val="Heading1"/>
      </w:pPr>
      <w:r>
        <w:t xml:space="preserve">4. Campionamento Nyquist e Scelta della Griglia</w:t>
      </w:r>
    </w:p>
    <w:p>
      <w:r>
        <w:t xml:space="preserve">Il beam nativo del ricevitore multibeam Parkes a 1.4 GHz è ~14'. Il beam efficace GASS dopo gridding OTF è ~16'. Il passo Nyquist minimo per campionare correttamente tutta l'informazione angolare disponibile è ~7' (~0.12°) per il beam nativo. Parkes ha una risoluzione angolare circa 2 volte superiore a Effelsberg/GBT alla stessa frequenza, e circa 20 volte superiore a SALSA Torre. La Tsys criogenica (~21–33 K vs ~300 K di SALSA) garantisce una sensibilità nettamente superiore per osservazioni HI.</w:t>
      </w:r>
    </w:p>
    <w:p/>
    <w:p>
      <w:pPr>
        <w:pStyle w:val="Heading1"/>
      </w:pPr>
      <w:r>
        <w:t xml:space="preserve">5. Accesso ai Dati GASS</w:t>
      </w:r>
    </w:p>
    <w:p>
      <w:r>
        <w:rPr>
          <w:b/>
          <w:bCs/>
        </w:rPr>
        <w:t xml:space="preserve">Archivio ATNF (dati ridotti GASS):</w:t>
      </w:r>
    </w:p>
    <w:p>
      <w:pPr>
        <w:ind w:left="360"/>
      </w:pPr>
      <w:r>
        <w:t xml:space="preserve">www.atnf.csiro.au/research/HI/gass/ — dati GASS ridotti disponibili pubblicamente. I cubi HI possono essere scaricati in formato FITS.</w:t>
      </w:r>
    </w:p>
    <w:p/>
    <w:p>
      <w:r>
        <w:rPr>
          <w:b/>
          <w:bCs/>
        </w:rPr>
        <w:t xml:space="preserve">Registro NASA FITS (file campione FRO):</w:t>
      </w:r>
    </w:p>
    <w:p>
      <w:pPr>
        <w:ind w:left="360"/>
      </w:pPr>
      <w:r>
        <w:t xml:space="preserve">fits.gsfc.nasa.gov — il file Parkes_GASS.fits è stato scaricato come esempio di riferimento del formato SDFITS Parkes, non come dato scientifico primario. Contiene 28 spettri (7 beam × 4 integrations), GLon~271°, GLat~−45°.</w:t>
      </w:r>
    </w:p>
    <w:p/>
    <w:p>
      <w:pPr>
        <w:pStyle w:val="Heading1"/>
      </w:pPr>
      <w:r>
        <w:t xml:space="preserve">6. Parser: parkes_gass_to_fro.py</w:t>
      </w:r>
    </w:p>
    <w:p>
      <w:r>
        <w:rPr>
          <w:b/>
          <w:bCs/>
        </w:rPr>
        <w:t xml:space="preserve">Percorso: </w:t>
      </w:r>
      <w:r>
        <w:t xml:space="preserve">~/FRO/Parsers/Parkes/</w:t>
      </w:r>
    </w:p>
    <w:p/>
    <w:p>
      <w:r>
        <w:rPr>
          <w:b/>
          <w:bCs/>
        </w:rPr>
        <w:t xml:space="preserve">Funzionamento:</w:t>
      </w:r>
    </w:p>
    <w:p>
      <w:pPr>
        <w:pStyle w:val="ListParagraph"/>
        <w:numPr>
          <w:ilvl w:val="0"/>
          <w:numId w:val="2"/>
        </w:numPr>
      </w:pPr>
      <w:r>
        <w:t xml:space="preserve">Formato input: SDFITS (stesso standard GBT); un file .fro per beam</w:t>
      </w:r>
    </w:p>
    <w:p>
      <w:pPr>
        <w:pStyle w:val="ListParagraph"/>
        <w:numPr>
          <w:ilvl w:val="0"/>
          <w:numId w:val="2"/>
        </w:numPr>
      </w:pPr>
      <w:r>
        <w:t xml:space="preserve">Asse frequenze WCS per riga (CRVAL1/CRPIX1/CDELT1), lineare</w:t>
      </w:r>
    </w:p>
    <w:p>
      <w:pPr>
        <w:pStyle w:val="ListParagraph"/>
        <w:numPr>
          <w:ilvl w:val="0"/>
          <w:numId w:val="2"/>
        </w:numPr>
      </w:pPr>
      <w:r>
        <w:t xml:space="preserve">Polarizzazione da CRVAL4 (codici FITS standard)</w:t>
      </w:r>
    </w:p>
    <w:p>
      <w:pPr>
        <w:pStyle w:val="ListParagraph"/>
        <w:numPr>
          <w:ilvl w:val="0"/>
          <w:numId w:val="2"/>
        </w:numPr>
      </w:pPr>
      <w:r>
        <w:t xml:space="preserve">Coordinate Az/El misurate (AZIMUTH/ELEVATIO); GLon/GLat via Astropy SkyCoord</w:t>
      </w:r>
    </w:p>
    <w:p>
      <w:pPr>
        <w:pStyle w:val="ListParagraph"/>
        <w:numPr>
          <w:ilvl w:val="0"/>
          <w:numId w:val="2"/>
        </w:numPr>
      </w:pPr>
      <w:r>
        <w:t xml:space="preserve">Ambiente: TAMBIENT, PRESSURE, HUMIDITY → gruppo Environment FRO v17</w:t>
      </w:r>
    </w:p>
    <w:p>
      <w:pPr>
        <w:pStyle w:val="ListParagraph"/>
        <w:numPr>
          <w:ilvl w:val="0"/>
          <w:numId w:val="2"/>
        </w:numPr>
      </w:pPr>
      <w:r>
        <w:t xml:space="preserve">flag_track = −1 (unknown): SDFITS Parkes non ha tracking flag diretto</w:t>
      </w:r>
    </w:p>
    <w:p>
      <w:pPr>
        <w:pStyle w:val="ListParagraph"/>
        <w:numPr>
          <w:ilvl w:val="0"/>
          <w:numId w:val="2"/>
        </w:numPr>
      </w:pPr>
      <w:r>
        <w:t xml:space="preserve">Backup: ~/FRO_Backup/parkes_gass_to_fro_pre_surveys.py</w:t>
      </w:r>
    </w:p>
    <w:p/>
    <w:p>
      <w:r>
        <w:rPr>
          <w:b/>
          <w:bCs/>
        </w:rPr>
        <w:t xml:space="preserve">Struttura directory output (modello FRO standard):</w:t>
      </w:r>
    </w:p>
    <w:p>
      <w:pPr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Parsers/Parkes/Surveys/Parkes_Survey_GASS/</w:t>
      </w:r>
    </w:p>
    <w:p>
      <w:pPr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    Parkes_Profiles_GASS/  ← file SDFITS raw</w:t>
      </w:r>
    </w:p>
    <w:p>
      <w:pPr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    Parkes_FRO_GASS/       ← file .fro HDF5 v17 output (1 per beam)</w:t>
      </w:r>
    </w:p>
    <w:p>
      <w:pPr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    Parkes_Plots_GASS/     ← PNG grafici</w:t>
      </w:r>
    </w:p>
    <w:p/>
    <w:p>
      <w:pPr>
        <w:pStyle w:val="Heading1"/>
      </w:pPr>
      <w:r>
        <w:t xml:space="preserve">7. Note Scientifiche</w:t>
      </w:r>
    </w:p>
    <w:p>
      <w:pPr>
        <w:pStyle w:val="ListParagraph"/>
        <w:numPr>
          <w:ilvl w:val="0"/>
          <w:numId w:val="2"/>
        </w:numPr>
      </w:pPr>
      <w:r>
        <w:t xml:space="preserve">GASS è la controparte australe di EBHIS: insieme coprono l'intero cielo HI con risoluzione angolare simile (~14–16').</w:t>
      </w:r>
    </w:p>
    <w:p>
      <w:pPr>
        <w:pStyle w:val="ListParagraph"/>
        <w:numPr>
          <w:ilvl w:val="0"/>
          <w:numId w:val="2"/>
        </w:numPr>
      </w:pPr>
      <w:r>
        <w:t xml:space="preserve">La Tsys criogenica di Parkes (~21–33 K) è ~10 volte inferiore a quella di SALSA (~300 K), garantendo una sensibilità nettamente superiore per osservazioni HI a parità di tempo di integrazione.</w:t>
      </w:r>
    </w:p>
    <w:p>
      <w:pPr>
        <w:pStyle w:val="ListParagraph"/>
        <w:numPr>
          <w:ilvl w:val="0"/>
          <w:numId w:val="2"/>
        </w:numPr>
      </w:pPr>
      <w:r>
        <w:t xml:space="preserve">Il file campione FRO (28 spettri, 7 beam, GLon~271°, GLat~−45°) copre una regione del cielo australe inaccessibile da SALSA Torre (Onsala, lat 57°N) e non copertura da EBHIS.</w:t>
      </w:r>
    </w:p>
    <w:p/>
    <w:p>
      <w:pPr>
        <w:pStyle w:val="Heading1"/>
      </w:pPr>
      <w:r>
        <w:t xml:space="preserve">8. Riferimento Bibliografico</w:t>
      </w:r>
    </w:p>
    <w:p>
      <w:r>
        <w:t xml:space="preserve">McClure-Griffiths, N.M., Pisano, D.J., Calabretta, M.R., Ford, H.A., Lockman, F.J., Staveley-Smith, L., Kalberla, P.M.W., Bailin, J., Dedes, L., Janowiecki, S., Gibson, B.K., Murphy, T., Nakanishi, H., &amp; Newton-McGee, K. (2009). GASS: The Parkes Galactic All-Sky Survey. I. Survey Description, Goals, and Initial Data Release. ApJS, 181, 398.</w:t>
      </w:r>
    </w:p>
    <w:p/>
    <w:p>
      <w:r>
        <w:t xml:space="preserve">www.atnf.csiro.au/research/HI/gass/</w:t>
      </w:r>
    </w:p>
    <w:p/>
    <w:p>
      <w:pPr>
        <w:jc w:val="center"/>
      </w:pPr>
      <w:r>
        <w:rPr>
          <w:i/>
          <w:iCs/>
          <w:sz w:val="18"/>
          <w:szCs w:val="18"/>
        </w:rPr>
        <w:t xml:space="preserve">Documento generato: luglio 2026 — Francesco Radio Observatory / HALO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2026-07-24T13:52:26.313Z</dcterms:created>
  <dcterms:modified xsi:type="dcterms:W3CDTF">2026-07-24T13:52:26.327Z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